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20766C" w14:textId="77777777" w:rsidR="006F2D3D" w:rsidRDefault="00824C76" w:rsidP="00824C76">
      <w:pPr>
        <w:pStyle w:val="Heading1"/>
      </w:pPr>
      <w:r>
        <w:t xml:space="preserve">Fem K Extras </w:t>
      </w:r>
    </w:p>
    <w:p w14:paraId="666BED84" w14:textId="77777777" w:rsidR="00824C76" w:rsidRDefault="00824C76" w:rsidP="002F40E6"/>
    <w:p w14:paraId="5583CA73" w14:textId="77777777" w:rsidR="00824C76" w:rsidRDefault="00D73841" w:rsidP="00824C76">
      <w:pPr>
        <w:pStyle w:val="Heading3"/>
      </w:pPr>
      <w:r>
        <w:lastRenderedPageBreak/>
        <w:t xml:space="preserve">Fem K - </w:t>
      </w:r>
      <w:bookmarkStart w:id="0" w:name="_GoBack"/>
      <w:bookmarkEnd w:id="0"/>
      <w:proofErr w:type="spellStart"/>
      <w:r w:rsidR="00824C76">
        <w:t>Agamben</w:t>
      </w:r>
      <w:proofErr w:type="spellEnd"/>
      <w:r w:rsidR="00824C76">
        <w:t xml:space="preserve"> Link</w:t>
      </w:r>
    </w:p>
    <w:p w14:paraId="3BFA9464" w14:textId="77777777" w:rsidR="00824C76" w:rsidRDefault="00824C76" w:rsidP="00824C76">
      <w:pPr>
        <w:rPr>
          <w:rStyle w:val="StyleStyleBold12pt"/>
          <w:szCs w:val="26"/>
        </w:rPr>
      </w:pPr>
    </w:p>
    <w:p w14:paraId="171B8869" w14:textId="77777777" w:rsidR="00824C76" w:rsidRDefault="00824C76" w:rsidP="00824C76">
      <w:pPr>
        <w:rPr>
          <w:rStyle w:val="StyleStyleBold12pt"/>
          <w:szCs w:val="26"/>
        </w:rPr>
      </w:pPr>
      <w:proofErr w:type="spellStart"/>
      <w:r>
        <w:rPr>
          <w:rStyle w:val="StyleStyleBold12pt"/>
          <w:szCs w:val="26"/>
        </w:rPr>
        <w:t>Agamben’s</w:t>
      </w:r>
      <w:proofErr w:type="spellEnd"/>
      <w:r>
        <w:rPr>
          <w:rStyle w:val="StyleStyleBold12pt"/>
          <w:szCs w:val="26"/>
        </w:rPr>
        <w:t xml:space="preserve"> notion of “bare life” ignores the role of women, poor and people of color – results in a sadistic population</w:t>
      </w:r>
    </w:p>
    <w:p w14:paraId="164CF3F2" w14:textId="77777777" w:rsidR="00824C76" w:rsidRPr="005E52D9" w:rsidRDefault="00824C76" w:rsidP="00824C76">
      <w:pPr>
        <w:rPr>
          <w:rStyle w:val="StyleStyleBold12pt"/>
          <w:b w:val="0"/>
        </w:rPr>
      </w:pPr>
      <w:r w:rsidRPr="005E52D9">
        <w:rPr>
          <w:rStyle w:val="StyleStyleBold12pt"/>
          <w:szCs w:val="26"/>
        </w:rPr>
        <w:t>Smith 11</w:t>
      </w:r>
      <w:r w:rsidRPr="005E52D9">
        <w:rPr>
          <w:rStyle w:val="StyleStyleBold12pt"/>
          <w:b w:val="0"/>
        </w:rPr>
        <w:t xml:space="preserve"> – professor of government at Cornell University, political theorist, with research interests in the fields of jurisprudence and normative political theory; distributive justice and socioeconomic rights; public policy; education and poverty assistance; feminist theory and feminist legal studies; critical race theory; and the rhetoric of modern state power and citizenship, </w:t>
      </w:r>
      <w:r w:rsidRPr="00D73841">
        <w:rPr>
          <w:rStyle w:val="StyleStyleBold12pt"/>
          <w:b w:val="0"/>
          <w:sz w:val="16"/>
          <w:szCs w:val="16"/>
        </w:rPr>
        <w:t xml:space="preserve">(Anna Marie, “Neo-eugenics: A Feminist Critique of </w:t>
      </w:r>
      <w:proofErr w:type="spellStart"/>
      <w:r w:rsidRPr="00D73841">
        <w:rPr>
          <w:rStyle w:val="StyleStyleBold12pt"/>
          <w:b w:val="0"/>
          <w:sz w:val="16"/>
          <w:szCs w:val="16"/>
        </w:rPr>
        <w:t>Agamben</w:t>
      </w:r>
      <w:proofErr w:type="spellEnd"/>
      <w:r w:rsidRPr="00D73841">
        <w:rPr>
          <w:rStyle w:val="StyleStyleBold12pt"/>
          <w:b w:val="0"/>
          <w:sz w:val="16"/>
          <w:szCs w:val="16"/>
        </w:rPr>
        <w:t>,” February 11, Stanford University, http://arcade.stanford.edu/occasion/neo-eugenics-feminist-critique-agamben) //DS</w:t>
      </w:r>
    </w:p>
    <w:p w14:paraId="21374F8D" w14:textId="77777777" w:rsidR="00824C76" w:rsidRPr="00824C76" w:rsidRDefault="00824C76" w:rsidP="00824C76">
      <w:pPr>
        <w:rPr>
          <w:sz w:val="16"/>
          <w:szCs w:val="22"/>
        </w:rPr>
      </w:pPr>
      <w:r w:rsidRPr="00824C76">
        <w:rPr>
          <w:sz w:val="16"/>
          <w:szCs w:val="22"/>
        </w:rPr>
        <w:t xml:space="preserve">However, </w:t>
      </w:r>
      <w:proofErr w:type="spellStart"/>
      <w:r w:rsidRPr="00824C76">
        <w:rPr>
          <w:rStyle w:val="Underline"/>
          <w:szCs w:val="22"/>
        </w:rPr>
        <w:t>Agamben</w:t>
      </w:r>
      <w:proofErr w:type="spellEnd"/>
      <w:r w:rsidRPr="00824C76">
        <w:rPr>
          <w:sz w:val="16"/>
          <w:szCs w:val="22"/>
        </w:rPr>
        <w:t xml:space="preserve">, unlike Spillers, </w:t>
      </w:r>
      <w:r w:rsidRPr="00824C76">
        <w:rPr>
          <w:rStyle w:val="Underline"/>
          <w:szCs w:val="22"/>
        </w:rPr>
        <w:t xml:space="preserve">moves at such a distance from historical specificities that he </w:t>
      </w:r>
      <w:proofErr w:type="gramStart"/>
      <w:r w:rsidRPr="00824C76">
        <w:rPr>
          <w:rStyle w:val="Underline"/>
          <w:szCs w:val="22"/>
        </w:rPr>
        <w:t>loses</w:t>
      </w:r>
      <w:proofErr w:type="gramEnd"/>
      <w:r w:rsidRPr="00824C76">
        <w:rPr>
          <w:rStyle w:val="Underline"/>
          <w:szCs w:val="22"/>
        </w:rPr>
        <w:t xml:space="preserve"> sight of institutionalized gendered dynamics</w:t>
      </w:r>
      <w:r w:rsidRPr="00824C76">
        <w:rPr>
          <w:rStyle w:val="Underline"/>
        </w:rPr>
        <w:t xml:space="preserve">. His objective is not only to </w:t>
      </w:r>
      <w:proofErr w:type="spellStart"/>
      <w:r w:rsidRPr="00824C76">
        <w:rPr>
          <w:rStyle w:val="Underline"/>
        </w:rPr>
        <w:t>thematize</w:t>
      </w:r>
      <w:proofErr w:type="spellEnd"/>
      <w:r w:rsidRPr="00824C76">
        <w:rPr>
          <w:rStyle w:val="Underline"/>
        </w:rPr>
        <w:t xml:space="preserve"> Western discourse on a metaphysical level, </w:t>
      </w:r>
      <w:r w:rsidRPr="00824C76">
        <w:rPr>
          <w:sz w:val="16"/>
          <w:szCs w:val="22"/>
        </w:rPr>
        <w:t xml:space="preserve">in the </w:t>
      </w:r>
      <w:proofErr w:type="spellStart"/>
      <w:r w:rsidRPr="00824C76">
        <w:rPr>
          <w:sz w:val="16"/>
          <w:szCs w:val="22"/>
        </w:rPr>
        <w:t>Derridean</w:t>
      </w:r>
      <w:proofErr w:type="spellEnd"/>
      <w:r w:rsidRPr="00824C76">
        <w:rPr>
          <w:sz w:val="16"/>
          <w:szCs w:val="22"/>
        </w:rPr>
        <w:t xml:space="preserve"> sense, </w:t>
      </w:r>
      <w:r w:rsidRPr="00824C76">
        <w:rPr>
          <w:rStyle w:val="Underline"/>
        </w:rPr>
        <w:t>but to establish a critical sociopolitical theory that can bring to light the fundamental character of Western GOVERNANCE that has purportedly endured</w:t>
      </w:r>
      <w:r w:rsidRPr="00824C76">
        <w:rPr>
          <w:sz w:val="16"/>
          <w:szCs w:val="22"/>
        </w:rPr>
        <w:t xml:space="preserve">, like a timeless essence, from Aristotle’s ancient Greece to post-9/11 American government. Like Spillers, </w:t>
      </w:r>
      <w:proofErr w:type="spellStart"/>
      <w:r w:rsidRPr="00824C76">
        <w:rPr>
          <w:sz w:val="16"/>
          <w:szCs w:val="22"/>
        </w:rPr>
        <w:t>Agamben</w:t>
      </w:r>
      <w:proofErr w:type="spellEnd"/>
      <w:r w:rsidRPr="00824C76">
        <w:rPr>
          <w:sz w:val="16"/>
          <w:szCs w:val="22"/>
        </w:rPr>
        <w:t xml:space="preserve"> underlines the fact </w:t>
      </w:r>
      <w:r w:rsidRPr="00824C76">
        <w:rPr>
          <w:rStyle w:val="Underline"/>
        </w:rPr>
        <w:t xml:space="preserve">that </w:t>
      </w:r>
      <w:proofErr w:type="spellStart"/>
      <w:r w:rsidRPr="00824C76">
        <w:rPr>
          <w:rStyle w:val="Underline"/>
        </w:rPr>
        <w:t>biopolitics</w:t>
      </w:r>
      <w:proofErr w:type="spellEnd"/>
      <w:r w:rsidRPr="00824C76">
        <w:rPr>
          <w:rStyle w:val="Underline"/>
        </w:rPr>
        <w:t xml:space="preserve"> constructs the national population in a racially essentialist manner. But he cannot detect the specificity of racial formations; he cannot help us to understand the ways in which the anti-Semitism of the Nazis resembles, but also deviates from, institutional racism in contemporary American society</w:t>
      </w:r>
      <w:r w:rsidRPr="00824C76">
        <w:rPr>
          <w:sz w:val="16"/>
          <w:szCs w:val="22"/>
        </w:rPr>
        <w:t xml:space="preserve">. Further, </w:t>
      </w:r>
      <w:r w:rsidRPr="00824C76">
        <w:rPr>
          <w:rStyle w:val="Underline"/>
        </w:rPr>
        <w:t>he</w:t>
      </w:r>
      <w:r w:rsidRPr="00824C76">
        <w:rPr>
          <w:sz w:val="16"/>
          <w:szCs w:val="22"/>
        </w:rPr>
        <w:t xml:space="preserve"> completely </w:t>
      </w:r>
      <w:r w:rsidRPr="00824C76">
        <w:rPr>
          <w:rStyle w:val="Underline"/>
        </w:rPr>
        <w:t xml:space="preserve">fails to grasp the centrality of gender to the </w:t>
      </w:r>
      <w:proofErr w:type="spellStart"/>
      <w:r w:rsidRPr="00824C76">
        <w:rPr>
          <w:rStyle w:val="Underline"/>
        </w:rPr>
        <w:t>biopolitical</w:t>
      </w:r>
      <w:proofErr w:type="spellEnd"/>
      <w:r w:rsidRPr="00824C76">
        <w:rPr>
          <w:rStyle w:val="Underline"/>
        </w:rPr>
        <w:t xml:space="preserve"> project of producing bare life.</w:t>
      </w:r>
      <w:r w:rsidRPr="00824C76">
        <w:rPr>
          <w:sz w:val="16"/>
          <w:szCs w:val="22"/>
        </w:rPr>
        <w:t xml:space="preserve"> For </w:t>
      </w:r>
      <w:proofErr w:type="spellStart"/>
      <w:r w:rsidRPr="00824C76">
        <w:rPr>
          <w:sz w:val="16"/>
          <w:szCs w:val="22"/>
        </w:rPr>
        <w:t>Agamben</w:t>
      </w:r>
      <w:proofErr w:type="spellEnd"/>
      <w:r w:rsidRPr="00824C76">
        <w:rPr>
          <w:sz w:val="16"/>
          <w:szCs w:val="22"/>
        </w:rPr>
        <w:t xml:space="preserve">, the sovereign preserves for itself “the natural right to do anything to anyone.”[22] As the line between legitimate authority and the right of the sovereign in a state of exception to protect “the people” by producing bare life is increasingly blurred, we become unable to identify “any one clear figure of the sacred man.”[23] In effect, “we are all virtually </w:t>
      </w:r>
      <w:proofErr w:type="spellStart"/>
      <w:r w:rsidRPr="00824C76">
        <w:rPr>
          <w:sz w:val="16"/>
          <w:szCs w:val="22"/>
        </w:rPr>
        <w:t>homines</w:t>
      </w:r>
      <w:proofErr w:type="spellEnd"/>
      <w:r w:rsidRPr="00824C76">
        <w:rPr>
          <w:sz w:val="16"/>
          <w:szCs w:val="22"/>
        </w:rPr>
        <w:t xml:space="preserve"> </w:t>
      </w:r>
      <w:proofErr w:type="spellStart"/>
      <w:r w:rsidRPr="00824C76">
        <w:rPr>
          <w:sz w:val="16"/>
          <w:szCs w:val="22"/>
        </w:rPr>
        <w:t>sacri</w:t>
      </w:r>
      <w:proofErr w:type="spellEnd"/>
      <w:r w:rsidRPr="00824C76">
        <w:rPr>
          <w:sz w:val="16"/>
          <w:szCs w:val="22"/>
        </w:rPr>
        <w:t>.”[24] “Bare life is no longer confined to a particular place or a definite category. It now dwells in the biological body of every living being.”[25]</w:t>
      </w:r>
    </w:p>
    <w:p w14:paraId="61F39662" w14:textId="77777777" w:rsidR="00824C76" w:rsidRPr="00824C76" w:rsidRDefault="00824C76" w:rsidP="00824C76">
      <w:pPr>
        <w:rPr>
          <w:sz w:val="16"/>
          <w:szCs w:val="22"/>
        </w:rPr>
      </w:pPr>
      <w:r w:rsidRPr="00824C76">
        <w:rPr>
          <w:rStyle w:val="Underline"/>
        </w:rPr>
        <w:t>The historical record, however, makes it crystal clear that it is the structurally disempowered who are most vulnerable to the exercise of arbitrary state power in the state of emergency. Women are placed in especially constrained positions by the modern State when it devotes itself to population management</w:t>
      </w:r>
      <w:r w:rsidRPr="00824C76">
        <w:rPr>
          <w:sz w:val="16"/>
          <w:szCs w:val="22"/>
        </w:rPr>
        <w:t xml:space="preserve">. </w:t>
      </w:r>
      <w:r w:rsidRPr="00824C76">
        <w:rPr>
          <w:rStyle w:val="Underline"/>
        </w:rPr>
        <w:t xml:space="preserve">In the context of positive eugenics, the “fittest” women of the racial nation are asked to serve as the wombs of “the people” through </w:t>
      </w:r>
      <w:proofErr w:type="spellStart"/>
      <w:r w:rsidRPr="00824C76">
        <w:rPr>
          <w:rStyle w:val="Underline"/>
        </w:rPr>
        <w:t>natalist</w:t>
      </w:r>
      <w:proofErr w:type="spellEnd"/>
      <w:r w:rsidRPr="00824C76">
        <w:rPr>
          <w:rStyle w:val="Underline"/>
        </w:rPr>
        <w:t xml:space="preserve"> propaganda and policies</w:t>
      </w:r>
      <w:r w:rsidRPr="00824C76">
        <w:rPr>
          <w:sz w:val="16"/>
          <w:szCs w:val="22"/>
        </w:rPr>
        <w:t xml:space="preserve">. </w:t>
      </w:r>
      <w:r w:rsidRPr="00824C76">
        <w:rPr>
          <w:rStyle w:val="Underline"/>
        </w:rPr>
        <w:t xml:space="preserve">Negative eugenics in turn promotes the exclusion of the “unfit” through selective immigration controls, sterilization, and the discouragement of </w:t>
      </w:r>
      <w:proofErr w:type="gramStart"/>
      <w:r w:rsidRPr="00824C76">
        <w:rPr>
          <w:rStyle w:val="Underline"/>
        </w:rPr>
        <w:t>child-rearing</w:t>
      </w:r>
      <w:proofErr w:type="gramEnd"/>
      <w:r w:rsidRPr="00824C76">
        <w:rPr>
          <w:rStyle w:val="Underline"/>
        </w:rPr>
        <w:t>. Poor women typically bear the brunt</w:t>
      </w:r>
      <w:r w:rsidRPr="00824C76">
        <w:rPr>
          <w:sz w:val="16"/>
          <w:szCs w:val="22"/>
        </w:rPr>
        <w:t xml:space="preserve"> of these policies. In some eugenic contexts, the “unfit” woman is offered partial redemption, but only insofar as she is rendered into a sterile worker, a prostitute, or a military servant</w:t>
      </w:r>
      <w:proofErr w:type="gramStart"/>
      <w:r w:rsidRPr="00824C76">
        <w:rPr>
          <w:sz w:val="16"/>
          <w:szCs w:val="22"/>
        </w:rPr>
        <w:t>.[</w:t>
      </w:r>
      <w:proofErr w:type="gramEnd"/>
      <w:r w:rsidRPr="00824C76">
        <w:rPr>
          <w:sz w:val="16"/>
          <w:szCs w:val="22"/>
        </w:rPr>
        <w:t>26]</w:t>
      </w:r>
    </w:p>
    <w:p w14:paraId="58DD165A" w14:textId="77777777" w:rsidR="00824C76" w:rsidRPr="00824C76" w:rsidRDefault="00824C76" w:rsidP="00824C76">
      <w:pPr>
        <w:rPr>
          <w:sz w:val="16"/>
          <w:szCs w:val="22"/>
        </w:rPr>
      </w:pPr>
      <w:r w:rsidRPr="00824C76">
        <w:rPr>
          <w:sz w:val="16"/>
          <w:szCs w:val="22"/>
        </w:rPr>
        <w:t xml:space="preserve">The </w:t>
      </w:r>
      <w:r w:rsidRPr="00824C76">
        <w:rPr>
          <w:rStyle w:val="Underline"/>
        </w:rPr>
        <w:t xml:space="preserve">practical implications of </w:t>
      </w:r>
      <w:proofErr w:type="spellStart"/>
      <w:r w:rsidRPr="00824C76">
        <w:rPr>
          <w:rStyle w:val="Underline"/>
        </w:rPr>
        <w:t>Agamben’s</w:t>
      </w:r>
      <w:proofErr w:type="spellEnd"/>
      <w:r w:rsidRPr="00824C76">
        <w:rPr>
          <w:rStyle w:val="Underline"/>
        </w:rPr>
        <w:t xml:space="preserve"> failure to address the historically specific and stratified character of the State’s targeting</w:t>
      </w:r>
      <w:r w:rsidRPr="00824C76">
        <w:rPr>
          <w:sz w:val="16"/>
          <w:szCs w:val="22"/>
        </w:rPr>
        <w:t xml:space="preserve"> (</w:t>
      </w:r>
      <w:r w:rsidRPr="00824C76">
        <w:rPr>
          <w:rStyle w:val="Underline"/>
        </w:rPr>
        <w:t xml:space="preserve">i.e., </w:t>
      </w:r>
      <w:r w:rsidRPr="00824C76">
        <w:rPr>
          <w:sz w:val="16"/>
          <w:szCs w:val="22"/>
        </w:rPr>
        <w:t xml:space="preserve">the fact </w:t>
      </w:r>
      <w:r w:rsidRPr="00824C76">
        <w:rPr>
          <w:rStyle w:val="Underline"/>
        </w:rPr>
        <w:t xml:space="preserve">that </w:t>
      </w:r>
      <w:r w:rsidRPr="00824C76">
        <w:rPr>
          <w:sz w:val="16"/>
          <w:szCs w:val="22"/>
        </w:rPr>
        <w:t xml:space="preserve">in the midst of an emergency, </w:t>
      </w:r>
      <w:r w:rsidRPr="00824C76">
        <w:rPr>
          <w:rStyle w:val="Underline"/>
        </w:rPr>
        <w:t>the State escalates its already established class, race, ethnic, and gender profiling instead of striking out in an unpredictable manner</w:t>
      </w:r>
      <w:r w:rsidRPr="00824C76">
        <w:rPr>
          <w:sz w:val="16"/>
          <w:szCs w:val="22"/>
        </w:rPr>
        <w:t xml:space="preserve">) </w:t>
      </w:r>
      <w:r w:rsidRPr="00824C76">
        <w:rPr>
          <w:rStyle w:val="Underline"/>
        </w:rPr>
        <w:t>are sobering.</w:t>
      </w:r>
      <w:r w:rsidRPr="00824C76">
        <w:rPr>
          <w:sz w:val="16"/>
          <w:szCs w:val="22"/>
        </w:rPr>
        <w:t xml:space="preserve"> If we convinced ourselves that vulnerability is equally distributed, we would implicitly reinforce our already excessive tendency toward bourgeois self-regard</w:t>
      </w:r>
      <w:proofErr w:type="gramStart"/>
      <w:r w:rsidRPr="00824C76">
        <w:rPr>
          <w:sz w:val="16"/>
          <w:szCs w:val="22"/>
        </w:rPr>
        <w:t>.[</w:t>
      </w:r>
      <w:proofErr w:type="gramEnd"/>
      <w:r w:rsidRPr="00824C76">
        <w:rPr>
          <w:sz w:val="16"/>
          <w:szCs w:val="22"/>
        </w:rPr>
        <w:t xml:space="preserve">27] We would also foreclose all radical attempts to hold the agents who actively participate in the establishment of eugenics policy, and those who benefit handsomely from its operation, collectively responsible.[28] </w:t>
      </w:r>
      <w:r w:rsidRPr="00824C76">
        <w:rPr>
          <w:rStyle w:val="Underline"/>
        </w:rPr>
        <w:t>Out of our bourgeois narcissism, we would refuse to face the Other and to receive the Other’s inscrutable and yet insistent demand</w:t>
      </w:r>
      <w:r w:rsidRPr="00824C76">
        <w:rPr>
          <w:sz w:val="16"/>
          <w:szCs w:val="22"/>
        </w:rPr>
        <w:t xml:space="preserve">.[29] Instead of facing the Other, </w:t>
      </w:r>
      <w:r w:rsidRPr="00824C76">
        <w:rPr>
          <w:rStyle w:val="Underline"/>
        </w:rPr>
        <w:t>we would merely fixate on THE IMAGE of the Other’s suffering.</w:t>
      </w:r>
      <w:r w:rsidRPr="00824C76">
        <w:rPr>
          <w:sz w:val="16"/>
          <w:szCs w:val="22"/>
        </w:rPr>
        <w:t xml:space="preserve"> We would derive compensation for our perceived vulnerability through our consumption of this image; </w:t>
      </w:r>
      <w:r w:rsidRPr="00824C76">
        <w:rPr>
          <w:rStyle w:val="Underline"/>
        </w:rPr>
        <w:t>it would become our fetish.</w:t>
      </w:r>
      <w:r w:rsidRPr="00824C76">
        <w:rPr>
          <w:sz w:val="16"/>
          <w:szCs w:val="22"/>
        </w:rPr>
        <w:t xml:space="preserve"> We would congratulate ourselves for having the fortitude to </w:t>
      </w:r>
      <w:proofErr w:type="spellStart"/>
      <w:r w:rsidRPr="00824C76">
        <w:rPr>
          <w:sz w:val="16"/>
          <w:szCs w:val="22"/>
        </w:rPr>
        <w:t>commodify</w:t>
      </w:r>
      <w:proofErr w:type="spellEnd"/>
      <w:r w:rsidRPr="00824C76">
        <w:rPr>
          <w:sz w:val="16"/>
          <w:szCs w:val="22"/>
        </w:rPr>
        <w:t xml:space="preserve"> suffering, and </w:t>
      </w:r>
      <w:r w:rsidRPr="00824C76">
        <w:rPr>
          <w:rStyle w:val="Underline"/>
        </w:rPr>
        <w:t>we would act as if we could exhaust our moral obligation by doing so.</w:t>
      </w:r>
      <w:r w:rsidRPr="00824C76">
        <w:rPr>
          <w:sz w:val="16"/>
          <w:szCs w:val="22"/>
        </w:rPr>
        <w:t xml:space="preserve"> Thus, </w:t>
      </w:r>
      <w:r w:rsidRPr="00824C76">
        <w:rPr>
          <w:rStyle w:val="Underline"/>
        </w:rPr>
        <w:t xml:space="preserve">we would forget that we had forgotten the </w:t>
      </w:r>
      <w:proofErr w:type="gramStart"/>
      <w:r w:rsidRPr="00824C76">
        <w:rPr>
          <w:rStyle w:val="Underline"/>
        </w:rPr>
        <w:t>Other</w:t>
      </w:r>
      <w:proofErr w:type="gramEnd"/>
      <w:r w:rsidRPr="00824C76">
        <w:rPr>
          <w:rStyle w:val="Underline"/>
        </w:rPr>
        <w:t xml:space="preserve"> and that we were keeping our backs turned against the Other’s face. Fetishism, however, is not solidarity.</w:t>
      </w:r>
    </w:p>
    <w:p w14:paraId="34AF51FD" w14:textId="77777777" w:rsidR="00824C76" w:rsidRDefault="00824C76" w:rsidP="002F40E6"/>
    <w:p w14:paraId="44E921D7" w14:textId="77777777" w:rsidR="00D73841" w:rsidRDefault="00D73841" w:rsidP="002F40E6"/>
    <w:p w14:paraId="3EC40128" w14:textId="77777777" w:rsidR="00D73841" w:rsidRDefault="00D73841" w:rsidP="00D73841">
      <w:pPr>
        <w:pStyle w:val="Heading2"/>
      </w:pPr>
      <w:r>
        <w:t xml:space="preserve">Feminist Judgment Writing </w:t>
      </w:r>
    </w:p>
    <w:p w14:paraId="006D4363" w14:textId="77777777" w:rsidR="00D73841" w:rsidRDefault="00D73841" w:rsidP="002F40E6"/>
    <w:p w14:paraId="7ABED6FF" w14:textId="77777777" w:rsidR="00D73841" w:rsidRPr="008C4A27" w:rsidRDefault="00D73841" w:rsidP="00D73841">
      <w:pPr>
        <w:pStyle w:val="Heading4"/>
        <w:rPr>
          <w:rFonts w:eastAsia="Times New Roman"/>
        </w:rPr>
      </w:pPr>
      <w:r w:rsidRPr="008C4A27">
        <w:rPr>
          <w:rFonts w:eastAsia="Times New Roman"/>
        </w:rPr>
        <w:t>Rewriting court decisions shifts the way cases are approached – feminist perspective is key</w:t>
      </w:r>
    </w:p>
    <w:p w14:paraId="064AF106" w14:textId="77777777" w:rsidR="00D73841" w:rsidRPr="0001586E" w:rsidRDefault="00D73841" w:rsidP="00D73841">
      <w:pPr>
        <w:rPr>
          <w:szCs w:val="16"/>
        </w:rPr>
      </w:pPr>
      <w:r w:rsidRPr="008C4A27">
        <w:rPr>
          <w:b/>
          <w:sz w:val="26"/>
          <w:szCs w:val="26"/>
        </w:rPr>
        <w:t xml:space="preserve">Hunter, </w:t>
      </w:r>
      <w:proofErr w:type="spellStart"/>
      <w:r w:rsidRPr="008C4A27">
        <w:rPr>
          <w:b/>
          <w:sz w:val="26"/>
          <w:szCs w:val="26"/>
        </w:rPr>
        <w:t>McGlynn</w:t>
      </w:r>
      <w:proofErr w:type="spellEnd"/>
      <w:r w:rsidRPr="008C4A27">
        <w:rPr>
          <w:b/>
          <w:sz w:val="26"/>
          <w:szCs w:val="26"/>
        </w:rPr>
        <w:t xml:space="preserve">, and </w:t>
      </w:r>
      <w:proofErr w:type="spellStart"/>
      <w:r w:rsidRPr="008C4A27">
        <w:rPr>
          <w:b/>
          <w:sz w:val="26"/>
          <w:szCs w:val="26"/>
        </w:rPr>
        <w:t>Rackley</w:t>
      </w:r>
      <w:proofErr w:type="spellEnd"/>
      <w:r w:rsidRPr="008C4A27">
        <w:rPr>
          <w:b/>
          <w:sz w:val="26"/>
          <w:szCs w:val="26"/>
        </w:rPr>
        <w:t xml:space="preserve"> 10</w:t>
      </w:r>
      <w:r w:rsidRPr="0001586E">
        <w:rPr>
          <w:b/>
        </w:rPr>
        <w:t xml:space="preserve"> – </w:t>
      </w:r>
      <w:r w:rsidRPr="0001586E">
        <w:rPr>
          <w:szCs w:val="16"/>
        </w:rPr>
        <w:t>Rosemary Hunter is Professor of Law and Socio-Legal Studies</w:t>
      </w:r>
      <w:proofErr w:type="gramStart"/>
      <w:r w:rsidRPr="0001586E">
        <w:rPr>
          <w:szCs w:val="16"/>
        </w:rPr>
        <w:t>,  a</w:t>
      </w:r>
      <w:proofErr w:type="gramEnd"/>
      <w:r w:rsidRPr="0001586E">
        <w:rPr>
          <w:szCs w:val="16"/>
        </w:rPr>
        <w:t xml:space="preserve"> Fellow of the Academy of Social Sciences, and the Chair of the Socio-Legal Studies Association. Clare </w:t>
      </w:r>
      <w:proofErr w:type="spellStart"/>
      <w:r w:rsidRPr="0001586E">
        <w:rPr>
          <w:szCs w:val="16"/>
        </w:rPr>
        <w:t>McGlynn</w:t>
      </w:r>
      <w:proofErr w:type="spellEnd"/>
      <w:r w:rsidRPr="0001586E">
        <w:rPr>
          <w:szCs w:val="16"/>
        </w:rPr>
        <w:t xml:space="preserve"> is a Professor of Law with particular expertise in the legal regulation of rape law and gender equality in the legal profession. Erika </w:t>
      </w:r>
      <w:proofErr w:type="spellStart"/>
      <w:r w:rsidRPr="0001586E">
        <w:rPr>
          <w:szCs w:val="16"/>
        </w:rPr>
        <w:t>Rackley</w:t>
      </w:r>
      <w:proofErr w:type="spellEnd"/>
      <w:r w:rsidRPr="0001586E">
        <w:rPr>
          <w:szCs w:val="16"/>
        </w:rPr>
        <w:t xml:space="preserve"> is another professor of law who specializes in gender </w:t>
      </w:r>
      <w:proofErr w:type="spellStart"/>
      <w:r w:rsidRPr="0001586E">
        <w:rPr>
          <w:szCs w:val="16"/>
        </w:rPr>
        <w:t>equaliity</w:t>
      </w:r>
      <w:proofErr w:type="spellEnd"/>
      <w:r w:rsidRPr="0001586E">
        <w:rPr>
          <w:szCs w:val="16"/>
        </w:rPr>
        <w:t xml:space="preserve"> (“Feminist judgments: from theory to practice,” 2010, http://www.lawcourts.org/LPBR/reviews/hunter-mcglynn-rackley1211.htm)//EM</w:t>
      </w:r>
    </w:p>
    <w:p w14:paraId="040D1FEA" w14:textId="77777777" w:rsidR="00D73841" w:rsidRPr="0001586E" w:rsidRDefault="00D73841" w:rsidP="00D73841">
      <w:pPr>
        <w:spacing w:after="200" w:line="270" w:lineRule="atLeast"/>
        <w:rPr>
          <w:rFonts w:eastAsia="Times New Roman" w:cs="Times New Roman"/>
          <w:color w:val="000000"/>
          <w:u w:val="single"/>
        </w:rPr>
      </w:pPr>
      <w:r w:rsidRPr="008C4A27">
        <w:rPr>
          <w:rFonts w:eastAsia="Times New Roman" w:cs="Times New Roman"/>
          <w:color w:val="000000"/>
          <w:sz w:val="22"/>
          <w:szCs w:val="22"/>
          <w:u w:val="single"/>
        </w:rPr>
        <w:t>Feminist Judgments is a work that strives to move from "theory to practice."  Feminist legal scholars</w:t>
      </w:r>
      <w:r w:rsidRPr="00D73841">
        <w:rPr>
          <w:rFonts w:eastAsia="Times New Roman" w:cs="Times New Roman"/>
          <w:color w:val="000000"/>
          <w:sz w:val="16"/>
        </w:rPr>
        <w:t>, and a judge or two</w:t>
      </w:r>
      <w:r w:rsidRPr="008C4A27">
        <w:rPr>
          <w:rFonts w:eastAsia="Times New Roman" w:cs="Times New Roman"/>
          <w:color w:val="000000"/>
          <w:sz w:val="22"/>
          <w:szCs w:val="22"/>
          <w:u w:val="single"/>
        </w:rPr>
        <w:t>, analyze decided cases, writing opinions from a feminist perspective</w:t>
      </w:r>
      <w:r w:rsidRPr="0001586E">
        <w:rPr>
          <w:rFonts w:eastAsia="Times New Roman" w:cs="Times New Roman"/>
          <w:color w:val="000000"/>
          <w:u w:val="single"/>
        </w:rPr>
        <w:t xml:space="preserve"> </w:t>
      </w:r>
      <w:r w:rsidRPr="00D73841">
        <w:rPr>
          <w:rFonts w:eastAsia="Times New Roman" w:cs="Times New Roman"/>
          <w:color w:val="000000"/>
          <w:sz w:val="16"/>
        </w:rPr>
        <w:t>to show what feminist theory would look like if practiced in courts.</w:t>
      </w:r>
      <w:r w:rsidRPr="0001586E">
        <w:rPr>
          <w:rFonts w:eastAsia="Times New Roman" w:cs="Times New Roman"/>
          <w:color w:val="000000"/>
          <w:u w:val="single"/>
        </w:rPr>
        <w:t> </w:t>
      </w:r>
      <w:r w:rsidRPr="008C4A27">
        <w:rPr>
          <w:rFonts w:eastAsia="Times New Roman" w:cs="Times New Roman"/>
          <w:color w:val="000000"/>
          <w:sz w:val="22"/>
          <w:szCs w:val="22"/>
          <w:u w:val="single"/>
        </w:rPr>
        <w:t>Not surprisingly it puts forth alternative legal conclusions and rulings that many in the world of law would consider radical.</w:t>
      </w:r>
      <w:r w:rsidRPr="0001586E">
        <w:rPr>
          <w:rFonts w:eastAsia="Times New Roman" w:cs="Times New Roman"/>
          <w:color w:val="000000"/>
          <w:u w:val="single"/>
        </w:rPr>
        <w:t xml:space="preserve"> </w:t>
      </w:r>
      <w:r w:rsidRPr="00D73841">
        <w:rPr>
          <w:rFonts w:eastAsia="Times New Roman" w:cs="Times New Roman"/>
          <w:color w:val="000000"/>
          <w:sz w:val="16"/>
        </w:rPr>
        <w:t xml:space="preserve">The whole notion of moving from “theory to practice” describes the book’s focus. It serves as a guide for judges to properly carry out rulings that are more consistent with feminism as the scholars involved with the Project re-write the rulings that would be more consistent with their aims. Part I provides readers with an introduction to the Feminist Judgments Project which analyzes the relevant cases from the: United Kingdom; Australia; Canada; South Africa; United States; European Court of Human Rights and European Commission of Human Rights; European Court of Justice; and the International Court of Justice. There is a comprehensive table of statutes and details about </w:t>
      </w:r>
      <w:proofErr w:type="gramStart"/>
      <w:r w:rsidRPr="00D73841">
        <w:rPr>
          <w:rFonts w:eastAsia="Times New Roman" w:cs="Times New Roman"/>
          <w:color w:val="000000"/>
          <w:sz w:val="16"/>
        </w:rPr>
        <w:t>legislation which</w:t>
      </w:r>
      <w:proofErr w:type="gramEnd"/>
      <w:r w:rsidRPr="00D73841">
        <w:rPr>
          <w:rFonts w:eastAsia="Times New Roman" w:cs="Times New Roman"/>
          <w:color w:val="000000"/>
          <w:sz w:val="16"/>
        </w:rPr>
        <w:t xml:space="preserve"> directly corresponds with the cases studied</w:t>
      </w:r>
      <w:r w:rsidRPr="00D73841">
        <w:rPr>
          <w:rFonts w:eastAsia="Times New Roman" w:cs="Times New Roman"/>
          <w:color w:val="000000"/>
          <w:sz w:val="16"/>
          <w:szCs w:val="22"/>
        </w:rPr>
        <w:t xml:space="preserve">. </w:t>
      </w:r>
      <w:r w:rsidRPr="008C4A27">
        <w:rPr>
          <w:rFonts w:eastAsia="Times New Roman" w:cs="Times New Roman"/>
          <w:color w:val="000000"/>
          <w:sz w:val="22"/>
          <w:szCs w:val="22"/>
          <w:u w:val="single"/>
        </w:rPr>
        <w:t>The title suggests that feminist judges are called on to do even more in order to advance their respective causes, and others are called on to expand their thinking about the possibilities of law</w:t>
      </w:r>
      <w:r w:rsidRPr="00D73841">
        <w:rPr>
          <w:rFonts w:eastAsia="Times New Roman" w:cs="Times New Roman"/>
          <w:color w:val="000000"/>
          <w:sz w:val="16"/>
        </w:rPr>
        <w:t>. In the introduction, the legal scholars write, “</w:t>
      </w:r>
      <w:r w:rsidRPr="008C4A27">
        <w:rPr>
          <w:rFonts w:eastAsia="Times New Roman" w:cs="Times New Roman"/>
          <w:color w:val="000000"/>
          <w:sz w:val="22"/>
          <w:szCs w:val="22"/>
          <w:u w:val="single"/>
        </w:rPr>
        <w:t>the central issue debated in the literature is the extent to which judges ‘make’ as opposed to ‘find’ the law and what resources they draw upon, or ought to draw upon, in so doing</w:t>
      </w:r>
      <w:r w:rsidRPr="00D73841">
        <w:rPr>
          <w:rFonts w:eastAsia="Times New Roman" w:cs="Times New Roman"/>
          <w:color w:val="000000"/>
          <w:sz w:val="16"/>
        </w:rPr>
        <w:t xml:space="preserve">” (p.5). </w:t>
      </w:r>
      <w:r w:rsidRPr="008C4A27">
        <w:rPr>
          <w:rFonts w:eastAsia="Times New Roman" w:cs="Times New Roman"/>
          <w:color w:val="000000"/>
          <w:sz w:val="22"/>
          <w:szCs w:val="22"/>
          <w:u w:val="single"/>
        </w:rPr>
        <w:t>The English court cases that are featured are directly relevant to their goals</w:t>
      </w:r>
      <w:r w:rsidRPr="00D73841">
        <w:rPr>
          <w:rFonts w:eastAsia="Times New Roman" w:cs="Times New Roman"/>
          <w:color w:val="000000"/>
          <w:sz w:val="16"/>
        </w:rPr>
        <w:t xml:space="preserve">, and their theoretical revisionist rulings would make for interesting case law in practice anywhere in the world. On the one hand, </w:t>
      </w:r>
      <w:r w:rsidRPr="008C4A27">
        <w:rPr>
          <w:rFonts w:eastAsia="Times New Roman" w:cs="Times New Roman"/>
          <w:color w:val="000000"/>
          <w:sz w:val="22"/>
          <w:szCs w:val="22"/>
          <w:u w:val="single"/>
        </w:rPr>
        <w:t>feminist scholars have argued that women enhance professional roles as they seek to make more interpersonal connections through collaborative effort</w:t>
      </w:r>
      <w:r w:rsidRPr="0001586E">
        <w:rPr>
          <w:rFonts w:eastAsia="Times New Roman" w:cs="Times New Roman"/>
          <w:color w:val="000000"/>
          <w:u w:val="single"/>
        </w:rPr>
        <w:t>s</w:t>
      </w:r>
      <w:r w:rsidRPr="00D73841">
        <w:rPr>
          <w:rFonts w:eastAsia="Times New Roman" w:cs="Times New Roman"/>
          <w:color w:val="000000"/>
          <w:sz w:val="16"/>
        </w:rPr>
        <w:t xml:space="preserve"> (Gilligan, 1982). On the other hand, </w:t>
      </w:r>
      <w:r w:rsidRPr="008C4A27">
        <w:rPr>
          <w:rFonts w:eastAsia="Times New Roman" w:cs="Times New Roman"/>
          <w:color w:val="000000"/>
          <w:sz w:val="22"/>
          <w:szCs w:val="22"/>
          <w:u w:val="single"/>
        </w:rPr>
        <w:t>other feminists</w:t>
      </w:r>
      <w:r w:rsidRPr="00D73841">
        <w:rPr>
          <w:rFonts w:eastAsia="Times New Roman" w:cs="Times New Roman"/>
          <w:color w:val="000000"/>
          <w:sz w:val="16"/>
        </w:rPr>
        <w:t xml:space="preserve"> have advised that the subordination of any woman should be of primary concern to all women (MacKinnon, 1985). This book </w:t>
      </w:r>
      <w:r w:rsidRPr="008C4A27">
        <w:rPr>
          <w:rFonts w:eastAsia="Times New Roman" w:cs="Times New Roman"/>
          <w:color w:val="000000"/>
          <w:sz w:val="22"/>
          <w:szCs w:val="22"/>
          <w:u w:val="single"/>
        </w:rPr>
        <w:t>call</w:t>
      </w:r>
      <w:r w:rsidRPr="00D73841">
        <w:rPr>
          <w:rFonts w:eastAsia="Times New Roman" w:cs="Times New Roman"/>
          <w:color w:val="000000"/>
          <w:sz w:val="16"/>
          <w:szCs w:val="22"/>
        </w:rPr>
        <w:t>s</w:t>
      </w:r>
      <w:r w:rsidRPr="008C4A27">
        <w:rPr>
          <w:rFonts w:eastAsia="Times New Roman" w:cs="Times New Roman"/>
          <w:color w:val="000000"/>
          <w:sz w:val="22"/>
          <w:szCs w:val="22"/>
          <w:u w:val="single"/>
        </w:rPr>
        <w:t xml:space="preserve"> for judicial activism and seeks the activist judge to act alone in convincing other judges of a specific viewpoint in order to reach a majority in the particular decision. The cases are prominently featured within the chapters that are organized and well developed by topic and area of law</w:t>
      </w:r>
      <w:r w:rsidRPr="00D73841">
        <w:rPr>
          <w:rFonts w:eastAsia="Times New Roman" w:cs="Times New Roman"/>
          <w:color w:val="000000"/>
          <w:sz w:val="16"/>
        </w:rPr>
        <w:t xml:space="preserve">: parenting; property and markets; criminal law and evidence; public law and equality. </w:t>
      </w:r>
      <w:r w:rsidRPr="008C4A27">
        <w:rPr>
          <w:rFonts w:eastAsia="Times New Roman" w:cs="Times New Roman"/>
          <w:color w:val="000000"/>
          <w:sz w:val="22"/>
          <w:szCs w:val="22"/>
          <w:u w:val="single"/>
        </w:rPr>
        <w:t xml:space="preserve">In nearly </w:t>
      </w:r>
      <w:proofErr w:type="gramStart"/>
      <w:r w:rsidRPr="008C4A27">
        <w:rPr>
          <w:rFonts w:eastAsia="Times New Roman" w:cs="Times New Roman"/>
          <w:color w:val="000000"/>
          <w:sz w:val="22"/>
          <w:szCs w:val="22"/>
          <w:u w:val="single"/>
        </w:rPr>
        <w:t>two dozen</w:t>
      </w:r>
      <w:proofErr w:type="gramEnd"/>
      <w:r w:rsidRPr="008C4A27">
        <w:rPr>
          <w:rFonts w:eastAsia="Times New Roman" w:cs="Times New Roman"/>
          <w:color w:val="000000"/>
          <w:sz w:val="22"/>
          <w:szCs w:val="22"/>
          <w:u w:val="single"/>
        </w:rPr>
        <w:t xml:space="preserve"> opinions, some written as concurring or dissenting opinions and some as fictitious appeals, illustrate alternative paths of the law</w:t>
      </w:r>
      <w:r w:rsidRPr="00D73841">
        <w:rPr>
          <w:rFonts w:eastAsia="Times New Roman" w:cs="Times New Roman"/>
          <w:color w:val="000000"/>
          <w:sz w:val="16"/>
        </w:rPr>
        <w:t xml:space="preserve">. [*716] In the introduction, the editors introduce </w:t>
      </w:r>
      <w:r w:rsidRPr="008C4A27">
        <w:rPr>
          <w:rFonts w:eastAsia="Times New Roman" w:cs="Times New Roman"/>
          <w:color w:val="000000"/>
          <w:sz w:val="22"/>
          <w:szCs w:val="22"/>
          <w:u w:val="single"/>
        </w:rPr>
        <w:t>the Feminist Judgments Project</w:t>
      </w:r>
      <w:r w:rsidRPr="0001586E">
        <w:rPr>
          <w:rFonts w:eastAsia="Times New Roman" w:cs="Times New Roman"/>
          <w:color w:val="000000"/>
          <w:u w:val="single"/>
        </w:rPr>
        <w:t>,</w:t>
      </w:r>
      <w:r w:rsidRPr="00D73841">
        <w:rPr>
          <w:rFonts w:eastAsia="Times New Roman" w:cs="Times New Roman"/>
          <w:color w:val="000000"/>
          <w:sz w:val="16"/>
        </w:rPr>
        <w:t xml:space="preserve"> which </w:t>
      </w:r>
      <w:r w:rsidRPr="008C4A27">
        <w:rPr>
          <w:rFonts w:eastAsia="Times New Roman" w:cs="Times New Roman"/>
          <w:color w:val="000000"/>
          <w:sz w:val="22"/>
          <w:szCs w:val="22"/>
          <w:u w:val="single"/>
        </w:rPr>
        <w:t>is made up of a collective of scholars that share a common mission embodied in the following: “impatient with the glacial progress made to date in appointing women to the judiciary, and skeptical of the capacity of the conservative efforts put in place to address women’s under-representation to achieve much more than tokenistic change, we decided, quite literally to take the law into our own hands</w:t>
      </w:r>
      <w:r w:rsidRPr="00D73841">
        <w:rPr>
          <w:rFonts w:eastAsia="Times New Roman" w:cs="Times New Roman"/>
          <w:color w:val="000000"/>
          <w:sz w:val="16"/>
        </w:rPr>
        <w:t xml:space="preserve">” (p.8). Clearly, </w:t>
      </w:r>
      <w:r w:rsidRPr="008C4A27">
        <w:rPr>
          <w:rFonts w:eastAsia="Times New Roman" w:cs="Times New Roman"/>
          <w:color w:val="000000"/>
          <w:sz w:val="22"/>
          <w:szCs w:val="22"/>
          <w:u w:val="single"/>
        </w:rPr>
        <w:t>this book serves as an urgent call for changes in the law</w:t>
      </w:r>
      <w:r w:rsidRPr="00D73841">
        <w:rPr>
          <w:rFonts w:eastAsia="Times New Roman" w:cs="Times New Roman"/>
          <w:color w:val="000000"/>
          <w:sz w:val="16"/>
        </w:rPr>
        <w:t xml:space="preserve">; it asks these feminist judges to evaluate their own performances and to ascertain what more they can do to join them in solidarity, adhering to their mantra to “change the law and not turn our backs on it” (p.8). The forward, written by Baroness Hale of Richmond, represents one particular feminist Judge who answered their call and has been awakened to new possibilities as a result of this book. Lady Hale, an unconventional trailblazer, is the first and most senior female judge in the United Kingdom and many of her cases are featured throughout this book directly and indirectly scrutinized. </w:t>
      </w:r>
      <w:r w:rsidRPr="008C4A27">
        <w:rPr>
          <w:rFonts w:eastAsia="Times New Roman" w:cs="Times New Roman"/>
          <w:color w:val="000000"/>
          <w:sz w:val="22"/>
          <w:szCs w:val="22"/>
          <w:u w:val="single"/>
        </w:rPr>
        <w:t>The book tacitly seems to suggest additional advice for Lady Hale, and others, to pursue alternative courses of action in future cases.  It is also posited here that women in positions of power and influence should use that prestige to consider a woman’s particular circumstances and to go to extremes to help other women</w:t>
      </w:r>
      <w:r w:rsidRPr="0001586E">
        <w:rPr>
          <w:rFonts w:eastAsia="Times New Roman" w:cs="Times New Roman"/>
          <w:color w:val="000000"/>
          <w:u w:val="single"/>
        </w:rPr>
        <w:t>.</w:t>
      </w:r>
      <w:r w:rsidRPr="00D73841">
        <w:rPr>
          <w:rFonts w:eastAsia="Times New Roman" w:cs="Times New Roman"/>
          <w:color w:val="000000"/>
          <w:sz w:val="16"/>
        </w:rPr>
        <w:t xml:space="preserve"> What the scholars may take for granted is that there is only so much help that the feminist judge may render. In fact, most training programs (approved by feminist organizations) strive for female judges to work solely toward ensuring that vulnerable female witnesses are treated ethically (Rhode, 1994). In the introduction, Hunter, </w:t>
      </w:r>
      <w:proofErr w:type="spellStart"/>
      <w:r w:rsidRPr="00D73841">
        <w:rPr>
          <w:rFonts w:eastAsia="Times New Roman" w:cs="Times New Roman"/>
          <w:color w:val="000000"/>
          <w:sz w:val="16"/>
        </w:rPr>
        <w:t>McGlynn</w:t>
      </w:r>
      <w:proofErr w:type="spellEnd"/>
      <w:r w:rsidRPr="00D73841">
        <w:rPr>
          <w:rFonts w:eastAsia="Times New Roman" w:cs="Times New Roman"/>
          <w:color w:val="000000"/>
          <w:sz w:val="16"/>
        </w:rPr>
        <w:t xml:space="preserve">, and </w:t>
      </w:r>
      <w:proofErr w:type="spellStart"/>
      <w:r w:rsidRPr="00D73841">
        <w:rPr>
          <w:rFonts w:eastAsia="Times New Roman" w:cs="Times New Roman"/>
          <w:color w:val="000000"/>
          <w:sz w:val="16"/>
        </w:rPr>
        <w:t>Rackley</w:t>
      </w:r>
      <w:proofErr w:type="spellEnd"/>
      <w:r w:rsidRPr="00D73841">
        <w:rPr>
          <w:rFonts w:eastAsia="Times New Roman" w:cs="Times New Roman"/>
          <w:color w:val="000000"/>
          <w:sz w:val="16"/>
        </w:rPr>
        <w:t xml:space="preserve"> muse</w:t>
      </w:r>
      <w:r w:rsidRPr="00D73841">
        <w:rPr>
          <w:rFonts w:eastAsia="Times New Roman" w:cs="Times New Roman"/>
          <w:color w:val="000000"/>
          <w:sz w:val="16"/>
          <w:szCs w:val="22"/>
        </w:rPr>
        <w:t xml:space="preserve">, </w:t>
      </w:r>
      <w:r w:rsidRPr="00D73841">
        <w:rPr>
          <w:sz w:val="16"/>
        </w:rPr>
        <w:t>“we want to tackle law’s understanding of rape directly, so that when a woman says, ‘I was raped,’ the law says, ‘I believe you’”</w:t>
      </w:r>
      <w:r w:rsidRPr="00D73841">
        <w:rPr>
          <w:rFonts w:eastAsia="Times New Roman" w:cs="Times New Roman"/>
          <w:color w:val="000000"/>
          <w:sz w:val="16"/>
          <w:szCs w:val="22"/>
        </w:rPr>
        <w:t xml:space="preserve"> (p. 9).    The </w:t>
      </w:r>
      <w:r w:rsidRPr="008C4A27">
        <w:rPr>
          <w:rFonts w:eastAsia="Times New Roman" w:cs="Times New Roman"/>
          <w:color w:val="000000"/>
          <w:sz w:val="22"/>
          <w:szCs w:val="22"/>
          <w:u w:val="single"/>
        </w:rPr>
        <w:t>most important dimension of this work is that it depicts how the law has traditionally protected and even favored male rights. In short, we learn that a feminist judge should target specific facts (consistent with feminist principles) within a case and place more emphasis on those facts</w:t>
      </w:r>
      <w:r w:rsidRPr="0001586E">
        <w:rPr>
          <w:rFonts w:eastAsia="Times New Roman" w:cs="Times New Roman"/>
          <w:color w:val="000000"/>
          <w:u w:val="single"/>
        </w:rPr>
        <w:t>.</w:t>
      </w:r>
      <w:r w:rsidRPr="00D73841">
        <w:rPr>
          <w:rFonts w:eastAsia="Times New Roman" w:cs="Times New Roman"/>
          <w:color w:val="000000"/>
          <w:sz w:val="16"/>
        </w:rPr>
        <w:t xml:space="preserve"> In this manner, we see how feminist judges think differently and may achieve </w:t>
      </w:r>
      <w:proofErr w:type="gramStart"/>
      <w:r w:rsidRPr="00D73841">
        <w:rPr>
          <w:rFonts w:eastAsia="Times New Roman" w:cs="Times New Roman"/>
          <w:color w:val="000000"/>
          <w:sz w:val="16"/>
        </w:rPr>
        <w:t>their</w:t>
      </w:r>
      <w:proofErr w:type="gramEnd"/>
      <w:r w:rsidRPr="00D73841">
        <w:rPr>
          <w:rFonts w:eastAsia="Times New Roman" w:cs="Times New Roman"/>
          <w:color w:val="000000"/>
          <w:sz w:val="16"/>
        </w:rPr>
        <w:t xml:space="preserve"> own professional ends in a manner that is likely distinct from other judges. In doing so, the contributors have authored revised legal opinions that do not always consider that judges often work collegially, and have to build a consensus.</w:t>
      </w:r>
    </w:p>
    <w:p w14:paraId="068E1859" w14:textId="77777777" w:rsidR="00D73841" w:rsidRPr="006F2D3D" w:rsidRDefault="00D73841" w:rsidP="002F40E6"/>
    <w:sectPr w:rsidR="00D73841" w:rsidRPr="006F2D3D" w:rsidSect="00D362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00002A87" w:usb1="80000000" w:usb2="00000008"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2A87" w:usb1="80000000" w:usb2="00000008"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C76"/>
    <w:rsid w:val="001408C0"/>
    <w:rsid w:val="002B6353"/>
    <w:rsid w:val="002B68C8"/>
    <w:rsid w:val="002F40E6"/>
    <w:rsid w:val="0042635A"/>
    <w:rsid w:val="00517479"/>
    <w:rsid w:val="005E2C99"/>
    <w:rsid w:val="00692C26"/>
    <w:rsid w:val="006F2D3D"/>
    <w:rsid w:val="00700835"/>
    <w:rsid w:val="007D7924"/>
    <w:rsid w:val="00824C76"/>
    <w:rsid w:val="0091595A"/>
    <w:rsid w:val="009829F2"/>
    <w:rsid w:val="009C198B"/>
    <w:rsid w:val="00A074CB"/>
    <w:rsid w:val="00A369C4"/>
    <w:rsid w:val="00A47986"/>
    <w:rsid w:val="00B65E97"/>
    <w:rsid w:val="00CD2C6D"/>
    <w:rsid w:val="00D36252"/>
    <w:rsid w:val="00D4330B"/>
    <w:rsid w:val="00D73841"/>
    <w:rsid w:val="00DA2E40"/>
    <w:rsid w:val="00DE627C"/>
    <w:rsid w:val="00F077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4460AA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2"/>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C198B"/>
    <w:rPr>
      <w:rFonts w:asciiTheme="majorHAnsi" w:eastAsiaTheme="majorEastAsia" w:hAnsiTheme="majorHAnsi" w:cstheme="majorBidi"/>
      <w:b/>
      <w:bCs/>
      <w:iCs/>
      <w:sz w:val="26"/>
    </w:rPr>
  </w:style>
  <w:style w:type="paragraph" w:styleId="NoSpacing">
    <w:name w:val="No Spacing"/>
    <w:uiPriority w:val="1"/>
    <w:qFormat/>
    <w:rsid w:val="009C198B"/>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9C198B"/>
    <w:rPr>
      <w:b/>
    </w:rPr>
  </w:style>
  <w:style w:type="character" w:customStyle="1" w:styleId="Underline">
    <w:name w:val="Underline"/>
    <w:aliases w:val="Style Underline,ci,c,Intense Emphasis3,Bo,9.5 pt,Intense Emphasis111,Intense Emphasis1111,Intense Emphasis11111,Intense Emphasis4,Intense Emphasis1,apple-style-span + 6 pt,Bold,Kern at 16 pt,Intense Emphasis11,Style,B,Style Bold Underline"/>
    <w:basedOn w:val="DefaultParagraphFont"/>
    <w:uiPriority w:val="1"/>
    <w:qFormat/>
    <w:rsid w:val="00F07768"/>
    <w:rPr>
      <w:rFonts w:asciiTheme="majorHAnsi" w:hAnsiTheme="majorHAnsi"/>
      <w:b w:val="0"/>
      <w:sz w:val="22"/>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CommentReference">
    <w:name w:val="annotation reference"/>
    <w:basedOn w:val="DefaultParagraphFont"/>
    <w:uiPriority w:val="99"/>
    <w:semiHidden/>
    <w:unhideWhenUsed/>
    <w:rsid w:val="00824C76"/>
    <w:rPr>
      <w:sz w:val="18"/>
      <w:szCs w:val="18"/>
    </w:rPr>
  </w:style>
  <w:style w:type="paragraph" w:styleId="CommentText">
    <w:name w:val="annotation text"/>
    <w:basedOn w:val="Normal"/>
    <w:link w:val="CommentTextChar"/>
    <w:uiPriority w:val="99"/>
    <w:semiHidden/>
    <w:unhideWhenUsed/>
    <w:rsid w:val="00824C76"/>
    <w:pPr>
      <w:spacing w:after="160"/>
    </w:pPr>
    <w:rPr>
      <w:rFonts w:ascii="Calibri" w:hAnsi="Calibri"/>
    </w:rPr>
  </w:style>
  <w:style w:type="character" w:customStyle="1" w:styleId="CommentTextChar">
    <w:name w:val="Comment Text Char"/>
    <w:basedOn w:val="DefaultParagraphFont"/>
    <w:link w:val="CommentText"/>
    <w:uiPriority w:val="99"/>
    <w:semiHidden/>
    <w:rsid w:val="00824C76"/>
    <w:rPr>
      <w:rFonts w:ascii="Calibri" w:hAnsi="Calibri"/>
    </w:rPr>
  </w:style>
  <w:style w:type="paragraph" w:styleId="BalloonText">
    <w:name w:val="Balloon Text"/>
    <w:basedOn w:val="Normal"/>
    <w:link w:val="BalloonTextChar"/>
    <w:uiPriority w:val="99"/>
    <w:semiHidden/>
    <w:unhideWhenUsed/>
    <w:rsid w:val="00824C7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24C76"/>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2"/>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C198B"/>
    <w:rPr>
      <w:rFonts w:asciiTheme="majorHAnsi" w:eastAsiaTheme="majorEastAsia" w:hAnsiTheme="majorHAnsi" w:cstheme="majorBidi"/>
      <w:b/>
      <w:bCs/>
      <w:iCs/>
      <w:sz w:val="26"/>
    </w:rPr>
  </w:style>
  <w:style w:type="paragraph" w:styleId="NoSpacing">
    <w:name w:val="No Spacing"/>
    <w:uiPriority w:val="1"/>
    <w:qFormat/>
    <w:rsid w:val="009C198B"/>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9C198B"/>
    <w:rPr>
      <w:b/>
    </w:rPr>
  </w:style>
  <w:style w:type="character" w:customStyle="1" w:styleId="Underline">
    <w:name w:val="Underline"/>
    <w:aliases w:val="Style Underline,ci,c,Intense Emphasis3,Bo,9.5 pt,Intense Emphasis111,Intense Emphasis1111,Intense Emphasis11111,Intense Emphasis4,Intense Emphasis1,apple-style-span + 6 pt,Bold,Kern at 16 pt,Intense Emphasis11,Style,B,Style Bold Underline"/>
    <w:basedOn w:val="DefaultParagraphFont"/>
    <w:uiPriority w:val="1"/>
    <w:qFormat/>
    <w:rsid w:val="00F07768"/>
    <w:rPr>
      <w:rFonts w:asciiTheme="majorHAnsi" w:hAnsiTheme="majorHAnsi"/>
      <w:b w:val="0"/>
      <w:sz w:val="22"/>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styleId="CommentReference">
    <w:name w:val="annotation reference"/>
    <w:basedOn w:val="DefaultParagraphFont"/>
    <w:uiPriority w:val="99"/>
    <w:semiHidden/>
    <w:unhideWhenUsed/>
    <w:rsid w:val="00824C76"/>
    <w:rPr>
      <w:sz w:val="18"/>
      <w:szCs w:val="18"/>
    </w:rPr>
  </w:style>
  <w:style w:type="paragraph" w:styleId="CommentText">
    <w:name w:val="annotation text"/>
    <w:basedOn w:val="Normal"/>
    <w:link w:val="CommentTextChar"/>
    <w:uiPriority w:val="99"/>
    <w:semiHidden/>
    <w:unhideWhenUsed/>
    <w:rsid w:val="00824C76"/>
    <w:pPr>
      <w:spacing w:after="160"/>
    </w:pPr>
    <w:rPr>
      <w:rFonts w:ascii="Calibri" w:hAnsi="Calibri"/>
    </w:rPr>
  </w:style>
  <w:style w:type="character" w:customStyle="1" w:styleId="CommentTextChar">
    <w:name w:val="Comment Text Char"/>
    <w:basedOn w:val="DefaultParagraphFont"/>
    <w:link w:val="CommentText"/>
    <w:uiPriority w:val="99"/>
    <w:semiHidden/>
    <w:rsid w:val="00824C76"/>
    <w:rPr>
      <w:rFonts w:ascii="Calibri" w:hAnsi="Calibri"/>
    </w:rPr>
  </w:style>
  <w:style w:type="paragraph" w:styleId="BalloonText">
    <w:name w:val="Balloon Text"/>
    <w:basedOn w:val="Normal"/>
    <w:link w:val="BalloonTextChar"/>
    <w:uiPriority w:val="99"/>
    <w:semiHidden/>
    <w:unhideWhenUsed/>
    <w:rsid w:val="00824C7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24C76"/>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Peeg: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12</TotalTime>
  <Pages>5</Pages>
  <Words>1549</Words>
  <Characters>8830</Characters>
  <Application>Microsoft Macintosh Word</Application>
  <DocSecurity>0</DocSecurity>
  <Lines>73</Lines>
  <Paragraphs>20</Paragraphs>
  <ScaleCrop>false</ScaleCrop>
  <Company>Whitman College</Company>
  <LinksUpToDate>false</LinksUpToDate>
  <CharactersWithSpaces>10359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Tallungan</dc:creator>
  <cp:keywords/>
  <dc:description/>
  <cp:lastModifiedBy>Christina Tallungan</cp:lastModifiedBy>
  <cp:revision>2</cp:revision>
  <dcterms:created xsi:type="dcterms:W3CDTF">2015-07-21T23:10:00Z</dcterms:created>
  <dcterms:modified xsi:type="dcterms:W3CDTF">2015-07-22T04:45:00Z</dcterms:modified>
</cp:coreProperties>
</file>