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8A034" w14:textId="77777777" w:rsidR="00155956" w:rsidRDefault="00155956" w:rsidP="00E34568">
      <w:pPr>
        <w:pStyle w:val="Heading4"/>
      </w:pPr>
    </w:p>
    <w:p w14:paraId="20C6D272" w14:textId="77777777" w:rsidR="00642868" w:rsidRDefault="00642868" w:rsidP="00642868">
      <w:pPr>
        <w:pStyle w:val="Heading2"/>
      </w:pPr>
      <w:r>
        <w:lastRenderedPageBreak/>
        <w:t>TOPICALITY</w:t>
      </w:r>
    </w:p>
    <w:p w14:paraId="068413F1" w14:textId="77777777" w:rsidR="00642868" w:rsidRDefault="00642868" w:rsidP="00E34568">
      <w:pPr>
        <w:pStyle w:val="Heading4"/>
      </w:pPr>
    </w:p>
    <w:p w14:paraId="13FDC4B1" w14:textId="77777777" w:rsidR="00E34568" w:rsidRPr="00132DAF" w:rsidRDefault="00155956" w:rsidP="00E34568">
      <w:pPr>
        <w:pStyle w:val="Heading4"/>
      </w:pPr>
      <w:r>
        <w:t xml:space="preserve">A </w:t>
      </w:r>
      <w:r w:rsidR="00E34568" w:rsidRPr="00132DAF">
        <w:t>Government surveillance involves direct government action</w:t>
      </w:r>
    </w:p>
    <w:p w14:paraId="096F805D" w14:textId="77777777" w:rsidR="00E34568" w:rsidRPr="00132DAF" w:rsidRDefault="00E34568" w:rsidP="00E34568">
      <w:pPr>
        <w:pStyle w:val="CardIndented"/>
        <w:ind w:left="0"/>
      </w:pPr>
      <w:r w:rsidRPr="00132DAF">
        <w:rPr>
          <w:rStyle w:val="StyleStyleBold12pt"/>
        </w:rPr>
        <w:t>Richards 8</w:t>
      </w:r>
      <w:r w:rsidRPr="00132DAF">
        <w:t xml:space="preserve">   Neil M. Richards, Professor of Law, Washington University in St. Louis.</w:t>
      </w:r>
    </w:p>
    <w:p w14:paraId="159C1CE5" w14:textId="77777777" w:rsidR="00E34568" w:rsidRPr="00132DAF" w:rsidRDefault="00E34568" w:rsidP="00E34568">
      <w:r w:rsidRPr="00132DAF">
        <w:t xml:space="preserve">December, 2008   Texas Law </w:t>
      </w:r>
      <w:proofErr w:type="gramStart"/>
      <w:r w:rsidRPr="00132DAF">
        <w:t>Review  87</w:t>
      </w:r>
      <w:proofErr w:type="gramEnd"/>
      <w:r w:rsidRPr="00132DAF">
        <w:t xml:space="preserve"> Tex. L. Rev. 387   Article: Intellectual Privacy   lexis</w:t>
      </w:r>
    </w:p>
    <w:p w14:paraId="210D3E02" w14:textId="77777777" w:rsidR="00E34568" w:rsidRDefault="00E34568" w:rsidP="00E34568">
      <w:pPr>
        <w:pStyle w:val="CardIndented"/>
      </w:pPr>
      <w:r w:rsidRPr="00132DAF">
        <w:t xml:space="preserve">What, then, should the solution to this problem be? The theory of intellectual privacy I have articulated here suggests that the interest in confidential communications also needs to be considered, and that this interest is a First Amendment one. </w:t>
      </w:r>
      <w:r w:rsidRPr="004D6797">
        <w:t>Government surveillance - even the mere possibility of interested watching by the state - chills and warps the exercise of this interest.</w:t>
      </w:r>
      <w:r w:rsidRPr="00132DAF">
        <w:t xml:space="preserve"> This effect was understood by the drafters of the Fourth Amendment, who grasped the relationship between preventing government searches of papers and protecting religious and political dissent. </w:t>
      </w:r>
      <w:proofErr w:type="gramStart"/>
      <w:r w:rsidRPr="00132DAF">
        <w:t>n271</w:t>
      </w:r>
      <w:proofErr w:type="gramEnd"/>
      <w:r w:rsidRPr="00132DAF">
        <w:t xml:space="preserve"> </w:t>
      </w:r>
      <w:r w:rsidRPr="00D4774F">
        <w:rPr>
          <w:highlight w:val="yellow"/>
        </w:rPr>
        <w:t xml:space="preserve">Because </w:t>
      </w:r>
      <w:r w:rsidRPr="00D4774F">
        <w:rPr>
          <w:rStyle w:val="StyleBoldUnderline"/>
          <w:highlight w:val="yellow"/>
        </w:rPr>
        <w:t>government surveillance involves direct state action</w:t>
      </w:r>
      <w:r w:rsidRPr="00132DAF">
        <w:t>, it is also a rare case where constitutional doctrine could do useful work on its own. Because we are some distance removed from the freedom of thought, the confidentiality of communications need not be protected absolutely, particularly given the legitimate government interest in the prevention of international terrorism. But by the same token, this interest is not always sufficient to override the First Amendment interests in intellectual privacy. Constitutional doctrine - either First Amendment law or Fourth Amendment law taking expressive interests into account - could therefore mandate warrants for all surveillance of intellectual activity. This standard should at least be the level of the current Fourth Amendment warrant requirement, and could possibly be higher, given the particular expressive interests that could elevate scrutiny of intellectual activity beyond a search for contraband or other kinds of incriminating evidence.</w:t>
      </w:r>
    </w:p>
    <w:p w14:paraId="14108AC7" w14:textId="77777777" w:rsidR="00155956" w:rsidRDefault="00155956" w:rsidP="00E34568">
      <w:pPr>
        <w:pStyle w:val="CardIndented"/>
      </w:pPr>
    </w:p>
    <w:p w14:paraId="59A8A2AC" w14:textId="77777777" w:rsidR="00155956" w:rsidRPr="00132DAF" w:rsidRDefault="00155956" w:rsidP="00155956">
      <w:pPr>
        <w:pStyle w:val="Heading4"/>
      </w:pPr>
      <w:r>
        <w:t>B The plan does not Curtail Government Surveillance</w:t>
      </w:r>
    </w:p>
    <w:p w14:paraId="35758B09" w14:textId="77777777" w:rsidR="00437C77" w:rsidRDefault="00437C77"/>
    <w:p w14:paraId="796396FB" w14:textId="77777777" w:rsidR="00E34568" w:rsidRPr="00A304AE" w:rsidRDefault="00155956" w:rsidP="00E34568">
      <w:pPr>
        <w:pStyle w:val="Heading4"/>
      </w:pPr>
      <w:r>
        <w:t xml:space="preserve"> </w:t>
      </w:r>
      <w:r w:rsidR="00E34568" w:rsidRPr="00A304AE">
        <w:t>Its means belonging to</w:t>
      </w:r>
    </w:p>
    <w:p w14:paraId="7CA41CA8" w14:textId="77777777" w:rsidR="00E34568" w:rsidRPr="00A304AE" w:rsidRDefault="00E34568" w:rsidP="00E34568">
      <w:r w:rsidRPr="00A304AE">
        <w:rPr>
          <w:rStyle w:val="StyleStyleBold12pt"/>
        </w:rPr>
        <w:t xml:space="preserve">Oxford English Dictionary, </w:t>
      </w:r>
      <w:proofErr w:type="gramStart"/>
      <w:r w:rsidRPr="00A304AE">
        <w:rPr>
          <w:rStyle w:val="StyleStyleBold12pt"/>
        </w:rPr>
        <w:t>2013  http</w:t>
      </w:r>
      <w:proofErr w:type="gramEnd"/>
      <w:r w:rsidRPr="00A304AE">
        <w:rPr>
          <w:rStyle w:val="StyleStyleBold12pt"/>
        </w:rPr>
        <w:t>://www.oed.com/view/Entry/100354?redirectedFrom=its#eid</w:t>
      </w:r>
    </w:p>
    <w:p w14:paraId="3EEC5470" w14:textId="77777777" w:rsidR="00E34568" w:rsidRPr="00A304AE" w:rsidRDefault="00E34568" w:rsidP="00E34568">
      <w:proofErr w:type="gramStart"/>
      <w:r w:rsidRPr="00A304AE">
        <w:rPr>
          <w:rStyle w:val="StyleUnderline"/>
        </w:rPr>
        <w:t>its</w:t>
      </w:r>
      <w:proofErr w:type="gramEnd"/>
      <w:r w:rsidRPr="00A304AE">
        <w:t>, adj. and pron.  Pronunciation:  /</w:t>
      </w:r>
      <w:proofErr w:type="spellStart"/>
      <w:r w:rsidRPr="00A304AE">
        <w:t>ɪts</w:t>
      </w:r>
      <w:proofErr w:type="spellEnd"/>
      <w:r w:rsidRPr="00A304AE">
        <w:t>/</w:t>
      </w:r>
    </w:p>
    <w:p w14:paraId="0B702CD3" w14:textId="77777777" w:rsidR="00E34568" w:rsidRPr="00A304AE" w:rsidRDefault="00E34568" w:rsidP="00E34568">
      <w:r w:rsidRPr="00A304AE">
        <w:t xml:space="preserve">A. </w:t>
      </w:r>
      <w:proofErr w:type="gramStart"/>
      <w:r w:rsidRPr="00A304AE">
        <w:t>adj</w:t>
      </w:r>
      <w:proofErr w:type="gramEnd"/>
      <w:r w:rsidRPr="00A304AE">
        <w:t xml:space="preserve">. </w:t>
      </w:r>
      <w:proofErr w:type="gramStart"/>
      <w:r w:rsidRPr="00A304AE">
        <w:t>As genitive of the pronoun, now possessive adjective.</w:t>
      </w:r>
      <w:proofErr w:type="gramEnd"/>
    </w:p>
    <w:p w14:paraId="69744FD9" w14:textId="77777777" w:rsidR="00E34568" w:rsidRPr="00A304AE" w:rsidRDefault="00E34568" w:rsidP="00E34568">
      <w:r w:rsidRPr="00A304AE">
        <w:t xml:space="preserve">  </w:t>
      </w:r>
      <w:r w:rsidRPr="00D4774F">
        <w:rPr>
          <w:rStyle w:val="StyleUnderline"/>
          <w:highlight w:val="yellow"/>
        </w:rPr>
        <w:t>Of or belonging to it</w:t>
      </w:r>
      <w:r w:rsidRPr="00A304AE">
        <w:t xml:space="preserve">, or that thing (Latin </w:t>
      </w:r>
      <w:proofErr w:type="spellStart"/>
      <w:r w:rsidRPr="00A304AE">
        <w:t>ejus</w:t>
      </w:r>
      <w:proofErr w:type="spellEnd"/>
      <w:r w:rsidRPr="00A304AE">
        <w:t xml:space="preserve">); also refl., Of or belonging to itself, its own (Latin </w:t>
      </w:r>
      <w:proofErr w:type="spellStart"/>
      <w:r w:rsidRPr="00A304AE">
        <w:t>suus</w:t>
      </w:r>
      <w:proofErr w:type="spellEnd"/>
      <w:r w:rsidRPr="00A304AE">
        <w:t>)</w:t>
      </w:r>
      <w:proofErr w:type="gramStart"/>
      <w:r w:rsidRPr="00A304AE">
        <w:t>.The</w:t>
      </w:r>
      <w:proofErr w:type="gramEnd"/>
      <w:r w:rsidRPr="00A304AE">
        <w:t xml:space="preserve"> reflexive is often more fully its own, for which in earlier times the own, it own, were used: see own adj. and pron.</w:t>
      </w:r>
    </w:p>
    <w:p w14:paraId="2E2836B0" w14:textId="77777777" w:rsidR="00E34568" w:rsidRPr="00A304AE" w:rsidRDefault="00E34568" w:rsidP="00E34568">
      <w:r w:rsidRPr="00A304AE">
        <w:t xml:space="preserve">B. </w:t>
      </w:r>
      <w:proofErr w:type="gramStart"/>
      <w:r w:rsidRPr="00A304AE">
        <w:t>pron</w:t>
      </w:r>
      <w:proofErr w:type="gramEnd"/>
      <w:r w:rsidRPr="00A304AE">
        <w:t xml:space="preserve">. </w:t>
      </w:r>
      <w:proofErr w:type="gramStart"/>
      <w:r w:rsidRPr="00A304AE">
        <w:t>As possessive pronoun.</w:t>
      </w:r>
      <w:proofErr w:type="gramEnd"/>
    </w:p>
    <w:p w14:paraId="57C6C545" w14:textId="77777777" w:rsidR="00E34568" w:rsidRDefault="00E34568" w:rsidP="00E34568">
      <w:r w:rsidRPr="00A304AE">
        <w:t xml:space="preserve">   [Compare his pron.2] The absolute form of prec., used when no n. follows: Its one, its ones. </w:t>
      </w:r>
      <w:proofErr w:type="gramStart"/>
      <w:r w:rsidRPr="00A304AE">
        <w:t>rare</w:t>
      </w:r>
      <w:proofErr w:type="gramEnd"/>
      <w:r w:rsidRPr="00A304AE">
        <w:t>.</w:t>
      </w:r>
    </w:p>
    <w:p w14:paraId="7F8ABEE8" w14:textId="77777777" w:rsidR="00155956" w:rsidRDefault="00155956" w:rsidP="00E34568"/>
    <w:p w14:paraId="08CAB821" w14:textId="77777777" w:rsidR="00155956" w:rsidRDefault="00155956" w:rsidP="00155956">
      <w:pPr>
        <w:pStyle w:val="Heading4"/>
      </w:pPr>
      <w:r>
        <w:t>C. THE AFFIRMATIVE INTERPRETATION IS BAD FOR DEBATE</w:t>
      </w:r>
    </w:p>
    <w:p w14:paraId="6406888D" w14:textId="77777777" w:rsidR="00155956" w:rsidRDefault="00155956" w:rsidP="00155956">
      <w:pPr>
        <w:pStyle w:val="Heading4"/>
      </w:pPr>
      <w:r>
        <w:t>Limits are necessary for negative preparation and clash, and their interpretation makes the topic too big.  Immigration is a huge area, big enough to be a topic itself, and all the issues are completely different.</w:t>
      </w:r>
    </w:p>
    <w:p w14:paraId="69B17CC3" w14:textId="77777777" w:rsidR="00155956" w:rsidRDefault="00155956" w:rsidP="00155956">
      <w:pPr>
        <w:pStyle w:val="Heading4"/>
      </w:pPr>
      <w:r>
        <w:t>D. T IS A VOTER because the opportunity to prepare promotes better debating</w:t>
      </w:r>
    </w:p>
    <w:p w14:paraId="590C2220" w14:textId="77777777" w:rsidR="00642868" w:rsidRDefault="00642868" w:rsidP="00642868"/>
    <w:p w14:paraId="30D9CF67" w14:textId="77777777" w:rsidR="0025468D" w:rsidRDefault="0025468D" w:rsidP="008B2A5E">
      <w:pPr>
        <w:rPr>
          <w:rStyle w:val="Emphasis"/>
        </w:rPr>
      </w:pPr>
    </w:p>
    <w:p w14:paraId="0F239437" w14:textId="77777777" w:rsidR="00AD60C7" w:rsidRDefault="00AD60C7" w:rsidP="008B2A5E">
      <w:pPr>
        <w:rPr>
          <w:rStyle w:val="Emphasis"/>
        </w:rPr>
      </w:pPr>
    </w:p>
    <w:p w14:paraId="305D118F" w14:textId="77777777" w:rsidR="00240D9D" w:rsidRPr="00240D9D" w:rsidRDefault="00240D9D" w:rsidP="00240D9D">
      <w:pPr>
        <w:rPr>
          <w:rFonts w:ascii="Times" w:eastAsia="Times New Roman" w:hAnsi="Times"/>
          <w:szCs w:val="20"/>
        </w:rPr>
      </w:pPr>
    </w:p>
    <w:p w14:paraId="7D7760A1" w14:textId="77777777" w:rsidR="00240D9D" w:rsidRDefault="00240D9D" w:rsidP="008B2A5E">
      <w:pPr>
        <w:rPr>
          <w:rStyle w:val="Emphasis"/>
        </w:rPr>
      </w:pPr>
    </w:p>
    <w:p w14:paraId="67C2FDD7" w14:textId="77777777" w:rsidR="00E75C86" w:rsidRDefault="00E75C86" w:rsidP="008B2A5E">
      <w:pPr>
        <w:rPr>
          <w:rStyle w:val="Emphasis"/>
        </w:rPr>
      </w:pPr>
    </w:p>
    <w:p w14:paraId="3E911CF6" w14:textId="77777777" w:rsidR="00642868" w:rsidRDefault="00642868" w:rsidP="008B2A5E">
      <w:pPr>
        <w:rPr>
          <w:rStyle w:val="Emphasis"/>
        </w:rPr>
      </w:pPr>
    </w:p>
    <w:p w14:paraId="6010ECDF" w14:textId="77777777" w:rsidR="00642868" w:rsidRPr="00642868" w:rsidRDefault="00642868" w:rsidP="00642868">
      <w:pPr>
        <w:pStyle w:val="Heading2"/>
        <w:rPr>
          <w:rStyle w:val="Emphasis"/>
          <w:rFonts w:asciiTheme="majorHAnsi" w:hAnsiTheme="majorHAnsi"/>
          <w:b/>
          <w:iCs w:val="0"/>
          <w:sz w:val="44"/>
          <w:u w:val="none"/>
          <w:bdr w:val="none" w:sz="0" w:space="0" w:color="auto"/>
        </w:rPr>
      </w:pPr>
      <w:r w:rsidRPr="00642868">
        <w:rPr>
          <w:rStyle w:val="Emphasis"/>
          <w:rFonts w:asciiTheme="majorHAnsi" w:hAnsiTheme="majorHAnsi"/>
          <w:b/>
          <w:iCs w:val="0"/>
          <w:sz w:val="44"/>
          <w:u w:val="none"/>
          <w:bdr w:val="none" w:sz="0" w:space="0" w:color="auto"/>
        </w:rPr>
        <w:t>KEYNESS ECON DISAD</w:t>
      </w:r>
    </w:p>
    <w:p w14:paraId="045C093F" w14:textId="77777777" w:rsidR="00642868" w:rsidRDefault="00642868" w:rsidP="008B2A5E">
      <w:pPr>
        <w:rPr>
          <w:rStyle w:val="Emphasis"/>
        </w:rPr>
      </w:pPr>
    </w:p>
    <w:p w14:paraId="79DCE8D0" w14:textId="77777777" w:rsidR="00BE7732" w:rsidRPr="00DD15A6" w:rsidRDefault="00BE7732" w:rsidP="00BE7732">
      <w:pPr>
        <w:pStyle w:val="Heading4"/>
      </w:pPr>
      <w:r w:rsidRPr="00254840">
        <w:rPr>
          <w:rStyle w:val="Emphasis"/>
          <w:b/>
          <w:iCs/>
        </w:rPr>
        <w:t>US ECON IN GOOD SHAPE – STOP WHINING</w:t>
      </w:r>
    </w:p>
    <w:p w14:paraId="2ADC775D" w14:textId="77777777" w:rsidR="00BE7732" w:rsidRDefault="00BE7732" w:rsidP="00BE7732">
      <w:r>
        <w:t xml:space="preserve">Steve </w:t>
      </w:r>
      <w:proofErr w:type="spellStart"/>
      <w:r>
        <w:rPr>
          <w:b/>
        </w:rPr>
        <w:t>Ivanovitch</w:t>
      </w:r>
      <w:proofErr w:type="spellEnd"/>
      <w:r>
        <w:rPr>
          <w:b/>
        </w:rPr>
        <w:t xml:space="preserve"> 14, </w:t>
      </w:r>
      <w:r w:rsidRPr="00254840">
        <w:rPr>
          <w:rFonts w:asciiTheme="minorHAnsi" w:hAnsiTheme="minorHAnsi"/>
        </w:rPr>
        <w:t xml:space="preserve">President of MSI Global, a New York research company, senior economist at OCED in Paris, and </w:t>
      </w:r>
      <w:r w:rsidRPr="00254840">
        <w:rPr>
          <w:rFonts w:asciiTheme="minorHAnsi" w:hAnsiTheme="minorHAnsi" w:cs="Arial"/>
          <w:iCs/>
          <w:shd w:val="clear" w:color="auto" w:fill="FFFFFF"/>
        </w:rPr>
        <w:t>international economist at the Federal Reserve Bank of New York a</w:t>
      </w:r>
      <w:r>
        <w:rPr>
          <w:rFonts w:asciiTheme="minorHAnsi" w:hAnsiTheme="minorHAnsi" w:cs="Arial"/>
          <w:iCs/>
          <w:shd w:val="clear" w:color="auto" w:fill="FFFFFF"/>
        </w:rPr>
        <w:t>nd taught economics at Columbia, 2-16-</w:t>
      </w:r>
      <w:r>
        <w:rPr>
          <w:rFonts w:asciiTheme="minorHAnsi" w:hAnsiTheme="minorHAnsi" w:cs="Arial"/>
          <w:b/>
          <w:iCs/>
          <w:shd w:val="clear" w:color="auto" w:fill="FFFFFF"/>
        </w:rPr>
        <w:t xml:space="preserve">2014, </w:t>
      </w:r>
      <w:r>
        <w:rPr>
          <w:rFonts w:asciiTheme="minorHAnsi" w:hAnsiTheme="minorHAnsi" w:cs="Arial"/>
          <w:iCs/>
          <w:shd w:val="clear" w:color="auto" w:fill="FFFFFF"/>
        </w:rPr>
        <w:t xml:space="preserve">“Stop Whining! The US economy is in good shape,” CNBC, </w:t>
      </w:r>
      <w:hyperlink r:id="rId6" w:history="1">
        <w:r>
          <w:rPr>
            <w:rStyle w:val="Hyperlink"/>
          </w:rPr>
          <w:t>http://www.cnbc.com/2014/02/16/stop-whining-the-us-economy-is-in-good-shape.html</w:t>
        </w:r>
      </w:hyperlink>
    </w:p>
    <w:p w14:paraId="66DBF1BD" w14:textId="77777777" w:rsidR="00BE7732" w:rsidRDefault="00BE7732" w:rsidP="00BE7732">
      <w:pPr>
        <w:pStyle w:val="NormalWeb"/>
        <w:shd w:val="clear" w:color="auto" w:fill="FFFFFF"/>
        <w:spacing w:before="0" w:beforeAutospacing="0" w:after="270" w:afterAutospacing="0" w:line="360" w:lineRule="atLeast"/>
        <w:rPr>
          <w:rStyle w:val="Emphasis"/>
        </w:rPr>
      </w:pPr>
      <w:r w:rsidRPr="00B84D50">
        <w:rPr>
          <w:rFonts w:asciiTheme="minorHAnsi" w:hAnsiTheme="minorHAnsi" w:cs="Arial"/>
          <w:sz w:val="22"/>
          <w:szCs w:val="22"/>
          <w:shd w:val="clear" w:color="auto" w:fill="FFFFFF"/>
        </w:rPr>
        <w:t>While operating more than an entire percentage point below its potential growth rate</w:t>
      </w:r>
      <w:r w:rsidRPr="00BE7732">
        <w:rPr>
          <w:rStyle w:val="Emphasis"/>
          <w:highlight w:val="yellow"/>
        </w:rPr>
        <w:t>, the</w:t>
      </w:r>
      <w:r w:rsidRPr="00B84D50">
        <w:rPr>
          <w:rStyle w:val="Emphasis"/>
        </w:rPr>
        <w:t xml:space="preserve"> </w:t>
      </w:r>
      <w:r w:rsidRPr="00BE7732">
        <w:rPr>
          <w:rStyle w:val="Emphasis"/>
          <w:highlight w:val="yellow"/>
        </w:rPr>
        <w:t>U.S. economy</w:t>
      </w:r>
      <w:r w:rsidRPr="00B84D50">
        <w:rPr>
          <w:rFonts w:asciiTheme="minorHAnsi" w:hAnsiTheme="minorHAnsi" w:cs="Arial"/>
          <w:sz w:val="22"/>
          <w:szCs w:val="22"/>
          <w:shd w:val="clear" w:color="auto" w:fill="FFFFFF"/>
        </w:rPr>
        <w:t xml:space="preserve"> still </w:t>
      </w:r>
      <w:r w:rsidRPr="00BE7732">
        <w:rPr>
          <w:rStyle w:val="Emphasis"/>
          <w:highlight w:val="yellow"/>
        </w:rPr>
        <w:t>raised its business sector employment by nearly 2 million people over the last twelve months. Based on current growth dynamics, this year promises an even better outlook for employment creation and America's contribution to the world economy</w:t>
      </w:r>
      <w:r w:rsidRPr="00B84D50">
        <w:rPr>
          <w:rStyle w:val="Emphasis"/>
        </w:rPr>
        <w:t>.</w:t>
      </w:r>
      <w:r>
        <w:rPr>
          <w:rStyle w:val="Emphasis"/>
        </w:rPr>
        <w:t xml:space="preserve"> </w:t>
      </w:r>
      <w:r w:rsidRPr="00B84D50">
        <w:rPr>
          <w:rStyle w:val="Emphasis"/>
        </w:rPr>
        <w:t xml:space="preserve">That is a remarkable achievement because companies usually don't step up hiring until a sustained </w:t>
      </w:r>
      <w:proofErr w:type="gramStart"/>
      <w:r w:rsidRPr="00B84D50">
        <w:rPr>
          <w:rStyle w:val="Emphasis"/>
        </w:rPr>
        <w:t>increase</w:t>
      </w:r>
      <w:proofErr w:type="gramEnd"/>
      <w:r w:rsidRPr="00B84D50">
        <w:rPr>
          <w:rStyle w:val="Emphasis"/>
        </w:rPr>
        <w:t xml:space="preserve"> in capacity pressures them to start adding to their labor force.</w:t>
      </w:r>
      <w:r>
        <w:rPr>
          <w:rStyle w:val="Emphasis"/>
        </w:rPr>
        <w:t xml:space="preserve"> </w:t>
      </w:r>
      <w:r w:rsidRPr="00BE7732">
        <w:rPr>
          <w:rStyle w:val="Emphasis"/>
          <w:highlight w:val="yellow"/>
        </w:rPr>
        <w:t>And no other economy contributed last year 4.1 percent of its gross domestic product (GDP) to the rest of the world. Those in the emerging markets, who are now complaining about declining dollar liquidity,</w:t>
      </w:r>
      <w:r w:rsidRPr="00B84D50">
        <w:rPr>
          <w:rStyle w:val="Emphasis"/>
        </w:rPr>
        <w:t xml:space="preserve"> </w:t>
      </w:r>
      <w:r w:rsidRPr="00B84D50">
        <w:rPr>
          <w:rFonts w:asciiTheme="minorHAnsi" w:hAnsiTheme="minorHAnsi"/>
          <w:sz w:val="22"/>
          <w:szCs w:val="22"/>
        </w:rPr>
        <w:t xml:space="preserve">may also </w:t>
      </w:r>
      <w:r w:rsidRPr="00BE7732">
        <w:rPr>
          <w:rFonts w:asciiTheme="minorHAnsi" w:hAnsiTheme="minorHAnsi"/>
          <w:sz w:val="22"/>
          <w:szCs w:val="22"/>
          <w:highlight w:val="yellow"/>
        </w:rPr>
        <w:t>wish</w:t>
      </w:r>
      <w:r w:rsidRPr="00BE7732">
        <w:rPr>
          <w:rStyle w:val="Emphasis"/>
          <w:highlight w:val="yellow"/>
        </w:rPr>
        <w:t xml:space="preserve"> to note that the U.S. last year bought from them $515 billion more than it sold to them. Based on current growth dynamics, this year promises an even better outlook for employment creation and America's contribution to the world economy.</w:t>
      </w:r>
    </w:p>
    <w:p w14:paraId="29B4A692" w14:textId="77777777" w:rsidR="00E75C86" w:rsidRPr="008B2A5E" w:rsidRDefault="00E75C86" w:rsidP="008B2A5E">
      <w:pPr>
        <w:rPr>
          <w:rStyle w:val="Emphasis"/>
        </w:rPr>
      </w:pPr>
    </w:p>
    <w:p w14:paraId="1266F001" w14:textId="77777777" w:rsidR="008B2A5E" w:rsidRDefault="008B2A5E" w:rsidP="008B2A5E">
      <w:pPr>
        <w:rPr>
          <w:rFonts w:ascii="Arial" w:hAnsi="Arial" w:cs="Arial"/>
          <w:color w:val="000000" w:themeColor="text1"/>
          <w:sz w:val="24"/>
          <w:szCs w:val="24"/>
        </w:rPr>
      </w:pPr>
    </w:p>
    <w:p w14:paraId="12121C59" w14:textId="77777777" w:rsidR="00E75C86" w:rsidRDefault="00E75C86" w:rsidP="008B2A5E">
      <w:pPr>
        <w:rPr>
          <w:rFonts w:ascii="Arial" w:hAnsi="Arial" w:cs="Arial"/>
          <w:color w:val="000000" w:themeColor="text1"/>
          <w:sz w:val="24"/>
          <w:szCs w:val="24"/>
        </w:rPr>
      </w:pPr>
    </w:p>
    <w:p w14:paraId="5BD64ED5" w14:textId="77777777" w:rsidR="00E75C86" w:rsidRDefault="00E75C86" w:rsidP="00E75C86">
      <w:pPr>
        <w:pStyle w:val="Heading4"/>
      </w:pPr>
      <w:r>
        <w:t xml:space="preserve">Credit scores enforce </w:t>
      </w:r>
      <w:proofErr w:type="gramStart"/>
      <w:r>
        <w:t>keynesian</w:t>
      </w:r>
      <w:proofErr w:type="gramEnd"/>
      <w:r>
        <w:t xml:space="preserve"> economics</w:t>
      </w:r>
    </w:p>
    <w:p w14:paraId="479B2CAD" w14:textId="77777777" w:rsidR="00E75C86" w:rsidRPr="00E75C86" w:rsidRDefault="00E75C86" w:rsidP="00E75C86"/>
    <w:p w14:paraId="270DC6E2" w14:textId="77777777" w:rsidR="00E75C86" w:rsidRPr="00E75C86" w:rsidRDefault="00E75C86" w:rsidP="008B2A5E">
      <w:pPr>
        <w:rPr>
          <w:rStyle w:val="StyleStyleBold12pt"/>
        </w:rPr>
      </w:pPr>
      <w:r w:rsidRPr="00E75C86">
        <w:rPr>
          <w:rStyle w:val="StyleStyleBold12pt"/>
        </w:rPr>
        <w:t xml:space="preserve">Andrew </w:t>
      </w:r>
      <w:proofErr w:type="spellStart"/>
      <w:r w:rsidRPr="00E75C86">
        <w:rPr>
          <w:rStyle w:val="StyleStyleBold12pt"/>
        </w:rPr>
        <w:t>Leyshon</w:t>
      </w:r>
      <w:proofErr w:type="spellEnd"/>
      <w:r w:rsidRPr="00E75C86">
        <w:rPr>
          <w:rStyle w:val="StyleStyleBold12pt"/>
        </w:rPr>
        <w:t>, Et Al., 12-22-2006, "‘Lending by numbers’: credit scoring and the constitution of risk within American consumer credit," Taylor &amp;amp; Francis, http://www.tandfonline.com/doi/full/10.1080/03085140601089846#abstract</w:t>
      </w:r>
    </w:p>
    <w:p w14:paraId="5693A45E" w14:textId="77777777" w:rsidR="008B2A5E" w:rsidRDefault="008B2A5E" w:rsidP="008B2A5E">
      <w:pPr>
        <w:rPr>
          <w:rFonts w:ascii="Arial" w:hAnsi="Arial" w:cs="Arial"/>
          <w:color w:val="000000" w:themeColor="text1"/>
          <w:sz w:val="24"/>
          <w:szCs w:val="24"/>
        </w:rPr>
      </w:pPr>
    </w:p>
    <w:p w14:paraId="791582EF" w14:textId="77777777" w:rsidR="008B2A5E" w:rsidRDefault="008B2A5E" w:rsidP="008B2A5E">
      <w:pPr>
        <w:rPr>
          <w:rFonts w:ascii="Arial" w:hAnsi="Arial" w:cs="Arial"/>
          <w:color w:val="000000" w:themeColor="text1"/>
          <w:sz w:val="24"/>
          <w:szCs w:val="24"/>
        </w:rPr>
      </w:pPr>
    </w:p>
    <w:p w14:paraId="494D1464" w14:textId="77777777" w:rsidR="00E75C86" w:rsidRPr="00E75C86" w:rsidRDefault="00E75C86" w:rsidP="00E75C86">
      <w:pPr>
        <w:shd w:val="clear" w:color="auto" w:fill="FFFFFF"/>
        <w:spacing w:line="300" w:lineRule="atLeast"/>
        <w:rPr>
          <w:rFonts w:ascii="Helvetica" w:eastAsia="Times New Roman" w:hAnsi="Helvetica"/>
          <w:color w:val="000000"/>
          <w:sz w:val="16"/>
          <w:szCs w:val="20"/>
        </w:rPr>
      </w:pPr>
      <w:r w:rsidRPr="00E75C86">
        <w:rPr>
          <w:rFonts w:ascii="Helvetica" w:eastAsia="Times New Roman" w:hAnsi="Helvetica"/>
          <w:color w:val="000000"/>
          <w:sz w:val="16"/>
          <w:szCs w:val="20"/>
        </w:rPr>
        <w:t xml:space="preserve">Against the backdrop of the post-war consumption boom of the 1950s, a new form of mass consumer credit developed in the credit card; unconnected for the first time with any specific form of consumption, its profitability was inherently bound to its own perpetuation within generalized consumption, implying new forms of population management by lenders as well as a greater reliance on the self-governing capabilities of the consumer. Such ‘plastic credit’, in expanding the scope and reach of credit within the everyday lives of consumers, regularized a more or less permanent state of indebtedness. </w:t>
      </w:r>
      <w:r w:rsidRPr="00D4774F">
        <w:rPr>
          <w:rStyle w:val="Emphasis"/>
          <w:highlight w:val="yellow"/>
        </w:rPr>
        <w:t>At the level of the state, a new economic policy of Keynesianism elevated collective mass consumption over production as the critical lever of economic growth – deficit spending echoing personal indebtedness in the promotion of consumption</w:t>
      </w:r>
      <w:r w:rsidRPr="00D4774F">
        <w:rPr>
          <w:rFonts w:ascii="Helvetica" w:eastAsia="Times New Roman" w:hAnsi="Helvetica"/>
          <w:color w:val="000000"/>
          <w:sz w:val="16"/>
          <w:szCs w:val="20"/>
          <w:highlight w:val="yellow"/>
        </w:rPr>
        <w:t>.</w:t>
      </w:r>
      <w:r w:rsidRPr="00E75C86">
        <w:rPr>
          <w:rFonts w:ascii="Helvetica" w:eastAsia="Times New Roman" w:hAnsi="Helvetica"/>
          <w:color w:val="000000"/>
          <w:sz w:val="16"/>
          <w:szCs w:val="20"/>
        </w:rPr>
        <w:t xml:space="preserve"> </w:t>
      </w:r>
      <w:r w:rsidRPr="00E75C86">
        <w:rPr>
          <w:rStyle w:val="StyleBoldUnderline"/>
        </w:rPr>
        <w:t>At this time statistical techniques, with the legislative support of the state, began to give a novel articulation to the problem of identifying non-payers and reducing the costs associated with default across a lender's population of consumers</w:t>
      </w:r>
      <w:r w:rsidRPr="00E75C86">
        <w:rPr>
          <w:rFonts w:ascii="Helvetica" w:eastAsia="Times New Roman" w:hAnsi="Helvetica"/>
          <w:color w:val="000000"/>
          <w:sz w:val="16"/>
          <w:szCs w:val="20"/>
        </w:rPr>
        <w:t xml:space="preserve">. </w:t>
      </w:r>
      <w:r w:rsidRPr="00D4774F">
        <w:rPr>
          <w:rStyle w:val="Emphasis"/>
          <w:highlight w:val="yellow"/>
        </w:rPr>
        <w:t>Credit scoring, the analysis of statistical relationships between variables and default outcomes within a population, thus became applied to the governing of sanctioning decisions by these mass lenders, rendering credit applicants visible and governable in new ways as risks</w:t>
      </w:r>
      <w:r w:rsidRPr="00E75C86">
        <w:rPr>
          <w:rFonts w:ascii="Helvetica" w:eastAsia="Times New Roman" w:hAnsi="Helvetica"/>
          <w:color w:val="000000"/>
          <w:sz w:val="16"/>
          <w:szCs w:val="20"/>
        </w:rPr>
        <w:t xml:space="preserve">. </w:t>
      </w:r>
      <w:r w:rsidRPr="00E75C86">
        <w:rPr>
          <w:rStyle w:val="StyleBoldUnderline"/>
        </w:rPr>
        <w:t>However, systems of risk do not simply disperse through the consumer credit industry according to their own interminable logic as more rational, more efficient means of governing consumers</w:t>
      </w:r>
      <w:r w:rsidRPr="00E75C86">
        <w:rPr>
          <w:rFonts w:ascii="Helvetica" w:eastAsia="Times New Roman" w:hAnsi="Helvetica"/>
          <w:color w:val="000000"/>
          <w:sz w:val="16"/>
          <w:szCs w:val="20"/>
        </w:rPr>
        <w:t>. Crucially, the systematic statistical constitution of default risk is itself perceived by its experts as being beset by a perpetual array of risks which require the constant reappraisal of methods and procedures and the periodic renewal of models within which risk assessments are created. At the same time, though, the very success of risk as a generalized technology in conceiving and governing the problem of default has led to the imaginative investment of its technologies in new ways and in new areas within the operations of lenders, fragmenting its cohesiveness by re-articulating it through an unbinding of time, a broader more continuous reach across the population and a penetration into other areas of contingent consumer management. The calculation of individual default risk has also become interconnected with a higher order of risk conceived and systematized around the governance of uncertainty and loss experienced at the level of an entire portfolio of consumers and their contracted debts.</w:t>
      </w:r>
    </w:p>
    <w:p w14:paraId="2D142D0D" w14:textId="77777777" w:rsidR="008B2A5E" w:rsidRDefault="008B2A5E" w:rsidP="008B2A5E">
      <w:pPr>
        <w:rPr>
          <w:rFonts w:ascii="Arial" w:hAnsi="Arial" w:cs="Arial"/>
          <w:color w:val="000000" w:themeColor="text1"/>
          <w:sz w:val="24"/>
          <w:szCs w:val="24"/>
        </w:rPr>
      </w:pPr>
    </w:p>
    <w:p w14:paraId="7A1114B3" w14:textId="77777777" w:rsidR="00E75C86" w:rsidRDefault="00E75C86" w:rsidP="008B2A5E">
      <w:pPr>
        <w:rPr>
          <w:rFonts w:ascii="Arial" w:hAnsi="Arial" w:cs="Arial"/>
          <w:color w:val="000000" w:themeColor="text1"/>
          <w:sz w:val="24"/>
          <w:szCs w:val="24"/>
        </w:rPr>
      </w:pPr>
    </w:p>
    <w:p w14:paraId="7C541414" w14:textId="77777777" w:rsidR="00E75C86" w:rsidRDefault="00E75C86" w:rsidP="008B2A5E">
      <w:pPr>
        <w:rPr>
          <w:rFonts w:ascii="Arial" w:hAnsi="Arial" w:cs="Arial"/>
          <w:color w:val="000000" w:themeColor="text1"/>
          <w:sz w:val="24"/>
          <w:szCs w:val="24"/>
        </w:rPr>
      </w:pPr>
    </w:p>
    <w:p w14:paraId="4093499D" w14:textId="512019A0" w:rsidR="00E75C86" w:rsidRDefault="00E75C86" w:rsidP="003C3FDD">
      <w:pPr>
        <w:pStyle w:val="Heading4"/>
      </w:pPr>
      <w:r>
        <w:t>Keynesian Economics are key to saving</w:t>
      </w:r>
      <w:r w:rsidR="00CA3C28">
        <w:t xml:space="preserve"> the</w:t>
      </w:r>
      <w:r>
        <w:t xml:space="preserve"> economy</w:t>
      </w:r>
      <w:r w:rsidR="00155956">
        <w:t xml:space="preserve"> </w:t>
      </w:r>
    </w:p>
    <w:p w14:paraId="6D7BD9BC" w14:textId="77777777" w:rsidR="003C3FDD" w:rsidRDefault="003C3FDD" w:rsidP="008B2A5E">
      <w:pPr>
        <w:rPr>
          <w:rStyle w:val="StyleBoldUnderline"/>
        </w:rPr>
      </w:pPr>
    </w:p>
    <w:p w14:paraId="435CE8FF" w14:textId="77777777" w:rsidR="003C3FDD" w:rsidRDefault="003C3FDD" w:rsidP="008B2A5E">
      <w:pPr>
        <w:rPr>
          <w:rStyle w:val="StyleBoldUnderline"/>
        </w:rPr>
      </w:pPr>
    </w:p>
    <w:p w14:paraId="5E636776" w14:textId="77777777" w:rsidR="003C3FDD" w:rsidRPr="003C3FDD" w:rsidRDefault="003C3FDD" w:rsidP="008B2A5E">
      <w:pPr>
        <w:rPr>
          <w:rStyle w:val="StyleStyleBold12pt"/>
        </w:rPr>
      </w:pPr>
      <w:r w:rsidRPr="003C3FDD">
        <w:rPr>
          <w:rStyle w:val="StyleStyleBold12pt"/>
        </w:rPr>
        <w:t xml:space="preserve">Peter Coy, 10-30-2014, "John Maynard Keynes Is the Economist the World Needs Now," </w:t>
      </w:r>
      <w:proofErr w:type="spellStart"/>
      <w:r w:rsidRPr="003C3FDD">
        <w:rPr>
          <w:rStyle w:val="StyleStyleBold12pt"/>
        </w:rPr>
        <w:t>Businessweek</w:t>
      </w:r>
      <w:proofErr w:type="spellEnd"/>
      <w:r w:rsidRPr="003C3FDD">
        <w:rPr>
          <w:rStyle w:val="StyleStyleBold12pt"/>
        </w:rPr>
        <w:t xml:space="preserve">, </w:t>
      </w:r>
      <w:hyperlink r:id="rId7" w:history="1">
        <w:r w:rsidRPr="003C3FDD">
          <w:rPr>
            <w:rStyle w:val="StyleStyleBold12pt"/>
          </w:rPr>
          <w:t>http://www.bloomberg.com/bw/articles/2014-10-30/why-john-maynard-keyness-theories-can-fix-the-world-economy</w:t>
        </w:r>
      </w:hyperlink>
    </w:p>
    <w:p w14:paraId="2684F821" w14:textId="77777777" w:rsidR="003C3FDD" w:rsidRDefault="003C3FDD" w:rsidP="008B2A5E">
      <w:pPr>
        <w:rPr>
          <w:rStyle w:val="StyleBoldUnderline"/>
        </w:rPr>
      </w:pPr>
    </w:p>
    <w:p w14:paraId="562FD0CB" w14:textId="77777777" w:rsidR="003C3FDD" w:rsidRDefault="003C3FDD" w:rsidP="008B2A5E">
      <w:pPr>
        <w:rPr>
          <w:rStyle w:val="StyleBoldUnderline"/>
        </w:rPr>
      </w:pPr>
    </w:p>
    <w:p w14:paraId="0369EE8A" w14:textId="77777777" w:rsidR="00E75C86" w:rsidRDefault="003C3FDD" w:rsidP="008B2A5E">
      <w:pPr>
        <w:rPr>
          <w:rFonts w:ascii="Times" w:eastAsia="Times New Roman" w:hAnsi="Times"/>
          <w:sz w:val="14"/>
          <w:szCs w:val="20"/>
        </w:rPr>
      </w:pPr>
      <w:r w:rsidRPr="00D4774F">
        <w:rPr>
          <w:rStyle w:val="StyleBoldUnderline"/>
          <w:highlight w:val="yellow"/>
        </w:rPr>
        <w:t>There is a doctor in the house, and his prescriptions are more relevant than ever</w:t>
      </w:r>
      <w:r w:rsidRPr="003C3FDD">
        <w:rPr>
          <w:rFonts w:ascii="Georgia" w:hAnsi="Georgia"/>
          <w:color w:val="222222"/>
          <w:sz w:val="14"/>
          <w:szCs w:val="26"/>
        </w:rPr>
        <w:t xml:space="preserve">. True, he’s been dead since 1946. But even in the past tense, the British economist, investor, and civil servant </w:t>
      </w:r>
      <w:r w:rsidRPr="00D4774F">
        <w:rPr>
          <w:rStyle w:val="StyleBoldUnderline"/>
          <w:highlight w:val="yellow"/>
        </w:rPr>
        <w:t xml:space="preserve">John Maynard </w:t>
      </w:r>
      <w:r w:rsidRPr="00D4774F">
        <w:rPr>
          <w:rStyle w:val="Emphasis"/>
          <w:highlight w:val="yellow"/>
        </w:rPr>
        <w:t xml:space="preserve">Keynes has </w:t>
      </w:r>
      <w:r w:rsidRPr="00D4774F">
        <w:rPr>
          <w:rStyle w:val="StyleBoldUnderline"/>
          <w:highlight w:val="yellow"/>
        </w:rPr>
        <w:t xml:space="preserve">more </w:t>
      </w:r>
      <w:r w:rsidRPr="00D4774F">
        <w:rPr>
          <w:rStyle w:val="Emphasis"/>
          <w:highlight w:val="yellow"/>
        </w:rPr>
        <w:t>to teach us about how to save the global economy</w:t>
      </w:r>
      <w:r w:rsidRPr="00D4774F">
        <w:rPr>
          <w:rStyle w:val="StyleBoldUnderline"/>
          <w:highlight w:val="yellow"/>
        </w:rPr>
        <w:t xml:space="preserve"> than an army of modern </w:t>
      </w:r>
      <w:proofErr w:type="spellStart"/>
      <w:r w:rsidRPr="00D4774F">
        <w:rPr>
          <w:rStyle w:val="StyleBoldUnderline"/>
          <w:highlight w:val="yellow"/>
        </w:rPr>
        <w:t>Ph.D.s</w:t>
      </w:r>
      <w:proofErr w:type="spellEnd"/>
      <w:r w:rsidRPr="00D4774F">
        <w:rPr>
          <w:rStyle w:val="StyleBoldUnderline"/>
          <w:highlight w:val="yellow"/>
        </w:rPr>
        <w:t xml:space="preserve"> equipped with models of dynamic stochastic general equilibrium</w:t>
      </w:r>
      <w:r w:rsidRPr="003C3FDD">
        <w:rPr>
          <w:rFonts w:ascii="Georgia" w:hAnsi="Georgia"/>
          <w:color w:val="222222"/>
          <w:sz w:val="14"/>
          <w:szCs w:val="26"/>
        </w:rPr>
        <w:t>. The symptoms of the Great Depression that he correctly diagnosed are back, though fortunately on a smaller scale: chronic unemployment, deflation, currency wars, and beggar-thy-neighbor economic policies. An essential and enduring insight of Keynes is that what works for a single family in hard times will not work for the global economy. One family whose breadwinner loses a job can and should cut back on spending to make ends meet. But everyone can’t do it at once when there’s generalized weakness because one person’s spending is another’s income. The more people cut back spending to increase their savings, the more the people they used to pay are forced to cut back their own spending, and so on in a downward spiral known as the Paradox of Thrift. Income shrinks so fast that savings fall instead of rise. The result: mass unemployment</w:t>
      </w:r>
      <w:proofErr w:type="gramStart"/>
      <w:r w:rsidRPr="003C3FDD">
        <w:rPr>
          <w:rFonts w:ascii="Georgia" w:hAnsi="Georgia"/>
          <w:color w:val="222222"/>
          <w:sz w:val="14"/>
          <w:szCs w:val="26"/>
        </w:rPr>
        <w:t>.</w:t>
      </w:r>
      <w:r w:rsidRPr="003C3FDD">
        <w:rPr>
          <w:rFonts w:ascii="Arial" w:hAnsi="Arial" w:cs="Arial"/>
          <w:color w:val="000000" w:themeColor="text1"/>
          <w:sz w:val="12"/>
          <w:szCs w:val="24"/>
        </w:rPr>
        <w:t>¶</w:t>
      </w:r>
      <w:proofErr w:type="gramEnd"/>
      <w:r w:rsidRPr="003C3FDD">
        <w:rPr>
          <w:rFonts w:ascii="Georgia" w:hAnsi="Georgia"/>
          <w:color w:val="222222"/>
          <w:sz w:val="14"/>
          <w:szCs w:val="26"/>
        </w:rPr>
        <w:t xml:space="preserve"> Now as then, </w:t>
      </w:r>
      <w:r w:rsidRPr="003C3FDD">
        <w:rPr>
          <w:rStyle w:val="StyleBoldUnderline"/>
        </w:rPr>
        <w:t>getting out of the doldrums will take concerted international action.</w:t>
      </w:r>
      <w:r w:rsidRPr="003C3FDD">
        <w:rPr>
          <w:rFonts w:ascii="Georgia" w:hAnsi="Georgia"/>
          <w:color w:val="222222"/>
          <w:sz w:val="14"/>
          <w:szCs w:val="26"/>
        </w:rPr>
        <w:t xml:space="preserve"> Any country that tries to stimulate growth alone is vulnerable to leakage; a lot of the buying power that it gins up gets spent on imports, so it doesn’t help domestic production or employment. Likewise, a country that wants to </w:t>
      </w:r>
      <w:proofErr w:type="gramStart"/>
      <w:r w:rsidRPr="003C3FDD">
        <w:rPr>
          <w:rFonts w:ascii="Georgia" w:hAnsi="Georgia"/>
          <w:color w:val="222222"/>
          <w:sz w:val="14"/>
          <w:szCs w:val="26"/>
        </w:rPr>
        <w:t>free-ride</w:t>
      </w:r>
      <w:proofErr w:type="gramEnd"/>
      <w:r w:rsidRPr="003C3FDD">
        <w:rPr>
          <w:rFonts w:ascii="Georgia" w:hAnsi="Georgia"/>
          <w:color w:val="222222"/>
          <w:sz w:val="14"/>
          <w:szCs w:val="26"/>
        </w:rPr>
        <w:t xml:space="preserve"> on its trading partners can cheapen its currency, allowing it to export more (and create jobs) while importing less (hurting employment abroad). </w:t>
      </w:r>
      <w:r w:rsidRPr="00BE7732">
        <w:rPr>
          <w:rStyle w:val="Emphasis"/>
          <w:highlight w:val="yellow"/>
        </w:rPr>
        <w:t>That’s the very definition of beggar-thy-neighbor economic policies</w:t>
      </w:r>
      <w:proofErr w:type="gramStart"/>
      <w:r w:rsidRPr="00BE7732">
        <w:rPr>
          <w:rStyle w:val="Emphasis"/>
          <w:highlight w:val="yellow"/>
        </w:rPr>
        <w:t>.</w:t>
      </w:r>
      <w:r w:rsidRPr="00BE7732">
        <w:rPr>
          <w:rStyle w:val="Emphasis"/>
          <w:b w:val="0"/>
          <w:sz w:val="12"/>
          <w:highlight w:val="yellow"/>
          <w:u w:val="none"/>
        </w:rPr>
        <w:t>¶</w:t>
      </w:r>
      <w:proofErr w:type="gramEnd"/>
      <w:r w:rsidRPr="00BE7732">
        <w:rPr>
          <w:rStyle w:val="Emphasis"/>
          <w:sz w:val="12"/>
          <w:highlight w:val="yellow"/>
        </w:rPr>
        <w:t xml:space="preserve"> </w:t>
      </w:r>
      <w:r w:rsidRPr="00BE7732">
        <w:rPr>
          <w:rStyle w:val="Emphasis"/>
          <w:highlight w:val="yellow"/>
        </w:rPr>
        <w:t>Keynes devised a solution for such behavior that he pressed for in his last years,</w:t>
      </w:r>
      <w:r w:rsidRPr="003C3FDD">
        <w:rPr>
          <w:rFonts w:ascii="Georgia" w:hAnsi="Georgia"/>
          <w:color w:val="222222"/>
          <w:sz w:val="14"/>
          <w:szCs w:val="26"/>
        </w:rPr>
        <w:t xml:space="preserve"> but he was defeated at a conference in Bretton Woods, N.H., in 1944 by his American counterpart, Harry Dexter White, a senior official at the Department of the Treasury. Keynes called for an “international clearing union” that would strive to keep trade and investment in rough balance</w:t>
      </w:r>
      <w:proofErr w:type="gramStart"/>
      <w:r w:rsidRPr="003C3FDD">
        <w:rPr>
          <w:rFonts w:ascii="Georgia" w:hAnsi="Georgia"/>
          <w:color w:val="222222"/>
          <w:sz w:val="14"/>
          <w:szCs w:val="26"/>
        </w:rPr>
        <w:t>.</w:t>
      </w:r>
      <w:r w:rsidRPr="003C3FDD">
        <w:rPr>
          <w:rFonts w:ascii="Georgia" w:hAnsi="Georgia"/>
          <w:color w:val="222222"/>
          <w:sz w:val="12"/>
          <w:szCs w:val="26"/>
        </w:rPr>
        <w:t>¶</w:t>
      </w:r>
      <w:proofErr w:type="gramEnd"/>
      <w:r w:rsidRPr="003C3FDD">
        <w:rPr>
          <w:rFonts w:ascii="Georgia" w:hAnsi="Georgia"/>
          <w:color w:val="222222"/>
          <w:sz w:val="14"/>
          <w:szCs w:val="26"/>
        </w:rPr>
        <w:t xml:space="preserve"> </w:t>
      </w:r>
      <w:r w:rsidRPr="00BE7732">
        <w:rPr>
          <w:rStyle w:val="Emphasis"/>
        </w:rPr>
        <w:t>The problem then, as now, is that creditor countries had all the power. They could demand that debtor nations pay interest on old loans instead of, say, feeding their children</w:t>
      </w:r>
      <w:r w:rsidRPr="00BE7732">
        <w:rPr>
          <w:rFonts w:ascii="Georgia" w:hAnsi="Georgia"/>
          <w:color w:val="222222"/>
          <w:sz w:val="14"/>
          <w:szCs w:val="26"/>
        </w:rPr>
        <w:t xml:space="preserve">. Debts must be honored, of course. </w:t>
      </w:r>
      <w:r w:rsidRPr="00BE7732">
        <w:rPr>
          <w:rStyle w:val="Emphasis"/>
          <w:highlight w:val="yellow"/>
        </w:rPr>
        <w:t>But Keynes understood that creditor countries have a part to play. They should give debtor countries some breathing room by buying more of their products and services</w:t>
      </w:r>
      <w:r w:rsidRPr="003C3FDD">
        <w:rPr>
          <w:rFonts w:ascii="Georgia" w:hAnsi="Georgia"/>
          <w:color w:val="222222"/>
          <w:sz w:val="14"/>
          <w:szCs w:val="26"/>
        </w:rPr>
        <w:t xml:space="preserve">. </w:t>
      </w:r>
      <w:r w:rsidRPr="003C3FDD">
        <w:rPr>
          <w:rStyle w:val="StyleBoldUnderline"/>
        </w:rPr>
        <w:t>Today that would mean Germans vacationing more in Mykonos and buying more port wine, giving the Greeks and Portuguese the euros they need to service their loans from German banks.</w:t>
      </w:r>
      <w:r w:rsidRPr="003C3FDD">
        <w:rPr>
          <w:rFonts w:ascii="Georgia" w:hAnsi="Georgia"/>
          <w:color w:val="222222"/>
          <w:sz w:val="14"/>
          <w:szCs w:val="26"/>
        </w:rPr>
        <w:t xml:space="preserve"> The concept was unarguable. But </w:t>
      </w:r>
      <w:r w:rsidRPr="00BE7732">
        <w:rPr>
          <w:rStyle w:val="StyleBoldUnderline"/>
          <w:highlight w:val="yellow"/>
        </w:rPr>
        <w:t>the U.S., running a trade surplus in 1944, had no interest in an international body that would tie its hands.</w:t>
      </w:r>
      <w:r w:rsidRPr="003C3FDD">
        <w:rPr>
          <w:rStyle w:val="StyleBoldUnderline"/>
        </w:rPr>
        <w:t xml:space="preserve"> (Today it’s Germany, sitting on a massive trade surplus, that doesn’t want to be told what to do.) The outcome was a less powerful organization, the International Monetary Fund, for aid to countries with balance-of-payments problems, and the World Bank, for promoting development in the poorest countries</w:t>
      </w:r>
      <w:proofErr w:type="gramStart"/>
      <w:r w:rsidRPr="003C3FDD">
        <w:rPr>
          <w:rStyle w:val="StyleBoldUnderline"/>
        </w:rPr>
        <w:t>.</w:t>
      </w:r>
      <w:r w:rsidRPr="003C3FDD">
        <w:rPr>
          <w:rStyle w:val="StyleBoldUnderline"/>
          <w:b w:val="0"/>
          <w:sz w:val="12"/>
          <w:u w:val="none"/>
        </w:rPr>
        <w:t>¶</w:t>
      </w:r>
      <w:proofErr w:type="gramEnd"/>
      <w:r w:rsidRPr="003C3FDD">
        <w:rPr>
          <w:rFonts w:ascii="Times" w:eastAsia="Times New Roman" w:hAnsi="Times"/>
          <w:sz w:val="14"/>
          <w:szCs w:val="20"/>
        </w:rPr>
        <w:t xml:space="preserve"> </w:t>
      </w:r>
    </w:p>
    <w:p w14:paraId="11F0E21A" w14:textId="77777777" w:rsidR="00155956" w:rsidRDefault="00155956" w:rsidP="008B2A5E">
      <w:pPr>
        <w:rPr>
          <w:rFonts w:ascii="Times" w:eastAsia="Times New Roman" w:hAnsi="Times"/>
          <w:sz w:val="14"/>
          <w:szCs w:val="20"/>
        </w:rPr>
      </w:pPr>
    </w:p>
    <w:p w14:paraId="611EBB3D" w14:textId="77777777" w:rsidR="00155956" w:rsidRDefault="00155956" w:rsidP="008B2A5E">
      <w:pPr>
        <w:rPr>
          <w:rFonts w:ascii="Times" w:eastAsia="Times New Roman" w:hAnsi="Times"/>
          <w:sz w:val="14"/>
          <w:szCs w:val="20"/>
        </w:rPr>
      </w:pPr>
    </w:p>
    <w:p w14:paraId="7DD7349E" w14:textId="77777777" w:rsidR="00CA3C28" w:rsidRDefault="00CA3C28" w:rsidP="00CA3C28">
      <w:pPr>
        <w:pStyle w:val="Heading4"/>
      </w:pPr>
      <w:r>
        <w:t>GROWTH IS A NECESSITY FOR EQUALITY AND STABILITY</w:t>
      </w:r>
    </w:p>
    <w:p w14:paraId="440A8A42" w14:textId="77777777" w:rsidR="00CA3C28" w:rsidRDefault="00CA3C28" w:rsidP="00CA3C28">
      <w:r>
        <w:t xml:space="preserve">J. </w:t>
      </w:r>
      <w:proofErr w:type="spellStart"/>
      <w:r>
        <w:t>Bradfold</w:t>
      </w:r>
      <w:proofErr w:type="spellEnd"/>
      <w:r>
        <w:t xml:space="preserve"> </w:t>
      </w:r>
      <w:r>
        <w:rPr>
          <w:b/>
        </w:rPr>
        <w:t xml:space="preserve">Delong 06, </w:t>
      </w:r>
      <w:proofErr w:type="spellStart"/>
      <w:r>
        <w:t>Janurary</w:t>
      </w:r>
      <w:proofErr w:type="spellEnd"/>
      <w:r>
        <w:t xml:space="preserve"> and February </w:t>
      </w:r>
      <w:r>
        <w:rPr>
          <w:b/>
        </w:rPr>
        <w:t xml:space="preserve">2006, </w:t>
      </w:r>
      <w:r w:rsidRPr="0056308D">
        <w:rPr>
          <w:iCs/>
          <w:color w:val="000000"/>
        </w:rPr>
        <w:t>82, Ph.D. ’87, professor of economics at the University of California at Berkeley, is at work on “The Economic History of the Twentieth Century: Slouching towards Utopia?</w:t>
      </w:r>
      <w:proofErr w:type="gramStart"/>
      <w:r w:rsidRPr="0056308D">
        <w:rPr>
          <w:iCs/>
          <w:color w:val="000000"/>
        </w:rPr>
        <w:t>”</w:t>
      </w:r>
      <w:r>
        <w:rPr>
          <w:iCs/>
          <w:color w:val="000000"/>
        </w:rPr>
        <w:t>,</w:t>
      </w:r>
      <w:proofErr w:type="gramEnd"/>
      <w:r>
        <w:rPr>
          <w:iCs/>
          <w:color w:val="000000"/>
        </w:rPr>
        <w:t xml:space="preserve"> Harvard Magazine, </w:t>
      </w:r>
      <w:hyperlink r:id="rId8" w:history="1">
        <w:r w:rsidRPr="0056308D">
          <w:rPr>
            <w:color w:val="0000FF"/>
            <w:u w:val="single"/>
          </w:rPr>
          <w:t>http://harvardmagazine.com/2006/01/growth-is-good.html</w:t>
        </w:r>
      </w:hyperlink>
    </w:p>
    <w:p w14:paraId="6366DF5D" w14:textId="77777777" w:rsidR="00CA3C28" w:rsidRDefault="00CA3C28" w:rsidP="00CA3C28">
      <w:pPr>
        <w:rPr>
          <w:rStyle w:val="Emphasis"/>
        </w:rPr>
      </w:pPr>
      <w:r w:rsidRPr="00CA3C28">
        <w:rPr>
          <w:rStyle w:val="Emphasis"/>
          <w:highlight w:val="yellow"/>
        </w:rPr>
        <w:t>Benjamin M. Friedman</w:t>
      </w:r>
      <w:r w:rsidRPr="0056308D">
        <w:rPr>
          <w:color w:val="000000"/>
        </w:rPr>
        <w:t xml:space="preserve"> ’66, </w:t>
      </w:r>
      <w:proofErr w:type="spellStart"/>
      <w:r w:rsidRPr="0056308D">
        <w:rPr>
          <w:color w:val="000000"/>
        </w:rPr>
        <w:t>Jf</w:t>
      </w:r>
      <w:proofErr w:type="spellEnd"/>
      <w:r w:rsidRPr="0056308D">
        <w:rPr>
          <w:color w:val="000000"/>
        </w:rPr>
        <w:t xml:space="preserve"> ’71, </w:t>
      </w:r>
      <w:r w:rsidRPr="00CA3C28">
        <w:rPr>
          <w:rStyle w:val="Emphasis"/>
          <w:highlight w:val="yellow"/>
        </w:rPr>
        <w:t>Ph.D.</w:t>
      </w:r>
      <w:r w:rsidRPr="0056308D">
        <w:rPr>
          <w:color w:val="000000"/>
        </w:rPr>
        <w:t xml:space="preserve"> ’71, </w:t>
      </w:r>
      <w:r w:rsidRPr="00CA3C28">
        <w:rPr>
          <w:rStyle w:val="Emphasis"/>
          <w:highlight w:val="yellow"/>
        </w:rPr>
        <w:t>Maier professor of political economy</w:t>
      </w:r>
      <w:r w:rsidRPr="0056308D">
        <w:rPr>
          <w:color w:val="000000"/>
        </w:rPr>
        <w:t xml:space="preserve">, now </w:t>
      </w:r>
      <w:r w:rsidRPr="00CA3C28">
        <w:rPr>
          <w:rStyle w:val="Emphasis"/>
          <w:highlight w:val="yellow"/>
        </w:rPr>
        <w:t>fills</w:t>
      </w:r>
      <w:r w:rsidRPr="00CA3C28">
        <w:rPr>
          <w:color w:val="000000"/>
          <w:highlight w:val="yellow"/>
        </w:rPr>
        <w:t xml:space="preserve"> in </w:t>
      </w:r>
      <w:r w:rsidRPr="00CA3C28">
        <w:rPr>
          <w:rStyle w:val="Emphasis"/>
          <w:highlight w:val="yellow"/>
        </w:rPr>
        <w:t>this gap</w:t>
      </w:r>
      <w:r w:rsidRPr="0056308D">
        <w:rPr>
          <w:color w:val="000000"/>
        </w:rPr>
        <w:t xml:space="preserve">: </w:t>
      </w:r>
      <w:r w:rsidRPr="0056308D">
        <w:rPr>
          <w:rStyle w:val="Emphasis"/>
        </w:rPr>
        <w:t>he makes a powerful argument that—politically and sociologically—modern society is a bicycle, with economic growth being the forward momentum that keeps the wheels spinning. As long as the wheels of a bicycle are spinning rapidly, it is a very stable vehicle indeed. But, he argues, when the wheels stop—even as the result of economic</w:t>
      </w:r>
      <w:r>
        <w:rPr>
          <w:rStyle w:val="Emphasis"/>
        </w:rPr>
        <w:t xml:space="preserve"> </w:t>
      </w:r>
      <w:r w:rsidRPr="0056308D">
        <w:rPr>
          <w:rStyle w:val="Emphasis"/>
        </w:rPr>
        <w:t>stagnation,</w:t>
      </w:r>
      <w:r>
        <w:rPr>
          <w:rStyle w:val="Emphasis"/>
        </w:rPr>
        <w:t xml:space="preserve"> </w:t>
      </w:r>
      <w:r w:rsidRPr="0056308D">
        <w:rPr>
          <w:rStyle w:val="Emphasis"/>
        </w:rPr>
        <w:t>rather than a downturn or a depression—political democracy, individual liberty, and social tolerance are then greatly at risk even in countries where the absolute level of material prosperity remains high.</w:t>
      </w:r>
      <w:r>
        <w:rPr>
          <w:rStyle w:val="Emphasis"/>
        </w:rPr>
        <w:t xml:space="preserve"> </w:t>
      </w:r>
      <w:r w:rsidRPr="0056308D">
        <w:rPr>
          <w:color w:val="000000"/>
        </w:rPr>
        <w:t xml:space="preserve">Friedman is not afraid to charge head-on at the major twentieth-century counterexample to his thesis: the Great Depression in the United States. Elsewhere in the world, that catastrophe offers no challenge to his point of view. </w:t>
      </w:r>
      <w:r w:rsidRPr="0056308D">
        <w:rPr>
          <w:rStyle w:val="Emphasis"/>
        </w:rPr>
        <w:t xml:space="preserve">Rising unemployment and declining incomes in Japan in the 1930s certainly played a role in the assassinations and silent coups by which that country went from a functioning constitutional monarchy with representative institutions in 1930 to a fascist military dictatorship in 1940—a dictatorship that, tied down in a quagmire of a land war in Asia as a result of its attack on China, thought it was a good idea to attack, and thus add to its enemies, the two superpowers of Britain and the United States. In </w:t>
      </w:r>
      <w:proofErr w:type="gramStart"/>
      <w:r w:rsidRPr="0056308D">
        <w:rPr>
          <w:rStyle w:val="Emphasis"/>
        </w:rPr>
        <w:t>western</w:t>
      </w:r>
      <w:proofErr w:type="gramEnd"/>
      <w:r w:rsidRPr="0056308D">
        <w:rPr>
          <w:rStyle w:val="Emphasis"/>
        </w:rPr>
        <w:t xml:space="preserve"> Europe the calculus is equally simple: no Great Depression, no Hitler.</w:t>
      </w:r>
      <w:r w:rsidRPr="0056308D">
        <w:rPr>
          <w:color w:val="000000"/>
        </w:rPr>
        <w:t xml:space="preserve"> The saddest book on my shelf is a 1928 volume called</w:t>
      </w:r>
      <w:r>
        <w:rPr>
          <w:color w:val="000000"/>
        </w:rPr>
        <w:t xml:space="preserve"> </w:t>
      </w:r>
      <w:r w:rsidRPr="0056308D">
        <w:rPr>
          <w:i/>
          <w:iCs/>
          <w:color w:val="000000"/>
        </w:rPr>
        <w:t>Republican Germany: An Economic and Political Survey,</w:t>
      </w:r>
      <w:r>
        <w:rPr>
          <w:color w:val="000000"/>
        </w:rPr>
        <w:t xml:space="preserve"> </w:t>
      </w:r>
      <w:r w:rsidRPr="0056308D">
        <w:rPr>
          <w:color w:val="000000"/>
        </w:rPr>
        <w:t>the thesis of which is that after a decade of post-World War I political turmoil, Germany had finally become a stable, legitimate, democratic republic. And only the fact that the Great Depression came and offered Hitler his opportunity made it wrong.</w:t>
      </w:r>
      <w:r>
        <w:rPr>
          <w:color w:val="000000"/>
        </w:rPr>
        <w:t xml:space="preserve"> </w:t>
      </w:r>
      <w:r w:rsidRPr="00CA3C28">
        <w:rPr>
          <w:rStyle w:val="Emphasis"/>
          <w:highlight w:val="yellow"/>
        </w:rPr>
        <w:t>Friedman has not written his version of economic history and moral philosophy just for the sake of antiquarians</w:t>
      </w:r>
      <w:r w:rsidRPr="0056308D">
        <w:rPr>
          <w:color w:val="000000"/>
        </w:rPr>
        <w:t xml:space="preserve"> like me </w:t>
      </w:r>
      <w:r w:rsidRPr="00CA3C28">
        <w:rPr>
          <w:rStyle w:val="Emphasis"/>
          <w:highlight w:val="yellow"/>
        </w:rPr>
        <w:t>who like to read about the strange and faraway places that are our own past. He takes historical patterns and draws from them immediate and powerful lessons for the present.</w:t>
      </w:r>
      <w:r>
        <w:rPr>
          <w:rStyle w:val="Emphasis"/>
        </w:rPr>
        <w:t xml:space="preserve"> </w:t>
      </w:r>
      <w:r w:rsidRPr="0056308D">
        <w:rPr>
          <w:color w:val="000000"/>
        </w:rPr>
        <w:t xml:space="preserve">Consider the United States today. </w:t>
      </w:r>
      <w:r w:rsidRPr="0056308D">
        <w:rPr>
          <w:rStyle w:val="Emphasis"/>
        </w:rPr>
        <w:t xml:space="preserve">For a generation now, the benefits of economic growth have been concentrated in those slots in American society that are at or near the top. </w:t>
      </w:r>
      <w:r w:rsidRPr="00CA3C28">
        <w:rPr>
          <w:rStyle w:val="Emphasis"/>
          <w:highlight w:val="yellow"/>
        </w:rPr>
        <w:t>To the extent that any of America’s working class is richer today in inflation-adjusted terms than the nation’s workers were in the early 1970s, it is because today’s households have fewer children and a greater proportion of their members out earning money. America’s middle class today does live better than the middle class lived in 1970</w:t>
      </w:r>
      <w:r w:rsidRPr="0056308D">
        <w:rPr>
          <w:rStyle w:val="Emphasis"/>
        </w:rPr>
        <w:t xml:space="preserve"> </w:t>
      </w:r>
      <w:r w:rsidRPr="0056308D">
        <w:rPr>
          <w:color w:val="000000"/>
        </w:rPr>
        <w:t xml:space="preserve">(and a bunch of the children of the 1970s working class are in today’s middle class). </w:t>
      </w:r>
      <w:r w:rsidRPr="00CA3C28">
        <w:rPr>
          <w:rStyle w:val="Emphasis"/>
          <w:highlight w:val="yellow"/>
        </w:rPr>
        <w:t>But today the gap between America’s middle class and its upper class yawns extremely wide</w:t>
      </w:r>
      <w:r w:rsidRPr="00A55D30">
        <w:rPr>
          <w:rStyle w:val="Emphasis"/>
        </w:rPr>
        <w:t>, at levels not seen since before the stock market crash of 1929.</w:t>
      </w:r>
    </w:p>
    <w:p w14:paraId="2BA32E09" w14:textId="77777777" w:rsidR="00642868" w:rsidRDefault="00642868" w:rsidP="00642868"/>
    <w:p w14:paraId="2E29E0B8" w14:textId="77777777" w:rsidR="00642868" w:rsidRDefault="00642868" w:rsidP="00642868"/>
    <w:p w14:paraId="179EB755" w14:textId="77777777" w:rsidR="00642868" w:rsidRDefault="00642868" w:rsidP="00642868"/>
    <w:p w14:paraId="3EEBEC1B" w14:textId="77777777" w:rsidR="00642868" w:rsidRDefault="00642868" w:rsidP="00642868">
      <w:pPr>
        <w:pStyle w:val="Heading2"/>
      </w:pPr>
      <w:r>
        <w:t>COUNTER ADVOCACY</w:t>
      </w:r>
    </w:p>
    <w:p w14:paraId="7BCD926F" w14:textId="77777777" w:rsidR="00642868" w:rsidRDefault="00642868" w:rsidP="00642868"/>
    <w:p w14:paraId="1877A93C" w14:textId="17C4B2B7" w:rsidR="00642868" w:rsidRDefault="00642868" w:rsidP="00642868">
      <w:pPr>
        <w:pStyle w:val="Heading4"/>
      </w:pPr>
      <w:r>
        <w:t xml:space="preserve">WE ADVOCATE THAT THE USFG SHOULD MANDATE THAT LOAN OFFICERS AND CREDIT </w:t>
      </w:r>
      <w:r w:rsidRPr="00790F56">
        <w:rPr>
          <w:u w:val="double"/>
        </w:rPr>
        <w:t>SCORING</w:t>
      </w:r>
      <w:r w:rsidR="00790F56" w:rsidRPr="00790F56">
        <w:rPr>
          <w:u w:val="double"/>
        </w:rPr>
        <w:t xml:space="preserve"> AND REPORTING</w:t>
      </w:r>
      <w:r>
        <w:t xml:space="preserve"> AGENCIES BE SUBJECT TO STRONGER PENALTIES FOR DISCRIMINATION BASED ON RACE AND/OR GENDER.</w:t>
      </w:r>
    </w:p>
    <w:p w14:paraId="41A40E7B" w14:textId="77777777" w:rsidR="00642868" w:rsidRDefault="00642868" w:rsidP="00642868"/>
    <w:p w14:paraId="4CB787AB" w14:textId="1D35824C" w:rsidR="00790F56" w:rsidRDefault="00790F56" w:rsidP="00790F56">
      <w:pPr>
        <w:pStyle w:val="Heading4"/>
      </w:pPr>
      <w:r>
        <w:t>AFF FAILS TO TAKE INTO ACCOUNT</w:t>
      </w:r>
      <w:r w:rsidRPr="0025468D">
        <w:t xml:space="preserve"> CREDIT REPORTS</w:t>
      </w:r>
      <w:r>
        <w:t>,</w:t>
      </w:r>
      <w:r w:rsidRPr="0025468D">
        <w:t xml:space="preserve"> WHICH INCLUDE MORE INFORMATION. </w:t>
      </w:r>
    </w:p>
    <w:p w14:paraId="37DC973E" w14:textId="77777777" w:rsidR="00790F56" w:rsidRDefault="00790F56" w:rsidP="00790F56"/>
    <w:p w14:paraId="24A3037C" w14:textId="77777777" w:rsidR="00790F56" w:rsidRPr="0025468D" w:rsidRDefault="00790F56" w:rsidP="00790F56">
      <w:r w:rsidRPr="0025468D">
        <w:t>Robert Berger, 4-22-2013, "Credit Report vs. Credit Score: Do You Know the Difference</w:t>
      </w:r>
      <w:proofErr w:type="gramStart"/>
      <w:r w:rsidRPr="0025468D">
        <w:t>?,</w:t>
      </w:r>
      <w:proofErr w:type="gramEnd"/>
      <w:r w:rsidRPr="0025468D">
        <w:t>" US News &amp;amp; World Report, http://money.usnews.com/money/blogs/my-money/2013/04/22/credit-report-vs-credit-score-do-you-know-the-difference</w:t>
      </w:r>
    </w:p>
    <w:p w14:paraId="1CC97D59" w14:textId="77777777" w:rsidR="00790F56" w:rsidRDefault="00790F56" w:rsidP="00790F56">
      <w:pPr>
        <w:pStyle w:val="Heading4"/>
        <w:rPr>
          <w:rStyle w:val="Emphasis"/>
        </w:rPr>
      </w:pPr>
    </w:p>
    <w:p w14:paraId="4D8DB3E6" w14:textId="77777777" w:rsidR="00790F56" w:rsidRDefault="00790F56" w:rsidP="00790F56">
      <w:pPr>
        <w:shd w:val="clear" w:color="auto" w:fill="FFFFFF"/>
        <w:spacing w:after="375" w:line="315" w:lineRule="atLeast"/>
      </w:pPr>
      <w:r w:rsidRPr="00240D9D">
        <w:rPr>
          <w:rFonts w:ascii="Arial" w:eastAsia="Times New Roman" w:hAnsi="Arial" w:cs="Arial"/>
          <w:color w:val="222222"/>
          <w:sz w:val="21"/>
          <w:szCs w:val="21"/>
          <w:shd w:val="clear" w:color="auto" w:fill="FFFFFF"/>
        </w:rPr>
        <w:t xml:space="preserve">Credit reports and scores remind me a lot of the Abbott and Costello act, “Who’s on First?” They can be rather confusing. But while “Who’s on First” is </w:t>
      </w:r>
      <w:proofErr w:type="gramStart"/>
      <w:r w:rsidRPr="00240D9D">
        <w:rPr>
          <w:rFonts w:ascii="Arial" w:eastAsia="Times New Roman" w:hAnsi="Arial" w:cs="Arial"/>
          <w:color w:val="222222"/>
          <w:sz w:val="21"/>
          <w:szCs w:val="21"/>
          <w:shd w:val="clear" w:color="auto" w:fill="FFFFFF"/>
        </w:rPr>
        <w:t>funny,</w:t>
      </w:r>
      <w:proofErr w:type="gramEnd"/>
      <w:r w:rsidRPr="00240D9D">
        <w:rPr>
          <w:rFonts w:ascii="Arial" w:eastAsia="Times New Roman" w:hAnsi="Arial" w:cs="Arial"/>
          <w:color w:val="222222"/>
          <w:sz w:val="21"/>
          <w:szCs w:val="21"/>
          <w:shd w:val="clear" w:color="auto" w:fill="FFFFFF"/>
        </w:rPr>
        <w:t xml:space="preserve"> confusing your credit report and credit scores is not. In fact, mistaking the two could end up costing you</w:t>
      </w:r>
      <w:proofErr w:type="gramStart"/>
      <w:r w:rsidRPr="00240D9D">
        <w:rPr>
          <w:rFonts w:ascii="Arial" w:eastAsia="Times New Roman" w:hAnsi="Arial" w:cs="Arial"/>
          <w:color w:val="222222"/>
          <w:sz w:val="21"/>
          <w:szCs w:val="21"/>
          <w:shd w:val="clear" w:color="auto" w:fill="FFFFFF"/>
        </w:rPr>
        <w:t>.</w:t>
      </w:r>
      <w:r w:rsidRPr="00240D9D">
        <w:rPr>
          <w:rFonts w:ascii="Times" w:eastAsia="Times New Roman" w:hAnsi="Times"/>
          <w:sz w:val="12"/>
          <w:szCs w:val="20"/>
        </w:rPr>
        <w:t>¶</w:t>
      </w:r>
      <w:proofErr w:type="gramEnd"/>
      <w:r w:rsidRPr="00240D9D">
        <w:rPr>
          <w:rFonts w:ascii="Times" w:eastAsia="Times New Roman" w:hAnsi="Times"/>
          <w:sz w:val="12"/>
          <w:szCs w:val="20"/>
        </w:rPr>
        <w:t xml:space="preserve"> </w:t>
      </w:r>
      <w:r w:rsidRPr="00D4774F">
        <w:rPr>
          <w:rStyle w:val="Emphasis"/>
          <w:highlight w:val="yellow"/>
        </w:rPr>
        <w:t xml:space="preserve">Not only are credit reports and </w:t>
      </w:r>
      <w:hyperlink r:id="rId9" w:history="1">
        <w:r w:rsidRPr="00D4774F">
          <w:rPr>
            <w:rStyle w:val="Emphasis"/>
            <w:highlight w:val="yellow"/>
          </w:rPr>
          <w:t>credit scores</w:t>
        </w:r>
      </w:hyperlink>
      <w:r w:rsidRPr="00D4774F">
        <w:rPr>
          <w:rStyle w:val="Emphasis"/>
          <w:highlight w:val="yellow"/>
        </w:rPr>
        <w:t>¶ different</w:t>
      </w:r>
      <w:r w:rsidRPr="00240D9D">
        <w:rPr>
          <w:rFonts w:ascii="Arial" w:eastAsia="Times New Roman" w:hAnsi="Arial" w:cs="Arial"/>
          <w:color w:val="222222"/>
          <w:sz w:val="21"/>
          <w:szCs w:val="21"/>
          <w:shd w:val="clear" w:color="auto" w:fill="FFFFFF"/>
        </w:rPr>
        <w:t xml:space="preserve">, they are often used for different purposes. However, because the two are directly related, </w:t>
      </w:r>
      <w:r w:rsidRPr="00240D9D">
        <w:rPr>
          <w:rStyle w:val="StyleBoldUnderline"/>
        </w:rPr>
        <w:t>it can be easy to confuse the two, their purpose and potential effects on your finances. So let’s sort out Who’s on first and What’s on second when it comes to credit reports and scores</w:t>
      </w:r>
      <w:proofErr w:type="gramStart"/>
      <w:r w:rsidRPr="00240D9D">
        <w:rPr>
          <w:rStyle w:val="StyleBoldUnderline"/>
        </w:rPr>
        <w:t>.</w:t>
      </w:r>
      <w:r w:rsidRPr="00240D9D">
        <w:rPr>
          <w:rFonts w:ascii="Arial" w:eastAsiaTheme="minorEastAsia" w:hAnsi="Arial" w:cs="Arial"/>
          <w:color w:val="222222"/>
          <w:sz w:val="12"/>
          <w:szCs w:val="21"/>
        </w:rPr>
        <w:t>¶</w:t>
      </w:r>
      <w:proofErr w:type="gramEnd"/>
      <w:r w:rsidRPr="00240D9D">
        <w:rPr>
          <w:rFonts w:ascii="Arial" w:eastAsiaTheme="minorEastAsia" w:hAnsi="Arial" w:cs="Arial"/>
          <w:color w:val="222222"/>
          <w:sz w:val="12"/>
          <w:szCs w:val="21"/>
        </w:rPr>
        <w:t xml:space="preserve"> </w:t>
      </w:r>
      <w:r w:rsidRPr="00240D9D">
        <w:t xml:space="preserve">What is a credit report? </w:t>
      </w:r>
      <w:r w:rsidRPr="00D4774F">
        <w:rPr>
          <w:rStyle w:val="Emphasis"/>
          <w:highlight w:val="yellow"/>
        </w:rPr>
        <w:t>Your credit report contains information detailing your credit history</w:t>
      </w:r>
      <w:r w:rsidRPr="00AD60C7">
        <w:rPr>
          <w:rStyle w:val="Emphasis"/>
        </w:rPr>
        <w:t xml:space="preserve">. </w:t>
      </w:r>
      <w:r w:rsidRPr="00D4774F">
        <w:rPr>
          <w:rStyle w:val="Emphasis"/>
          <w:highlight w:val="yellow"/>
        </w:rPr>
        <w:t>This information can come from a number of sources, including lenders, utility companies and landlords</w:t>
      </w:r>
      <w:r w:rsidRPr="00AD60C7">
        <w:rPr>
          <w:rStyle w:val="Emphasis"/>
        </w:rPr>
        <w:t xml:space="preserve">. This </w:t>
      </w:r>
      <w:r w:rsidRPr="00D4774F">
        <w:rPr>
          <w:rStyle w:val="Emphasis"/>
          <w:highlight w:val="yellow"/>
        </w:rPr>
        <w:t xml:space="preserve">information is compiled by one of three major credit-reporting agencies: Equifax, Experian and </w:t>
      </w:r>
      <w:proofErr w:type="spellStart"/>
      <w:r w:rsidRPr="00D4774F">
        <w:rPr>
          <w:rStyle w:val="Emphasis"/>
          <w:highlight w:val="yellow"/>
        </w:rPr>
        <w:t>TransUnion</w:t>
      </w:r>
      <w:proofErr w:type="spellEnd"/>
      <w:r w:rsidRPr="00AD60C7">
        <w:rPr>
          <w:rStyle w:val="Emphasis"/>
        </w:rPr>
        <w:t>. These companies try to compile an accurate picture of your financial history</w:t>
      </w:r>
      <w:r w:rsidRPr="00240D9D">
        <w:t xml:space="preserve">. Credit files include information such as: • </w:t>
      </w:r>
      <w:r w:rsidRPr="00AD60C7">
        <w:rPr>
          <w:rStyle w:val="Emphasis"/>
        </w:rPr>
        <w:t xml:space="preserve">Name, address and social security number • Types of credit you use • When you opened a loan or line of credit • The balances and available credit on your credit cards and other lines of credit • </w:t>
      </w:r>
      <w:r w:rsidRPr="00D4774F">
        <w:rPr>
          <w:rStyle w:val="Emphasis"/>
          <w:highlight w:val="yellow"/>
        </w:rPr>
        <w:t>Information about whether you pay your bills on time</w:t>
      </w:r>
      <w:r w:rsidRPr="00AD60C7">
        <w:rPr>
          <w:rStyle w:val="Emphasis"/>
        </w:rPr>
        <w:t xml:space="preserve"> • Information about any accounts passed to a collection’s agency • How much new credit you’ve opened recently • </w:t>
      </w:r>
      <w:r w:rsidRPr="00D4774F">
        <w:rPr>
          <w:rStyle w:val="Emphasis"/>
          <w:highlight w:val="yellow"/>
        </w:rPr>
        <w:t>Records related to bankruptcy, tax liens or court judgments</w:t>
      </w:r>
      <w:r w:rsidRPr="00AD60C7">
        <w:rPr>
          <w:rStyle w:val="Emphasis"/>
        </w:rPr>
        <w:t xml:space="preserve"> </w:t>
      </w:r>
      <w:r w:rsidRPr="00AD60C7">
        <w:rPr>
          <w:rStyle w:val="StyleBoldUnderline"/>
        </w:rPr>
        <w:t>While the credit-reporting agencies do their best to keep your record free of errors, slip-ups do happen.</w:t>
      </w:r>
      <w:r w:rsidRPr="00240D9D">
        <w:t xml:space="preserve"> That’s why it’s important to check your credit report at least once a year (consumers are entitled to one free credit report every 12 months, available at AnnualCreditReport.com) to ensure all of the information is correct. </w:t>
      </w:r>
      <w:r w:rsidRPr="00AD60C7">
        <w:rPr>
          <w:rStyle w:val="Emphasis"/>
        </w:rPr>
        <w:t xml:space="preserve">Keep in mind that each agency may have slightly different information and, consequently, </w:t>
      </w:r>
      <w:hyperlink r:id="rId10" w:history="1">
        <w:r w:rsidRPr="00AD60C7">
          <w:rPr>
            <w:rStyle w:val="Emphasis"/>
          </w:rPr>
          <w:t>may have errors</w:t>
        </w:r>
      </w:hyperlink>
      <w:r w:rsidRPr="00AD60C7">
        <w:rPr>
          <w:rStyle w:val="Emphasis"/>
        </w:rPr>
        <w:t xml:space="preserve"> another credit report doesn’t</w:t>
      </w:r>
      <w:r w:rsidRPr="00240D9D">
        <w:t xml:space="preserve">. </w:t>
      </w:r>
      <w:r w:rsidRPr="00AD60C7">
        <w:rPr>
          <w:rStyle w:val="StyleBoldUnderline"/>
        </w:rPr>
        <w:t>It’s important to know, however, your credit report does not include your three-digit credit score.</w:t>
      </w:r>
      <w:r w:rsidRPr="00240D9D">
        <w:t xml:space="preserve"> What is a credit score? </w:t>
      </w:r>
      <w:hyperlink r:id="rId11" w:history="1">
        <w:r w:rsidRPr="00240D9D">
          <w:t>Your credit score</w:t>
        </w:r>
      </w:hyperlink>
      <w:r w:rsidRPr="00240D9D">
        <w:t xml:space="preserve"> is the actual numerical value assigned to the information in your credit report. A credit-reporting bureau applies a complex (and proprietary) mathematical algorithm to the information in your credit file to generate your numerical credit score. While there are numerous credit-scoring formulas, FICO is the most-widely known and used by many creditors. Your FICO score can range from 300 to 850, with under 400 being quite low and </w:t>
      </w:r>
      <w:hyperlink r:id="rId12" w:history="1">
        <w:r w:rsidRPr="00240D9D">
          <w:t>700+</w:t>
        </w:r>
      </w:hyperlink>
      <w:r w:rsidRPr="00240D9D">
        <w:t xml:space="preserve"> putting you in the healthy range. Your credit score is meant to give potential lenders an idea of how big of a financial risk you are. In their eyes, the higher your score, the less likely you are to default or make late payments</w:t>
      </w:r>
      <w:r>
        <w:t xml:space="preserve">. </w:t>
      </w:r>
      <w:r w:rsidRPr="00AD60C7">
        <w:rPr>
          <w:rStyle w:val="Emphasis"/>
        </w:rPr>
        <w:t>Credit-scoring algorithms calculate this likelihood by weighing certain items that are more likely to predict future delinquency</w:t>
      </w:r>
      <w:r w:rsidRPr="00240D9D">
        <w:t>. With FICO’s, for example, your past payment history makes up 35 percent of your score. Recent late or missed payments on a credit card lower your credit score. What else goes into your FICO score, and how much does it affect your score? Here’s a quick breakdown</w:t>
      </w:r>
      <w:proofErr w:type="gramStart"/>
      <w:r w:rsidRPr="00240D9D">
        <w:t>:•</w:t>
      </w:r>
      <w:proofErr w:type="gramEnd"/>
      <w:r w:rsidRPr="00240D9D">
        <w:t xml:space="preserve"> Debt amounts (especially on revolving lines of credit): 30 percent • Length of credit history: 15 percent • Credit mix (having a blend of account types is good): 10 percent • New credit: 10 percent Unlike your credit report, you can’t always get your credit score for free. When you order a free credit report, you’ll usually have an option to buy your numerical credit score for $7 to $12. There are services, such as Credit Karma, that will provide you with a credit score for free, but this number is only an estimate—it’s not necessarily the credit score FICO and other agencies may have. What are they used for? If you apply for a loan, the lender will most likely pull your credit score. (This causes a “hard inquiry” on your credit, which slightly lowers your credit score.)</w:t>
      </w:r>
      <w:r>
        <w:t xml:space="preserve"> </w:t>
      </w:r>
      <w:r w:rsidRPr="00240D9D">
        <w:t xml:space="preserve">Lenders glance at your credit score to determine your credit risk. Most lenders, in fact, have pre-set standards. If your credit score is within a certain range, they’ll offer you certain credit terms, all other things being equal. While lenders will pull your actual credit score, your credit report may be used for other purposes. For instance, potential employers can pull a copy of your credit report (with your permission). Often, they’ll look to see if you’re responsible with your finances, which may mean you’ll be more responsible on the job.  </w:t>
      </w:r>
      <w:proofErr w:type="gramStart"/>
      <w:r w:rsidRPr="00240D9D">
        <w:t>The bottom line.</w:t>
      </w:r>
      <w:proofErr w:type="gramEnd"/>
      <w:r w:rsidRPr="00240D9D">
        <w:t xml:space="preserve"> Now that you know the difference between your credit </w:t>
      </w:r>
      <w:proofErr w:type="gramStart"/>
      <w:r w:rsidRPr="00240D9D">
        <w:t>report</w:t>
      </w:r>
      <w:proofErr w:type="gramEnd"/>
      <w:r w:rsidRPr="00240D9D">
        <w:t xml:space="preserve"> and credit score, take steps to improve both. Check your credit report regularly for errors, </w:t>
      </w:r>
      <w:hyperlink r:id="rId13" w:history="1">
        <w:r w:rsidRPr="00240D9D">
          <w:t>make all your payments on time</w:t>
        </w:r>
      </w:hyperlink>
      <w:r w:rsidRPr="00240D9D">
        <w:t xml:space="preserve"> and avoid maxing out those credit cards.</w:t>
      </w:r>
    </w:p>
    <w:p w14:paraId="5CD379FE" w14:textId="0F46D857" w:rsidR="00790F56" w:rsidRDefault="00790F56" w:rsidP="00790F56">
      <w:pPr>
        <w:pStyle w:val="Heading4"/>
      </w:pPr>
      <w:r>
        <w:t xml:space="preserve">The world that is advocated by the </w:t>
      </w:r>
      <w:proofErr w:type="spellStart"/>
      <w:r>
        <w:t>Aff</w:t>
      </w:r>
      <w:proofErr w:type="spellEnd"/>
      <w:r>
        <w:t xml:space="preserve"> is even more racist because comp</w:t>
      </w:r>
      <w:r w:rsidR="00D67D7B">
        <w:t>anies will turn to credit reports</w:t>
      </w:r>
      <w:r>
        <w:t xml:space="preserve"> which leave more room for </w:t>
      </w:r>
      <w:r w:rsidR="00D67D7B">
        <w:t>interpretation which will be used as a lame excuse when in reality the decision is based on race</w:t>
      </w:r>
    </w:p>
    <w:p w14:paraId="10534583" w14:textId="77777777" w:rsidR="00790F56" w:rsidRDefault="00790F56" w:rsidP="00790F56"/>
    <w:p w14:paraId="659E7161" w14:textId="0A707853" w:rsidR="00790F56" w:rsidRPr="00790F56" w:rsidRDefault="00790F56" w:rsidP="00790F56">
      <w:pPr>
        <w:pStyle w:val="Heading4"/>
      </w:pPr>
      <w:r>
        <w:t xml:space="preserve">Vote </w:t>
      </w:r>
      <w:proofErr w:type="spellStart"/>
      <w:r>
        <w:t>neg</w:t>
      </w:r>
      <w:proofErr w:type="spellEnd"/>
      <w:r>
        <w:t xml:space="preserve"> to effectively reduce racism and solve for credit </w:t>
      </w:r>
      <w:proofErr w:type="gramStart"/>
      <w:r>
        <w:t xml:space="preserve">scores </w:t>
      </w:r>
      <w:bookmarkStart w:id="0" w:name="_GoBack"/>
      <w:bookmarkEnd w:id="0"/>
      <w:r>
        <w:t>which</w:t>
      </w:r>
      <w:proofErr w:type="gramEnd"/>
      <w:r>
        <w:t xml:space="preserve"> are the true flaw in the system.</w:t>
      </w:r>
    </w:p>
    <w:p w14:paraId="37FBE9E7" w14:textId="77777777" w:rsidR="00790F56" w:rsidRPr="0025468D" w:rsidRDefault="00790F56" w:rsidP="00790F56"/>
    <w:p w14:paraId="6091996B" w14:textId="77777777" w:rsidR="00790F56" w:rsidRDefault="00790F56" w:rsidP="00642868"/>
    <w:p w14:paraId="4DCC5A8D" w14:textId="77777777" w:rsidR="00642868" w:rsidRDefault="00642868" w:rsidP="00642868"/>
    <w:p w14:paraId="33BAB335" w14:textId="77777777" w:rsidR="00642868" w:rsidRDefault="00642868" w:rsidP="00642868"/>
    <w:p w14:paraId="1C79C5E2" w14:textId="77777777" w:rsidR="00240D9D" w:rsidRDefault="00240D9D" w:rsidP="00642868"/>
    <w:p w14:paraId="4341AD13" w14:textId="77777777" w:rsidR="00790F56" w:rsidRPr="00642868" w:rsidRDefault="00790F56" w:rsidP="00790F56">
      <w:pPr>
        <w:pStyle w:val="Heading2"/>
      </w:pPr>
      <w:r>
        <w:t xml:space="preserve">SOLVENCY </w:t>
      </w:r>
    </w:p>
    <w:p w14:paraId="499987FF" w14:textId="77777777" w:rsidR="00790F56" w:rsidRPr="0009091D" w:rsidRDefault="00790F56" w:rsidP="00790F56"/>
    <w:p w14:paraId="2203102A" w14:textId="77777777" w:rsidR="00790F56" w:rsidRDefault="00790F56" w:rsidP="00790F56"/>
    <w:p w14:paraId="6A8FDC85" w14:textId="77777777" w:rsidR="00790F56" w:rsidRDefault="00790F56" w:rsidP="00790F56"/>
    <w:p w14:paraId="2C0BBC2D" w14:textId="77777777" w:rsidR="00790F56" w:rsidRPr="00656A95" w:rsidRDefault="00790F56" w:rsidP="00790F56">
      <w:pPr>
        <w:pStyle w:val="Heading4"/>
      </w:pPr>
      <w:r w:rsidRPr="00656A95">
        <w:t>Credit regulations prevent racism by requiring a business reason for denying a loan</w:t>
      </w:r>
    </w:p>
    <w:p w14:paraId="593EC65D" w14:textId="77777777" w:rsidR="00790F56" w:rsidRDefault="00790F56" w:rsidP="00790F56"/>
    <w:p w14:paraId="584CCA94" w14:textId="77777777" w:rsidR="00790F56" w:rsidRPr="00656A95" w:rsidRDefault="00790F56" w:rsidP="00790F56">
      <w:pPr>
        <w:rPr>
          <w:rStyle w:val="StyleStyleBold12pt"/>
        </w:rPr>
      </w:pPr>
      <w:proofErr w:type="spellStart"/>
      <w:r w:rsidRPr="00656A95">
        <w:rPr>
          <w:rStyle w:val="StyleStyleBold12pt"/>
        </w:rPr>
        <w:t>Mester</w:t>
      </w:r>
      <w:proofErr w:type="spellEnd"/>
      <w:r w:rsidRPr="00656A95">
        <w:rPr>
          <w:rStyle w:val="StyleStyleBold12pt"/>
        </w:rPr>
        <w:t>, Loretta J. Executive Vice President and Director of Research, Federal Reserve Bank of Philadelphia¶ "What’s the point of credit scoring</w:t>
      </w:r>
      <w:proofErr w:type="gramStart"/>
      <w:r w:rsidRPr="00656A95">
        <w:rPr>
          <w:rStyle w:val="StyleStyleBold12pt"/>
        </w:rPr>
        <w:t>?.</w:t>
      </w:r>
      <w:proofErr w:type="gramEnd"/>
      <w:r w:rsidRPr="00656A95">
        <w:rPr>
          <w:rStyle w:val="StyleStyleBold12pt"/>
        </w:rPr>
        <w:t xml:space="preserve">" </w:t>
      </w:r>
      <w:proofErr w:type="gramStart"/>
      <w:r w:rsidRPr="00656A95">
        <w:rPr>
          <w:rStyle w:val="StyleStyleBold12pt"/>
        </w:rPr>
        <w:t>Business review 3 (1997): 3-16.</w:t>
      </w:r>
      <w:proofErr w:type="gramEnd"/>
    </w:p>
    <w:p w14:paraId="15048615" w14:textId="77777777" w:rsidR="00790F56" w:rsidRPr="00656A95" w:rsidRDefault="00790F56" w:rsidP="00790F56"/>
    <w:p w14:paraId="65CC70AD" w14:textId="77777777" w:rsidR="00790F56" w:rsidRDefault="00790F56" w:rsidP="00790F56">
      <w:pPr>
        <w:widowControl w:val="0"/>
        <w:autoSpaceDE w:val="0"/>
        <w:autoSpaceDN w:val="0"/>
        <w:adjustRightInd w:val="0"/>
        <w:spacing w:after="240"/>
        <w:rPr>
          <w:rStyle w:val="Emphasis"/>
        </w:rPr>
      </w:pPr>
      <w:r>
        <w:rPr>
          <w:rFonts w:ascii="Palatino" w:eastAsiaTheme="minorEastAsia" w:hAnsi="Palatino" w:cs="Palatino"/>
          <w:sz w:val="26"/>
          <w:szCs w:val="26"/>
        </w:rPr>
        <w:t xml:space="preserve">Credit scoring has some obvious benefits that have led to its increasing use in loan evaluation. First, </w:t>
      </w:r>
      <w:r w:rsidRPr="00656A95">
        <w:rPr>
          <w:rStyle w:val="StyleUnderline"/>
        </w:rPr>
        <w:t>scoring greatly reduces the time needed in the loan approval process.</w:t>
      </w:r>
      <w:r>
        <w:rPr>
          <w:rFonts w:ascii="Palatino" w:eastAsiaTheme="minorEastAsia" w:hAnsi="Palatino" w:cs="Palatino"/>
          <w:sz w:val="26"/>
          <w:szCs w:val="26"/>
        </w:rPr>
        <w:t xml:space="preserve"> A </w:t>
      </w:r>
      <w:r w:rsidRPr="00656A95">
        <w:rPr>
          <w:rStyle w:val="StyleBoldUnderline"/>
        </w:rPr>
        <w:t>study by the Business Banking Board found that the traditional loan approval process averages about 12-1/2 hours per small-business loan, and in the past, lenders have taken up to two weeks to process a loan</w:t>
      </w:r>
      <w:r>
        <w:rPr>
          <w:rFonts w:ascii="Palatino" w:eastAsiaTheme="minorEastAsia" w:hAnsi="Palatino" w:cs="Palatino"/>
          <w:sz w:val="26"/>
          <w:szCs w:val="26"/>
        </w:rPr>
        <w:t xml:space="preserve"> (Allen). Credit scoring can reduce this time to well under an hour, al- though the time savings will vary depending on whether the bank adheres strictly to the credit score cutoff or whether it reevaluates applications with scores near the cutoff. For example, Kevin Leonard’s study of a Canadian bank found that the approval time for consumer loan applications averaged nine days before the bank started using scoring, but three days after scoring had been in use for 18 months. Barnett Bank reports a decrease from three or four weeks’ processing time for a small-business loan application before scoring to a few hours with scoring (Lawson). This </w:t>
      </w:r>
      <w:proofErr w:type="gramStart"/>
      <w:r>
        <w:rPr>
          <w:rFonts w:ascii="Palatino" w:eastAsiaTheme="minorEastAsia" w:hAnsi="Palatino" w:cs="Palatino"/>
          <w:sz w:val="26"/>
          <w:szCs w:val="26"/>
        </w:rPr>
        <w:t>time savings</w:t>
      </w:r>
      <w:proofErr w:type="gramEnd"/>
      <w:r>
        <w:rPr>
          <w:rFonts w:ascii="Palatino" w:eastAsiaTheme="minorEastAsia" w:hAnsi="Palatino" w:cs="Palatino"/>
          <w:sz w:val="26"/>
          <w:szCs w:val="26"/>
        </w:rPr>
        <w:t xml:space="preserve"> means cost savings to the bank and benefits the customer as well. </w:t>
      </w:r>
      <w:r w:rsidRPr="00D4774F">
        <w:rPr>
          <w:rStyle w:val="Emphasis"/>
          <w:highlight w:val="yellow"/>
        </w:rPr>
        <w:t>Customers need to provide only the information used in the scoring system, so applications can be shorter</w:t>
      </w:r>
      <w:r w:rsidRPr="00656A95">
        <w:rPr>
          <w:rStyle w:val="Emphasis"/>
        </w:rPr>
        <w:t>. And the scoring systems themselves are not prohibitively expensive: the price per loan of a commercially available credit scoring model averages about $1.50 to $10 per loan</w:t>
      </w:r>
      <w:r>
        <w:rPr>
          <w:rFonts w:ascii="Palatino" w:eastAsiaTheme="minorEastAsia" w:hAnsi="Palatino" w:cs="Palatino"/>
          <w:sz w:val="26"/>
          <w:szCs w:val="26"/>
        </w:rPr>
        <w:t>, depending on volume (</w:t>
      </w:r>
      <w:proofErr w:type="spellStart"/>
      <w:r>
        <w:rPr>
          <w:rFonts w:ascii="Palatino" w:eastAsiaTheme="minorEastAsia" w:hAnsi="Palatino" w:cs="Palatino"/>
          <w:sz w:val="26"/>
          <w:szCs w:val="26"/>
        </w:rPr>
        <w:t>Muolo</w:t>
      </w:r>
      <w:proofErr w:type="spellEnd"/>
      <w:r>
        <w:rPr>
          <w:rFonts w:ascii="Palatino" w:eastAsiaTheme="minorEastAsia" w:hAnsi="Palatino" w:cs="Palatino"/>
          <w:sz w:val="26"/>
          <w:szCs w:val="26"/>
        </w:rPr>
        <w:t>). Even if a bank does not want to depend solely on credit scoring for making its credit decisions, scoring can increase efficiency by allowing loan officers to concentrate on the less clear-cut cases.</w:t>
      </w:r>
      <w:r>
        <w:rPr>
          <w:rFonts w:ascii="Palatino" w:eastAsiaTheme="minorEastAsia" w:hAnsi="Palatino" w:cs="Palatino"/>
          <w:position w:val="8"/>
          <w:sz w:val="16"/>
          <w:szCs w:val="16"/>
        </w:rPr>
        <w:t xml:space="preserve">8 </w:t>
      </w:r>
      <w:r w:rsidRPr="00D4774F">
        <w:rPr>
          <w:rStyle w:val="Emphasis"/>
          <w:highlight w:val="yellow"/>
        </w:rPr>
        <w:t>Another benefit of credit scoring is improved objectivity</w:t>
      </w:r>
      <w:r w:rsidRPr="00656A95">
        <w:rPr>
          <w:rStyle w:val="Emphasis"/>
        </w:rPr>
        <w:t xml:space="preserve"> in the loan approval process</w:t>
      </w:r>
      <w:r>
        <w:rPr>
          <w:rFonts w:ascii="Palatino" w:eastAsiaTheme="minorEastAsia" w:hAnsi="Palatino" w:cs="Palatino"/>
          <w:sz w:val="26"/>
          <w:szCs w:val="26"/>
        </w:rPr>
        <w:t xml:space="preserve">. </w:t>
      </w:r>
      <w:r w:rsidRPr="00656A95">
        <w:rPr>
          <w:rStyle w:val="Emphasis"/>
        </w:rPr>
        <w:t xml:space="preserve">This </w:t>
      </w:r>
      <w:r w:rsidRPr="00D4774F">
        <w:rPr>
          <w:rStyle w:val="Emphasis"/>
          <w:highlight w:val="yellow"/>
        </w:rPr>
        <w:t>objectivity helps lenders ensure they are applying the same underwriting criteria to all borrowers regardless of race, gender, or other factors prohibited by law from being used in credit decisions</w:t>
      </w:r>
      <w:r w:rsidRPr="00656A95">
        <w:rPr>
          <w:rStyle w:val="Emphasis"/>
        </w:rPr>
        <w:t xml:space="preserve"> </w:t>
      </w:r>
      <w:r>
        <w:rPr>
          <w:rFonts w:ascii="Palatino" w:eastAsiaTheme="minorEastAsia" w:hAnsi="Palatino" w:cs="Palatino"/>
          <w:sz w:val="26"/>
          <w:szCs w:val="26"/>
        </w:rPr>
        <w:t xml:space="preserve">(see </w:t>
      </w:r>
      <w:r>
        <w:rPr>
          <w:rFonts w:ascii="Palatino" w:eastAsiaTheme="minorEastAsia" w:hAnsi="Palatino" w:cs="Palatino"/>
          <w:i/>
          <w:iCs/>
          <w:sz w:val="26"/>
          <w:szCs w:val="26"/>
        </w:rPr>
        <w:t>Credit Scoring and Regulation B</w:t>
      </w:r>
      <w:r w:rsidRPr="00656A95">
        <w:rPr>
          <w:rStyle w:val="Emphasis"/>
        </w:rPr>
        <w:t>). Bank regulators require that the factors in a scoring model have some fundamental relationship with creditworthiness</w:t>
      </w:r>
      <w:r>
        <w:rPr>
          <w:rFonts w:ascii="Palatino" w:eastAsiaTheme="minorEastAsia" w:hAnsi="Palatino" w:cs="Palatino"/>
          <w:sz w:val="26"/>
          <w:szCs w:val="26"/>
        </w:rPr>
        <w:t xml:space="preserve">. Even if a factor is not explicitly banned, </w:t>
      </w:r>
      <w:r w:rsidRPr="00D4774F">
        <w:rPr>
          <w:rStyle w:val="Emphasis"/>
          <w:highlight w:val="yellow"/>
        </w:rPr>
        <w:t>if it has a disparate impact on borrowers of a certain race or gender or with respect to some other prohibited characteristic, the lender needs to show there is a business reason for using the factor and there is no equally effective way of making the credit decision that has less of a disparate impact.</w:t>
      </w:r>
      <w:r w:rsidRPr="00656A95">
        <w:rPr>
          <w:rStyle w:val="Emphasis"/>
        </w:rPr>
        <w:t xml:space="preserve"> </w:t>
      </w:r>
    </w:p>
    <w:p w14:paraId="6F0B9375" w14:textId="77777777" w:rsidR="00790F56" w:rsidRDefault="00790F56" w:rsidP="00790F56">
      <w:pPr>
        <w:widowControl w:val="0"/>
        <w:autoSpaceDE w:val="0"/>
        <w:autoSpaceDN w:val="0"/>
        <w:adjustRightInd w:val="0"/>
        <w:spacing w:after="240"/>
        <w:rPr>
          <w:rStyle w:val="Emphasis"/>
        </w:rPr>
      </w:pPr>
    </w:p>
    <w:p w14:paraId="2A24DDF3" w14:textId="6D147911" w:rsidR="00790F56" w:rsidRPr="00D67D7B" w:rsidRDefault="00790F56" w:rsidP="00D67D7B">
      <w:pPr>
        <w:pStyle w:val="Heading4"/>
        <w:rPr>
          <w:rStyle w:val="StyleStyleBold12pt"/>
          <w:b/>
          <w:sz w:val="40"/>
          <w:szCs w:val="40"/>
        </w:rPr>
      </w:pPr>
      <w:r w:rsidRPr="00D67D7B">
        <w:rPr>
          <w:rStyle w:val="StyleStyleBold12pt"/>
          <w:b/>
          <w:sz w:val="40"/>
          <w:szCs w:val="40"/>
        </w:rPr>
        <w:t xml:space="preserve">Credit Scoring was designed to stop loan discrimination </w:t>
      </w:r>
      <w:r w:rsidR="00D4774F" w:rsidRPr="00D67D7B">
        <w:rPr>
          <w:rStyle w:val="StyleStyleBold12pt"/>
          <w:b/>
          <w:sz w:val="40"/>
          <w:szCs w:val="40"/>
        </w:rPr>
        <w:t>and stops the previous more racist structures.</w:t>
      </w:r>
    </w:p>
    <w:p w14:paraId="6140E5DC" w14:textId="77777777" w:rsidR="00790F56" w:rsidRPr="008B2A5E" w:rsidRDefault="00790F56" w:rsidP="00790F56">
      <w:pPr>
        <w:widowControl w:val="0"/>
        <w:autoSpaceDE w:val="0"/>
        <w:autoSpaceDN w:val="0"/>
        <w:adjustRightInd w:val="0"/>
        <w:spacing w:after="240"/>
        <w:rPr>
          <w:rStyle w:val="StyleStyleBold12pt"/>
        </w:rPr>
      </w:pPr>
      <w:r w:rsidRPr="008B2A5E">
        <w:rPr>
          <w:rStyle w:val="StyleStyleBold12pt"/>
        </w:rPr>
        <w:t xml:space="preserve">Andrew </w:t>
      </w:r>
      <w:proofErr w:type="spellStart"/>
      <w:r w:rsidRPr="008B2A5E">
        <w:rPr>
          <w:rStyle w:val="StyleStyleBold12pt"/>
        </w:rPr>
        <w:t>Leyshon</w:t>
      </w:r>
      <w:proofErr w:type="spellEnd"/>
      <w:r w:rsidRPr="008B2A5E">
        <w:rPr>
          <w:rStyle w:val="StyleStyleBold12pt"/>
        </w:rPr>
        <w:t>, Et Al., 12-22-2006, "‘Lending by numbers’: credit scoring and the constitution of risk within American consumer credit," Taylor &amp;amp; Francis, http://www.tandfonline.com/doi/full/10.1080/03085140601089846#abstract</w:t>
      </w:r>
    </w:p>
    <w:p w14:paraId="11BF1280" w14:textId="77777777" w:rsidR="00790F56" w:rsidRDefault="00790F56" w:rsidP="00790F56"/>
    <w:p w14:paraId="6A35695A" w14:textId="77777777" w:rsidR="00790F56" w:rsidRDefault="00790F56" w:rsidP="00790F56">
      <w:pPr>
        <w:rPr>
          <w:rStyle w:val="Emphasis"/>
        </w:rPr>
      </w:pPr>
      <w:r w:rsidRPr="008B2A5E">
        <w:rPr>
          <w:rFonts w:ascii="Arial" w:hAnsi="Arial" w:cs="Arial"/>
          <w:color w:val="000000" w:themeColor="text1"/>
          <w:sz w:val="24"/>
          <w:szCs w:val="24"/>
          <w:shd w:val="clear" w:color="auto" w:fill="FFFFFF"/>
        </w:rPr>
        <w:t xml:space="preserve">From the 1950s, with economic governance by the state effected through the management, en masse, of the capacity of its citizens to consume, the ability to engage in consumption constituted a crucial manifestation of one's membership of society as a free individual. However, </w:t>
      </w:r>
      <w:r w:rsidRPr="00D4774F">
        <w:rPr>
          <w:rStyle w:val="Emphasis"/>
          <w:highlight w:val="yellow"/>
        </w:rPr>
        <w:t>in the 1960s and 1970s, marginalized groups such as blacks and women, increasingly agitating for equality through the civil rights movement and second-wave feminism, articulated specific demands for the end of discriminatory practices within consumer credit</w:t>
      </w:r>
      <w:r w:rsidRPr="008B2A5E">
        <w:rPr>
          <w:rFonts w:ascii="Arial" w:hAnsi="Arial" w:cs="Arial"/>
          <w:color w:val="000000" w:themeColor="text1"/>
          <w:sz w:val="24"/>
          <w:szCs w:val="24"/>
          <w:shd w:val="clear" w:color="auto" w:fill="FFFFFF"/>
        </w:rPr>
        <w:t xml:space="preserve"> </w:t>
      </w:r>
      <w:r w:rsidRPr="008B2A5E">
        <w:rPr>
          <w:rStyle w:val="StyleBoldUnderline"/>
        </w:rPr>
        <w:t xml:space="preserve">which often curtailed the ability of these social groups to access credit </w:t>
      </w:r>
      <w:r w:rsidRPr="008B2A5E">
        <w:rPr>
          <w:rFonts w:ascii="Arial" w:hAnsi="Arial" w:cs="Arial"/>
          <w:color w:val="000000" w:themeColor="text1"/>
          <w:sz w:val="24"/>
          <w:szCs w:val="24"/>
          <w:shd w:val="clear" w:color="auto" w:fill="FFFFFF"/>
        </w:rPr>
        <w:t>(Hiltz</w:t>
      </w:r>
      <w:hyperlink r:id="rId14" w:anchor="CIT0053" w:history="1">
        <w:r w:rsidRPr="008B2A5E">
          <w:rPr>
            <w:rFonts w:ascii="Arial" w:hAnsi="Arial" w:cs="Arial"/>
            <w:color w:val="000000" w:themeColor="text1"/>
            <w:sz w:val="24"/>
            <w:szCs w:val="24"/>
            <w:shd w:val="clear" w:color="auto" w:fill="FFFFFF"/>
          </w:rPr>
          <w:t>1971</w:t>
        </w:r>
      </w:hyperlink>
      <w:r w:rsidRPr="008B2A5E">
        <w:rPr>
          <w:rFonts w:ascii="Arial" w:hAnsi="Arial" w:cs="Arial"/>
          <w:color w:val="000000" w:themeColor="text1"/>
          <w:sz w:val="24"/>
          <w:szCs w:val="24"/>
          <w:shd w:val="clear" w:color="auto" w:fill="FFFFFF"/>
        </w:rPr>
        <w:t>; Garrison </w:t>
      </w:r>
      <w:hyperlink r:id="rId15" w:anchor="CIT0041" w:history="1">
        <w:r w:rsidRPr="008B2A5E">
          <w:rPr>
            <w:rFonts w:ascii="Arial" w:hAnsi="Arial" w:cs="Arial"/>
            <w:color w:val="000000" w:themeColor="text1"/>
            <w:sz w:val="24"/>
            <w:szCs w:val="24"/>
            <w:shd w:val="clear" w:color="auto" w:fill="FFFFFF"/>
          </w:rPr>
          <w:t>1976</w:t>
        </w:r>
      </w:hyperlink>
      <w:r w:rsidRPr="008B2A5E">
        <w:rPr>
          <w:rFonts w:ascii="Arial" w:hAnsi="Arial" w:cs="Arial"/>
          <w:color w:val="000000" w:themeColor="text1"/>
          <w:sz w:val="24"/>
          <w:szCs w:val="24"/>
          <w:shd w:val="clear" w:color="auto" w:fill="FFFFFF"/>
        </w:rPr>
        <w:t>; Cohen </w:t>
      </w:r>
      <w:hyperlink r:id="rId16" w:anchor="CIT0020" w:history="1">
        <w:r w:rsidRPr="008B2A5E">
          <w:rPr>
            <w:rFonts w:ascii="Arial" w:hAnsi="Arial" w:cs="Arial"/>
            <w:color w:val="000000" w:themeColor="text1"/>
            <w:sz w:val="24"/>
            <w:szCs w:val="24"/>
            <w:shd w:val="clear" w:color="auto" w:fill="FFFFFF"/>
          </w:rPr>
          <w:t>2003</w:t>
        </w:r>
      </w:hyperlink>
      <w:r w:rsidRPr="008B2A5E">
        <w:rPr>
          <w:rFonts w:ascii="Arial" w:hAnsi="Arial" w:cs="Arial"/>
          <w:color w:val="000000" w:themeColor="text1"/>
          <w:sz w:val="24"/>
          <w:szCs w:val="24"/>
          <w:shd w:val="clear" w:color="auto" w:fill="FFFFFF"/>
        </w:rPr>
        <w:t>; Williams </w:t>
      </w:r>
      <w:hyperlink r:id="rId17" w:anchor="CIT0116" w:history="1">
        <w:r w:rsidRPr="008B2A5E">
          <w:rPr>
            <w:rFonts w:ascii="Arial" w:hAnsi="Arial" w:cs="Arial"/>
            <w:color w:val="000000" w:themeColor="text1"/>
            <w:sz w:val="24"/>
            <w:szCs w:val="24"/>
            <w:shd w:val="clear" w:color="auto" w:fill="FFFFFF"/>
          </w:rPr>
          <w:t>2004</w:t>
        </w:r>
      </w:hyperlink>
      <w:r w:rsidRPr="008B2A5E">
        <w:rPr>
          <w:rStyle w:val="Emphasis"/>
        </w:rPr>
        <w:t>). After hearings held by the National Commission on Consumer Finance to investigate the discrimination experienced by mostly</w:t>
      </w:r>
      <w:r w:rsidRPr="008B2A5E">
        <w:rPr>
          <w:rFonts w:ascii="Arial" w:hAnsi="Arial" w:cs="Arial"/>
          <w:color w:val="000000" w:themeColor="text1"/>
          <w:sz w:val="24"/>
          <w:szCs w:val="24"/>
          <w:shd w:val="clear" w:color="auto" w:fill="FFFFFF"/>
        </w:rPr>
        <w:t xml:space="preserve"> </w:t>
      </w:r>
      <w:r w:rsidRPr="008B2A5E">
        <w:rPr>
          <w:rStyle w:val="Emphasis"/>
        </w:rPr>
        <w:t xml:space="preserve">married women in applying for credit, the </w:t>
      </w:r>
      <w:r w:rsidRPr="00D4774F">
        <w:rPr>
          <w:rStyle w:val="Emphasis"/>
          <w:highlight w:val="yellow"/>
        </w:rPr>
        <w:t>Equal Credit Opportunity Act 1974</w:t>
      </w:r>
      <w:r w:rsidRPr="00D4774F">
        <w:rPr>
          <w:rFonts w:ascii="Arial" w:hAnsi="Arial" w:cs="Arial"/>
          <w:color w:val="000000" w:themeColor="text1"/>
          <w:sz w:val="24"/>
          <w:szCs w:val="24"/>
          <w:highlight w:val="yellow"/>
          <w:shd w:val="clear" w:color="auto" w:fill="FFFFFF"/>
        </w:rPr>
        <w:t xml:space="preserve"> (with subsequent amendments) </w:t>
      </w:r>
      <w:r w:rsidRPr="00D4774F">
        <w:rPr>
          <w:rStyle w:val="Emphasis"/>
          <w:highlight w:val="yellow"/>
        </w:rPr>
        <w:t>was enacted to outlaw discrimination in credit sanctioning based on the characteristics of gender, marital status, race, national origin, religion or income source</w:t>
      </w:r>
      <w:r w:rsidRPr="008B2A5E">
        <w:rPr>
          <w:rStyle w:val="Emphasis"/>
        </w:rPr>
        <w:t xml:space="preserve"> </w:t>
      </w:r>
      <w:r w:rsidRPr="008B2A5E">
        <w:rPr>
          <w:rFonts w:ascii="Arial" w:hAnsi="Arial" w:cs="Arial"/>
          <w:color w:val="000000" w:themeColor="text1"/>
          <w:sz w:val="24"/>
          <w:szCs w:val="24"/>
          <w:shd w:val="clear" w:color="auto" w:fill="FFFFFF"/>
        </w:rPr>
        <w:t>(ECOA </w:t>
      </w:r>
      <w:hyperlink r:id="rId18" w:anchor="CIT0031" w:history="1">
        <w:r w:rsidRPr="008B2A5E">
          <w:rPr>
            <w:rFonts w:ascii="Arial" w:hAnsi="Arial" w:cs="Arial"/>
            <w:color w:val="000000" w:themeColor="text1"/>
            <w:sz w:val="24"/>
            <w:szCs w:val="24"/>
            <w:shd w:val="clear" w:color="auto" w:fill="FFFFFF"/>
          </w:rPr>
          <w:t>1974</w:t>
        </w:r>
      </w:hyperlink>
      <w:r w:rsidRPr="008B2A5E">
        <w:rPr>
          <w:rFonts w:ascii="Arial" w:hAnsi="Arial" w:cs="Arial"/>
          <w:color w:val="000000" w:themeColor="text1"/>
          <w:sz w:val="24"/>
          <w:szCs w:val="24"/>
          <w:shd w:val="clear" w:color="auto" w:fill="FFFFFF"/>
        </w:rPr>
        <w:t>; Anonymous </w:t>
      </w:r>
      <w:hyperlink r:id="rId19" w:anchor="CIT0002" w:history="1">
        <w:r w:rsidRPr="008B2A5E">
          <w:rPr>
            <w:rFonts w:ascii="Arial" w:hAnsi="Arial" w:cs="Arial"/>
            <w:color w:val="000000" w:themeColor="text1"/>
            <w:sz w:val="24"/>
            <w:szCs w:val="24"/>
            <w:shd w:val="clear" w:color="auto" w:fill="FFFFFF"/>
          </w:rPr>
          <w:t>1979</w:t>
        </w:r>
      </w:hyperlink>
      <w:r w:rsidRPr="008B2A5E">
        <w:rPr>
          <w:rFonts w:ascii="Arial" w:hAnsi="Arial" w:cs="Arial"/>
          <w:color w:val="000000" w:themeColor="text1"/>
          <w:sz w:val="24"/>
          <w:szCs w:val="24"/>
          <w:shd w:val="clear" w:color="auto" w:fill="FFFFFF"/>
        </w:rPr>
        <w:t>; Hsia </w:t>
      </w:r>
      <w:hyperlink r:id="rId20" w:anchor="CIT0055" w:history="1">
        <w:r w:rsidRPr="008B2A5E">
          <w:rPr>
            <w:rFonts w:ascii="Arial" w:hAnsi="Arial" w:cs="Arial"/>
            <w:color w:val="000000" w:themeColor="text1"/>
            <w:sz w:val="24"/>
            <w:szCs w:val="24"/>
            <w:shd w:val="clear" w:color="auto" w:fill="FFFFFF"/>
          </w:rPr>
          <w:t>1979</w:t>
        </w:r>
      </w:hyperlink>
      <w:r w:rsidRPr="008B2A5E">
        <w:rPr>
          <w:rFonts w:ascii="Arial" w:hAnsi="Arial" w:cs="Arial"/>
          <w:color w:val="000000" w:themeColor="text1"/>
          <w:sz w:val="24"/>
          <w:szCs w:val="24"/>
          <w:shd w:val="clear" w:color="auto" w:fill="FFFFFF"/>
        </w:rPr>
        <w:t xml:space="preserve">; </w:t>
      </w:r>
      <w:proofErr w:type="spellStart"/>
      <w:r w:rsidRPr="008B2A5E">
        <w:rPr>
          <w:rFonts w:ascii="Arial" w:hAnsi="Arial" w:cs="Arial"/>
          <w:color w:val="000000" w:themeColor="text1"/>
          <w:sz w:val="24"/>
          <w:szCs w:val="24"/>
          <w:shd w:val="clear" w:color="auto" w:fill="FFFFFF"/>
        </w:rPr>
        <w:t>Elliehausen</w:t>
      </w:r>
      <w:proofErr w:type="spellEnd"/>
      <w:r w:rsidRPr="008B2A5E">
        <w:rPr>
          <w:rFonts w:ascii="Arial" w:hAnsi="Arial" w:cs="Arial"/>
          <w:color w:val="000000" w:themeColor="text1"/>
          <w:sz w:val="24"/>
          <w:szCs w:val="24"/>
          <w:shd w:val="clear" w:color="auto" w:fill="FFFFFF"/>
        </w:rPr>
        <w:t xml:space="preserve"> and Durkin </w:t>
      </w:r>
      <w:hyperlink r:id="rId21" w:anchor="CIT0029" w:history="1">
        <w:r w:rsidRPr="008B2A5E">
          <w:rPr>
            <w:rFonts w:ascii="Arial" w:hAnsi="Arial" w:cs="Arial"/>
            <w:color w:val="000000" w:themeColor="text1"/>
            <w:sz w:val="24"/>
            <w:szCs w:val="24"/>
            <w:shd w:val="clear" w:color="auto" w:fill="FFFFFF"/>
          </w:rPr>
          <w:t>1989</w:t>
        </w:r>
      </w:hyperlink>
      <w:r w:rsidRPr="008B2A5E">
        <w:rPr>
          <w:rFonts w:ascii="Arial" w:hAnsi="Arial" w:cs="Arial"/>
          <w:color w:val="000000" w:themeColor="text1"/>
          <w:sz w:val="24"/>
          <w:szCs w:val="24"/>
          <w:shd w:val="clear" w:color="auto" w:fill="FFFFFF"/>
        </w:rPr>
        <w:t>; Chandler </w:t>
      </w:r>
      <w:hyperlink r:id="rId22" w:anchor="CIT0016" w:history="1">
        <w:r w:rsidRPr="008B2A5E">
          <w:rPr>
            <w:rFonts w:ascii="Arial" w:hAnsi="Arial" w:cs="Arial"/>
            <w:color w:val="000000" w:themeColor="text1"/>
            <w:sz w:val="24"/>
            <w:szCs w:val="24"/>
            <w:shd w:val="clear" w:color="auto" w:fill="FFFFFF"/>
          </w:rPr>
          <w:t>2001</w:t>
        </w:r>
      </w:hyperlink>
      <w:r w:rsidRPr="008B2A5E">
        <w:rPr>
          <w:rFonts w:ascii="Arial" w:hAnsi="Arial" w:cs="Arial"/>
          <w:color w:val="000000" w:themeColor="text1"/>
          <w:sz w:val="24"/>
          <w:szCs w:val="24"/>
          <w:shd w:val="clear" w:color="auto" w:fill="FFFFFF"/>
        </w:rPr>
        <w:t xml:space="preserve">). </w:t>
      </w:r>
      <w:r w:rsidRPr="008B2A5E">
        <w:rPr>
          <w:rStyle w:val="StyleBoldUnderline"/>
        </w:rPr>
        <w:t>To this end, credit scoring was encoded in ‘Regulation B’ of the act, explicitly delineating what could constitute a statistical model by defining it as one based on the analysis of key applicant attributes and default based on statistically representative sample groups – anything else was residually termed a ‘judgmental system’</w:t>
      </w:r>
      <w:r w:rsidRPr="008B2A5E">
        <w:rPr>
          <w:rFonts w:ascii="Arial" w:hAnsi="Arial" w:cs="Arial"/>
          <w:color w:val="000000" w:themeColor="text1"/>
          <w:sz w:val="24"/>
          <w:szCs w:val="24"/>
          <w:shd w:val="clear" w:color="auto" w:fill="FFFFFF"/>
        </w:rPr>
        <w:t xml:space="preserve">. </w:t>
      </w:r>
      <w:r w:rsidRPr="00D4774F">
        <w:rPr>
          <w:rStyle w:val="Emphasis"/>
          <w:highlight w:val="yellow"/>
        </w:rPr>
        <w:t>The act effectively gave legislative recognition to scoring systems as being objective, scientific devices permitting a dispassionate, empirically derived account of creditworthiness and explicitly identified the role they could play in eliminating ‘subjective’ discrimination and helping to bring about an enhanced mass consumer credit market that would discriminate only on merit</w:t>
      </w:r>
    </w:p>
    <w:p w14:paraId="1E178C05" w14:textId="77777777" w:rsidR="00790F56" w:rsidRDefault="00790F56" w:rsidP="00790F56">
      <w:pPr>
        <w:rPr>
          <w:rStyle w:val="Emphasis"/>
        </w:rPr>
      </w:pPr>
    </w:p>
    <w:p w14:paraId="06A92979" w14:textId="77777777" w:rsidR="00240D9D" w:rsidRPr="00642868" w:rsidRDefault="00240D9D" w:rsidP="00642868"/>
    <w:sectPr w:rsidR="00240D9D" w:rsidRPr="00642868" w:rsidSect="00437C7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003" w:usb1="00000000" w:usb2="00000000" w:usb3="00000000" w:csb0="00000001" w:csb1="00000000"/>
  </w:font>
  <w:font w:name="Palatino">
    <w:panose1 w:val="00000000000000000000"/>
    <w:charset w:val="00"/>
    <w:family w:val="auto"/>
    <w:pitch w:val="variable"/>
    <w:sig w:usb0="A00002FF" w:usb1="7800205A" w:usb2="14600000" w:usb3="00000000" w:csb0="00000193"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4568"/>
    <w:rsid w:val="000014F7"/>
    <w:rsid w:val="00023859"/>
    <w:rsid w:val="00120F8D"/>
    <w:rsid w:val="00155956"/>
    <w:rsid w:val="00160F19"/>
    <w:rsid w:val="00173107"/>
    <w:rsid w:val="001B2605"/>
    <w:rsid w:val="001B512C"/>
    <w:rsid w:val="001C03A8"/>
    <w:rsid w:val="001C044A"/>
    <w:rsid w:val="00240D9D"/>
    <w:rsid w:val="00245D21"/>
    <w:rsid w:val="0025468D"/>
    <w:rsid w:val="002F412E"/>
    <w:rsid w:val="00304B25"/>
    <w:rsid w:val="003769E6"/>
    <w:rsid w:val="00381CC7"/>
    <w:rsid w:val="00387AC9"/>
    <w:rsid w:val="003C3FDD"/>
    <w:rsid w:val="003D02D6"/>
    <w:rsid w:val="003F2ECC"/>
    <w:rsid w:val="00437C77"/>
    <w:rsid w:val="00450FBF"/>
    <w:rsid w:val="004D7F18"/>
    <w:rsid w:val="004F0E0D"/>
    <w:rsid w:val="004F77C3"/>
    <w:rsid w:val="00502C95"/>
    <w:rsid w:val="005135B2"/>
    <w:rsid w:val="00623224"/>
    <w:rsid w:val="00626368"/>
    <w:rsid w:val="00632B43"/>
    <w:rsid w:val="00642868"/>
    <w:rsid w:val="00656A95"/>
    <w:rsid w:val="0068585E"/>
    <w:rsid w:val="006C1863"/>
    <w:rsid w:val="006F55D3"/>
    <w:rsid w:val="00723D33"/>
    <w:rsid w:val="00790CCA"/>
    <w:rsid w:val="00790F56"/>
    <w:rsid w:val="007A1EB4"/>
    <w:rsid w:val="007A6569"/>
    <w:rsid w:val="00801A35"/>
    <w:rsid w:val="00805DE2"/>
    <w:rsid w:val="00823721"/>
    <w:rsid w:val="00846B44"/>
    <w:rsid w:val="00854F7D"/>
    <w:rsid w:val="008B2A5E"/>
    <w:rsid w:val="008E342D"/>
    <w:rsid w:val="00934456"/>
    <w:rsid w:val="00947682"/>
    <w:rsid w:val="00990174"/>
    <w:rsid w:val="009D64EF"/>
    <w:rsid w:val="00A32925"/>
    <w:rsid w:val="00A659BC"/>
    <w:rsid w:val="00AA6F5A"/>
    <w:rsid w:val="00AD60C7"/>
    <w:rsid w:val="00AE1518"/>
    <w:rsid w:val="00B50C25"/>
    <w:rsid w:val="00B9708C"/>
    <w:rsid w:val="00BA39C7"/>
    <w:rsid w:val="00BE7732"/>
    <w:rsid w:val="00C45400"/>
    <w:rsid w:val="00C53B2B"/>
    <w:rsid w:val="00C642ED"/>
    <w:rsid w:val="00C65B48"/>
    <w:rsid w:val="00C71E0D"/>
    <w:rsid w:val="00C948B1"/>
    <w:rsid w:val="00CA3C28"/>
    <w:rsid w:val="00CB1578"/>
    <w:rsid w:val="00CE6505"/>
    <w:rsid w:val="00D4774F"/>
    <w:rsid w:val="00D67D7B"/>
    <w:rsid w:val="00DF5AF5"/>
    <w:rsid w:val="00E34568"/>
    <w:rsid w:val="00E45400"/>
    <w:rsid w:val="00E47B4C"/>
    <w:rsid w:val="00E75C86"/>
    <w:rsid w:val="00F07AEC"/>
    <w:rsid w:val="00F918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E2050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34568"/>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E3456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42868"/>
    <w:pPr>
      <w:keepNext/>
      <w:keepLines/>
      <w:pageBreakBefore/>
      <w:spacing w:before="200"/>
      <w:jc w:val="center"/>
      <w:outlineLvl w:val="1"/>
    </w:pPr>
    <w:rPr>
      <w:rFonts w:asciiTheme="majorHAnsi" w:eastAsiaTheme="majorEastAsia" w:hAnsiTheme="majorHAnsi" w:cstheme="majorBidi"/>
      <w:b/>
      <w:bCs/>
      <w:sz w:val="44"/>
      <w:szCs w:val="44"/>
    </w:rPr>
  </w:style>
  <w:style w:type="paragraph" w:styleId="Heading3">
    <w:name w:val="heading 3"/>
    <w:aliases w:val="Block"/>
    <w:basedOn w:val="Normal"/>
    <w:next w:val="Normal"/>
    <w:link w:val="Heading3Char"/>
    <w:uiPriority w:val="9"/>
    <w:unhideWhenUsed/>
    <w:qFormat/>
    <w:rsid w:val="00E34568"/>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656A95"/>
    <w:pPr>
      <w:keepNext/>
      <w:keepLines/>
      <w:spacing w:before="200"/>
      <w:outlineLvl w:val="3"/>
    </w:pPr>
    <w:rPr>
      <w:rFonts w:asciiTheme="majorHAnsi" w:eastAsiaTheme="majorEastAsia" w:hAnsiTheme="majorHAnsi" w:cstheme="majorBidi"/>
      <w:b/>
      <w:bCs/>
      <w:i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3456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42868"/>
    <w:rPr>
      <w:rFonts w:asciiTheme="majorHAnsi" w:eastAsiaTheme="majorEastAsia" w:hAnsiTheme="majorHAnsi" w:cstheme="majorBidi"/>
      <w:b/>
      <w:bCs/>
      <w:sz w:val="44"/>
      <w:szCs w:val="44"/>
    </w:rPr>
  </w:style>
  <w:style w:type="character" w:customStyle="1" w:styleId="Heading3Char">
    <w:name w:val="Heading 3 Char"/>
    <w:aliases w:val="Block Char"/>
    <w:basedOn w:val="DefaultParagraphFont"/>
    <w:link w:val="Heading3"/>
    <w:uiPriority w:val="9"/>
    <w:rsid w:val="00E3456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656A95"/>
    <w:rPr>
      <w:rFonts w:asciiTheme="majorHAnsi" w:eastAsiaTheme="majorEastAsia" w:hAnsiTheme="majorHAnsi" w:cstheme="majorBidi"/>
      <w:b/>
      <w:bCs/>
      <w:iCs/>
      <w:sz w:val="36"/>
      <w:szCs w:val="3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uiPriority w:val="20"/>
    <w:qFormat/>
    <w:rsid w:val="00E34568"/>
    <w:rPr>
      <w:rFonts w:ascii="Calibri" w:hAnsi="Calibri"/>
      <w:b/>
      <w:i w:val="0"/>
      <w:iCs/>
      <w:sz w:val="22"/>
      <w:u w:val="single"/>
      <w:bdr w:val="single" w:sz="18" w:space="0" w:color="auto"/>
    </w:rPr>
  </w:style>
  <w:style w:type="paragraph" w:styleId="NoSpacing">
    <w:name w:val="No Spacing"/>
    <w:uiPriority w:val="1"/>
    <w:rsid w:val="00E34568"/>
  </w:style>
  <w:style w:type="character" w:customStyle="1" w:styleId="StyleStyleBold12pt">
    <w:name w:val="Style Style Bold + 12 pt"/>
    <w:aliases w:val="Cite,Style Style Bold,Style Style Bold + 12pt,Style Style + 12 pt,Style Style Bo... +,Old Cite,Style Style Bold + 10 pt,Style 13 pt Bold"/>
    <w:basedOn w:val="DefaultParagraphFont"/>
    <w:uiPriority w:val="5"/>
    <w:qFormat/>
    <w:rsid w:val="00E34568"/>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6"/>
    <w:qFormat/>
    <w:rsid w:val="00E34568"/>
    <w:rPr>
      <w:b/>
      <w:sz w:val="22"/>
      <w:u w:val="single"/>
    </w:rPr>
  </w:style>
  <w:style w:type="paragraph" w:styleId="DocumentMap">
    <w:name w:val="Document Map"/>
    <w:basedOn w:val="Normal"/>
    <w:link w:val="DocumentMapChar"/>
    <w:uiPriority w:val="99"/>
    <w:semiHidden/>
    <w:unhideWhenUsed/>
    <w:rsid w:val="00E34568"/>
    <w:rPr>
      <w:rFonts w:ascii="Lucida Grande" w:hAnsi="Lucida Grande" w:cs="Lucida Grande"/>
    </w:rPr>
  </w:style>
  <w:style w:type="character" w:customStyle="1" w:styleId="DocumentMapChar">
    <w:name w:val="Document Map Char"/>
    <w:basedOn w:val="DefaultParagraphFont"/>
    <w:link w:val="DocumentMap"/>
    <w:uiPriority w:val="99"/>
    <w:semiHidden/>
    <w:rsid w:val="00E34568"/>
    <w:rPr>
      <w:rFonts w:ascii="Lucida Grande" w:hAnsi="Lucida Grande" w:cs="Lucida Grande"/>
      <w:sz w:val="22"/>
    </w:rPr>
  </w:style>
  <w:style w:type="paragraph" w:styleId="ListParagraph">
    <w:name w:val="List Paragraph"/>
    <w:basedOn w:val="Normal"/>
    <w:uiPriority w:val="34"/>
    <w:rsid w:val="00E34568"/>
    <w:pPr>
      <w:ind w:left="720"/>
      <w:contextualSpacing/>
    </w:pPr>
  </w:style>
  <w:style w:type="paragraph" w:styleId="Header">
    <w:name w:val="header"/>
    <w:basedOn w:val="Normal"/>
    <w:link w:val="HeaderChar"/>
    <w:uiPriority w:val="99"/>
    <w:unhideWhenUsed/>
    <w:rsid w:val="00E34568"/>
    <w:pPr>
      <w:tabs>
        <w:tab w:val="center" w:pos="4320"/>
        <w:tab w:val="right" w:pos="8640"/>
      </w:tabs>
    </w:pPr>
    <w:rPr>
      <w:rFonts w:ascii="Calibri" w:eastAsiaTheme="minorEastAsia" w:hAnsi="Calibri" w:cstheme="minorBidi"/>
      <w:sz w:val="22"/>
      <w:szCs w:val="24"/>
    </w:rPr>
  </w:style>
  <w:style w:type="character" w:customStyle="1" w:styleId="HeaderChar">
    <w:name w:val="Header Char"/>
    <w:basedOn w:val="DefaultParagraphFont"/>
    <w:link w:val="Header"/>
    <w:uiPriority w:val="99"/>
    <w:rsid w:val="00E34568"/>
    <w:rPr>
      <w:rFonts w:ascii="Calibri" w:hAnsi="Calibri"/>
      <w:sz w:val="22"/>
    </w:rPr>
  </w:style>
  <w:style w:type="paragraph" w:styleId="Footer">
    <w:name w:val="footer"/>
    <w:basedOn w:val="Normal"/>
    <w:link w:val="FooterChar"/>
    <w:uiPriority w:val="99"/>
    <w:unhideWhenUsed/>
    <w:rsid w:val="00E34568"/>
    <w:pPr>
      <w:tabs>
        <w:tab w:val="center" w:pos="4320"/>
        <w:tab w:val="right" w:pos="8640"/>
      </w:tabs>
    </w:pPr>
    <w:rPr>
      <w:rFonts w:ascii="Calibri" w:eastAsiaTheme="minorEastAsia" w:hAnsi="Calibri" w:cstheme="minorBidi"/>
      <w:sz w:val="22"/>
      <w:szCs w:val="24"/>
    </w:rPr>
  </w:style>
  <w:style w:type="character" w:customStyle="1" w:styleId="FooterChar">
    <w:name w:val="Footer Char"/>
    <w:basedOn w:val="DefaultParagraphFont"/>
    <w:link w:val="Footer"/>
    <w:uiPriority w:val="99"/>
    <w:rsid w:val="00E34568"/>
    <w:rPr>
      <w:rFonts w:ascii="Calibri" w:hAnsi="Calibri"/>
      <w:sz w:val="22"/>
    </w:rPr>
  </w:style>
  <w:style w:type="character" w:styleId="PageNumber">
    <w:name w:val="page number"/>
    <w:basedOn w:val="DefaultParagraphFont"/>
    <w:uiPriority w:val="99"/>
    <w:semiHidden/>
    <w:unhideWhenUsed/>
    <w:rsid w:val="00E34568"/>
  </w:style>
  <w:style w:type="character" w:styleId="Hyperlink">
    <w:name w:val="Hyperlink"/>
    <w:aliases w:val="heading 1 (block title),Important,Read,Card Text,Internet Link,Analytic Text"/>
    <w:basedOn w:val="DefaultParagraphFont"/>
    <w:uiPriority w:val="99"/>
    <w:unhideWhenUsed/>
    <w:rsid w:val="00E34568"/>
    <w:rPr>
      <w:color w:val="0000FF" w:themeColor="hyperlink"/>
      <w:u w:val="single"/>
    </w:rPr>
  </w:style>
  <w:style w:type="paragraph" w:customStyle="1" w:styleId="CardIndented">
    <w:name w:val="Card (Indented)"/>
    <w:basedOn w:val="Normal"/>
    <w:link w:val="CardIndentedChar"/>
    <w:qFormat/>
    <w:rsid w:val="00E34568"/>
    <w:pPr>
      <w:ind w:left="288"/>
    </w:pPr>
    <w:rPr>
      <w:rFonts w:cs="Calibri"/>
    </w:rPr>
  </w:style>
  <w:style w:type="character" w:customStyle="1" w:styleId="CardIndentedChar">
    <w:name w:val="Card (Indented) Char"/>
    <w:basedOn w:val="DefaultParagraphFont"/>
    <w:link w:val="CardIndented"/>
    <w:rsid w:val="00E34568"/>
    <w:rPr>
      <w:rFonts w:ascii="Times New Roman" w:eastAsiaTheme="minorHAnsi" w:hAnsi="Times New Roman" w:cs="Calibri"/>
      <w:sz w:val="20"/>
      <w:szCs w:val="22"/>
    </w:rPr>
  </w:style>
  <w:style w:type="character" w:customStyle="1" w:styleId="StyleUnderline">
    <w:name w:val="Style Underline"/>
    <w:basedOn w:val="DefaultParagraphFont"/>
    <w:uiPriority w:val="6"/>
    <w:qFormat/>
    <w:rsid w:val="00E34568"/>
    <w:rPr>
      <w:u w:val="thick"/>
    </w:rPr>
  </w:style>
  <w:style w:type="character" w:customStyle="1" w:styleId="apple-converted-space">
    <w:name w:val="apple-converted-space"/>
    <w:basedOn w:val="DefaultParagraphFont"/>
    <w:rsid w:val="00656A95"/>
  </w:style>
  <w:style w:type="character" w:customStyle="1" w:styleId="referencediv">
    <w:name w:val="referencediv"/>
    <w:basedOn w:val="DefaultParagraphFont"/>
    <w:rsid w:val="008B2A5E"/>
  </w:style>
  <w:style w:type="paragraph" w:styleId="NormalWeb">
    <w:name w:val="Normal (Web)"/>
    <w:basedOn w:val="Normal"/>
    <w:uiPriority w:val="99"/>
    <w:unhideWhenUsed/>
    <w:rsid w:val="00E75C86"/>
    <w:pPr>
      <w:spacing w:before="100" w:beforeAutospacing="1" w:after="100" w:afterAutospacing="1"/>
    </w:pPr>
    <w:rPr>
      <w:rFonts w:ascii="Times" w:eastAsiaTheme="minorEastAsia" w:hAnsi="Times"/>
      <w:szCs w:val="20"/>
    </w:rPr>
  </w:style>
  <w:style w:type="character" w:styleId="Strong">
    <w:name w:val="Strong"/>
    <w:basedOn w:val="DefaultParagraphFont"/>
    <w:uiPriority w:val="22"/>
    <w:qFormat/>
    <w:rsid w:val="00240D9D"/>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34568"/>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E3456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42868"/>
    <w:pPr>
      <w:keepNext/>
      <w:keepLines/>
      <w:pageBreakBefore/>
      <w:spacing w:before="200"/>
      <w:jc w:val="center"/>
      <w:outlineLvl w:val="1"/>
    </w:pPr>
    <w:rPr>
      <w:rFonts w:asciiTheme="majorHAnsi" w:eastAsiaTheme="majorEastAsia" w:hAnsiTheme="majorHAnsi" w:cstheme="majorBidi"/>
      <w:b/>
      <w:bCs/>
      <w:sz w:val="44"/>
      <w:szCs w:val="44"/>
    </w:rPr>
  </w:style>
  <w:style w:type="paragraph" w:styleId="Heading3">
    <w:name w:val="heading 3"/>
    <w:aliases w:val="Block"/>
    <w:basedOn w:val="Normal"/>
    <w:next w:val="Normal"/>
    <w:link w:val="Heading3Char"/>
    <w:uiPriority w:val="9"/>
    <w:unhideWhenUsed/>
    <w:qFormat/>
    <w:rsid w:val="00E34568"/>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656A95"/>
    <w:pPr>
      <w:keepNext/>
      <w:keepLines/>
      <w:spacing w:before="200"/>
      <w:outlineLvl w:val="3"/>
    </w:pPr>
    <w:rPr>
      <w:rFonts w:asciiTheme="majorHAnsi" w:eastAsiaTheme="majorEastAsia" w:hAnsiTheme="majorHAnsi" w:cstheme="majorBidi"/>
      <w:b/>
      <w:bCs/>
      <w:i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3456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42868"/>
    <w:rPr>
      <w:rFonts w:asciiTheme="majorHAnsi" w:eastAsiaTheme="majorEastAsia" w:hAnsiTheme="majorHAnsi" w:cstheme="majorBidi"/>
      <w:b/>
      <w:bCs/>
      <w:sz w:val="44"/>
      <w:szCs w:val="44"/>
    </w:rPr>
  </w:style>
  <w:style w:type="character" w:customStyle="1" w:styleId="Heading3Char">
    <w:name w:val="Heading 3 Char"/>
    <w:aliases w:val="Block Char"/>
    <w:basedOn w:val="DefaultParagraphFont"/>
    <w:link w:val="Heading3"/>
    <w:uiPriority w:val="9"/>
    <w:rsid w:val="00E3456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656A95"/>
    <w:rPr>
      <w:rFonts w:asciiTheme="majorHAnsi" w:eastAsiaTheme="majorEastAsia" w:hAnsiTheme="majorHAnsi" w:cstheme="majorBidi"/>
      <w:b/>
      <w:bCs/>
      <w:iCs/>
      <w:sz w:val="36"/>
      <w:szCs w:val="3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uiPriority w:val="20"/>
    <w:qFormat/>
    <w:rsid w:val="00E34568"/>
    <w:rPr>
      <w:rFonts w:ascii="Calibri" w:hAnsi="Calibri"/>
      <w:b/>
      <w:i w:val="0"/>
      <w:iCs/>
      <w:sz w:val="22"/>
      <w:u w:val="single"/>
      <w:bdr w:val="single" w:sz="18" w:space="0" w:color="auto"/>
    </w:rPr>
  </w:style>
  <w:style w:type="paragraph" w:styleId="NoSpacing">
    <w:name w:val="No Spacing"/>
    <w:uiPriority w:val="1"/>
    <w:rsid w:val="00E34568"/>
  </w:style>
  <w:style w:type="character" w:customStyle="1" w:styleId="StyleStyleBold12pt">
    <w:name w:val="Style Style Bold + 12 pt"/>
    <w:aliases w:val="Cite,Style Style Bold,Style Style Bold + 12pt,Style Style + 12 pt,Style Style Bo... +,Old Cite,Style Style Bold + 10 pt,Style 13 pt Bold"/>
    <w:basedOn w:val="DefaultParagraphFont"/>
    <w:uiPriority w:val="5"/>
    <w:qFormat/>
    <w:rsid w:val="00E34568"/>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6"/>
    <w:qFormat/>
    <w:rsid w:val="00E34568"/>
    <w:rPr>
      <w:b/>
      <w:sz w:val="22"/>
      <w:u w:val="single"/>
    </w:rPr>
  </w:style>
  <w:style w:type="paragraph" w:styleId="DocumentMap">
    <w:name w:val="Document Map"/>
    <w:basedOn w:val="Normal"/>
    <w:link w:val="DocumentMapChar"/>
    <w:uiPriority w:val="99"/>
    <w:semiHidden/>
    <w:unhideWhenUsed/>
    <w:rsid w:val="00E34568"/>
    <w:rPr>
      <w:rFonts w:ascii="Lucida Grande" w:hAnsi="Lucida Grande" w:cs="Lucida Grande"/>
    </w:rPr>
  </w:style>
  <w:style w:type="character" w:customStyle="1" w:styleId="DocumentMapChar">
    <w:name w:val="Document Map Char"/>
    <w:basedOn w:val="DefaultParagraphFont"/>
    <w:link w:val="DocumentMap"/>
    <w:uiPriority w:val="99"/>
    <w:semiHidden/>
    <w:rsid w:val="00E34568"/>
    <w:rPr>
      <w:rFonts w:ascii="Lucida Grande" w:hAnsi="Lucida Grande" w:cs="Lucida Grande"/>
      <w:sz w:val="22"/>
    </w:rPr>
  </w:style>
  <w:style w:type="paragraph" w:styleId="ListParagraph">
    <w:name w:val="List Paragraph"/>
    <w:basedOn w:val="Normal"/>
    <w:uiPriority w:val="34"/>
    <w:rsid w:val="00E34568"/>
    <w:pPr>
      <w:ind w:left="720"/>
      <w:contextualSpacing/>
    </w:pPr>
  </w:style>
  <w:style w:type="paragraph" w:styleId="Header">
    <w:name w:val="header"/>
    <w:basedOn w:val="Normal"/>
    <w:link w:val="HeaderChar"/>
    <w:uiPriority w:val="99"/>
    <w:unhideWhenUsed/>
    <w:rsid w:val="00E34568"/>
    <w:pPr>
      <w:tabs>
        <w:tab w:val="center" w:pos="4320"/>
        <w:tab w:val="right" w:pos="8640"/>
      </w:tabs>
    </w:pPr>
    <w:rPr>
      <w:rFonts w:ascii="Calibri" w:eastAsiaTheme="minorEastAsia" w:hAnsi="Calibri" w:cstheme="minorBidi"/>
      <w:sz w:val="22"/>
      <w:szCs w:val="24"/>
    </w:rPr>
  </w:style>
  <w:style w:type="character" w:customStyle="1" w:styleId="HeaderChar">
    <w:name w:val="Header Char"/>
    <w:basedOn w:val="DefaultParagraphFont"/>
    <w:link w:val="Header"/>
    <w:uiPriority w:val="99"/>
    <w:rsid w:val="00E34568"/>
    <w:rPr>
      <w:rFonts w:ascii="Calibri" w:hAnsi="Calibri"/>
      <w:sz w:val="22"/>
    </w:rPr>
  </w:style>
  <w:style w:type="paragraph" w:styleId="Footer">
    <w:name w:val="footer"/>
    <w:basedOn w:val="Normal"/>
    <w:link w:val="FooterChar"/>
    <w:uiPriority w:val="99"/>
    <w:unhideWhenUsed/>
    <w:rsid w:val="00E34568"/>
    <w:pPr>
      <w:tabs>
        <w:tab w:val="center" w:pos="4320"/>
        <w:tab w:val="right" w:pos="8640"/>
      </w:tabs>
    </w:pPr>
    <w:rPr>
      <w:rFonts w:ascii="Calibri" w:eastAsiaTheme="minorEastAsia" w:hAnsi="Calibri" w:cstheme="minorBidi"/>
      <w:sz w:val="22"/>
      <w:szCs w:val="24"/>
    </w:rPr>
  </w:style>
  <w:style w:type="character" w:customStyle="1" w:styleId="FooterChar">
    <w:name w:val="Footer Char"/>
    <w:basedOn w:val="DefaultParagraphFont"/>
    <w:link w:val="Footer"/>
    <w:uiPriority w:val="99"/>
    <w:rsid w:val="00E34568"/>
    <w:rPr>
      <w:rFonts w:ascii="Calibri" w:hAnsi="Calibri"/>
      <w:sz w:val="22"/>
    </w:rPr>
  </w:style>
  <w:style w:type="character" w:styleId="PageNumber">
    <w:name w:val="page number"/>
    <w:basedOn w:val="DefaultParagraphFont"/>
    <w:uiPriority w:val="99"/>
    <w:semiHidden/>
    <w:unhideWhenUsed/>
    <w:rsid w:val="00E34568"/>
  </w:style>
  <w:style w:type="character" w:styleId="Hyperlink">
    <w:name w:val="Hyperlink"/>
    <w:aliases w:val="heading 1 (block title),Important,Read,Card Text,Internet Link,Analytic Text"/>
    <w:basedOn w:val="DefaultParagraphFont"/>
    <w:uiPriority w:val="99"/>
    <w:unhideWhenUsed/>
    <w:rsid w:val="00E34568"/>
    <w:rPr>
      <w:color w:val="0000FF" w:themeColor="hyperlink"/>
      <w:u w:val="single"/>
    </w:rPr>
  </w:style>
  <w:style w:type="paragraph" w:customStyle="1" w:styleId="CardIndented">
    <w:name w:val="Card (Indented)"/>
    <w:basedOn w:val="Normal"/>
    <w:link w:val="CardIndentedChar"/>
    <w:qFormat/>
    <w:rsid w:val="00E34568"/>
    <w:pPr>
      <w:ind w:left="288"/>
    </w:pPr>
    <w:rPr>
      <w:rFonts w:cs="Calibri"/>
    </w:rPr>
  </w:style>
  <w:style w:type="character" w:customStyle="1" w:styleId="CardIndentedChar">
    <w:name w:val="Card (Indented) Char"/>
    <w:basedOn w:val="DefaultParagraphFont"/>
    <w:link w:val="CardIndented"/>
    <w:rsid w:val="00E34568"/>
    <w:rPr>
      <w:rFonts w:ascii="Times New Roman" w:eastAsiaTheme="minorHAnsi" w:hAnsi="Times New Roman" w:cs="Calibri"/>
      <w:sz w:val="20"/>
      <w:szCs w:val="22"/>
    </w:rPr>
  </w:style>
  <w:style w:type="character" w:customStyle="1" w:styleId="StyleUnderline">
    <w:name w:val="Style Underline"/>
    <w:basedOn w:val="DefaultParagraphFont"/>
    <w:uiPriority w:val="6"/>
    <w:qFormat/>
    <w:rsid w:val="00E34568"/>
    <w:rPr>
      <w:u w:val="thick"/>
    </w:rPr>
  </w:style>
  <w:style w:type="character" w:customStyle="1" w:styleId="apple-converted-space">
    <w:name w:val="apple-converted-space"/>
    <w:basedOn w:val="DefaultParagraphFont"/>
    <w:rsid w:val="00656A95"/>
  </w:style>
  <w:style w:type="character" w:customStyle="1" w:styleId="referencediv">
    <w:name w:val="referencediv"/>
    <w:basedOn w:val="DefaultParagraphFont"/>
    <w:rsid w:val="008B2A5E"/>
  </w:style>
  <w:style w:type="paragraph" w:styleId="NormalWeb">
    <w:name w:val="Normal (Web)"/>
    <w:basedOn w:val="Normal"/>
    <w:uiPriority w:val="99"/>
    <w:unhideWhenUsed/>
    <w:rsid w:val="00E75C86"/>
    <w:pPr>
      <w:spacing w:before="100" w:beforeAutospacing="1" w:after="100" w:afterAutospacing="1"/>
    </w:pPr>
    <w:rPr>
      <w:rFonts w:ascii="Times" w:eastAsiaTheme="minorEastAsia" w:hAnsi="Times"/>
      <w:szCs w:val="20"/>
    </w:rPr>
  </w:style>
  <w:style w:type="character" w:styleId="Strong">
    <w:name w:val="Strong"/>
    <w:basedOn w:val="DefaultParagraphFont"/>
    <w:uiPriority w:val="22"/>
    <w:qFormat/>
    <w:rsid w:val="00240D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139693">
      <w:bodyDiv w:val="1"/>
      <w:marLeft w:val="0"/>
      <w:marRight w:val="0"/>
      <w:marTop w:val="0"/>
      <w:marBottom w:val="0"/>
      <w:divBdr>
        <w:top w:val="none" w:sz="0" w:space="0" w:color="auto"/>
        <w:left w:val="none" w:sz="0" w:space="0" w:color="auto"/>
        <w:bottom w:val="none" w:sz="0" w:space="0" w:color="auto"/>
        <w:right w:val="none" w:sz="0" w:space="0" w:color="auto"/>
      </w:divBdr>
    </w:div>
    <w:div w:id="461118021">
      <w:bodyDiv w:val="1"/>
      <w:marLeft w:val="0"/>
      <w:marRight w:val="0"/>
      <w:marTop w:val="0"/>
      <w:marBottom w:val="0"/>
      <w:divBdr>
        <w:top w:val="none" w:sz="0" w:space="0" w:color="auto"/>
        <w:left w:val="none" w:sz="0" w:space="0" w:color="auto"/>
        <w:bottom w:val="none" w:sz="0" w:space="0" w:color="auto"/>
        <w:right w:val="none" w:sz="0" w:space="0" w:color="auto"/>
      </w:divBdr>
    </w:div>
    <w:div w:id="471598968">
      <w:bodyDiv w:val="1"/>
      <w:marLeft w:val="0"/>
      <w:marRight w:val="0"/>
      <w:marTop w:val="0"/>
      <w:marBottom w:val="0"/>
      <w:divBdr>
        <w:top w:val="none" w:sz="0" w:space="0" w:color="auto"/>
        <w:left w:val="none" w:sz="0" w:space="0" w:color="auto"/>
        <w:bottom w:val="none" w:sz="0" w:space="0" w:color="auto"/>
        <w:right w:val="none" w:sz="0" w:space="0" w:color="auto"/>
      </w:divBdr>
    </w:div>
    <w:div w:id="626818169">
      <w:bodyDiv w:val="1"/>
      <w:marLeft w:val="0"/>
      <w:marRight w:val="0"/>
      <w:marTop w:val="0"/>
      <w:marBottom w:val="0"/>
      <w:divBdr>
        <w:top w:val="none" w:sz="0" w:space="0" w:color="auto"/>
        <w:left w:val="none" w:sz="0" w:space="0" w:color="auto"/>
        <w:bottom w:val="none" w:sz="0" w:space="0" w:color="auto"/>
        <w:right w:val="none" w:sz="0" w:space="0" w:color="auto"/>
      </w:divBdr>
    </w:div>
    <w:div w:id="626859771">
      <w:bodyDiv w:val="1"/>
      <w:marLeft w:val="0"/>
      <w:marRight w:val="0"/>
      <w:marTop w:val="0"/>
      <w:marBottom w:val="0"/>
      <w:divBdr>
        <w:top w:val="none" w:sz="0" w:space="0" w:color="auto"/>
        <w:left w:val="none" w:sz="0" w:space="0" w:color="auto"/>
        <w:bottom w:val="none" w:sz="0" w:space="0" w:color="auto"/>
        <w:right w:val="none" w:sz="0" w:space="0" w:color="auto"/>
      </w:divBdr>
    </w:div>
    <w:div w:id="656812324">
      <w:bodyDiv w:val="1"/>
      <w:marLeft w:val="0"/>
      <w:marRight w:val="0"/>
      <w:marTop w:val="0"/>
      <w:marBottom w:val="0"/>
      <w:divBdr>
        <w:top w:val="none" w:sz="0" w:space="0" w:color="auto"/>
        <w:left w:val="none" w:sz="0" w:space="0" w:color="auto"/>
        <w:bottom w:val="none" w:sz="0" w:space="0" w:color="auto"/>
        <w:right w:val="none" w:sz="0" w:space="0" w:color="auto"/>
      </w:divBdr>
      <w:divsChild>
        <w:div w:id="1951276468">
          <w:marLeft w:val="30"/>
          <w:marRight w:val="30"/>
          <w:marTop w:val="105"/>
          <w:marBottom w:val="300"/>
          <w:divBdr>
            <w:top w:val="none" w:sz="0" w:space="0" w:color="auto"/>
            <w:left w:val="none" w:sz="0" w:space="0" w:color="auto"/>
            <w:bottom w:val="none" w:sz="0" w:space="0" w:color="auto"/>
            <w:right w:val="none" w:sz="0" w:space="0" w:color="auto"/>
          </w:divBdr>
        </w:div>
        <w:div w:id="68044049">
          <w:marLeft w:val="30"/>
          <w:marRight w:val="30"/>
          <w:marTop w:val="105"/>
          <w:marBottom w:val="300"/>
          <w:divBdr>
            <w:top w:val="none" w:sz="0" w:space="0" w:color="auto"/>
            <w:left w:val="none" w:sz="0" w:space="0" w:color="auto"/>
            <w:bottom w:val="none" w:sz="0" w:space="0" w:color="auto"/>
            <w:right w:val="none" w:sz="0" w:space="0" w:color="auto"/>
          </w:divBdr>
        </w:div>
      </w:divsChild>
    </w:div>
    <w:div w:id="987710109">
      <w:bodyDiv w:val="1"/>
      <w:marLeft w:val="0"/>
      <w:marRight w:val="0"/>
      <w:marTop w:val="0"/>
      <w:marBottom w:val="0"/>
      <w:divBdr>
        <w:top w:val="none" w:sz="0" w:space="0" w:color="auto"/>
        <w:left w:val="none" w:sz="0" w:space="0" w:color="auto"/>
        <w:bottom w:val="none" w:sz="0" w:space="0" w:color="auto"/>
        <w:right w:val="none" w:sz="0" w:space="0" w:color="auto"/>
      </w:divBdr>
    </w:div>
    <w:div w:id="1838183275">
      <w:bodyDiv w:val="1"/>
      <w:marLeft w:val="0"/>
      <w:marRight w:val="0"/>
      <w:marTop w:val="0"/>
      <w:marBottom w:val="0"/>
      <w:divBdr>
        <w:top w:val="none" w:sz="0" w:space="0" w:color="auto"/>
        <w:left w:val="none" w:sz="0" w:space="0" w:color="auto"/>
        <w:bottom w:val="none" w:sz="0" w:space="0" w:color="auto"/>
        <w:right w:val="none" w:sz="0" w:space="0" w:color="auto"/>
      </w:divBdr>
    </w:div>
    <w:div w:id="1898395974">
      <w:bodyDiv w:val="1"/>
      <w:marLeft w:val="0"/>
      <w:marRight w:val="0"/>
      <w:marTop w:val="0"/>
      <w:marBottom w:val="0"/>
      <w:divBdr>
        <w:top w:val="none" w:sz="0" w:space="0" w:color="auto"/>
        <w:left w:val="none" w:sz="0" w:space="0" w:color="auto"/>
        <w:bottom w:val="none" w:sz="0" w:space="0" w:color="auto"/>
        <w:right w:val="none" w:sz="0" w:space="0" w:color="auto"/>
      </w:divBdr>
    </w:div>
    <w:div w:id="206113109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money.usnews.com/money/blogs/On-Retirement/2010/07/20/3-ways-your-credit-score-impacts-retirement-readiness" TargetMode="External"/><Relationship Id="rId20" Type="http://schemas.openxmlformats.org/officeDocument/2006/relationships/hyperlink" Target="http://www.tandfonline.com/doi/full/10.1080/03085140601089846" TargetMode="External"/><Relationship Id="rId21" Type="http://schemas.openxmlformats.org/officeDocument/2006/relationships/hyperlink" Target="http://www.tandfonline.com/doi/full/10.1080/03085140601089846" TargetMode="External"/><Relationship Id="rId22" Type="http://schemas.openxmlformats.org/officeDocument/2006/relationships/hyperlink" Target="http://www.tandfonline.com/doi/full/10.1080/03085140601089846"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money.usnews.com/money/personal-finance/slideshows/10-warning-signs-of-identity-theft" TargetMode="External"/><Relationship Id="rId11" Type="http://schemas.openxmlformats.org/officeDocument/2006/relationships/hyperlink" Target="http://money.usnews.com/money/personal-finance/articles/2012/04/16/6-surprising-ways-to-boost-your-credit-score" TargetMode="External"/><Relationship Id="rId12" Type="http://schemas.openxmlformats.org/officeDocument/2006/relationships/hyperlink" Target="http://money.usnews.com/money/personal-finance/articles/2012/12/28/what-it-takes-to-have-a-perfect-or-near-perfect-credit-score" TargetMode="External"/><Relationship Id="rId13" Type="http://schemas.openxmlformats.org/officeDocument/2006/relationships/hyperlink" Target="http://money.usnews.com/money/personal-finance/slideshows/get-out-of-debt-resolutions-for-2013" TargetMode="External"/><Relationship Id="rId14" Type="http://schemas.openxmlformats.org/officeDocument/2006/relationships/hyperlink" Target="http://www.tandfonline.com/doi/full/10.1080/03085140601089846" TargetMode="External"/><Relationship Id="rId15" Type="http://schemas.openxmlformats.org/officeDocument/2006/relationships/hyperlink" Target="http://www.tandfonline.com/doi/full/10.1080/03085140601089846" TargetMode="External"/><Relationship Id="rId16" Type="http://schemas.openxmlformats.org/officeDocument/2006/relationships/hyperlink" Target="http://www.tandfonline.com/doi/full/10.1080/03085140601089846" TargetMode="External"/><Relationship Id="rId17" Type="http://schemas.openxmlformats.org/officeDocument/2006/relationships/hyperlink" Target="http://www.tandfonline.com/doi/full/10.1080/03085140601089846" TargetMode="External"/><Relationship Id="rId18" Type="http://schemas.openxmlformats.org/officeDocument/2006/relationships/hyperlink" Target="http://www.tandfonline.com/doi/full/10.1080/03085140601089846" TargetMode="External"/><Relationship Id="rId19" Type="http://schemas.openxmlformats.org/officeDocument/2006/relationships/hyperlink" Target="http://www.tandfonline.com/doi/full/10.1080/03085140601089846"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nbc.com/2014/02/16/stop-whining-the-us-economy-is-in-good-shape.html" TargetMode="External"/><Relationship Id="rId7" Type="http://schemas.openxmlformats.org/officeDocument/2006/relationships/hyperlink" Target="http://www.bloomberg.com/bw/articles/2014-10-30/why-john-maynard-keyness-theories-can-fix-the-world-economy" TargetMode="External"/><Relationship Id="rId8" Type="http://schemas.openxmlformats.org/officeDocument/2006/relationships/hyperlink" Target="http://harvardmagazine.com/2006/01/growth-is-goo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ackbrow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8</TotalTime>
  <Pages>12</Pages>
  <Words>3864</Words>
  <Characters>22027</Characters>
  <Application>Microsoft Macintosh Word</Application>
  <DocSecurity>0</DocSecurity>
  <Lines>183</Lines>
  <Paragraphs>51</Paragraphs>
  <ScaleCrop>false</ScaleCrop>
  <Company>New trier</Company>
  <LinksUpToDate>false</LinksUpToDate>
  <CharactersWithSpaces>25840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Brown</dc:creator>
  <cp:keywords/>
  <dc:description/>
  <cp:lastModifiedBy>Jack Brown</cp:lastModifiedBy>
  <cp:revision>5</cp:revision>
  <dcterms:created xsi:type="dcterms:W3CDTF">2015-07-27T02:39:00Z</dcterms:created>
  <dcterms:modified xsi:type="dcterms:W3CDTF">2015-07-27T17:57:00Z</dcterms:modified>
</cp:coreProperties>
</file>