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0022F2" w:rsidP="00D17C4E">
      <w:bookmarkStart w:id="0" w:name="_GoBack"/>
      <w:bookmarkEnd w:id="0"/>
    </w:p>
    <w:p w:rsidR="00E05700" w:rsidRDefault="00E05700" w:rsidP="00D17C4E"/>
    <w:p w:rsidR="00C91DCD" w:rsidRDefault="00C91DCD" w:rsidP="00D17C4E"/>
    <w:p w:rsidR="00C91DCD" w:rsidRDefault="00C91DCD" w:rsidP="00C91DCD">
      <w:pPr>
        <w:pStyle w:val="Heading2"/>
      </w:pPr>
      <w:r>
        <w:t>Top Level</w:t>
      </w:r>
    </w:p>
    <w:p w:rsidR="00C91DCD" w:rsidRDefault="00C91DCD" w:rsidP="00C91DCD"/>
    <w:p w:rsidR="00C91DCD" w:rsidRDefault="00C91DCD" w:rsidP="00C91DCD">
      <w:pPr>
        <w:pStyle w:val="Heading3"/>
      </w:pPr>
      <w:r>
        <w:t>Politics are good</w:t>
      </w:r>
    </w:p>
    <w:p w:rsidR="00C91DCD" w:rsidRDefault="00C91DCD" w:rsidP="00C91DCD">
      <w:pPr>
        <w:pStyle w:val="Heading4"/>
      </w:pPr>
      <w:r>
        <w:t xml:space="preserve">We don’t have to win that the political system is good – all relationships are contingent and exclusionary – we just have to win that ‘the political’ is an institution worth discussing.  It is.  </w:t>
      </w:r>
    </w:p>
    <w:p w:rsidR="00C91DCD" w:rsidRDefault="00C91DCD" w:rsidP="00C91DCD">
      <w:r w:rsidRPr="00FF14D9">
        <w:rPr>
          <w:b/>
        </w:rPr>
        <w:t>Mouffe 13</w:t>
      </w:r>
      <w:r w:rsidRPr="00FF14D9">
        <w:t xml:space="preserve"> (Chantal Mou</w:t>
      </w:r>
      <w:r>
        <w:t>ffe,</w:t>
      </w:r>
      <w:r w:rsidRPr="00FF14D9">
        <w:t xml:space="preserve"> </w:t>
      </w:r>
      <w:r>
        <w:t xml:space="preserve">Professor of Political Theory at the University of Westminster at the Centre for the Study of Democracy, She is in the departments of Social Sciences and Humanities, Politics and International Relations, and has research in the Centre for the Study of Democracy and the Institute for Modern and Contemporary Culture; “Agonistics: Thinking the World Politically”; </w:t>
      </w:r>
      <w:r w:rsidRPr="00FF14D9">
        <w:t>eISBN: 978-1-78168-235-7; published b</w:t>
      </w:r>
      <w:r>
        <w:t>y Verso 2013; v3.1)HB</w:t>
      </w:r>
    </w:p>
    <w:p w:rsidR="00C91DCD" w:rsidRDefault="00C91DCD" w:rsidP="00C91DCD"/>
    <w:p w:rsidR="00C91DCD" w:rsidRPr="0026314A" w:rsidRDefault="00C91DCD" w:rsidP="00C91DCD">
      <w:pPr>
        <w:shd w:val="clear" w:color="auto" w:fill="FFFFFF"/>
        <w:rPr>
          <w:color w:val="222222"/>
          <w:sz w:val="20"/>
          <w:szCs w:val="20"/>
        </w:rPr>
      </w:pPr>
      <w:r w:rsidRPr="0026314A">
        <w:rPr>
          <w:color w:val="222222"/>
          <w:sz w:val="16"/>
          <w:szCs w:val="16"/>
        </w:rPr>
        <w:t>The essays collected in this volume examine the relevance of the agonistic approach I have elaborated in my previous work for a series of issues that I take to be important to the left-wing project. Each chapter deals with a different question, but in each case my aim is to address the question in a political way. As Ernesto Laclau and I argued in Hegemony and Socialist Strategy,</w:t>
      </w:r>
      <w:r w:rsidRPr="0026314A">
        <w:rPr>
          <w:rStyle w:val="apple-converted-space"/>
          <w:color w:val="222222"/>
          <w:sz w:val="16"/>
          <w:szCs w:val="16"/>
        </w:rPr>
        <w:t> </w:t>
      </w:r>
      <w:r w:rsidRPr="0026314A">
        <w:rPr>
          <w:rStyle w:val="StyleBoldUnderline"/>
        </w:rPr>
        <w:t xml:space="preserve">to think politically requires </w:t>
      </w:r>
      <w:r w:rsidRPr="0026314A">
        <w:rPr>
          <w:rStyle w:val="Emphasis"/>
        </w:rPr>
        <w:t>recognizing the ontological dimension of radical negativity</w:t>
      </w:r>
      <w:r w:rsidRPr="0026314A">
        <w:rPr>
          <w:color w:val="222222"/>
          <w:sz w:val="16"/>
          <w:szCs w:val="16"/>
        </w:rPr>
        <w:t>.1</w:t>
      </w:r>
      <w:r w:rsidRPr="0026314A">
        <w:rPr>
          <w:rStyle w:val="apple-converted-space"/>
          <w:color w:val="222222"/>
          <w:sz w:val="16"/>
          <w:szCs w:val="16"/>
        </w:rPr>
        <w:t> </w:t>
      </w:r>
      <w:r w:rsidRPr="0026314A">
        <w:rPr>
          <w:rStyle w:val="StyleBoldUnderline"/>
        </w:rPr>
        <w:t>It is because of</w:t>
      </w:r>
      <w:r w:rsidRPr="0026314A">
        <w:rPr>
          <w:rStyle w:val="apple-converted-space"/>
          <w:color w:val="222222"/>
          <w:sz w:val="16"/>
          <w:szCs w:val="16"/>
        </w:rPr>
        <w:t> </w:t>
      </w:r>
      <w:r w:rsidRPr="0026314A">
        <w:rPr>
          <w:color w:val="222222"/>
          <w:sz w:val="16"/>
          <w:szCs w:val="16"/>
        </w:rPr>
        <w:t>the existence of a form of</w:t>
      </w:r>
      <w:r w:rsidRPr="0026314A">
        <w:rPr>
          <w:rStyle w:val="apple-converted-space"/>
          <w:color w:val="222222"/>
          <w:sz w:val="16"/>
          <w:szCs w:val="16"/>
        </w:rPr>
        <w:t> </w:t>
      </w:r>
      <w:r w:rsidRPr="0026314A">
        <w:rPr>
          <w:rStyle w:val="StyleBoldUnderline"/>
        </w:rPr>
        <w:t>negativity that cannot be overcome dialectically that</w:t>
      </w:r>
      <w:r w:rsidRPr="0026314A">
        <w:rPr>
          <w:rStyle w:val="apple-converted-space"/>
          <w:color w:val="222222"/>
          <w:sz w:val="16"/>
          <w:szCs w:val="16"/>
        </w:rPr>
        <w:t> </w:t>
      </w:r>
      <w:r w:rsidRPr="0026314A">
        <w:rPr>
          <w:color w:val="222222"/>
          <w:sz w:val="16"/>
          <w:szCs w:val="16"/>
        </w:rPr>
        <w:t>full objectivity can never be reached and that</w:t>
      </w:r>
      <w:r w:rsidRPr="0026314A">
        <w:rPr>
          <w:rStyle w:val="apple-converted-space"/>
          <w:color w:val="222222"/>
          <w:sz w:val="16"/>
          <w:szCs w:val="16"/>
        </w:rPr>
        <w:t> </w:t>
      </w:r>
      <w:r w:rsidRPr="0026314A">
        <w:rPr>
          <w:rStyle w:val="Emphasis"/>
        </w:rPr>
        <w:t>antagonism is an ever present possibility</w:t>
      </w:r>
      <w:r w:rsidRPr="0026314A">
        <w:rPr>
          <w:rStyle w:val="StyleBoldUnderline"/>
        </w:rPr>
        <w:t>. Society is</w:t>
      </w:r>
      <w:r w:rsidRPr="0026314A">
        <w:rPr>
          <w:rStyle w:val="apple-converted-space"/>
          <w:color w:val="222222"/>
        </w:rPr>
        <w:t> </w:t>
      </w:r>
      <w:r w:rsidRPr="0026314A">
        <w:rPr>
          <w:rStyle w:val="Emphasis"/>
        </w:rPr>
        <w:t>permeated by contingency</w:t>
      </w:r>
      <w:r w:rsidRPr="0026314A">
        <w:rPr>
          <w:rStyle w:val="apple-converted-space"/>
          <w:color w:val="222222"/>
        </w:rPr>
        <w:t> </w:t>
      </w:r>
      <w:r w:rsidRPr="0026314A">
        <w:rPr>
          <w:rStyle w:val="StyleBoldUnderline"/>
        </w:rPr>
        <w:t>and any order</w:t>
      </w:r>
      <w:r w:rsidRPr="0026314A">
        <w:rPr>
          <w:rStyle w:val="apple-converted-space"/>
          <w:color w:val="222222"/>
          <w:sz w:val="16"/>
          <w:szCs w:val="16"/>
        </w:rPr>
        <w:t> </w:t>
      </w:r>
      <w:r w:rsidRPr="0026314A">
        <w:rPr>
          <w:color w:val="222222"/>
          <w:sz w:val="16"/>
          <w:szCs w:val="16"/>
        </w:rPr>
        <w:t>is of an hegemonic nature, i.e. it</w:t>
      </w:r>
      <w:r w:rsidRPr="0026314A">
        <w:rPr>
          <w:rStyle w:val="apple-converted-space"/>
          <w:color w:val="222222"/>
          <w:sz w:val="16"/>
          <w:szCs w:val="16"/>
        </w:rPr>
        <w:t> </w:t>
      </w:r>
      <w:r w:rsidRPr="0026314A">
        <w:rPr>
          <w:rStyle w:val="StyleBoldUnderline"/>
        </w:rPr>
        <w:t>is always the expression of power relations</w:t>
      </w:r>
      <w:r w:rsidRPr="0026314A">
        <w:rPr>
          <w:color w:val="222222"/>
          <w:sz w:val="16"/>
          <w:szCs w:val="16"/>
        </w:rPr>
        <w:t>. In the field of politics,</w:t>
      </w:r>
      <w:r w:rsidRPr="0026314A">
        <w:rPr>
          <w:rStyle w:val="apple-converted-space"/>
          <w:color w:val="222222"/>
          <w:sz w:val="16"/>
          <w:szCs w:val="16"/>
        </w:rPr>
        <w:t> </w:t>
      </w:r>
      <w:r w:rsidRPr="0026314A">
        <w:rPr>
          <w:rStyle w:val="StyleBoldUnderline"/>
        </w:rPr>
        <w:t>this means</w:t>
      </w:r>
      <w:r w:rsidRPr="0026314A">
        <w:rPr>
          <w:rStyle w:val="apple-converted-space"/>
          <w:color w:val="222222"/>
          <w:sz w:val="16"/>
          <w:szCs w:val="16"/>
        </w:rPr>
        <w:t> </w:t>
      </w:r>
      <w:r w:rsidRPr="0026314A">
        <w:rPr>
          <w:color w:val="222222"/>
          <w:sz w:val="16"/>
          <w:szCs w:val="16"/>
        </w:rPr>
        <w:t>that</w:t>
      </w:r>
      <w:r w:rsidRPr="0026314A">
        <w:rPr>
          <w:rStyle w:val="apple-converted-space"/>
          <w:color w:val="222222"/>
          <w:sz w:val="16"/>
          <w:szCs w:val="16"/>
        </w:rPr>
        <w:t> </w:t>
      </w:r>
      <w:r w:rsidRPr="0026314A">
        <w:rPr>
          <w:rStyle w:val="StyleBoldUnderline"/>
        </w:rPr>
        <w:t xml:space="preserve">the search for a </w:t>
      </w:r>
      <w:r w:rsidRPr="0026314A">
        <w:rPr>
          <w:rStyle w:val="Emphasis"/>
        </w:rPr>
        <w:t>consensus without exclusion</w:t>
      </w:r>
      <w:r w:rsidRPr="0026314A">
        <w:rPr>
          <w:rStyle w:val="apple-converted-space"/>
          <w:color w:val="222222"/>
        </w:rPr>
        <w:t> </w:t>
      </w:r>
      <w:r w:rsidRPr="0026314A">
        <w:rPr>
          <w:rStyle w:val="StyleBoldUnderline"/>
        </w:rPr>
        <w:t>and the hope for a perfectly reconciled</w:t>
      </w:r>
      <w:r w:rsidRPr="0026314A">
        <w:rPr>
          <w:rStyle w:val="apple-converted-space"/>
          <w:color w:val="222222"/>
          <w:sz w:val="16"/>
          <w:szCs w:val="16"/>
        </w:rPr>
        <w:t> </w:t>
      </w:r>
      <w:r w:rsidRPr="0026314A">
        <w:rPr>
          <w:color w:val="222222"/>
          <w:sz w:val="16"/>
          <w:szCs w:val="16"/>
        </w:rPr>
        <w:t>and harmonious</w:t>
      </w:r>
      <w:r w:rsidRPr="0026314A">
        <w:rPr>
          <w:rStyle w:val="apple-converted-space"/>
          <w:color w:val="222222"/>
          <w:sz w:val="16"/>
          <w:szCs w:val="16"/>
        </w:rPr>
        <w:t> </w:t>
      </w:r>
      <w:r w:rsidRPr="0026314A">
        <w:rPr>
          <w:rStyle w:val="StyleBoldUnderline"/>
        </w:rPr>
        <w:t>society</w:t>
      </w:r>
      <w:r w:rsidRPr="0026314A">
        <w:rPr>
          <w:rStyle w:val="apple-converted-space"/>
          <w:color w:val="222222"/>
        </w:rPr>
        <w:t> </w:t>
      </w:r>
      <w:r w:rsidRPr="0026314A">
        <w:rPr>
          <w:rStyle w:val="Emphasis"/>
        </w:rPr>
        <w:t>have to be abandoned</w:t>
      </w:r>
      <w:r w:rsidRPr="0026314A">
        <w:rPr>
          <w:color w:val="222222"/>
          <w:sz w:val="16"/>
          <w:szCs w:val="16"/>
        </w:rPr>
        <w:t>. As a result, the emancipatory ideal cannot be formulated in terms of a realization of any form of 'communism'.</w:t>
      </w:r>
    </w:p>
    <w:p w:rsidR="00C91DCD" w:rsidRPr="0026314A" w:rsidRDefault="00C91DCD" w:rsidP="00C91DCD">
      <w:pPr>
        <w:shd w:val="clear" w:color="auto" w:fill="FFFFFF"/>
        <w:rPr>
          <w:color w:val="222222"/>
          <w:sz w:val="20"/>
          <w:szCs w:val="20"/>
        </w:rPr>
      </w:pPr>
      <w:r w:rsidRPr="0026314A">
        <w:rPr>
          <w:color w:val="222222"/>
          <w:sz w:val="16"/>
          <w:szCs w:val="16"/>
        </w:rPr>
        <w:t>The reflections proposed here take their bearings from the critique of rationalism and universalism that I have developed [END PAGE xi] since The Return of the Political, where I began to elaborate a model of democracy which I call 'agonistic pluralism'.2 In inscribing the dimension of radical negativity in the political domain, I proposed in that book to distinguish between 'the political' and 'politics'.</w:t>
      </w:r>
      <w:r w:rsidRPr="0026314A">
        <w:rPr>
          <w:rStyle w:val="apple-converted-space"/>
          <w:color w:val="222222"/>
          <w:sz w:val="16"/>
          <w:szCs w:val="16"/>
        </w:rPr>
        <w:t> </w:t>
      </w:r>
      <w:r w:rsidRPr="0026314A">
        <w:rPr>
          <w:rStyle w:val="StyleBoldUnderline"/>
        </w:rPr>
        <w:t>By 'the political', I refer to the ontological dimension of antagonism, and by 'politics' I mean the ensemble of practices and institutions whose aim is to organize human coexistence. These practices</w:t>
      </w:r>
      <w:r w:rsidRPr="0026314A">
        <w:rPr>
          <w:color w:val="222222"/>
          <w:sz w:val="16"/>
          <w:szCs w:val="16"/>
        </w:rPr>
        <w:t>, however,</w:t>
      </w:r>
      <w:r w:rsidRPr="0026314A">
        <w:rPr>
          <w:rStyle w:val="apple-converted-space"/>
          <w:color w:val="222222"/>
          <w:sz w:val="16"/>
          <w:szCs w:val="16"/>
        </w:rPr>
        <w:t> </w:t>
      </w:r>
      <w:r w:rsidRPr="0026314A">
        <w:rPr>
          <w:rStyle w:val="StyleBoldUnderline"/>
        </w:rPr>
        <w:t>always operate within a terrain of conflictuality informed by 'the political'</w:t>
      </w:r>
      <w:r w:rsidRPr="0026314A">
        <w:rPr>
          <w:color w:val="222222"/>
          <w:sz w:val="16"/>
          <w:szCs w:val="16"/>
        </w:rPr>
        <w:t>.</w:t>
      </w:r>
    </w:p>
    <w:p w:rsidR="00C91DCD" w:rsidRPr="0026314A" w:rsidRDefault="00C91DCD" w:rsidP="00C91DCD">
      <w:pPr>
        <w:shd w:val="clear" w:color="auto" w:fill="FFFFFF"/>
        <w:rPr>
          <w:color w:val="222222"/>
          <w:sz w:val="20"/>
          <w:szCs w:val="20"/>
        </w:rPr>
      </w:pPr>
      <w:r w:rsidRPr="0026314A">
        <w:rPr>
          <w:color w:val="222222"/>
          <w:sz w:val="16"/>
          <w:szCs w:val="16"/>
        </w:rPr>
        <w:t>The key thesis of 'agonistic pluralism' was later elaborated in The Democratic Paradox, where I argued that</w:t>
      </w:r>
      <w:r w:rsidRPr="0026314A">
        <w:rPr>
          <w:rStyle w:val="apple-converted-space"/>
          <w:color w:val="222222"/>
          <w:sz w:val="16"/>
          <w:szCs w:val="16"/>
        </w:rPr>
        <w:t> </w:t>
      </w:r>
      <w:r w:rsidRPr="0026314A">
        <w:rPr>
          <w:rStyle w:val="StyleBoldUnderline"/>
        </w:rPr>
        <w:t>a central task of democratic politics is to provide the institutions which will permit conflicts to take an 'agonistic' form, where the opponents are not enemies but adversaries among whom exists a</w:t>
      </w:r>
      <w:r w:rsidRPr="0026314A">
        <w:rPr>
          <w:rStyle w:val="apple-converted-space"/>
          <w:color w:val="222222"/>
        </w:rPr>
        <w:t> </w:t>
      </w:r>
      <w:r w:rsidRPr="0026314A">
        <w:rPr>
          <w:rStyle w:val="Emphasis"/>
        </w:rPr>
        <w:t>conflictual consensus</w:t>
      </w:r>
      <w:r w:rsidRPr="0026314A">
        <w:rPr>
          <w:color w:val="222222"/>
          <w:sz w:val="16"/>
          <w:szCs w:val="16"/>
        </w:rPr>
        <w:t>.3 What I intended to show</w:t>
      </w:r>
      <w:r w:rsidRPr="0026314A">
        <w:rPr>
          <w:rStyle w:val="apple-converted-space"/>
          <w:color w:val="222222"/>
          <w:sz w:val="16"/>
          <w:szCs w:val="16"/>
        </w:rPr>
        <w:t> </w:t>
      </w:r>
      <w:r w:rsidRPr="0026314A">
        <w:rPr>
          <w:rStyle w:val="StyleBoldUnderline"/>
        </w:rPr>
        <w:t xml:space="preserve">with this agonistic model </w:t>
      </w:r>
      <w:r w:rsidRPr="0026314A">
        <w:rPr>
          <w:color w:val="222222"/>
          <w:sz w:val="16"/>
          <w:szCs w:val="16"/>
        </w:rPr>
        <w:t>was that</w:t>
      </w:r>
      <w:r w:rsidRPr="0026314A">
        <w:rPr>
          <w:rStyle w:val="apple-converted-space"/>
          <w:color w:val="222222"/>
          <w:sz w:val="16"/>
          <w:szCs w:val="16"/>
        </w:rPr>
        <w:t> </w:t>
      </w:r>
      <w:r w:rsidRPr="0026314A">
        <w:rPr>
          <w:rStyle w:val="StyleBoldUnderline"/>
        </w:rPr>
        <w:t>it was possible,</w:t>
      </w:r>
      <w:r w:rsidRPr="0026314A">
        <w:rPr>
          <w:rStyle w:val="apple-converted-space"/>
          <w:color w:val="222222"/>
        </w:rPr>
        <w:t> </w:t>
      </w:r>
      <w:r w:rsidRPr="0026314A">
        <w:rPr>
          <w:rStyle w:val="Emphasis"/>
        </w:rPr>
        <w:t>even when starting with</w:t>
      </w:r>
      <w:r w:rsidRPr="0026314A">
        <w:rPr>
          <w:rStyle w:val="apple-converted-space"/>
          <w:color w:val="222222"/>
        </w:rPr>
        <w:t> </w:t>
      </w:r>
      <w:r w:rsidRPr="0026314A">
        <w:rPr>
          <w:rStyle w:val="StyleBoldUnderline"/>
        </w:rPr>
        <w:t>the assertion of the</w:t>
      </w:r>
      <w:r w:rsidRPr="0026314A">
        <w:rPr>
          <w:rStyle w:val="apple-converted-space"/>
          <w:color w:val="222222"/>
        </w:rPr>
        <w:t> </w:t>
      </w:r>
      <w:r w:rsidRPr="0026314A">
        <w:rPr>
          <w:rStyle w:val="Emphasis"/>
        </w:rPr>
        <w:t>ineradicability of antagonism</w:t>
      </w:r>
      <w:r w:rsidRPr="0026314A">
        <w:rPr>
          <w:rStyle w:val="StyleBoldUnderline"/>
        </w:rPr>
        <w:t>, to envisage a democratic order</w:t>
      </w:r>
      <w:r w:rsidRPr="0026314A">
        <w:rPr>
          <w:color w:val="222222"/>
          <w:sz w:val="16"/>
          <w:szCs w:val="16"/>
        </w:rPr>
        <w:t>.</w:t>
      </w:r>
    </w:p>
    <w:p w:rsidR="00C91DCD" w:rsidRPr="0026314A" w:rsidRDefault="00C91DCD" w:rsidP="00C91DCD">
      <w:pPr>
        <w:shd w:val="clear" w:color="auto" w:fill="FFFFFF"/>
        <w:rPr>
          <w:rStyle w:val="Emphasis"/>
        </w:rPr>
      </w:pPr>
      <w:r w:rsidRPr="0026314A">
        <w:rPr>
          <w:color w:val="222222"/>
          <w:sz w:val="16"/>
          <w:szCs w:val="16"/>
        </w:rPr>
        <w:t xml:space="preserve">Nonetheless, it is true that political theories that affirm such a thesis usually end up defending an authoritarian order as the only way to keep civil war at bay. This is why most political theorists committed to democracy believe that they have to assert the availability of a rational solution to political conflicts. My argument, however, is that </w:t>
      </w:r>
      <w:r w:rsidRPr="0026314A">
        <w:rPr>
          <w:rStyle w:val="StyleBoldUnderline"/>
        </w:rPr>
        <w:t xml:space="preserve">the authoritarian solution is </w:t>
      </w:r>
      <w:r w:rsidRPr="0026314A">
        <w:rPr>
          <w:rStyle w:val="Emphasis"/>
        </w:rPr>
        <w:t>not a necessary logical consequence of such an ontological postulate</w:t>
      </w:r>
      <w:r w:rsidRPr="0026314A">
        <w:rPr>
          <w:rStyle w:val="StyleBoldUnderline"/>
        </w:rPr>
        <w:t xml:space="preserve">, and that by distinguishing between 'antagonism' and 'agonism', </w:t>
      </w:r>
      <w:r w:rsidRPr="0026314A">
        <w:rPr>
          <w:rStyle w:val="Emphasis"/>
        </w:rPr>
        <w:t>it is possible to visualize a form of democracy that does not deny radical negativity.</w:t>
      </w:r>
    </w:p>
    <w:p w:rsidR="00C91DCD" w:rsidRPr="0026314A" w:rsidRDefault="00C91DCD" w:rsidP="00C91DCD">
      <w:pPr>
        <w:shd w:val="clear" w:color="auto" w:fill="FFFFFF"/>
        <w:rPr>
          <w:color w:val="222222"/>
          <w:sz w:val="20"/>
          <w:szCs w:val="20"/>
        </w:rPr>
      </w:pPr>
      <w:r w:rsidRPr="0026314A">
        <w:rPr>
          <w:color w:val="222222"/>
          <w:sz w:val="16"/>
          <w:szCs w:val="16"/>
        </w:rPr>
        <w:t>In recent years, reflecting on worldwide political [END PAGE xii] developments, I have been led to enquire about the possible implications of my approach for international relations. What are the consequences in the international arena of the thesis that every order is an hegemonic one? Does it mean that there is no alternative to the current unipolar world, with all the negative consequences this entails? Undoubtedly,</w:t>
      </w:r>
      <w:r w:rsidRPr="0026314A">
        <w:rPr>
          <w:rStyle w:val="apple-converted-space"/>
          <w:color w:val="222222"/>
          <w:sz w:val="16"/>
          <w:szCs w:val="16"/>
        </w:rPr>
        <w:t> </w:t>
      </w:r>
      <w:r w:rsidRPr="0026314A">
        <w:rPr>
          <w:rStyle w:val="StyleBoldUnderline"/>
        </w:rPr>
        <w:t>the illusion of a cosmopolitan world beyond hegemony and beyond sovereignty has to be relinquished. But this is not the only solution available, as we can also conceive of another one: a pluralization of hegemonies</w:t>
      </w:r>
      <w:r w:rsidRPr="0026314A">
        <w:rPr>
          <w:color w:val="222222"/>
          <w:sz w:val="16"/>
          <w:szCs w:val="16"/>
        </w:rPr>
        <w:t>. In my view,</w:t>
      </w:r>
      <w:r w:rsidRPr="0026314A">
        <w:rPr>
          <w:rStyle w:val="apple-converted-space"/>
          <w:color w:val="222222"/>
          <w:sz w:val="16"/>
          <w:szCs w:val="16"/>
        </w:rPr>
        <w:t> </w:t>
      </w:r>
      <w:r w:rsidRPr="0026314A">
        <w:rPr>
          <w:rStyle w:val="StyleBoldUnderline"/>
        </w:rPr>
        <w:t>by establishing more equal relations between regional poles, a multipolar approach could be a step towards an agonistic order where conflicts, although they would not disappear, would be less likely to take an antagonistic form</w:t>
      </w:r>
      <w:r w:rsidRPr="0026314A">
        <w:rPr>
          <w:color w:val="222222"/>
          <w:sz w:val="16"/>
          <w:szCs w:val="16"/>
        </w:rPr>
        <w:t>.</w:t>
      </w:r>
    </w:p>
    <w:p w:rsidR="00C91DCD" w:rsidRPr="0026314A" w:rsidRDefault="00C91DCD" w:rsidP="00C91DCD">
      <w:pPr>
        <w:shd w:val="clear" w:color="auto" w:fill="FFFFFF"/>
        <w:rPr>
          <w:color w:val="222222"/>
          <w:sz w:val="20"/>
          <w:szCs w:val="20"/>
        </w:rPr>
      </w:pPr>
      <w:r w:rsidRPr="0026314A">
        <w:rPr>
          <w:color w:val="222222"/>
          <w:sz w:val="16"/>
          <w:szCs w:val="16"/>
        </w:rPr>
        <w:t>Another aspect of my reflections concerns the consequences of the hegemonic approach regarding radical projects whose aim is to establish a different social and political order. How can such a new order be brought about? What strategy to follow?</w:t>
      </w:r>
    </w:p>
    <w:p w:rsidR="00C91DCD" w:rsidRPr="0026314A" w:rsidRDefault="00C91DCD" w:rsidP="00C91DCD">
      <w:pPr>
        <w:shd w:val="clear" w:color="auto" w:fill="FFFFFF"/>
        <w:rPr>
          <w:color w:val="222222"/>
          <w:sz w:val="20"/>
          <w:szCs w:val="20"/>
        </w:rPr>
      </w:pPr>
      <w:r w:rsidRPr="0026314A">
        <w:rPr>
          <w:rStyle w:val="StyleBoldUnderline"/>
        </w:rPr>
        <w:t>The traditional revolutionary approach has mostly been forsaken, but it is increasingly replaced by another one that, under the name of 'exodus', reproduces,</w:t>
      </w:r>
      <w:r w:rsidRPr="0026314A">
        <w:rPr>
          <w:rStyle w:val="apple-converted-space"/>
          <w:color w:val="222222"/>
          <w:sz w:val="16"/>
          <w:szCs w:val="16"/>
        </w:rPr>
        <w:t> </w:t>
      </w:r>
      <w:r w:rsidRPr="0026314A">
        <w:rPr>
          <w:color w:val="222222"/>
          <w:sz w:val="16"/>
          <w:szCs w:val="16"/>
        </w:rPr>
        <w:t>albeit in a different way,</w:t>
      </w:r>
      <w:r w:rsidRPr="0026314A">
        <w:rPr>
          <w:rStyle w:val="apple-converted-space"/>
          <w:color w:val="222222"/>
          <w:sz w:val="16"/>
          <w:szCs w:val="16"/>
        </w:rPr>
        <w:t> </w:t>
      </w:r>
      <w:r w:rsidRPr="0026314A">
        <w:rPr>
          <w:rStyle w:val="StyleBoldUnderline"/>
        </w:rPr>
        <w:t>many of its shortcomings</w:t>
      </w:r>
      <w:r w:rsidRPr="0026314A">
        <w:rPr>
          <w:color w:val="222222"/>
          <w:sz w:val="16"/>
          <w:szCs w:val="16"/>
        </w:rPr>
        <w:t>. In this book</w:t>
      </w:r>
      <w:r w:rsidRPr="0026314A">
        <w:rPr>
          <w:rStyle w:val="apple-converted-space"/>
          <w:color w:val="222222"/>
          <w:sz w:val="16"/>
          <w:szCs w:val="16"/>
        </w:rPr>
        <w:t> </w:t>
      </w:r>
      <w:r w:rsidRPr="0026314A">
        <w:rPr>
          <w:rStyle w:val="Emphasis"/>
        </w:rPr>
        <w:t>I take issue with the total rejection of representative democracy</w:t>
      </w:r>
      <w:r w:rsidRPr="0026314A">
        <w:rPr>
          <w:rStyle w:val="StyleBoldUnderline"/>
        </w:rPr>
        <w:t xml:space="preserve"> by those who, instead of aiming at a transformation of the state through an agonistic hegemonic struggle, advocate a strategy of deserting political institutions. Their belief in</w:t>
      </w:r>
      <w:r w:rsidRPr="0026314A">
        <w:rPr>
          <w:rStyle w:val="apple-converted-space"/>
          <w:color w:val="222222"/>
          <w:sz w:val="16"/>
          <w:szCs w:val="16"/>
        </w:rPr>
        <w:t> </w:t>
      </w:r>
      <w:r w:rsidRPr="0026314A">
        <w:rPr>
          <w:color w:val="222222"/>
          <w:sz w:val="16"/>
          <w:szCs w:val="16"/>
        </w:rPr>
        <w:t>the availability of</w:t>
      </w:r>
      <w:r w:rsidRPr="0026314A">
        <w:rPr>
          <w:rStyle w:val="apple-converted-space"/>
          <w:color w:val="222222"/>
          <w:sz w:val="16"/>
          <w:szCs w:val="16"/>
        </w:rPr>
        <w:t> </w:t>
      </w:r>
      <w:r w:rsidRPr="0026314A">
        <w:rPr>
          <w:rStyle w:val="StyleBoldUnderline"/>
        </w:rPr>
        <w:t>an 'absolute democracy' where the multitude would be able to self-organize without any need of the state or political institutions signifies a lack of understanding of</w:t>
      </w:r>
      <w:r w:rsidRPr="0026314A">
        <w:rPr>
          <w:rStyle w:val="apple-converted-space"/>
          <w:color w:val="222222"/>
          <w:sz w:val="16"/>
          <w:szCs w:val="16"/>
        </w:rPr>
        <w:t> </w:t>
      </w:r>
      <w:r w:rsidRPr="0026314A">
        <w:rPr>
          <w:color w:val="222222"/>
          <w:sz w:val="16"/>
          <w:szCs w:val="16"/>
        </w:rPr>
        <w:t>what I designate as</w:t>
      </w:r>
      <w:r w:rsidRPr="0026314A">
        <w:rPr>
          <w:rStyle w:val="apple-converted-space"/>
          <w:color w:val="222222"/>
          <w:sz w:val="16"/>
          <w:szCs w:val="16"/>
        </w:rPr>
        <w:t> </w:t>
      </w:r>
      <w:r w:rsidRPr="0026314A">
        <w:rPr>
          <w:rStyle w:val="StyleBoldUnderline"/>
        </w:rPr>
        <w:t>'the political'</w:t>
      </w:r>
      <w:r w:rsidRPr="0026314A">
        <w:rPr>
          <w:color w:val="222222"/>
          <w:sz w:val="16"/>
          <w:szCs w:val="16"/>
        </w:rPr>
        <w:t>.</w:t>
      </w:r>
    </w:p>
    <w:p w:rsidR="00C91DCD" w:rsidRPr="00F209C8" w:rsidRDefault="00C91DCD" w:rsidP="00C91DCD">
      <w:pPr>
        <w:shd w:val="clear" w:color="auto" w:fill="FFFFFF"/>
        <w:rPr>
          <w:color w:val="222222"/>
          <w:sz w:val="20"/>
          <w:szCs w:val="20"/>
        </w:rPr>
      </w:pPr>
      <w:r w:rsidRPr="0026314A">
        <w:rPr>
          <w:color w:val="222222"/>
          <w:sz w:val="16"/>
          <w:szCs w:val="16"/>
        </w:rPr>
        <w:t>To be sure, they question the thesis of a progressive homogenization of the 'people' under the category of 'the [END PAGE xiii] proletariat', while affirming the multiplicity of 'the multitude'. But</w:t>
      </w:r>
      <w:r w:rsidRPr="0026314A">
        <w:rPr>
          <w:rStyle w:val="apple-converted-space"/>
          <w:color w:val="222222"/>
          <w:sz w:val="16"/>
          <w:szCs w:val="16"/>
        </w:rPr>
        <w:t> </w:t>
      </w:r>
      <w:r w:rsidRPr="0026314A">
        <w:rPr>
          <w:rStyle w:val="StyleBoldUnderline"/>
        </w:rPr>
        <w:t xml:space="preserve">to acknowledge radical negativity implies recognizing not only that </w:t>
      </w:r>
      <w:r w:rsidRPr="0026314A">
        <w:rPr>
          <w:rStyle w:val="Emphasis"/>
        </w:rPr>
        <w:t>the people is multiple</w:t>
      </w:r>
      <w:r w:rsidRPr="0026314A">
        <w:rPr>
          <w:rStyle w:val="StyleBoldUnderline"/>
        </w:rPr>
        <w:t>, but that it is also divided. Such a division cannot be overcome; it can</w:t>
      </w:r>
      <w:r w:rsidRPr="0026314A">
        <w:rPr>
          <w:rStyle w:val="apple-converted-space"/>
          <w:color w:val="222222"/>
        </w:rPr>
        <w:t> </w:t>
      </w:r>
      <w:r w:rsidRPr="0026314A">
        <w:rPr>
          <w:rStyle w:val="Emphasis"/>
        </w:rPr>
        <w:t>only be institutionalized in different ways</w:t>
      </w:r>
      <w:r w:rsidRPr="0026314A">
        <w:rPr>
          <w:rStyle w:val="StyleBoldUnderline"/>
        </w:rPr>
        <w:t>, some more egalitarian than others. According to this approach, radical politics consists in a diversity of moves in a multiplicity of institutional terrains, so as to construct a different hegemony. It is a 'war of position' whose objective is not the creation of a society beyond hegemony, but a process of</w:t>
      </w:r>
      <w:r w:rsidRPr="0026314A">
        <w:rPr>
          <w:rStyle w:val="apple-converted-space"/>
          <w:color w:val="222222"/>
        </w:rPr>
        <w:t> </w:t>
      </w:r>
      <w:r w:rsidRPr="0026314A">
        <w:rPr>
          <w:rStyle w:val="Emphasis"/>
        </w:rPr>
        <w:t>radicalizing democracy</w:t>
      </w:r>
      <w:r w:rsidRPr="0026314A">
        <w:rPr>
          <w:rStyle w:val="apple-converted-space"/>
          <w:color w:val="222222"/>
        </w:rPr>
        <w:t> </w:t>
      </w:r>
      <w:r w:rsidRPr="0026314A">
        <w:rPr>
          <w:rStyle w:val="StyleBoldUnderline"/>
        </w:rPr>
        <w:t>- the construction of more democratic, more egalitarian institutions</w:t>
      </w:r>
      <w:r w:rsidRPr="0026314A">
        <w:rPr>
          <w:color w:val="222222"/>
          <w:sz w:val="16"/>
          <w:szCs w:val="16"/>
        </w:rPr>
        <w:t>.</w:t>
      </w:r>
    </w:p>
    <w:p w:rsidR="00C91DCD" w:rsidRDefault="00C91DCD" w:rsidP="00C91DCD"/>
    <w:p w:rsidR="00C91DCD" w:rsidRDefault="00C91DCD" w:rsidP="00C91DCD"/>
    <w:p w:rsidR="00C91DCD" w:rsidRDefault="00C91DCD" w:rsidP="00C91DCD">
      <w:pPr>
        <w:pStyle w:val="Heading4"/>
      </w:pPr>
      <w:r>
        <w:t xml:space="preserve">We should engage in agnostic fights about politics - </w:t>
      </w:r>
    </w:p>
    <w:p w:rsidR="00C91DCD" w:rsidRDefault="00C91DCD" w:rsidP="00C91DCD">
      <w:r w:rsidRPr="00FF14D9">
        <w:rPr>
          <w:b/>
        </w:rPr>
        <w:t>Mouffe 13</w:t>
      </w:r>
      <w:r w:rsidRPr="00FF14D9">
        <w:t xml:space="preserve"> (Chantal Mou</w:t>
      </w:r>
      <w:r>
        <w:t>ffe,</w:t>
      </w:r>
      <w:r w:rsidRPr="00FF14D9">
        <w:t xml:space="preserve"> </w:t>
      </w:r>
      <w:r>
        <w:t xml:space="preserve">Professor of Political Theory at the University of Westminster at the Centre for the Study of Democracy, She is in the departments of Social Sciences and Humanities, Politics and International Relations, and has research in the Centre for the Study of Democracy and the Institute for Modern and Contemporary Culture; “Agonistics: Thinking the World Politically”; </w:t>
      </w:r>
      <w:r w:rsidRPr="00FF14D9">
        <w:t>eISBN: 978-1-78168-235-7; published b</w:t>
      </w:r>
      <w:r>
        <w:t>y Verso 2013; v3.1)HB</w:t>
      </w:r>
    </w:p>
    <w:p w:rsidR="00C91DCD" w:rsidRDefault="00C91DCD" w:rsidP="00C91DCD"/>
    <w:p w:rsidR="00C91DCD" w:rsidRPr="00C91DCD" w:rsidRDefault="00C91DCD" w:rsidP="00C91DCD">
      <w:pPr>
        <w:rPr>
          <w:sz w:val="16"/>
        </w:rPr>
      </w:pPr>
      <w:r w:rsidRPr="00C91DCD">
        <w:rPr>
          <w:sz w:val="16"/>
        </w:rPr>
        <w:t xml:space="preserve">In </w:t>
      </w:r>
      <w:r w:rsidRPr="00C91DCD">
        <w:rPr>
          <w:i/>
          <w:sz w:val="16"/>
        </w:rPr>
        <w:t>The Return of the Political, the Democratic Paradox</w:t>
      </w:r>
      <w:r w:rsidRPr="00C91DCD">
        <w:rPr>
          <w:sz w:val="16"/>
        </w:rPr>
        <w:t xml:space="preserve"> and </w:t>
      </w:r>
      <w:r w:rsidRPr="00C91DCD">
        <w:rPr>
          <w:i/>
          <w:sz w:val="16"/>
        </w:rPr>
        <w:t>on the Political</w:t>
      </w:r>
      <w:r w:rsidRPr="00C91DCD">
        <w:rPr>
          <w:sz w:val="16"/>
        </w:rPr>
        <w:t xml:space="preserve"> I have developed these reflections on ‘the political’, understood as the antagonistic dimension which is inherent to all human societies.</w:t>
      </w:r>
      <w:r w:rsidRPr="00C91DCD">
        <w:rPr>
          <w:sz w:val="16"/>
          <w:vertAlign w:val="superscript"/>
        </w:rPr>
        <w:t>2</w:t>
      </w:r>
      <w:r w:rsidRPr="00C91DCD">
        <w:rPr>
          <w:sz w:val="16"/>
        </w:rPr>
        <w:t xml:space="preserve"> To that effect, I have proposed the distinction between ‘the political’ and ‘politics’. ‘</w:t>
      </w:r>
      <w:r w:rsidRPr="00FF14D9">
        <w:rPr>
          <w:u w:val="single"/>
        </w:rPr>
        <w:t xml:space="preserve">The political’ refers to this dimension of antagonism which can take many forms and can emerge in diverse social relations. It is a dimension that can never be eradicated. </w:t>
      </w:r>
      <w:r w:rsidRPr="00C91DCD">
        <w:rPr>
          <w:sz w:val="16"/>
        </w:rPr>
        <w:t>‘Politics’, on the other hand, refers to the ensemble of practices, discourses and institutions that seek to establish a certain order and to organize human coexistence in conditions which are always potentially conflicting, since they are affected by the dimension of ‘the political’.</w:t>
      </w:r>
    </w:p>
    <w:p w:rsidR="00C91DCD" w:rsidRPr="00C91DCD" w:rsidRDefault="00C91DCD" w:rsidP="00C91DCD">
      <w:pPr>
        <w:rPr>
          <w:sz w:val="16"/>
        </w:rPr>
      </w:pPr>
      <w:r w:rsidRPr="00C91DCD">
        <w:rPr>
          <w:sz w:val="16"/>
        </w:rPr>
        <w:t xml:space="preserve">As I have repeatedly emphasized in my writings, political questions are not mere technical issues to be solved by experts. </w:t>
      </w:r>
      <w:r w:rsidRPr="00FF14D9">
        <w:rPr>
          <w:u w:val="single"/>
        </w:rPr>
        <w:t>Proper political questions always involve decisions that require making a choice between conflicting alternatives</w:t>
      </w:r>
      <w:r w:rsidRPr="00C91DCD">
        <w:rPr>
          <w:sz w:val="16"/>
        </w:rPr>
        <w:t>. This is something that cannot be grasped by the dominant tendency in liberal thought, which is characterized by a rationalist and individualist approach</w:t>
      </w:r>
      <w:r w:rsidRPr="00FF14D9">
        <w:rPr>
          <w:u w:val="single"/>
        </w:rPr>
        <w:t xml:space="preserve">. </w:t>
      </w:r>
      <w:r w:rsidRPr="00C91DCD">
        <w:rPr>
          <w:sz w:val="16"/>
        </w:rPr>
        <w:t>This is why liberalism is unable to adequately envisage the pluralistic nature of the social world, with the conflicts that pluralism entails. These are conflicts for which no rational solution could ever exists, hence the dimension of antagonism that characterizes human societies.</w:t>
      </w:r>
    </w:p>
    <w:p w:rsidR="00C91DCD" w:rsidRPr="00C91DCD" w:rsidRDefault="00C91DCD" w:rsidP="00C91DCD">
      <w:pPr>
        <w:rPr>
          <w:sz w:val="16"/>
        </w:rPr>
      </w:pPr>
      <w:r w:rsidRPr="00FF14D9">
        <w:rPr>
          <w:u w:val="single"/>
        </w:rPr>
        <w:t>The typical understanding of pluralism is as follows: we live in a world in which there are indeed many perspectives and values, but due to empirical limitations, we will never be able to adopt them all; however, when put together, they could constitute an harmonious and non-conflictual ensemble.</w:t>
      </w:r>
      <w:r w:rsidRPr="00C91DCD">
        <w:rPr>
          <w:sz w:val="16"/>
        </w:rPr>
        <w:t xml:space="preserve"> I have shown that </w:t>
      </w:r>
      <w:r w:rsidRPr="00FF14D9">
        <w:rPr>
          <w:u w:val="single"/>
        </w:rPr>
        <w:t>this type of perspective</w:t>
      </w:r>
      <w:r w:rsidRPr="00C91DCD">
        <w:rPr>
          <w:sz w:val="16"/>
        </w:rPr>
        <w:t xml:space="preserve">, which is dominant in liberal political theory, </w:t>
      </w:r>
      <w:r w:rsidRPr="00FF14D9">
        <w:rPr>
          <w:u w:val="single"/>
        </w:rPr>
        <w:t>has to negate the political in its antagonistic dimension in order to thrive.</w:t>
      </w:r>
      <w:r w:rsidRPr="00C91DCD">
        <w:rPr>
          <w:sz w:val="16"/>
        </w:rPr>
        <w:t xml:space="preserve"> Indeed, one of the main tenets of this kind of liberalism is the rationalist belief in the availability of a universal consensus based on reason. No wonder, therefore, that the political constitutes liberalism’s blind spot. By bringing to the fore the inescapable moment of decision – in a strong sense of having to decide within an undecidable terrain – what antagonism reveals is the very limit of any rational consensus.</w:t>
      </w:r>
    </w:p>
    <w:p w:rsidR="00C91DCD" w:rsidRPr="00C91DCD" w:rsidRDefault="00C91DCD" w:rsidP="00C91DCD">
      <w:pPr>
        <w:rPr>
          <w:sz w:val="16"/>
        </w:rPr>
      </w:pPr>
      <w:r w:rsidRPr="00FF14D9">
        <w:rPr>
          <w:u w:val="single"/>
        </w:rPr>
        <w:t xml:space="preserve">The denial of ‘the political’ in its antagonistic dimension is, I have argued, what prevents liberal theory from envisaging politics in an adequate way. The political in its antagonistic dimension cannot be made to disappear by simply denying it or wishing it away. </w:t>
      </w:r>
      <w:r w:rsidRPr="00C91DCD">
        <w:rPr>
          <w:sz w:val="16"/>
        </w:rPr>
        <w:t>This is the typical liberal gesture, and such negation only leads to the impotence that characterizes liberal thought when confronted with the emergence of antagonisms and forms of violence that, according to its theory, belong to a bygone age when reason had not yet managed to control the supposedly archaic passions. This is at the root of liberalism’s current incapacity to grasp the nature and causes of new antagonisms that have emerged since the Cold War.</w:t>
      </w:r>
    </w:p>
    <w:p w:rsidR="00C91DCD" w:rsidRDefault="00C91DCD" w:rsidP="00C91DCD">
      <w:pPr>
        <w:rPr>
          <w:u w:val="single"/>
        </w:rPr>
      </w:pPr>
      <w:r w:rsidRPr="00FF14D9">
        <w:rPr>
          <w:u w:val="single"/>
        </w:rPr>
        <w:t>Liberal thought is also blind to the political because of its individualism, which makes it unable to understand the formation of collective identities. Yet the political is from the outset concerned with collective forms of identification, since in this field we are always dealing with the formation of ‘us’ as opposed to ‘them’. Here the main problem with the liberal rationalism is that it deploys a logic of social based on an essentialist conception of ‘being as presence’, and that it conceives objectivity as being inherent to things themselves. It cannot recognize that there can only be an identity when it is constructed as difference, and that any social objectivity is constituted through acts of power. What it refuses to admit is that any form of social objectivity is ultimately political and that it must bear the traces of the acts of exclusion that govern its constitution.</w:t>
      </w:r>
    </w:p>
    <w:p w:rsidR="00C91DCD" w:rsidRDefault="00C91DCD" w:rsidP="00C91DCD"/>
    <w:p w:rsidR="00C91DCD" w:rsidRDefault="00C91DCD" w:rsidP="00C91DCD"/>
    <w:p w:rsidR="00C91DCD" w:rsidRDefault="00C91DCD" w:rsidP="00C91DCD">
      <w:pPr>
        <w:pStyle w:val="Heading3"/>
      </w:pPr>
      <w:r>
        <w:t>Limits Good</w:t>
      </w:r>
    </w:p>
    <w:p w:rsidR="00C91DCD" w:rsidRDefault="00C91DCD" w:rsidP="00C91DCD"/>
    <w:p w:rsidR="00C91DCD" w:rsidRPr="00C91DCD" w:rsidRDefault="00C91DCD" w:rsidP="00C91DCD">
      <w:pPr>
        <w:pStyle w:val="Heading4"/>
      </w:pPr>
      <w:r>
        <w:t>Substantive and demarcated limits are necessary for dialogue – EVEN IF THEY EXCLUDE and probably because they exclude – refusal to make identity claims normative kills the possibility for discussion.</w:t>
      </w:r>
    </w:p>
    <w:p w:rsidR="00C91DCD" w:rsidRPr="00A42C92" w:rsidRDefault="00C91DCD" w:rsidP="00C91DCD">
      <w:r w:rsidRPr="00A42C92">
        <w:t xml:space="preserve">John </w:t>
      </w:r>
      <w:r w:rsidRPr="00A42C92">
        <w:rPr>
          <w:rStyle w:val="StyleStyleBold12pt"/>
        </w:rPr>
        <w:t xml:space="preserve">Dryzek </w:t>
      </w:r>
      <w:r>
        <w:rPr>
          <w:rStyle w:val="StyleStyleBold12pt"/>
        </w:rPr>
        <w:t>0</w:t>
      </w:r>
      <w:r w:rsidRPr="00A42C92">
        <w:rPr>
          <w:rStyle w:val="StyleStyleBold12pt"/>
        </w:rPr>
        <w:t>6</w:t>
      </w:r>
      <w:r w:rsidRPr="00A42C92">
        <w:t>, Professor of Social and Political Theory, The Australian National University, Reconciling Pluralism and Consensus as Political Ideals, American Journal of Political Science,Vol. 50, No. 3, July 2006, Pp. 634–649</w:t>
      </w:r>
    </w:p>
    <w:p w:rsidR="00C91DCD" w:rsidRPr="00C91DCD" w:rsidRDefault="00C91DCD" w:rsidP="00C91DCD">
      <w:pPr>
        <w:rPr>
          <w:rFonts w:eastAsia="Calibri"/>
          <w:sz w:val="16"/>
        </w:rPr>
      </w:pPr>
      <w:r w:rsidRPr="00C91DCD">
        <w:rPr>
          <w:rFonts w:eastAsia="Calibri"/>
          <w:sz w:val="16"/>
        </w:rPr>
        <w:t xml:space="preserve">A more radical contemporary pluralism is suspicious of liberal and communitarian devices for reconciling difference. Such a </w:t>
      </w:r>
      <w:r w:rsidRPr="00C91DCD">
        <w:rPr>
          <w:rFonts w:eastAsia="Calibri"/>
          <w:bCs/>
          <w:u w:val="single"/>
        </w:rPr>
        <w:t>critical pluralism is associated with agonists such as Connolly</w:t>
      </w:r>
      <w:r w:rsidRPr="00C91DCD">
        <w:rPr>
          <w:rFonts w:eastAsia="Calibri"/>
          <w:sz w:val="16"/>
        </w:rPr>
        <w:t xml:space="preserve"> (1991), Honig (1993), </w:t>
      </w:r>
      <w:r w:rsidRPr="00C91DCD">
        <w:rPr>
          <w:rFonts w:eastAsia="Calibri"/>
          <w:bCs/>
          <w:u w:val="single"/>
        </w:rPr>
        <w:t>and Mouffe</w:t>
      </w:r>
      <w:r w:rsidRPr="00C91DCD">
        <w:rPr>
          <w:rFonts w:eastAsia="Calibri"/>
          <w:sz w:val="16"/>
        </w:rPr>
        <w:t xml:space="preserve"> (2000), </w:t>
      </w:r>
      <w:r w:rsidRPr="00C91DCD">
        <w:rPr>
          <w:rFonts w:eastAsia="Calibri"/>
          <w:bCs/>
          <w:u w:val="single"/>
        </w:rPr>
        <w:t xml:space="preserve">and difference democrats such as </w:t>
      </w:r>
      <w:r w:rsidRPr="00C91DCD">
        <w:rPr>
          <w:rFonts w:eastAsia="Calibri"/>
          <w:b/>
          <w:u w:val="single"/>
          <w:bdr w:val="none" w:sz="0" w:space="0" w:color="auto" w:frame="1"/>
        </w:rPr>
        <w:t>Young</w:t>
      </w:r>
      <w:r w:rsidRPr="00C91DCD">
        <w:rPr>
          <w:rFonts w:eastAsia="Calibri"/>
          <w:sz w:val="16"/>
        </w:rPr>
        <w:t xml:space="preserve"> (2000). As Honig puts it, “Difference is just another word for what used to be called pluralism” (1996, 60). Critical </w:t>
      </w:r>
      <w:r w:rsidRPr="00C91DCD">
        <w:rPr>
          <w:rFonts w:eastAsia="Calibri"/>
          <w:bCs/>
          <w:u w:val="single"/>
        </w:rPr>
        <w:t>pluralists</w:t>
      </w:r>
      <w:r w:rsidRPr="00C91DCD">
        <w:rPr>
          <w:rFonts w:eastAsia="Calibri"/>
          <w:sz w:val="16"/>
        </w:rPr>
        <w:t xml:space="preserve"> resemble liberals in that they </w:t>
      </w:r>
      <w:r w:rsidRPr="00C91DCD">
        <w:rPr>
          <w:rFonts w:eastAsia="Calibri"/>
          <w:bCs/>
          <w:u w:val="single"/>
        </w:rPr>
        <w:t>begin from the variety of ways it is possible to experience the world, but stress that the experiences and perspectives of marginalized</w:t>
      </w:r>
      <w:r w:rsidRPr="00C91DCD">
        <w:rPr>
          <w:rFonts w:eastAsia="Calibri"/>
          <w:sz w:val="16"/>
        </w:rPr>
        <w:t xml:space="preserve"> and oppressed </w:t>
      </w:r>
      <w:r w:rsidRPr="00C91DCD">
        <w:rPr>
          <w:rFonts w:eastAsia="Calibri"/>
          <w:bCs/>
          <w:u w:val="single"/>
        </w:rPr>
        <w:t>groups are likely to be very different from dominant groups</w:t>
      </w:r>
      <w:r w:rsidRPr="00C91DCD">
        <w:rPr>
          <w:rFonts w:eastAsia="Calibri"/>
          <w:sz w:val="16"/>
        </w:rPr>
        <w:t xml:space="preserve">. </w:t>
      </w:r>
      <w:r w:rsidRPr="00C91DCD">
        <w:rPr>
          <w:rFonts w:eastAsia="Calibri"/>
          <w:bCs/>
          <w:u w:val="single"/>
        </w:rPr>
        <w:t>They</w:t>
      </w:r>
      <w:r w:rsidRPr="00C91DCD">
        <w:rPr>
          <w:rFonts w:eastAsia="Calibri"/>
          <w:sz w:val="16"/>
        </w:rPr>
        <w:t xml:space="preserve"> also </w:t>
      </w:r>
      <w:r w:rsidRPr="00C91DCD">
        <w:rPr>
          <w:rFonts w:eastAsia="Calibri"/>
          <w:bCs/>
          <w:u w:val="single"/>
        </w:rPr>
        <w:t xml:space="preserve">have a strong suspicion ofliberal theory that </w:t>
      </w:r>
      <w:r w:rsidRPr="00C91DCD">
        <w:rPr>
          <w:rFonts w:eastAsia="Calibri"/>
          <w:b/>
          <w:u w:val="single"/>
          <w:bdr w:val="none" w:sz="0" w:space="0" w:color="auto" w:frame="1"/>
        </w:rPr>
        <w:t xml:space="preserve">looks neutral </w:t>
      </w:r>
      <w:r w:rsidRPr="00C91DCD">
        <w:rPr>
          <w:rFonts w:eastAsia="Calibri"/>
          <w:bCs/>
          <w:u w:val="single"/>
        </w:rPr>
        <w:t>but in</w:t>
      </w:r>
      <w:r w:rsidRPr="00C91DCD">
        <w:rPr>
          <w:rFonts w:eastAsia="Calibri"/>
          <w:sz w:val="16"/>
        </w:rPr>
        <w:t xml:space="preserve"> practice </w:t>
      </w:r>
      <w:r w:rsidRPr="00C91DCD">
        <w:rPr>
          <w:rFonts w:eastAsia="Calibri"/>
          <w:bCs/>
          <w:u w:val="single"/>
        </w:rPr>
        <w:t>supports and serves the powerful.</w:t>
      </w:r>
    </w:p>
    <w:p w:rsidR="00C91DCD" w:rsidRPr="00C91DCD" w:rsidRDefault="00C91DCD" w:rsidP="00C91DCD">
      <w:pPr>
        <w:rPr>
          <w:rFonts w:eastAsia="Calibri"/>
          <w:sz w:val="16"/>
        </w:rPr>
      </w:pPr>
      <w:r w:rsidRPr="00C91DCD">
        <w:rPr>
          <w:rFonts w:eastAsia="Calibri"/>
          <w:bCs/>
          <w:u w:val="single"/>
        </w:rPr>
        <w:t xml:space="preserve">Difference democrats are </w:t>
      </w:r>
      <w:r w:rsidRPr="00C91DCD">
        <w:rPr>
          <w:rFonts w:eastAsia="Calibri"/>
          <w:b/>
          <w:u w:val="single"/>
          <w:bdr w:val="none" w:sz="0" w:space="0" w:color="auto" w:frame="1"/>
        </w:rPr>
        <w:t>hostile to consensus</w:t>
      </w:r>
      <w:r w:rsidRPr="00C91DCD">
        <w:rPr>
          <w:rFonts w:eastAsia="Calibri"/>
          <w:sz w:val="16"/>
        </w:rPr>
        <w:t xml:space="preserve">, partly </w:t>
      </w:r>
      <w:r w:rsidRPr="00C91DCD">
        <w:rPr>
          <w:rFonts w:eastAsia="Calibri"/>
          <w:bCs/>
          <w:u w:val="single"/>
        </w:rPr>
        <w:t>because consensus</w:t>
      </w:r>
      <w:r w:rsidRPr="00C91DCD">
        <w:rPr>
          <w:rFonts w:eastAsia="Calibri"/>
          <w:sz w:val="16"/>
        </w:rPr>
        <w:t xml:space="preserve"> decisionmaking (of the sort popular in 1970s radical groups) </w:t>
      </w:r>
      <w:r w:rsidRPr="00C91DCD">
        <w:rPr>
          <w:rFonts w:eastAsia="Calibri"/>
          <w:bCs/>
          <w:u w:val="single"/>
        </w:rPr>
        <w:t>conceals informal oppression</w:t>
      </w:r>
      <w:r w:rsidRPr="00C91DCD">
        <w:rPr>
          <w:rFonts w:eastAsia="Calibri"/>
          <w:sz w:val="16"/>
        </w:rPr>
        <w:t xml:space="preserve"> under the guise of concern for all by disallowing dissent (Zablocki 1980). But the real target is political theory that deploys consensus, especially deliberative and liberal theory. Young (1996, 125–26) argues that the appeals to unity and the common good that deliberative theorists under sway of the consensus ideal stress as the proper forms of political communication can often be oppressive. For </w:t>
      </w:r>
      <w:r w:rsidRPr="00C91DCD">
        <w:rPr>
          <w:rFonts w:eastAsia="Calibri"/>
          <w:bCs/>
          <w:u w:val="single"/>
        </w:rPr>
        <w:t>deliberation</w:t>
      </w:r>
      <w:r w:rsidRPr="00C91DCD">
        <w:rPr>
          <w:rFonts w:eastAsia="Calibri"/>
          <w:sz w:val="16"/>
        </w:rPr>
        <w:t xml:space="preserve"> so oriented all </w:t>
      </w:r>
      <w:r w:rsidRPr="00C91DCD">
        <w:rPr>
          <w:rFonts w:eastAsia="Calibri"/>
          <w:bCs/>
          <w:u w:val="single"/>
        </w:rPr>
        <w:t>too easily equates the common good with the interests of the more powerful</w:t>
      </w:r>
      <w:r w:rsidRPr="00C91DCD">
        <w:rPr>
          <w:rFonts w:eastAsia="Calibri"/>
          <w:sz w:val="16"/>
        </w:rPr>
        <w:t xml:space="preserve">, thus </w:t>
      </w:r>
      <w:r w:rsidRPr="00C91DCD">
        <w:rPr>
          <w:rFonts w:eastAsia="Calibri"/>
          <w:bCs/>
          <w:u w:val="single"/>
        </w:rPr>
        <w:t>sidelining legitimate concerns of the marginalized. Asking the underprivileged to set aside their particularistic concerns also means marginalizing their favored forms of expression, especially the telling of personal stories</w:t>
      </w:r>
      <w:r w:rsidRPr="00C91DCD">
        <w:rPr>
          <w:rFonts w:eastAsia="Calibri"/>
          <w:sz w:val="16"/>
        </w:rPr>
        <w:t xml:space="preserve"> (Young 1996, 126).3 Speaking for an agonistic conception of democracy (to which Young also subscribes; 2000, 49–51), </w:t>
      </w:r>
      <w:r w:rsidRPr="00C91DCD">
        <w:rPr>
          <w:rFonts w:eastAsia="Calibri"/>
          <w:bCs/>
          <w:u w:val="single"/>
        </w:rPr>
        <w:t>Mouffe states:</w:t>
      </w:r>
    </w:p>
    <w:p w:rsidR="00C91DCD" w:rsidRPr="00C91DCD" w:rsidRDefault="00C91DCD" w:rsidP="00C91DCD">
      <w:pPr>
        <w:rPr>
          <w:rFonts w:eastAsia="Calibri"/>
          <w:sz w:val="16"/>
        </w:rPr>
      </w:pPr>
      <w:r w:rsidRPr="00C91DCD">
        <w:rPr>
          <w:rFonts w:eastAsia="Calibri"/>
          <w:bCs/>
          <w:u w:val="single"/>
        </w:rPr>
        <w:t>To</w:t>
      </w:r>
      <w:r w:rsidRPr="00C91DCD">
        <w:rPr>
          <w:rFonts w:eastAsia="Calibri"/>
          <w:sz w:val="16"/>
        </w:rPr>
        <w:t xml:space="preserve"> negate the ineradicable character of antagonism and </w:t>
      </w:r>
      <w:r w:rsidRPr="00C91DCD">
        <w:rPr>
          <w:rFonts w:eastAsia="Calibri"/>
          <w:bCs/>
          <w:u w:val="single"/>
        </w:rPr>
        <w:t>aim at a universal rational consensus</w:t>
      </w:r>
      <w:r w:rsidRPr="00C91DCD">
        <w:rPr>
          <w:rFonts w:eastAsia="Calibri"/>
          <w:sz w:val="16"/>
        </w:rPr>
        <w:t xml:space="preserve">— that </w:t>
      </w:r>
      <w:r w:rsidRPr="00C91DCD">
        <w:rPr>
          <w:rFonts w:eastAsia="Calibri"/>
          <w:bCs/>
          <w:u w:val="single"/>
        </w:rPr>
        <w:t>is the real threat to democracy</w:t>
      </w:r>
      <w:r w:rsidRPr="00C91DCD">
        <w:rPr>
          <w:rFonts w:eastAsia="Calibri"/>
          <w:sz w:val="16"/>
        </w:rPr>
        <w:t xml:space="preserve">. Indeed, </w:t>
      </w:r>
      <w:r w:rsidRPr="00C91DCD">
        <w:rPr>
          <w:rFonts w:eastAsia="Calibri"/>
          <w:bCs/>
          <w:u w:val="single"/>
        </w:rPr>
        <w:t>this can lead to violence</w:t>
      </w:r>
      <w:r w:rsidRPr="00C91DCD">
        <w:rPr>
          <w:rFonts w:eastAsia="Calibri"/>
          <w:sz w:val="16"/>
        </w:rPr>
        <w:t xml:space="preserve"> being unrecognized and hidden </w:t>
      </w:r>
      <w:r w:rsidRPr="00C91DCD">
        <w:rPr>
          <w:rFonts w:eastAsia="Calibri"/>
          <w:bCs/>
          <w:u w:val="single"/>
        </w:rPr>
        <w:t>behind appeals to “</w:t>
      </w:r>
      <w:r w:rsidRPr="00C91DCD">
        <w:rPr>
          <w:rFonts w:eastAsia="Calibri"/>
          <w:b/>
          <w:u w:val="single"/>
          <w:bdr w:val="none" w:sz="0" w:space="0" w:color="auto" w:frame="1"/>
        </w:rPr>
        <w:t>rationality</w:t>
      </w:r>
      <w:r w:rsidRPr="00C91DCD">
        <w:rPr>
          <w:rFonts w:eastAsia="Calibri"/>
          <w:sz w:val="16"/>
        </w:rPr>
        <w:t>,” as is often the case in liberal thinking. (1996, 248)</w:t>
      </w:r>
    </w:p>
    <w:p w:rsidR="00C91DCD" w:rsidRPr="00C91DCD" w:rsidRDefault="00C91DCD" w:rsidP="00C91DCD">
      <w:pPr>
        <w:rPr>
          <w:rFonts w:eastAsia="Calibri"/>
          <w:sz w:val="16"/>
        </w:rPr>
      </w:pPr>
      <w:r w:rsidRPr="00C91DCD">
        <w:rPr>
          <w:rFonts w:eastAsia="Calibri"/>
          <w:sz w:val="16"/>
        </w:rPr>
        <w:t xml:space="preserve">Mouffe is a radical pluralist: “By pluralism I mean the end of a substantive idea of the good life” (1996, 246). </w:t>
      </w:r>
      <w:r w:rsidRPr="00C91DCD">
        <w:rPr>
          <w:rFonts w:eastAsia="Calibri"/>
          <w:bCs/>
          <w:u w:val="single"/>
        </w:rPr>
        <w:t xml:space="preserve">But neither Mouffe nor Young want to </w:t>
      </w:r>
      <w:r w:rsidRPr="00C91DCD">
        <w:rPr>
          <w:rFonts w:eastAsia="Calibri"/>
          <w:b/>
          <w:u w:val="single"/>
          <w:bdr w:val="none" w:sz="0" w:space="0" w:color="auto" w:frame="1"/>
        </w:rPr>
        <w:t>abolish communication</w:t>
      </w:r>
      <w:r w:rsidRPr="00C91DCD">
        <w:rPr>
          <w:rFonts w:eastAsia="Calibri"/>
          <w:bCs/>
          <w:u w:val="single"/>
        </w:rPr>
        <w:t xml:space="preserve"> in the name of pluralism and difference</w:t>
      </w:r>
      <w:r w:rsidRPr="00C91DCD">
        <w:rPr>
          <w:rFonts w:eastAsia="Calibri"/>
          <w:sz w:val="16"/>
        </w:rPr>
        <w:t xml:space="preserve">; much of their work advocates sustained attention to communication. </w:t>
      </w:r>
      <w:r w:rsidRPr="00C91DCD">
        <w:rPr>
          <w:rFonts w:eastAsia="Calibri"/>
          <w:bCs/>
          <w:u w:val="single"/>
        </w:rPr>
        <w:t>Mouffe also cautions against uncritical celebration of difference</w:t>
      </w:r>
      <w:r w:rsidRPr="00C91DCD">
        <w:rPr>
          <w:rFonts w:eastAsia="Calibri"/>
          <w:sz w:val="16"/>
        </w:rPr>
        <w:t xml:space="preserve">, for some differences imply “subordination and should therefore be challenged by a radical democratic politics” (1996, 247). </w:t>
      </w:r>
      <w:r w:rsidRPr="00C91DCD">
        <w:rPr>
          <w:rFonts w:eastAsia="Calibri"/>
          <w:bCs/>
          <w:u w:val="single"/>
        </w:rPr>
        <w:t xml:space="preserve">Mouffe raises the question of the </w:t>
      </w:r>
      <w:r w:rsidRPr="00C91DCD">
        <w:rPr>
          <w:rFonts w:eastAsia="Calibri"/>
          <w:b/>
          <w:u w:val="single"/>
          <w:bdr w:val="single" w:sz="4" w:space="0" w:color="auto" w:frame="1"/>
        </w:rPr>
        <w:t xml:space="preserve">terms in which engagement across difference </w:t>
      </w:r>
      <w:r w:rsidRPr="00C91DCD">
        <w:rPr>
          <w:rFonts w:eastAsia="Calibri"/>
          <w:b/>
          <w:u w:val="single"/>
          <w:bdr w:val="none" w:sz="0" w:space="0" w:color="auto" w:frame="1"/>
        </w:rPr>
        <w:t>might proceed</w:t>
      </w:r>
      <w:r w:rsidRPr="00C91DCD">
        <w:rPr>
          <w:rFonts w:eastAsia="Calibri"/>
          <w:sz w:val="16"/>
        </w:rPr>
        <w:t xml:space="preserve">. Participants should ideally accept that the positions of others are legitimate, though not as a result of being persuaded in argument. Instead, </w:t>
      </w:r>
      <w:r w:rsidRPr="00C91DCD">
        <w:rPr>
          <w:rFonts w:eastAsia="Calibri"/>
          <w:bCs/>
          <w:u w:val="single"/>
        </w:rPr>
        <w:t xml:space="preserve">it is a matter of </w:t>
      </w:r>
      <w:r w:rsidRPr="00C91DCD">
        <w:rPr>
          <w:rFonts w:eastAsia="Calibri"/>
          <w:b/>
          <w:u w:val="single"/>
          <w:bdr w:val="none" w:sz="0" w:space="0" w:color="auto" w:frame="1"/>
        </w:rPr>
        <w:t>being open to conversion</w:t>
      </w:r>
      <w:r w:rsidRPr="00C91DCD">
        <w:rPr>
          <w:rFonts w:eastAsia="Calibri"/>
          <w:bCs/>
          <w:u w:val="single"/>
        </w:rPr>
        <w:t xml:space="preserve"> due to adoption of a particular kind of </w:t>
      </w:r>
      <w:r w:rsidRPr="00C91DCD">
        <w:rPr>
          <w:rFonts w:eastAsia="Calibri"/>
          <w:b/>
          <w:u w:val="single"/>
          <w:bdr w:val="none" w:sz="0" w:space="0" w:color="auto" w:frame="1"/>
        </w:rPr>
        <w:t>democratic attitude</w:t>
      </w:r>
      <w:r w:rsidRPr="00C91DCD">
        <w:rPr>
          <w:rFonts w:eastAsia="Calibri"/>
          <w:bCs/>
          <w:u w:val="single"/>
        </w:rPr>
        <w:t xml:space="preserve"> that converts antagonism into agonism, fighting into critical engagement</w:t>
      </w:r>
      <w:r w:rsidRPr="00C91DCD">
        <w:rPr>
          <w:rFonts w:eastAsia="Calibri"/>
          <w:sz w:val="16"/>
        </w:rPr>
        <w:t xml:space="preserve">, </w:t>
      </w:r>
      <w:r w:rsidRPr="00C91DCD">
        <w:rPr>
          <w:rFonts w:eastAsia="Calibri"/>
          <w:bCs/>
          <w:u w:val="single"/>
        </w:rPr>
        <w:t>enemies into adversaries who are treated with respect</w:t>
      </w:r>
      <w:r w:rsidRPr="00C91DCD">
        <w:rPr>
          <w:rFonts w:eastAsia="Calibri"/>
          <w:sz w:val="16"/>
        </w:rPr>
        <w:t xml:space="preserve">. Respect here is notjust (liberal) toleration, but positive validation of the position of others. </w:t>
      </w:r>
      <w:r w:rsidRPr="00C91DCD">
        <w:rPr>
          <w:rFonts w:eastAsia="Calibri"/>
          <w:bCs/>
          <w:u w:val="single"/>
        </w:rPr>
        <w:t xml:space="preserve">For Young, a communicative democracy would be composed of people showing “equal respect,” under </w:t>
      </w:r>
      <w:r w:rsidRPr="00C91DCD">
        <w:rPr>
          <w:rFonts w:eastAsia="Calibri"/>
          <w:b/>
          <w:u w:val="single"/>
          <w:bdr w:val="single" w:sz="4" w:space="0" w:color="auto" w:frame="1"/>
        </w:rPr>
        <w:t>“procedural rules of fair discussion and decisionmaking</w:t>
      </w:r>
      <w:r w:rsidRPr="00C91DCD">
        <w:rPr>
          <w:rFonts w:eastAsia="Calibri"/>
          <w:sz w:val="16"/>
        </w:rPr>
        <w:t>” (</w:t>
      </w:r>
      <w:r w:rsidRPr="00C91DCD">
        <w:rPr>
          <w:rFonts w:eastAsia="Calibri"/>
          <w:bCs/>
          <w:u w:val="single"/>
        </w:rPr>
        <w:t>1996,</w:t>
      </w:r>
      <w:r w:rsidRPr="00C91DCD">
        <w:rPr>
          <w:rFonts w:eastAsia="Calibri"/>
          <w:sz w:val="16"/>
        </w:rPr>
        <w:t xml:space="preserve"> 126). Schlosberg speaks of “agonistic respect” as “a critical pluralist ethos” (1999, 70).</w:t>
      </w:r>
    </w:p>
    <w:p w:rsidR="00C91DCD" w:rsidRPr="00E133A5" w:rsidRDefault="00C91DCD" w:rsidP="00C91DCD">
      <w:pPr>
        <w:rPr>
          <w:rFonts w:eastAsia="Calibri"/>
          <w:b/>
          <w:u w:val="single"/>
        </w:rPr>
      </w:pPr>
      <w:r w:rsidRPr="00C91DCD">
        <w:rPr>
          <w:rFonts w:eastAsia="Calibri"/>
          <w:bCs/>
          <w:u w:val="single"/>
        </w:rPr>
        <w:t>Mouffe and Young</w:t>
      </w:r>
      <w:r w:rsidRPr="00C91DCD">
        <w:rPr>
          <w:rFonts w:eastAsia="Calibri"/>
          <w:sz w:val="16"/>
        </w:rPr>
        <w:t xml:space="preserve"> both want pluralism to be regulated by a particular kind of attitude, be it respectful, agonistic, or even in Young’s (2000, 16–51) case reasonable.Thus </w:t>
      </w:r>
      <w:r w:rsidRPr="00C91DCD">
        <w:rPr>
          <w:rFonts w:eastAsia="Calibri"/>
          <w:b/>
          <w:u w:val="single"/>
          <w:bdr w:val="single" w:sz="4" w:space="0" w:color="auto" w:frame="1"/>
        </w:rPr>
        <w:t>neither proposes unregulated pluralism as an alternative to (deliberative) consensus</w:t>
      </w:r>
      <w:r w:rsidRPr="00C91DCD">
        <w:rPr>
          <w:rFonts w:eastAsia="Calibri"/>
          <w:sz w:val="16"/>
        </w:rPr>
        <w:t xml:space="preserve">. </w:t>
      </w:r>
      <w:r w:rsidRPr="00C91DCD">
        <w:rPr>
          <w:rFonts w:eastAsia="Calibri"/>
          <w:b/>
          <w:u w:val="single"/>
          <w:bdr w:val="single" w:sz="4" w:space="0" w:color="auto" w:frame="1"/>
        </w:rPr>
        <w:t>This regulation cannot be just procedural, for that would imply “anything goes” in terms of the substance of positions</w:t>
      </w:r>
      <w:r w:rsidRPr="00C91DCD">
        <w:rPr>
          <w:rFonts w:eastAsia="Calibri"/>
          <w:sz w:val="16"/>
        </w:rPr>
        <w:t xml:space="preserve">. Recall thatMouffe rejects differences that imply subordination. </w:t>
      </w:r>
      <w:r w:rsidRPr="00C91DCD">
        <w:rPr>
          <w:rFonts w:eastAsia="Calibri"/>
          <w:bCs/>
          <w:u w:val="single"/>
        </w:rPr>
        <w:t>Agonistic ideals demand judgments about what is worthy of respect and what is not</w:t>
      </w:r>
      <w:r w:rsidRPr="00C91DCD">
        <w:rPr>
          <w:rFonts w:eastAsia="Calibri"/>
          <w:sz w:val="16"/>
        </w:rPr>
        <w:t xml:space="preserve">. Connolly (1991, 211) worriesabout </w:t>
      </w:r>
      <w:r w:rsidRPr="00C91DCD">
        <w:rPr>
          <w:rFonts w:eastAsia="Calibri"/>
          <w:b/>
          <w:u w:val="single"/>
          <w:bdr w:val="none" w:sz="0" w:space="0" w:color="auto" w:frame="1"/>
        </w:rPr>
        <w:t>dogmatic assertions</w:t>
      </w:r>
      <w:r w:rsidRPr="00C91DCD">
        <w:rPr>
          <w:rFonts w:eastAsia="Calibri"/>
          <w:sz w:val="16"/>
        </w:rPr>
        <w:t xml:space="preserve"> and denials </w:t>
      </w:r>
      <w:r w:rsidRPr="00C91DCD">
        <w:rPr>
          <w:rFonts w:eastAsia="Calibri"/>
          <w:b/>
          <w:u w:val="single"/>
          <w:bdr w:val="none" w:sz="0" w:space="0" w:color="auto" w:frame="1"/>
        </w:rPr>
        <w:t xml:space="preserve">of identity that fuel existential resentments </w:t>
      </w:r>
      <w:r w:rsidRPr="00C91DCD">
        <w:rPr>
          <w:rFonts w:eastAsia="Calibri"/>
          <w:sz w:val="16"/>
        </w:rPr>
        <w:t xml:space="preserve">that </w:t>
      </w:r>
      <w:r w:rsidRPr="00C91DCD">
        <w:rPr>
          <w:rFonts w:eastAsia="Calibri"/>
          <w:b/>
          <w:u w:val="single"/>
          <w:bdr w:val="none" w:sz="0" w:space="0" w:color="auto" w:frame="1"/>
        </w:rPr>
        <w:t>would have to be changed to make agonism possible</w:t>
      </w:r>
      <w:r w:rsidRPr="00C91DCD">
        <w:rPr>
          <w:rFonts w:eastAsia="Calibri"/>
          <w:bCs/>
          <w:u w:val="single"/>
        </w:rPr>
        <w:t>. Young seeks “transformation of private</w:t>
      </w:r>
      <w:r w:rsidRPr="00C91DCD">
        <w:rPr>
          <w:rFonts w:eastAsia="Calibri"/>
          <w:sz w:val="16"/>
        </w:rPr>
        <w:t xml:space="preserve">, </w:t>
      </w:r>
      <w:r w:rsidRPr="00C91DCD">
        <w:rPr>
          <w:rFonts w:eastAsia="Calibri"/>
          <w:bCs/>
          <w:u w:val="single"/>
        </w:rPr>
        <w:t>self-regarding desires into public appeals to justice</w:t>
      </w:r>
      <w:r w:rsidRPr="00C91DCD">
        <w:rPr>
          <w:rFonts w:eastAsia="Calibri"/>
          <w:sz w:val="16"/>
        </w:rPr>
        <w:t xml:space="preserve">” (2000, 51). Thus </w:t>
      </w:r>
      <w:r w:rsidRPr="00C91DCD">
        <w:rPr>
          <w:rFonts w:eastAsia="Calibri"/>
          <w:bCs/>
          <w:u w:val="single"/>
        </w:rPr>
        <w:t xml:space="preserve">for Mouffe, Connolly, and Young alike, </w:t>
      </w:r>
      <w:r w:rsidRPr="00C91DCD">
        <w:rPr>
          <w:rFonts w:eastAsia="Calibri"/>
          <w:b/>
          <w:u w:val="single"/>
          <w:bdr w:val="none" w:sz="0" w:space="0" w:color="auto" w:frame="1"/>
        </w:rPr>
        <w:t xml:space="preserve">regulative principles for democratic communication are not just attitudinal or procedural; </w:t>
      </w:r>
      <w:r w:rsidRPr="00C91DCD">
        <w:rPr>
          <w:rFonts w:eastAsia="Calibri"/>
          <w:b/>
          <w:u w:val="single"/>
          <w:bdr w:val="single" w:sz="4" w:space="0" w:color="auto" w:frame="1"/>
        </w:rPr>
        <w:t>they also refer to the substance of the kinds of claims that are worthy of respect</w:t>
      </w:r>
      <w:r w:rsidRPr="00C91DCD">
        <w:rPr>
          <w:rFonts w:eastAsia="Calibri"/>
          <w:sz w:val="16"/>
        </w:rPr>
        <w:t xml:space="preserve">. </w:t>
      </w:r>
      <w:r w:rsidRPr="00C91DCD">
        <w:rPr>
          <w:rFonts w:eastAsia="Calibri"/>
          <w:bCs/>
          <w:u w:val="single"/>
        </w:rPr>
        <w:t>These authors</w:t>
      </w:r>
      <w:r w:rsidRPr="00C91DCD">
        <w:rPr>
          <w:rFonts w:eastAsia="Calibri"/>
          <w:sz w:val="16"/>
        </w:rPr>
        <w:t xml:space="preserve"> would not want to legislate substance and </w:t>
      </w:r>
      <w:r w:rsidRPr="00C91DCD">
        <w:rPr>
          <w:rFonts w:eastAsia="Calibri"/>
          <w:bCs/>
          <w:u w:val="single"/>
        </w:rPr>
        <w:t>are suspicious of</w:t>
      </w:r>
      <w:r w:rsidRPr="00C91DCD">
        <w:rPr>
          <w:rFonts w:eastAsia="Calibri"/>
          <w:sz w:val="16"/>
        </w:rPr>
        <w:t xml:space="preserve"> the content of any alleged </w:t>
      </w:r>
      <w:r w:rsidRPr="00C91DCD">
        <w:rPr>
          <w:rFonts w:eastAsia="Calibri"/>
          <w:bCs/>
          <w:u w:val="single"/>
        </w:rPr>
        <w:t>consensus</w:t>
      </w:r>
      <w:r w:rsidRPr="00C91DCD">
        <w:rPr>
          <w:rFonts w:eastAsia="Calibri"/>
          <w:sz w:val="16"/>
        </w:rPr>
        <w:t xml:space="preserve">. </w:t>
      </w:r>
      <w:r w:rsidRPr="00C91DCD">
        <w:rPr>
          <w:rFonts w:eastAsia="Calibri"/>
          <w:bCs/>
          <w:u w:val="single"/>
        </w:rPr>
        <w:t xml:space="preserve">But in retreating from “anything goes” relativism, </w:t>
      </w:r>
      <w:r w:rsidRPr="00C91DCD">
        <w:rPr>
          <w:rFonts w:eastAsia="Calibri"/>
          <w:b/>
          <w:u w:val="single"/>
          <w:bdr w:val="single" w:sz="4" w:space="0" w:color="auto" w:frame="1"/>
        </w:rPr>
        <w:t>they need principles to regulate the substance of what rightfully belongs in democratic debate</w:t>
      </w:r>
      <w:r w:rsidRPr="00C91DCD">
        <w:rPr>
          <w:rFonts w:eastAsia="Calibri"/>
          <w:b/>
          <w:u w:val="single"/>
          <w:bdr w:val="none" w:sz="0" w:space="0" w:color="auto" w:frame="1"/>
        </w:rPr>
        <w:t>.</w:t>
      </w:r>
      <w:r w:rsidRPr="00E133A5">
        <w:rPr>
          <w:rFonts w:eastAsia="Calibri"/>
          <w:b/>
          <w:u w:val="single"/>
          <w:bdr w:val="none" w:sz="0" w:space="0" w:color="auto" w:frame="1"/>
        </w:rPr>
        <w:t xml:space="preserve"> </w:t>
      </w:r>
    </w:p>
    <w:p w:rsidR="00C91DCD" w:rsidRDefault="00C91DCD" w:rsidP="00C91DCD"/>
    <w:p w:rsidR="00C91DCD" w:rsidRPr="00C91DCD" w:rsidRDefault="00C91DCD" w:rsidP="00C91DCD"/>
    <w:p w:rsidR="00C91DCD" w:rsidRDefault="00C91DCD" w:rsidP="00D17C4E"/>
    <w:p w:rsidR="00C91DCD" w:rsidRDefault="00C91DCD" w:rsidP="00C91DCD">
      <w:pPr>
        <w:pStyle w:val="Heading2"/>
      </w:pPr>
      <w:r>
        <w:t>Specific Affs</w:t>
      </w:r>
    </w:p>
    <w:p w:rsidR="00C91DCD" w:rsidRDefault="00C91DCD" w:rsidP="00C91DCD"/>
    <w:p w:rsidR="0038612A" w:rsidRDefault="0038612A" w:rsidP="00C91DCD"/>
    <w:p w:rsidR="0038612A" w:rsidRDefault="0038612A" w:rsidP="0038612A">
      <w:pPr>
        <w:pStyle w:val="Heading3"/>
      </w:pPr>
      <w:r>
        <w:t>Surveillance</w:t>
      </w:r>
    </w:p>
    <w:p w:rsidR="0038612A" w:rsidRDefault="0038612A" w:rsidP="0038612A"/>
    <w:p w:rsidR="0038612A" w:rsidRPr="0038612A" w:rsidRDefault="0038612A" w:rsidP="0038612A">
      <w:pPr>
        <w:pStyle w:val="Heading4"/>
      </w:pPr>
      <w:r w:rsidRPr="0038612A">
        <w:t>Surveillance is uniquely a political act – state involvement is possible</w:t>
      </w:r>
    </w:p>
    <w:p w:rsidR="0038612A" w:rsidRPr="001D20AC" w:rsidRDefault="0038612A" w:rsidP="0038612A">
      <w:pPr>
        <w:rPr>
          <w:b/>
          <w:bCs/>
          <w:sz w:val="26"/>
        </w:rPr>
      </w:pPr>
      <w:r>
        <w:rPr>
          <w:rStyle w:val="StyleStyleBold12pt"/>
        </w:rPr>
        <w:t xml:space="preserve">Fernandez and Huey 9 </w:t>
      </w:r>
      <w:r>
        <w:t>(Luis Fernandez [</w:t>
      </w:r>
      <w:r>
        <w:rPr>
          <w:rFonts w:ascii="Lucida Sans" w:hAnsi="Lucida Sans"/>
          <w:color w:val="3E3E3E"/>
          <w:sz w:val="18"/>
          <w:szCs w:val="18"/>
          <w:shd w:val="clear" w:color="auto" w:fill="FDFAF5"/>
        </w:rPr>
        <w:t xml:space="preserve">PhD in Justice Studies, Arizona State University] </w:t>
      </w:r>
      <w:r>
        <w:rPr>
          <w:rFonts w:asciiTheme="minorHAnsi" w:hAnsiTheme="minorHAnsi"/>
          <w:shd w:val="clear" w:color="auto" w:fill="FDFAF5"/>
        </w:rPr>
        <w:t>and Laura Huey [PhD in Sociology, University of British Colombia], 2009, “</w:t>
      </w:r>
      <w:r>
        <w:t xml:space="preserve">Is Resistance Futile? Some Thoughts on Resisting Surveillance,” </w:t>
      </w:r>
      <w:r w:rsidRPr="001D20AC">
        <w:rPr>
          <w:i/>
        </w:rPr>
        <w:t>Surveillance &amp; Society</w:t>
      </w:r>
      <w:r>
        <w:t>, 6(3): 198-202)</w:t>
      </w:r>
    </w:p>
    <w:p w:rsidR="0038612A" w:rsidRDefault="0038612A" w:rsidP="0038612A">
      <w:pPr>
        <w:rPr>
          <w:rStyle w:val="StyleBoldUnderline"/>
        </w:rPr>
      </w:pPr>
      <w:r w:rsidRPr="005E69A0">
        <w:rPr>
          <w:sz w:val="16"/>
        </w:rPr>
        <w:t xml:space="preserve">Let’s now turn to a quick examination of resistance. </w:t>
      </w:r>
      <w:r w:rsidRPr="001D20AC">
        <w:rPr>
          <w:rStyle w:val="StyleBoldUnderline"/>
        </w:rPr>
        <w:t>As a central theme in</w:t>
      </w:r>
      <w:r w:rsidRPr="005E69A0">
        <w:rPr>
          <w:sz w:val="16"/>
        </w:rPr>
        <w:t xml:space="preserve"> the </w:t>
      </w:r>
      <w:r w:rsidRPr="001D20AC">
        <w:rPr>
          <w:rStyle w:val="StyleBoldUnderline"/>
        </w:rPr>
        <w:t>surveillance</w:t>
      </w:r>
      <w:r w:rsidRPr="005E69A0">
        <w:rPr>
          <w:sz w:val="16"/>
        </w:rPr>
        <w:t xml:space="preserve"> literature, </w:t>
      </w:r>
      <w:r w:rsidRPr="001D20AC">
        <w:rPr>
          <w:rStyle w:val="StyleBoldUnderline"/>
        </w:rPr>
        <w:t>it is sticking that resistance, as a concept, remains under theorized.</w:t>
      </w:r>
      <w:r w:rsidRPr="005E69A0">
        <w:rPr>
          <w:sz w:val="16"/>
        </w:rPr>
        <w:t xml:space="preserve"> In part, </w:t>
      </w:r>
      <w:r w:rsidRPr="001D20AC">
        <w:rPr>
          <w:rStyle w:val="StyleBoldUnderline"/>
        </w:rPr>
        <w:t>this may be due to the generalized nature of the concept</w:t>
      </w:r>
      <w:r w:rsidRPr="005E69A0">
        <w:rPr>
          <w:sz w:val="16"/>
        </w:rPr>
        <w:t xml:space="preserve">, which can cover vast territories of divergent human action. Thus, like surveillance, it is probably useful to start not with all-encompassing definition, but with an understanding that resistance too will be contextual, relational, and dependent on the power dynamics of a given situation. </w:t>
      </w:r>
      <w:r w:rsidRPr="001D20AC">
        <w:rPr>
          <w:rStyle w:val="StyleBoldUnderline"/>
        </w:rPr>
        <w:t>Possible actors engaged in the resistance of surveillance</w:t>
      </w:r>
      <w:r w:rsidRPr="005E69A0">
        <w:rPr>
          <w:sz w:val="16"/>
        </w:rPr>
        <w:t xml:space="preserve">, then, could </w:t>
      </w:r>
      <w:r w:rsidRPr="001D20AC">
        <w:rPr>
          <w:rStyle w:val="StyleBoldUnderline"/>
        </w:rPr>
        <w:t>include individuals</w:t>
      </w:r>
      <w:r w:rsidRPr="005E69A0">
        <w:rPr>
          <w:sz w:val="16"/>
        </w:rPr>
        <w:t xml:space="preserve">, groups, </w:t>
      </w:r>
      <w:r w:rsidRPr="005E69A0">
        <w:rPr>
          <w:rStyle w:val="StyleBoldUnderline"/>
        </w:rPr>
        <w:t>institutions</w:t>
      </w:r>
      <w:r w:rsidRPr="005E69A0">
        <w:rPr>
          <w:sz w:val="16"/>
        </w:rPr>
        <w:t xml:space="preserve">, networks, </w:t>
      </w:r>
      <w:r w:rsidRPr="001D20AC">
        <w:rPr>
          <w:rStyle w:val="StyleBoldUnderline"/>
        </w:rPr>
        <w:t>and the state itself</w:t>
      </w:r>
      <w:r w:rsidRPr="005E69A0">
        <w:rPr>
          <w:sz w:val="16"/>
        </w:rPr>
        <w:t xml:space="preserve"> (e.g., states versus states). But </w:t>
      </w:r>
      <w:r w:rsidRPr="001D20AC">
        <w:rPr>
          <w:rStyle w:val="StyleBoldUnderline"/>
        </w:rPr>
        <w:t>the nature of resistance tactics</w:t>
      </w:r>
      <w:r w:rsidRPr="005E69A0">
        <w:rPr>
          <w:sz w:val="16"/>
        </w:rPr>
        <w:t xml:space="preserve">, technologies, and techniques </w:t>
      </w:r>
      <w:r w:rsidRPr="001D20AC">
        <w:rPr>
          <w:rStyle w:val="StyleBoldUnderline"/>
        </w:rPr>
        <w:t>will evolve in a direct response to a power struggles</w:t>
      </w:r>
      <w:r w:rsidRPr="005E69A0">
        <w:rPr>
          <w:sz w:val="16"/>
        </w:rPr>
        <w:t xml:space="preserve">. Of the work in this area that has been produced to date, what is clearly revealed is the fact that </w:t>
      </w:r>
      <w:r w:rsidRPr="005E69A0">
        <w:rPr>
          <w:rStyle w:val="Emphasis"/>
        </w:rPr>
        <w:t>surveillance-based practices are highly contested political territory within and across contemporary society, both at the individual level and collectively</w:t>
      </w:r>
      <w:r w:rsidRPr="005E69A0">
        <w:rPr>
          <w:sz w:val="16"/>
        </w:rPr>
        <w:t xml:space="preserve">. Monahan (2006), for instance, asserts that surveillance is already imbedded in a set of social practices that reproduce social stratification. If he is correct, and we believe he is, then </w:t>
      </w:r>
      <w:r w:rsidRPr="001D20AC">
        <w:rPr>
          <w:rStyle w:val="StyleBoldUnderline"/>
        </w:rPr>
        <w:t xml:space="preserve">most forms of surveillance are, from their inception, already embedded in a power dynamic that could, with some help, </w:t>
      </w:r>
      <w:r w:rsidRPr="005E69A0">
        <w:rPr>
          <w:rStyle w:val="Emphasis"/>
        </w:rPr>
        <w:t>lead to forms of resistance</w:t>
      </w:r>
      <w:r w:rsidRPr="005E69A0">
        <w:rPr>
          <w:sz w:val="16"/>
        </w:rPr>
        <w:t xml:space="preserve">. </w:t>
      </w:r>
      <w:r w:rsidRPr="001D20AC">
        <w:rPr>
          <w:rStyle w:val="StyleBoldUnderline"/>
        </w:rPr>
        <w:t>We see this as a good starting point for analyzing the potential for resisting surveillance, since it builds a dialectic relationship between those who observe and collect data, and those who are observed and from whom information is extracted.</w:t>
      </w:r>
      <w:r w:rsidRPr="005E69A0">
        <w:rPr>
          <w:sz w:val="16"/>
        </w:rPr>
        <w:t xml:space="preserve"> Further, we suggest that another good starting point in the study of resistance and surveillance is not surveillance mechanisms, but resistance itself. This insight comes from Hardt and Negri (2004), who in their analysis of revolt and state control argue that revolt is generally the innovator, with the state adapting and developing new forms of control to address the innovations. For example, Fernandez (2008) shows how protesters caught the Seattle Police off guard at the 1999 Word Trade Organization protest, eventually resulting in significant policing innovations in the following years. This same dynamic, we believe, might exist in the resistance of surveillance and might yield important insight on how surveillance evolves. </w:t>
      </w:r>
      <w:r w:rsidRPr="001D20AC">
        <w:rPr>
          <w:rStyle w:val="StyleBoldUnderline"/>
        </w:rPr>
        <w:t>In sum, we suggest that if surveillance and resistance are best understood as dynamic, then we must examine instances of resistance first, since they are likely going to be not only a response to surveillances practices but also present the new starting ground for the next set of surveillance mechanisms. This, we think, inverts the current analysis of the relationship. We encourage scholars to pursue research projects along these lines of inquiry</w:t>
      </w:r>
    </w:p>
    <w:p w:rsidR="0038612A" w:rsidRPr="0038612A" w:rsidRDefault="0038612A" w:rsidP="0038612A"/>
    <w:p w:rsidR="00C91DCD" w:rsidRPr="00C91DCD" w:rsidRDefault="00C91DCD" w:rsidP="00C91DCD"/>
    <w:p w:rsidR="00E05700" w:rsidRDefault="00E05700" w:rsidP="00D17C4E"/>
    <w:p w:rsidR="00E05700" w:rsidRDefault="00E05700" w:rsidP="00E05700">
      <w:pPr>
        <w:pStyle w:val="Heading3"/>
      </w:pPr>
      <w:r>
        <w:t>Queer</w:t>
      </w:r>
    </w:p>
    <w:p w:rsidR="00E05700" w:rsidRPr="00E05700" w:rsidRDefault="00E05700" w:rsidP="00E05700"/>
    <w:p w:rsidR="00E05700" w:rsidRDefault="00E05700" w:rsidP="00E05700">
      <w:pPr>
        <w:pStyle w:val="Heading4"/>
      </w:pPr>
      <w:r>
        <w:t>Liberal politics is accessible to the queer subject – the political body is queered</w:t>
      </w:r>
    </w:p>
    <w:p w:rsidR="00E05700" w:rsidRDefault="00E05700" w:rsidP="00E05700">
      <w:r>
        <w:t>--both are changeable – its about agreeing to be something</w:t>
      </w:r>
    </w:p>
    <w:p w:rsidR="00E05700" w:rsidRDefault="00E05700" w:rsidP="00E05700">
      <w:r>
        <w:t>-the queer subject is veiled in obscurity, just like the appositive political subject</w:t>
      </w:r>
    </w:p>
    <w:p w:rsidR="00E05700" w:rsidRDefault="00E05700" w:rsidP="00E05700">
      <w:r>
        <w:t>-restrictions don’t destroy people’s identities – all people have access to politics</w:t>
      </w:r>
    </w:p>
    <w:p w:rsidR="00E05700" w:rsidRDefault="00E05700" w:rsidP="00E05700">
      <w:r>
        <w:t>-queer bodies are fluid – they can enter and exit spaces based on the queering of those spaces – that presumes autonomy – autonomy over your position taking is the definition of the liberal subject</w:t>
      </w:r>
    </w:p>
    <w:p w:rsidR="00E05700" w:rsidRDefault="00E05700" w:rsidP="00E05700"/>
    <w:p w:rsidR="00E05700" w:rsidRPr="00642F5C" w:rsidRDefault="00E05700" w:rsidP="00E05700">
      <w:r w:rsidRPr="00642F5C">
        <w:rPr>
          <w:rStyle w:val="StyleStyleBold12pt"/>
        </w:rPr>
        <w:t>Samuels '99</w:t>
      </w:r>
      <w:r>
        <w:t xml:space="preserve"> (Jacinth; 1999; DANGEROUS LIAISONS: QUEER SUBJECTIVITY, LIBERALISM AND RACE; [[[[CITES]]]]; www.tandfonline.com/doi/pdf/10.1080/095023899335383; 7-26-15; mbc)</w:t>
      </w:r>
    </w:p>
    <w:p w:rsidR="00E05700" w:rsidRDefault="00E05700" w:rsidP="00E05700">
      <w:pPr>
        <w:rPr>
          <w:rStyle w:val="StyleBoldUnderline"/>
        </w:rPr>
      </w:pPr>
    </w:p>
    <w:p w:rsidR="00E05700" w:rsidRPr="00E05700" w:rsidRDefault="00E05700" w:rsidP="00E05700">
      <w:pPr>
        <w:rPr>
          <w:sz w:val="16"/>
        </w:rPr>
      </w:pPr>
      <w:r w:rsidRPr="00E05700">
        <w:rPr>
          <w:rStyle w:val="StyleBoldUnderline"/>
        </w:rPr>
        <w:t>Rawls</w:t>
      </w:r>
      <w:r w:rsidRPr="00E05700">
        <w:rPr>
          <w:sz w:val="16"/>
        </w:rPr>
        <w:t xml:space="preserve"> attempts to redress the inequities that have historically plagued the judicial system </w:t>
      </w:r>
      <w:r w:rsidRPr="00E05700">
        <w:rPr>
          <w:rStyle w:val="StyleBoldUnderline"/>
        </w:rPr>
        <w:t>by proposing a theory of justice whose principles are collectively determined by occupants of the ‘original position’, a hypothetical environment wherein inhabitants are necessarily ignorant of their achieved and ascribed characteristics.</w:t>
      </w:r>
      <w:r w:rsidRPr="00E05700">
        <w:rPr>
          <w:sz w:val="16"/>
        </w:rPr>
        <w:t xml:space="preserve"> These restrictions allow the original position to be constituted as an ‘initial status quo’ wherein any fundamental agreements or conclusions concerning the principles of justice are inevitably fair – a phenomenon which Rawls terms ‘justice as fairness’ (1971: 12).</w:t>
      </w:r>
    </w:p>
    <w:p w:rsidR="00E05700" w:rsidRPr="00E05700" w:rsidRDefault="00E05700" w:rsidP="00E05700">
      <w:pPr>
        <w:rPr>
          <w:rStyle w:val="StyleBoldUnderline"/>
        </w:rPr>
      </w:pPr>
      <w:r w:rsidRPr="00E05700">
        <w:rPr>
          <w:sz w:val="16"/>
        </w:rPr>
        <w:t xml:space="preserve">Yet </w:t>
      </w:r>
      <w:r w:rsidRPr="00E05700">
        <w:rPr>
          <w:rStyle w:val="StyleBoldUnderline"/>
        </w:rPr>
        <w:t xml:space="preserve">it is precisely </w:t>
      </w:r>
      <w:r w:rsidRPr="00E05700">
        <w:rPr>
          <w:rStyle w:val="Emphasis"/>
        </w:rPr>
        <w:t>these restrictions</w:t>
      </w:r>
      <w:r w:rsidRPr="00E05700">
        <w:rPr>
          <w:sz w:val="16"/>
        </w:rPr>
        <w:t xml:space="preserve"> – </w:t>
      </w:r>
      <w:r w:rsidRPr="00E05700">
        <w:rPr>
          <w:rStyle w:val="StyleBoldUnderline"/>
        </w:rPr>
        <w:t>those which Rawls deems essential to attaining rational agreement on first principles of justice</w:t>
      </w:r>
      <w:r w:rsidRPr="00E05700">
        <w:rPr>
          <w:sz w:val="16"/>
        </w:rPr>
        <w:t xml:space="preserve"> – </w:t>
      </w:r>
      <w:r w:rsidRPr="00E05700">
        <w:rPr>
          <w:rStyle w:val="Emphasis"/>
        </w:rPr>
        <w:t>which form the basis for comparison between the Rawlsian and the queer subject.</w:t>
      </w:r>
      <w:r w:rsidRPr="00E05700">
        <w:rPr>
          <w:sz w:val="16"/>
        </w:rPr>
        <w:t xml:space="preserve"> Entry to </w:t>
      </w:r>
      <w:r w:rsidRPr="00E05700">
        <w:rPr>
          <w:rStyle w:val="StyleBoldUnderline"/>
        </w:rPr>
        <w:t>the original position is</w:t>
      </w:r>
      <w:r w:rsidRPr="00E05700">
        <w:rPr>
          <w:sz w:val="16"/>
        </w:rPr>
        <w:t xml:space="preserve">, for example, </w:t>
      </w:r>
      <w:r w:rsidRPr="00E05700">
        <w:rPr>
          <w:rStyle w:val="StyleBoldUnderline"/>
        </w:rPr>
        <w:t>conditional upon the participant’s willingness to deliberate from behind a ‘veil of ignorance</w:t>
      </w:r>
      <w:r w:rsidRPr="00E05700">
        <w:rPr>
          <w:sz w:val="16"/>
        </w:rPr>
        <w:t xml:space="preserve">’, </w:t>
      </w:r>
      <w:r w:rsidRPr="00E05700">
        <w:rPr>
          <w:rStyle w:val="StyleBoldUnderline"/>
        </w:rPr>
        <w:t>the goal being to mask and thereby neutralize the impact of any factors which would prompt people to exploit circumstances to their own advantage.</w:t>
      </w:r>
      <w:r w:rsidRPr="00E05700">
        <w:rPr>
          <w:sz w:val="16"/>
        </w:rPr>
        <w:t xml:space="preserve"> Hence </w:t>
      </w:r>
      <w:r w:rsidRPr="00E05700">
        <w:rPr>
          <w:rStyle w:val="StyleBoldUnderline"/>
        </w:rPr>
        <w:t>the Rawlsian subject, now rendered ignorant of its sex, race, class, ethnicity, gender, etc.,</w:t>
      </w:r>
      <w:r w:rsidRPr="00E05700">
        <w:rPr>
          <w:sz w:val="16"/>
        </w:rPr>
        <w:t xml:space="preserve"> </w:t>
      </w:r>
      <w:r w:rsidRPr="00E05700">
        <w:rPr>
          <w:rStyle w:val="Emphasis"/>
        </w:rPr>
        <w:t>provides an apposite model for any subject which is at least partially defined by the absence of such characteristics.</w:t>
      </w:r>
      <w:r w:rsidRPr="00E05700">
        <w:rPr>
          <w:sz w:val="16"/>
        </w:rPr>
        <w:t xml:space="preserve"> In this respect </w:t>
      </w:r>
      <w:r w:rsidRPr="00E05700">
        <w:rPr>
          <w:rStyle w:val="StyleBoldUnderline"/>
        </w:rPr>
        <w:t>the queer subject</w:t>
      </w:r>
      <w:r w:rsidRPr="00E05700">
        <w:rPr>
          <w:sz w:val="16"/>
        </w:rPr>
        <w:t xml:space="preserve">, </w:t>
      </w:r>
      <w:r w:rsidRPr="00E05700">
        <w:rPr>
          <w:rStyle w:val="StyleBoldUnderline"/>
        </w:rPr>
        <w:t>similarly ‘veiled’ in its own obscurity</w:t>
      </w:r>
      <w:r w:rsidRPr="00E05700">
        <w:rPr>
          <w:sz w:val="16"/>
        </w:rPr>
        <w:t xml:space="preserve">, </w:t>
      </w:r>
      <w:r w:rsidRPr="00E05700">
        <w:rPr>
          <w:rStyle w:val="Emphasis"/>
        </w:rPr>
        <w:t>may be likened to the former</w:t>
      </w:r>
      <w:r w:rsidRPr="00E05700">
        <w:rPr>
          <w:sz w:val="16"/>
        </w:rPr>
        <w:t xml:space="preserve">; </w:t>
      </w:r>
      <w:r w:rsidRPr="00E05700">
        <w:rPr>
          <w:rStyle w:val="StyleBoldUnderline"/>
        </w:rPr>
        <w:t xml:space="preserve">both subjects, united in the quest for neutrality, </w:t>
      </w:r>
      <w:r w:rsidRPr="00E05700">
        <w:rPr>
          <w:rStyle w:val="Emphasis"/>
        </w:rPr>
        <w:t>sustain their existence through the absence or, at the very least, mitigation of presence.</w:t>
      </w:r>
    </w:p>
    <w:p w:rsidR="00E05700" w:rsidRPr="00E05700" w:rsidRDefault="00E05700" w:rsidP="00E05700">
      <w:pPr>
        <w:rPr>
          <w:sz w:val="16"/>
        </w:rPr>
      </w:pPr>
      <w:r w:rsidRPr="00E05700">
        <w:rPr>
          <w:sz w:val="16"/>
        </w:rPr>
        <w:t xml:space="preserve">It seems odd then that </w:t>
      </w:r>
      <w:r w:rsidRPr="00E05700">
        <w:rPr>
          <w:rStyle w:val="StyleBoldUnderline"/>
        </w:rPr>
        <w:t xml:space="preserve">a subject position which is defined </w:t>
      </w:r>
      <w:r w:rsidRPr="00E05700">
        <w:rPr>
          <w:sz w:val="16"/>
        </w:rPr>
        <w:t xml:space="preserve">largely </w:t>
      </w:r>
      <w:r w:rsidRPr="00E05700">
        <w:rPr>
          <w:rStyle w:val="StyleBoldUnderline"/>
        </w:rPr>
        <w:t>by</w:t>
      </w:r>
      <w:r w:rsidRPr="00E05700">
        <w:rPr>
          <w:sz w:val="16"/>
        </w:rPr>
        <w:t xml:space="preserve"> </w:t>
      </w:r>
      <w:r w:rsidRPr="00E05700">
        <w:rPr>
          <w:rStyle w:val="StyleBoldUnderline"/>
        </w:rPr>
        <w:t>what it excludes could be deemed inclusive</w:t>
      </w:r>
      <w:r w:rsidRPr="00E05700">
        <w:rPr>
          <w:sz w:val="16"/>
        </w:rPr>
        <w:t xml:space="preserve">, much less accessible, </w:t>
      </w:r>
      <w:r w:rsidRPr="00E05700">
        <w:rPr>
          <w:rStyle w:val="StyleBoldUnderline"/>
        </w:rPr>
        <w:t>but Rawls deftly circumvents this problem by emphasizing</w:t>
      </w:r>
      <w:r w:rsidRPr="00E05700">
        <w:rPr>
          <w:sz w:val="16"/>
        </w:rPr>
        <w:t xml:space="preserve"> </w:t>
      </w:r>
      <w:r w:rsidRPr="00E05700">
        <w:rPr>
          <w:rStyle w:val="StyleBoldUnderline"/>
        </w:rPr>
        <w:t>the original position’s conceptual status</w:t>
      </w:r>
      <w:r w:rsidRPr="00E05700">
        <w:rPr>
          <w:sz w:val="16"/>
        </w:rPr>
        <w:t xml:space="preserve">. </w:t>
      </w:r>
      <w:r w:rsidRPr="00E05700">
        <w:rPr>
          <w:rStyle w:val="Emphasis"/>
        </w:rPr>
        <w:t>Any number of people may ‘</w:t>
      </w:r>
      <w:r w:rsidRPr="00E05700">
        <w:rPr>
          <w:rStyle w:val="Emphasis"/>
          <w:szCs w:val="32"/>
        </w:rPr>
        <w:t>simulate the deliberations of this hypothetical situation, simply by reasoning in accordance with the appropriate restrictions</w:t>
      </w:r>
      <w:r w:rsidRPr="00E05700">
        <w:rPr>
          <w:sz w:val="16"/>
        </w:rPr>
        <w:t xml:space="preserve">.’ Exactly </w:t>
      </w:r>
      <w:r w:rsidRPr="00E05700">
        <w:rPr>
          <w:rStyle w:val="StyleBoldUnderline"/>
        </w:rPr>
        <w:t xml:space="preserve">when one enters the original position or even who does so is </w:t>
      </w:r>
      <w:r w:rsidRPr="00E05700">
        <w:rPr>
          <w:rStyle w:val="Emphasis"/>
        </w:rPr>
        <w:t>irrelevant</w:t>
      </w:r>
      <w:r w:rsidRPr="00E05700">
        <w:rPr>
          <w:rStyle w:val="StyleBoldUnderline"/>
        </w:rPr>
        <w:t xml:space="preserve"> because the veil of ignorance ensures the uniformity of all available information </w:t>
      </w:r>
      <w:r w:rsidRPr="00E05700">
        <w:rPr>
          <w:sz w:val="16"/>
        </w:rPr>
        <w:t>(Rawls, 1971: 138–9).</w:t>
      </w:r>
    </w:p>
    <w:p w:rsidR="00E05700" w:rsidRPr="00E05700" w:rsidRDefault="00E05700" w:rsidP="00E05700">
      <w:pPr>
        <w:rPr>
          <w:sz w:val="16"/>
        </w:rPr>
      </w:pPr>
      <w:r w:rsidRPr="00E05700">
        <w:rPr>
          <w:rStyle w:val="StyleBoldUnderline"/>
        </w:rPr>
        <w:t>The original position is</w:t>
      </w:r>
      <w:r w:rsidRPr="00E05700">
        <w:rPr>
          <w:sz w:val="16"/>
        </w:rPr>
        <w:t xml:space="preserve"> therefore </w:t>
      </w:r>
      <w:r w:rsidRPr="00E05700">
        <w:rPr>
          <w:rStyle w:val="StyleBoldUnderline"/>
        </w:rPr>
        <w:t>distinguished by the sheer fluidity of its spatiality</w:t>
      </w:r>
      <w:r w:rsidRPr="00E05700">
        <w:rPr>
          <w:sz w:val="16"/>
        </w:rPr>
        <w:t xml:space="preserve">, </w:t>
      </w:r>
      <w:r w:rsidRPr="00E05700">
        <w:rPr>
          <w:rStyle w:val="StyleBoldUnderline"/>
        </w:rPr>
        <w:t>a quality which facilitates the seemingly effortless entrance/exit of its participants</w:t>
      </w:r>
      <w:r w:rsidRPr="00E05700">
        <w:rPr>
          <w:sz w:val="16"/>
        </w:rPr>
        <w:t xml:space="preserve">. Here, once again, </w:t>
      </w:r>
      <w:r w:rsidRPr="00E05700">
        <w:rPr>
          <w:rStyle w:val="StyleBoldUnderline"/>
        </w:rPr>
        <w:t xml:space="preserve">we discover an area </w:t>
      </w:r>
      <w:r w:rsidRPr="00E05700">
        <w:rPr>
          <w:rStyle w:val="Emphasis"/>
        </w:rPr>
        <w:t>consistent with queer subjectivity</w:t>
      </w:r>
      <w:r w:rsidRPr="00E05700">
        <w:rPr>
          <w:sz w:val="16"/>
        </w:rPr>
        <w:t xml:space="preserve"> </w:t>
      </w:r>
      <w:r w:rsidRPr="00E05700">
        <w:rPr>
          <w:rStyle w:val="StyleBoldUnderline"/>
        </w:rPr>
        <w:t>for which the notion of ‘space’4</w:t>
      </w:r>
      <w:r w:rsidRPr="00E05700">
        <w:rPr>
          <w:sz w:val="16"/>
        </w:rPr>
        <w:t xml:space="preserve"> </w:t>
      </w:r>
      <w:r w:rsidRPr="00E05700">
        <w:rPr>
          <w:rStyle w:val="Emphasis"/>
        </w:rPr>
        <w:t>is also essential.</w:t>
      </w:r>
      <w:r w:rsidRPr="00E05700">
        <w:rPr>
          <w:sz w:val="16"/>
        </w:rPr>
        <w:t xml:space="preserve"> </w:t>
      </w:r>
      <w:r w:rsidRPr="00E05700">
        <w:rPr>
          <w:rStyle w:val="StyleBoldUnderline"/>
        </w:rPr>
        <w:t>Queer subjectivity occupies a ‘new space in the domain of sexuality</w:t>
      </w:r>
      <w:r w:rsidRPr="00E05700">
        <w:rPr>
          <w:sz w:val="16"/>
        </w:rPr>
        <w:t xml:space="preserve">: a postgay, postlesbian space’ (Morton, 1995: 369) </w:t>
      </w:r>
      <w:r w:rsidRPr="00E05700">
        <w:rPr>
          <w:rStyle w:val="StyleBoldUnderline"/>
        </w:rPr>
        <w:t xml:space="preserve">which, </w:t>
      </w:r>
      <w:r w:rsidRPr="00E05700">
        <w:rPr>
          <w:rStyle w:val="Emphasis"/>
        </w:rPr>
        <w:t>like the original</w:t>
      </w:r>
      <w:r w:rsidRPr="00E05700">
        <w:rPr>
          <w:rStyle w:val="StyleBoldUnderline"/>
        </w:rPr>
        <w:t xml:space="preserve"> position, can be entered and/or exited at will. It is a space whose fluidity reflects an identity which </w:t>
      </w:r>
      <w:r w:rsidRPr="00E05700">
        <w:rPr>
          <w:rStyle w:val="Emphasis"/>
        </w:rPr>
        <w:t>refuses to name itself</w:t>
      </w:r>
      <w:r w:rsidRPr="00E05700">
        <w:rPr>
          <w:rStyle w:val="StyleBoldUnderline"/>
        </w:rPr>
        <w:t xml:space="preserve"> and which heralds the declaration that ‘[t]o be gay is to have a mere identity; to be queer is to enter and celebrate the ludic space of textual indeterminacy’</w:t>
      </w:r>
      <w:r w:rsidRPr="00E05700">
        <w:rPr>
          <w:sz w:val="16"/>
        </w:rPr>
        <w:t xml:space="preserve"> (Morton, 1995: 373).</w:t>
      </w:r>
    </w:p>
    <w:p w:rsidR="00E05700" w:rsidRPr="00E05700" w:rsidRDefault="00E05700" w:rsidP="00E05700">
      <w:pPr>
        <w:rPr>
          <w:rStyle w:val="Emphasis"/>
        </w:rPr>
      </w:pPr>
      <w:r w:rsidRPr="00E05700">
        <w:rPr>
          <w:rStyle w:val="StyleBoldUnderline"/>
        </w:rPr>
        <w:t>The ability to move freely into and out of a</w:t>
      </w:r>
      <w:r w:rsidRPr="00E05700">
        <w:rPr>
          <w:sz w:val="16"/>
        </w:rPr>
        <w:t xml:space="preserve"> space/</w:t>
      </w:r>
      <w:r w:rsidRPr="00E05700">
        <w:rPr>
          <w:rStyle w:val="StyleBoldUnderline"/>
        </w:rPr>
        <w:t>subject position</w:t>
      </w:r>
      <w:r w:rsidRPr="00E05700">
        <w:rPr>
          <w:sz w:val="16"/>
        </w:rPr>
        <w:t xml:space="preserve">, </w:t>
      </w:r>
      <w:r w:rsidRPr="00E05700">
        <w:rPr>
          <w:rStyle w:val="StyleBoldUnderline"/>
        </w:rPr>
        <w:t>be it Rawlsian or ‘queer’</w:t>
      </w:r>
      <w:r w:rsidRPr="00E05700">
        <w:rPr>
          <w:sz w:val="16"/>
        </w:rPr>
        <w:t xml:space="preserve">, </w:t>
      </w:r>
      <w:r w:rsidRPr="00E05700">
        <w:rPr>
          <w:rStyle w:val="Emphasis"/>
        </w:rPr>
        <w:t>presumes the liberty of an autonomous subject</w:t>
      </w:r>
      <w:r w:rsidRPr="00E05700">
        <w:rPr>
          <w:sz w:val="16"/>
        </w:rPr>
        <w:t xml:space="preserve"> – </w:t>
      </w:r>
      <w:r w:rsidRPr="00E05700">
        <w:rPr>
          <w:rStyle w:val="StyleBoldUnderline"/>
        </w:rPr>
        <w:t xml:space="preserve">liberty and autonomy </w:t>
      </w:r>
      <w:r w:rsidRPr="00E05700">
        <w:rPr>
          <w:rStyle w:val="Emphasis"/>
        </w:rPr>
        <w:t>being constitutive elements of liberalism</w:t>
      </w:r>
      <w:r w:rsidRPr="00E05700">
        <w:rPr>
          <w:rStyle w:val="StyleBoldUnderline"/>
        </w:rPr>
        <w:t>. Thus liberty</w:t>
      </w:r>
      <w:r w:rsidRPr="00E05700">
        <w:rPr>
          <w:sz w:val="16"/>
        </w:rPr>
        <w:t>, for Rawls (1971: 202</w:t>
      </w:r>
      <w:r w:rsidRPr="00E05700">
        <w:rPr>
          <w:rStyle w:val="StyleBoldUnderline"/>
        </w:rPr>
        <w:t>), is premised upon agents who are free to act without restriction</w:t>
      </w:r>
      <w:r w:rsidRPr="00E05700">
        <w:rPr>
          <w:sz w:val="16"/>
        </w:rPr>
        <w:t xml:space="preserve"> – </w:t>
      </w:r>
      <w:r w:rsidRPr="00E05700">
        <w:rPr>
          <w:rStyle w:val="StyleBoldUnderline"/>
        </w:rPr>
        <w:t>a definition which affirms both the sovereignty of the liberal subject and the freedom to do what one desires where not prohibited by law</w:t>
      </w:r>
      <w:r w:rsidRPr="00E05700">
        <w:rPr>
          <w:sz w:val="16"/>
        </w:rPr>
        <w:t xml:space="preserve"> (Brown, 1995: 154). Insofar as liberty is juxtaposed not to slavery but a will-less absence of choice (Brown, 1995: 154), </w:t>
      </w:r>
      <w:r w:rsidRPr="00E05700">
        <w:rPr>
          <w:rStyle w:val="StyleBoldUnderline"/>
        </w:rPr>
        <w:t>the autonomous subject is characterized by ‘the absence of immediate constraints on</w:t>
      </w:r>
      <w:r w:rsidRPr="00E05700">
        <w:rPr>
          <w:sz w:val="16"/>
        </w:rPr>
        <w:t xml:space="preserve"> [his] </w:t>
      </w:r>
      <w:r w:rsidRPr="00E05700">
        <w:rPr>
          <w:rStyle w:val="StyleBoldUnderline"/>
        </w:rPr>
        <w:t>entry into and movement within civil society’</w:t>
      </w:r>
      <w:r w:rsidRPr="00E05700">
        <w:rPr>
          <w:sz w:val="16"/>
        </w:rPr>
        <w:t xml:space="preserve"> (Brown, 1995: 156). </w:t>
      </w:r>
      <w:r w:rsidRPr="00E05700">
        <w:rPr>
          <w:rStyle w:val="StyleBoldUnderline"/>
        </w:rPr>
        <w:t>To the extent that liberalism deems race, class, gender, sexuality, etc. to be indicative of such ‘constraints’</w:t>
      </w:r>
      <w:r w:rsidRPr="00E05700">
        <w:rPr>
          <w:sz w:val="16"/>
        </w:rPr>
        <w:t xml:space="preserve">, </w:t>
      </w:r>
      <w:r w:rsidRPr="00E05700">
        <w:rPr>
          <w:rStyle w:val="Emphasis"/>
        </w:rPr>
        <w:t>their removal is a necessary condition for both the liberty of the Rawlsian and ‘queer’ subjects and the autonomous exercise of their respective will.</w:t>
      </w:r>
    </w:p>
    <w:p w:rsidR="00E05700" w:rsidRPr="00E05700" w:rsidRDefault="00E05700" w:rsidP="00E05700">
      <w:pPr>
        <w:rPr>
          <w:sz w:val="10"/>
          <w:szCs w:val="10"/>
        </w:rPr>
      </w:pPr>
      <w:r w:rsidRPr="00E05700">
        <w:rPr>
          <w:sz w:val="10"/>
          <w:szCs w:val="10"/>
        </w:rPr>
        <w:t>Rawls’ theory of justice is clearly indicative of a neo-Kantian theoretical heritage which de nes moral subjects on the basis of autonomy, rationality and an uncompromising distinction between reason and affectivity. Given Kant’s conviction that moral legislation is contingent upon the freedom and equality of rational beings, the deliberations of those in the original position must, in turn, be the product of rational choice rather than bias, ascriptive or achieved characteristics (Rawls, 1971: 252). Subjects within this Kantian ideal are thus akin to ‘geometricians in different rooms who, reasoning alone for themselves, all arrive at the same solution to a problem’ (Benhabib, 1987: 91). Hence the Rawlsian subject, much like its Kantian predecessor, inhabits a unitary subject position which occludes subjectivity outside of itself.</w:t>
      </w:r>
    </w:p>
    <w:p w:rsidR="00E05700" w:rsidRPr="00E05700" w:rsidRDefault="00E05700" w:rsidP="00E05700">
      <w:pPr>
        <w:rPr>
          <w:sz w:val="10"/>
          <w:szCs w:val="10"/>
        </w:rPr>
      </w:pPr>
      <w:r w:rsidRPr="00E05700">
        <w:rPr>
          <w:sz w:val="10"/>
          <w:szCs w:val="10"/>
        </w:rPr>
        <w:t>In his attempt to do justice to Kant’s conception of noumenal agency, Rawls recapitulates a basic problem with the Kantian conception of the self,namely, that noumenal selves cannot be individuated. If all that belongs to them as embodied, affective, suffering creatures, their memory and history, their ties and relations to others, are to be subsumed under the phenomenal realm, then what we are left with is an empty mask that is everyone and no one. (Benhabib, 1987: 89)</w:t>
      </w:r>
    </w:p>
    <w:p w:rsidR="00E05700" w:rsidRPr="00E05700" w:rsidRDefault="00E05700" w:rsidP="00E05700">
      <w:pPr>
        <w:rPr>
          <w:sz w:val="16"/>
        </w:rPr>
      </w:pPr>
      <w:r w:rsidRPr="00E05700">
        <w:rPr>
          <w:sz w:val="16"/>
        </w:rPr>
        <w:t xml:space="preserve">Nor would it seem that the queer subject is any more suited to resolving this dilemma. On the one hand, </w:t>
      </w:r>
      <w:r w:rsidRPr="00E05700">
        <w:rPr>
          <w:rStyle w:val="StyleBoldUnderline"/>
        </w:rPr>
        <w:t>‘queer’ celebrates the diversity of those who experience heterosexist oppression without invoking an essentialized identity</w:t>
      </w:r>
      <w:r w:rsidRPr="00E05700">
        <w:rPr>
          <w:sz w:val="16"/>
        </w:rPr>
        <w:t xml:space="preserve">, </w:t>
      </w:r>
      <w:r w:rsidRPr="00E05700">
        <w:rPr>
          <w:rStyle w:val="StyleBoldUnderline"/>
        </w:rPr>
        <w:t xml:space="preserve">but at the same time ‘the most appealing aspect of a queer identity </w:t>
      </w:r>
      <w:r w:rsidRPr="00E05700">
        <w:rPr>
          <w:rStyle w:val="Emphasis"/>
        </w:rPr>
        <w:t>is the refusal to name what that identity means’</w:t>
      </w:r>
      <w:r w:rsidRPr="00E05700">
        <w:rPr>
          <w:sz w:val="16"/>
        </w:rPr>
        <w:t xml:space="preserve"> (Slagle, 1995: 97–8). </w:t>
      </w:r>
      <w:r w:rsidRPr="00E05700">
        <w:rPr>
          <w:rStyle w:val="StyleBoldUnderline"/>
        </w:rPr>
        <w:t xml:space="preserve">Perhaps this refusal is less the result of a principled aversion to essentialism than it is the </w:t>
      </w:r>
      <w:r w:rsidRPr="00E05700">
        <w:rPr>
          <w:rStyle w:val="Emphasis"/>
        </w:rPr>
        <w:t>discomforting knowledge of what such a disclosure would occasion</w:t>
      </w:r>
      <w:r w:rsidRPr="00E05700">
        <w:rPr>
          <w:sz w:val="16"/>
        </w:rPr>
        <w:t xml:space="preserve">. </w:t>
      </w:r>
      <w:r w:rsidRPr="00E05700">
        <w:rPr>
          <w:rStyle w:val="StyleBoldUnderline"/>
        </w:rPr>
        <w:t>That is</w:t>
      </w:r>
      <w:r w:rsidRPr="00E05700">
        <w:rPr>
          <w:sz w:val="16"/>
        </w:rPr>
        <w:t xml:space="preserve">, </w:t>
      </w:r>
      <w:r w:rsidRPr="00E05700">
        <w:rPr>
          <w:rStyle w:val="StyleBoldUnderline"/>
        </w:rPr>
        <w:t>once the veil of ignorance ‘relieves’ participants of all individuating characteristics,</w:t>
      </w:r>
      <w:r w:rsidRPr="00E05700">
        <w:rPr>
          <w:sz w:val="16"/>
        </w:rPr>
        <w:t xml:space="preserve"> </w:t>
      </w:r>
      <w:r w:rsidRPr="00E05700">
        <w:rPr>
          <w:rStyle w:val="StyleBoldUnderline"/>
        </w:rPr>
        <w:t>the parties are no longer similarly but rather identically situated</w:t>
      </w:r>
      <w:r w:rsidRPr="00E05700">
        <w:rPr>
          <w:sz w:val="16"/>
        </w:rPr>
        <w:t xml:space="preserve"> (Sandel, 1982: 131), </w:t>
      </w:r>
      <w:r w:rsidRPr="00E05700">
        <w:rPr>
          <w:rStyle w:val="Emphasis"/>
        </w:rPr>
        <w:t>thus effectively erasing the basis for any claim to diversity</w:t>
      </w:r>
      <w:r w:rsidRPr="00E05700">
        <w:rPr>
          <w:sz w:val="16"/>
        </w:rPr>
        <w:t xml:space="preserve">. Moreover, with each subject being driven by precisely the same motivations and knowledge, </w:t>
      </w:r>
      <w:r w:rsidRPr="00E05700">
        <w:rPr>
          <w:rStyle w:val="StyleBoldUnderline"/>
        </w:rPr>
        <w:t>the original position essentially consists of a single ‘disembodied, pre-social or transcendent self reasoning to reflective equilibrium’</w:t>
      </w:r>
      <w:r w:rsidRPr="00E05700">
        <w:rPr>
          <w:sz w:val="16"/>
        </w:rPr>
        <w:t xml:space="preserve"> (Frazer and Lacey, 1993: 46).</w:t>
      </w:r>
    </w:p>
    <w:p w:rsidR="00E05700" w:rsidRPr="00E05700" w:rsidRDefault="00E05700" w:rsidP="00E05700">
      <w:pPr>
        <w:rPr>
          <w:sz w:val="14"/>
        </w:rPr>
      </w:pPr>
      <w:r w:rsidRPr="00E05700">
        <w:rPr>
          <w:rStyle w:val="StyleBoldUnderline"/>
        </w:rPr>
        <w:t>The interrogation of the Rawlsian subject necessarily casts doubt on assertions that the fluidity of queer subjectivity is a deliberate strategy designed to avoid both the strictures of definitional boundaries and their intrinsic essentialism</w:t>
      </w:r>
      <w:r w:rsidRPr="00E05700">
        <w:rPr>
          <w:sz w:val="14"/>
        </w:rPr>
        <w:t xml:space="preserve"> (Morrison, 1992: 14). Rather than simply a means by which to ensure both poetic and political licence</w:t>
      </w:r>
      <w:r w:rsidRPr="00E05700">
        <w:rPr>
          <w:rStyle w:val="StyleBoldUnderline"/>
        </w:rPr>
        <w:t xml:space="preserve">, the indeterminacy of ‘queer’ </w:t>
      </w:r>
      <w:r w:rsidRPr="00E05700">
        <w:rPr>
          <w:rStyle w:val="Emphasis"/>
        </w:rPr>
        <w:t>masks the same problem</w:t>
      </w:r>
      <w:r w:rsidRPr="00E05700">
        <w:rPr>
          <w:rStyle w:val="StyleBoldUnderline"/>
        </w:rPr>
        <w:t xml:space="preserve"> that the veil of ignorance is intended to obscure.</w:t>
      </w:r>
      <w:r w:rsidRPr="00E05700">
        <w:rPr>
          <w:sz w:val="14"/>
        </w:rPr>
        <w:t xml:space="preserve"> Once the veil can no longer bear the weight of its own scrutiny, it is not people, but a solitary subject who is exposed by the accident of its drooping facade. The veil tumbles to reveal ‘no real plurality of perspectives in the Rawlsian original position, but only a definitional identity’ (Benhabib, 1987: 90). Hence, the judgements are those of the philosopher himself, the construction of the original position having served only to obscure, to neutralize, substantive assumptions which should have been spelled out and defended. Far from being the product of an abstract, transcendent process of reasoning, the theory of justice is revealed as chosen from a very specific social position, that of a white, middle-class, liberal American male. (Frazer and Lacey, 1993: 55)</w:t>
      </w:r>
    </w:p>
    <w:p w:rsidR="00E05700" w:rsidRPr="00E05700" w:rsidRDefault="00E05700" w:rsidP="00E05700">
      <w:r w:rsidRPr="00E05700">
        <w:rPr>
          <w:rStyle w:val="StyleBoldUnderline"/>
        </w:rPr>
        <w:t xml:space="preserve">These sentiments are echoed in the critique of a queer discourse </w:t>
      </w:r>
      <w:r w:rsidRPr="00E05700">
        <w:rPr>
          <w:rStyle w:val="Emphasis"/>
        </w:rPr>
        <w:t>which tacitly adapts male subjects as its implicit referent</w:t>
      </w:r>
      <w:r w:rsidRPr="00E05700">
        <w:t xml:space="preserve"> (Kader and Piontek, 1992: 9).</w:t>
      </w:r>
      <w:r w:rsidRPr="00E05700">
        <w:rPr>
          <w:sz w:val="12"/>
        </w:rPr>
        <w:t xml:space="preserve"> </w:t>
      </w:r>
      <w:r w:rsidRPr="00E05700">
        <w:rPr>
          <w:rStyle w:val="StyleBoldUnderline"/>
        </w:rPr>
        <w:t>The problem stems from those objectives</w:t>
      </w:r>
      <w:r w:rsidRPr="00E05700">
        <w:t xml:space="preserve">, </w:t>
      </w:r>
      <w:r w:rsidRPr="00E05700">
        <w:rPr>
          <w:rStyle w:val="StyleBoldUnderline"/>
        </w:rPr>
        <w:t>defined as either Rawlsian or ‘queer’,</w:t>
      </w:r>
      <w:r w:rsidRPr="00E05700">
        <w:rPr>
          <w:sz w:val="12"/>
        </w:rPr>
        <w:t xml:space="preserve"> </w:t>
      </w:r>
      <w:r w:rsidRPr="00E05700">
        <w:rPr>
          <w:rStyle w:val="Emphasis"/>
        </w:rPr>
        <w:t xml:space="preserve">which are nevertheless similarly rooted in liberal idealism. </w:t>
      </w:r>
      <w:r w:rsidRPr="00E05700">
        <w:rPr>
          <w:rStyle w:val="StyleBoldUnderline"/>
        </w:rPr>
        <w:t>The veil of ignorance is deemed unproblematic by Rawls because it is considered a necessary condition for the achievement of rationality and morality among subjects.</w:t>
      </w:r>
      <w:r w:rsidRPr="00E05700">
        <w:t xml:space="preserve"> </w:t>
      </w:r>
      <w:r w:rsidRPr="00E05700">
        <w:rPr>
          <w:rStyle w:val="StyleBoldUnderline"/>
        </w:rPr>
        <w:t>Only rational, moral subjects</w:t>
      </w:r>
      <w:r w:rsidRPr="00E05700">
        <w:t xml:space="preserve"> – so designated, tautologically, </w:t>
      </w:r>
      <w:r w:rsidRPr="00E05700">
        <w:rPr>
          <w:rStyle w:val="StyleBoldUnderline"/>
        </w:rPr>
        <w:t>by virtue of inhabiting the original position</w:t>
      </w:r>
      <w:r w:rsidRPr="00E05700">
        <w:t xml:space="preserve"> – </w:t>
      </w:r>
      <w:r w:rsidRPr="00E05700">
        <w:rPr>
          <w:rStyle w:val="Emphasis"/>
        </w:rPr>
        <w:t>are imbued with the unity of thought, or logic of identity, needed to achieve rational agreement on first principles of justice</w:t>
      </w:r>
      <w:r w:rsidRPr="00E05700">
        <w:t xml:space="preserve">. </w:t>
      </w:r>
      <w:r w:rsidRPr="00E05700">
        <w:rPr>
          <w:rStyle w:val="StyleBoldUnderline"/>
        </w:rPr>
        <w:t>Queer subjectivity</w:t>
      </w:r>
      <w:r w:rsidRPr="00E05700">
        <w:t>,</w:t>
      </w:r>
      <w:r w:rsidRPr="00E05700">
        <w:rPr>
          <w:sz w:val="12"/>
        </w:rPr>
        <w:t xml:space="preserve"> </w:t>
      </w:r>
      <w:r w:rsidRPr="00E05700">
        <w:t>though not explicitly concerned with rational consensus</w:t>
      </w:r>
      <w:r w:rsidRPr="00E05700">
        <w:rPr>
          <w:rStyle w:val="StyleBoldUnderline"/>
        </w:rPr>
        <w:t>, is none the less specifically designed to achieve the same</w:t>
      </w:r>
      <w:r w:rsidRPr="00E05700">
        <w:t xml:space="preserve"> inclusivity/</w:t>
      </w:r>
      <w:r w:rsidRPr="00E05700">
        <w:rPr>
          <w:rStyle w:val="StyleBoldUnderline"/>
        </w:rPr>
        <w:t xml:space="preserve">universality and equality which are foundational to the liberal tradition. Hence the agent of ‘equality’ need not differ substantively from the agent of ‘rationality’, ‘fairness’ or ‘justice’: </w:t>
      </w:r>
      <w:r w:rsidRPr="00E05700">
        <w:rPr>
          <w:rStyle w:val="Emphasis"/>
        </w:rPr>
        <w:t>they are, in fact, the same.</w:t>
      </w:r>
      <w:r w:rsidRPr="00E05700">
        <w:t xml:space="preserve"> Moreover, </w:t>
      </w:r>
    </w:p>
    <w:p w:rsidR="00E05700" w:rsidRPr="00E05700" w:rsidRDefault="00E05700" w:rsidP="00E05700">
      <w:pPr>
        <w:ind w:left="720"/>
      </w:pPr>
      <w:r w:rsidRPr="00E05700">
        <w:t>[t]o the extent that the attributes of liberal personhood and liberal justice</w:t>
      </w:r>
      <w:r w:rsidRPr="00E05700">
        <w:rPr>
          <w:sz w:val="12"/>
        </w:rPr>
        <w:t xml:space="preserve"> </w:t>
      </w:r>
      <w:r w:rsidRPr="00E05700">
        <w:t>are established by excluding certain beings and certain domains of activity</w:t>
      </w:r>
      <w:r w:rsidRPr="00E05700">
        <w:rPr>
          <w:sz w:val="12"/>
        </w:rPr>
        <w:t xml:space="preserve"> </w:t>
      </w:r>
      <w:r w:rsidRPr="00E05700">
        <w:t>from their purview, liberalism cannot ful ll its universalist vision but persistently</w:t>
      </w:r>
      <w:r w:rsidRPr="00E05700">
        <w:rPr>
          <w:sz w:val="12"/>
        </w:rPr>
        <w:t xml:space="preserve"> </w:t>
      </w:r>
      <w:r w:rsidRPr="00E05700">
        <w:t>reproduces the exclusions of humanist Man. The hollowness of</w:t>
      </w:r>
      <w:r w:rsidRPr="00E05700">
        <w:rPr>
          <w:sz w:val="12"/>
        </w:rPr>
        <w:t xml:space="preserve"> </w:t>
      </w:r>
      <w:r w:rsidRPr="00E05700">
        <w:t>liberalism’s universalist promise, then, inheres . . . in its depoliticization of</w:t>
      </w:r>
      <w:r w:rsidRPr="00E05700">
        <w:rPr>
          <w:sz w:val="12"/>
        </w:rPr>
        <w:t xml:space="preserve"> </w:t>
      </w:r>
      <w:r w:rsidRPr="00E05700">
        <w:t>invidious social powers . . . [and] in its often cruel celebration of  ctional</w:t>
      </w:r>
      <w:r w:rsidRPr="00E05700">
        <w:rPr>
          <w:sz w:val="12"/>
        </w:rPr>
        <w:t xml:space="preserve"> </w:t>
      </w:r>
      <w:r w:rsidRPr="00E05700">
        <w:t>sovereignty.</w:t>
      </w:r>
      <w:r w:rsidRPr="00E05700">
        <w:rPr>
          <w:sz w:val="12"/>
        </w:rPr>
        <w:t xml:space="preserve"> </w:t>
      </w:r>
      <w:r w:rsidRPr="00E05700">
        <w:t>(Brown, 1995: 164)</w:t>
      </w:r>
    </w:p>
    <w:p w:rsidR="00E05700" w:rsidRPr="00482719" w:rsidRDefault="00E05700" w:rsidP="00E05700">
      <w:pPr>
        <w:rPr>
          <w:rStyle w:val="Emphasis"/>
          <w:sz w:val="40"/>
          <w:szCs w:val="40"/>
        </w:rPr>
      </w:pPr>
      <w:r w:rsidRPr="00E05700">
        <w:rPr>
          <w:rStyle w:val="StyleBoldUnderline"/>
        </w:rPr>
        <w:t>A revelation of this magnitude is bound to have serious consequences for the inclusivity which is similarly integral to the production of queer subjectivity</w:t>
      </w:r>
      <w:r w:rsidRPr="00E05700">
        <w:t xml:space="preserve">. </w:t>
      </w:r>
      <w:r w:rsidRPr="00E05700">
        <w:rPr>
          <w:rStyle w:val="StyleBoldUnderline"/>
        </w:rPr>
        <w:t>Positioned rather precariously between the postmodern critique which spawned its creation, and the liberal strategies which it actively employs in an attempt to distinguish itself from its predecessors, the queer subject is subsequently constitutive not of a genuinely autonomous, anti-essentialist subject, but rather the unwitting reproduction of the very liberal humanist subject which it was originally intended to critique.</w:t>
      </w:r>
    </w:p>
    <w:p w:rsidR="00E05700" w:rsidRDefault="00E05700" w:rsidP="00E05700"/>
    <w:p w:rsidR="00E05700" w:rsidRDefault="00E05700" w:rsidP="00E05700"/>
    <w:p w:rsidR="00E05700" w:rsidRDefault="00E05700" w:rsidP="00D17C4E"/>
    <w:p w:rsidR="00E05700" w:rsidRDefault="00E05700" w:rsidP="00E05700">
      <w:pPr>
        <w:pStyle w:val="Heading3"/>
      </w:pPr>
      <w:r>
        <w:t>LGBTQ</w:t>
      </w:r>
    </w:p>
    <w:p w:rsidR="00E05700" w:rsidRDefault="00E05700" w:rsidP="00E05700"/>
    <w:p w:rsidR="00E05700" w:rsidRDefault="00E05700" w:rsidP="00E05700">
      <w:pPr>
        <w:pStyle w:val="Heading4"/>
      </w:pPr>
      <w:r>
        <w:t>LGBTQ+ theorization is applicable to politics – passage of Gay Marriage legislation proves the normative statements of this study</w:t>
      </w:r>
    </w:p>
    <w:p w:rsidR="00E05700" w:rsidRPr="00583C4A" w:rsidRDefault="00E05700" w:rsidP="00E05700">
      <w:r w:rsidRPr="00583C4A">
        <w:rPr>
          <w:rStyle w:val="StyleStyleBold12pt"/>
        </w:rPr>
        <w:t xml:space="preserve">Marzullo </w:t>
      </w:r>
      <w:r w:rsidRPr="009700FE">
        <w:rPr>
          <w:rStyle w:val="StyleStyleBold12pt"/>
        </w:rPr>
        <w:t>&amp; Herdt 11</w:t>
      </w:r>
      <w:r>
        <w:t xml:space="preserve"> (Michelle A., Gilbert; November 8th, 2011; Marriage Rights and LGBTQ Youth: The Present and Future Impact of Sexuality Policy Changes; Michelle A. Marzullo holds a PhD in Anthropology concentrating in Race, Gender, and Social Justice from American University in Washington, DC + Gilbert H. Herdt is Professor of Human Sexuality Studies and Anthropology and a Founder of the Department of Sexuality Studies and National Sexuality Resource Center at San Francisco State University; onlinelibrary.wiley.com/doi/10.1111/j.1548-1352.2011.01204.x/full; 7-26-15; mbc)</w:t>
      </w:r>
    </w:p>
    <w:p w:rsidR="00E05700" w:rsidRPr="00E05700" w:rsidRDefault="00E05700" w:rsidP="00E05700">
      <w:pPr>
        <w:rPr>
          <w:sz w:val="16"/>
        </w:rPr>
      </w:pPr>
      <w:r w:rsidRPr="00AC01E4">
        <w:rPr>
          <w:rStyle w:val="StyleBoldUnderline"/>
        </w:rPr>
        <w:t>DOMA and “Don't Ask, Don't Tell” effectively ushered in a new generation of discourses and social practices that continue to shape the political, social, and cultural milieu in the United States</w:t>
      </w:r>
      <w:r w:rsidRPr="00E12D14">
        <w:rPr>
          <w:rStyle w:val="StyleBoldUnderline"/>
        </w:rPr>
        <w:t xml:space="preserve"> </w:t>
      </w:r>
      <w:r w:rsidRPr="00E05700">
        <w:rPr>
          <w:sz w:val="16"/>
        </w:rPr>
        <w:t xml:space="preserve">(Herdt and Kertzner ). </w:t>
      </w:r>
      <w:r w:rsidRPr="00E12D14">
        <w:rPr>
          <w:rStyle w:val="StyleBoldUnderline"/>
        </w:rPr>
        <w:t xml:space="preserve">The issue of marriage has often been used by politicians and policy elites when votes are needed for a particular candidate </w:t>
      </w:r>
      <w:r w:rsidRPr="00E05700">
        <w:rPr>
          <w:sz w:val="16"/>
        </w:rPr>
        <w:t xml:space="preserve">(Mooney and Schuldt :212). In 2004, this strategy generated a genuine moral panic during the 2004 presidential campaign when the question of marriage equality for gays and lesbians was used as a wedge issue to help reelect President George W. Bush and many reported voting on their “moral values” (Herdt ; Tiger 2004). </w:t>
      </w:r>
      <w:r w:rsidRPr="00AC01E4">
        <w:rPr>
          <w:rStyle w:val="StyleBoldUnderline"/>
        </w:rPr>
        <w:t>Confirming that “same-sex marriage” is a morality policy</w:t>
      </w:r>
      <w:r w:rsidRPr="00E12D14">
        <w:rPr>
          <w:rStyle w:val="StyleBoldUnderline"/>
        </w:rPr>
        <w:t xml:space="preserve">, Mooney and Schuldt showed that many people find decisions around the issue to be technically simple as most respondents reported their decision was made by “simply applying their basic values rather than by gathering information” </w:t>
      </w:r>
      <w:r w:rsidRPr="00E05700">
        <w:rPr>
          <w:sz w:val="16"/>
        </w:rPr>
        <w:t>(:203). “</w:t>
      </w:r>
      <w:r w:rsidRPr="00E12D14">
        <w:rPr>
          <w:rStyle w:val="StyleBoldUnderline"/>
        </w:rPr>
        <w:t xml:space="preserve">Morality policy” is distinct from information driven policy and has three main characteristics: (1) “moral values” are the basis for policy conflict; (2) these “moral values” do not lend to compromise; and, (3) such policies are technically simple, lacking complicated numerical formulas or indexes perceived as necessary for understanding by the general public (Mooney and Schuldt :200). </w:t>
      </w:r>
      <w:r w:rsidRPr="00E05700">
        <w:rPr>
          <w:sz w:val="16"/>
        </w:rPr>
        <w:t xml:space="preserve">Of those most opposed to “same-sex marriage,” 60 percent report that changing their stance would be nearly impossible or difficult (Mooney and Schuldt :209). As witnessed in Pat Buchanan's culture war rebuke, those identifying as “traditionalists” are strongly predicted to be opposed to “same-sex marriage” (Henry and Reyna </w:t>
      </w:r>
      <w:r w:rsidRPr="00E12D14">
        <w:rPr>
          <w:rStyle w:val="StyleBoldUnderline"/>
        </w:rPr>
        <w:t>). Implicit in such culture war traditionalism is usually an underlying judgment thwarting sexual or intimate citizenship for all gay and lesbian people translating into restrictive laws and higher surveillance of this group</w:t>
      </w:r>
      <w:r w:rsidRPr="00E05700">
        <w:rPr>
          <w:sz w:val="16"/>
        </w:rPr>
        <w:t xml:space="preserve"> (Herdt and Kertzner ). In 2006 and continuing through the w</w:t>
      </w:r>
      <w:r w:rsidRPr="00AC01E4">
        <w:rPr>
          <w:rStyle w:val="StyleBoldUnderline"/>
        </w:rPr>
        <w:t>r</w:t>
      </w:r>
      <w:r w:rsidRPr="00E05700">
        <w:rPr>
          <w:sz w:val="16"/>
        </w:rPr>
        <w:t>iting of this article, several other states have either rejected same-sex marriage or codified a definition of marriage as between one man and one woman only</w:t>
      </w:r>
      <w:r w:rsidRPr="00AC01E4">
        <w:rPr>
          <w:rStyle w:val="StyleBoldUnderline"/>
        </w:rPr>
        <w:t>. In building opposition to these political machinations and largely as a result of consciousness raising at the grassroots level by marriage equality advocates, there has been a hard-fought yet significant positive change in U.S. attitudes surrounding homosexuality</w:t>
      </w:r>
      <w:r w:rsidRPr="00E05700">
        <w:rPr>
          <w:sz w:val="16"/>
        </w:rPr>
        <w:t xml:space="preserve">. For example, a major ABC News–Washington Post poll conducted in shows that 49 percent of Americans agree that gay and lesbian or homosexual people should be able to get legally married, while a full 66 percent of those ages 18–29 believe that “LGB” couples should be able to get married. </w:t>
      </w:r>
      <w:r w:rsidRPr="00AC01E4">
        <w:rPr>
          <w:rStyle w:val="StyleBoldUnderline"/>
        </w:rPr>
        <w:t xml:space="preserve">To date, 44 states either ban or do not explicitly support marriages between gays and lesbians, although a growing number of these states do offer other limited forms of partnership recognition, such as domestic partnership or civil union </w:t>
      </w:r>
      <w:r w:rsidRPr="00E05700">
        <w:rPr>
          <w:sz w:val="16"/>
        </w:rPr>
        <w:t>(Confessore and Barbaro ; Human Rights Campaign ). We turn now to examining public opinion fluctuations on the subject of marriage equality over the past 20 years to show how this national conversation and the ensuing legal contests have impacted attitudes of Americans, not the least of which are the generations of young people, LGBTQ and straight, who have grown up in this climate.</w:t>
      </w:r>
    </w:p>
    <w:p w:rsidR="00E05700" w:rsidRPr="00E05700" w:rsidRDefault="00E05700" w:rsidP="00E05700"/>
    <w:p w:rsidR="00E05700" w:rsidRDefault="00E05700" w:rsidP="00E05700">
      <w:pPr>
        <w:pStyle w:val="Heading3"/>
      </w:pPr>
      <w:r>
        <w:t>Feminism</w:t>
      </w:r>
    </w:p>
    <w:p w:rsidR="00E05700" w:rsidRPr="00E05700" w:rsidRDefault="00E05700" w:rsidP="00E05700"/>
    <w:p w:rsidR="00C0022A" w:rsidRDefault="00C0022A" w:rsidP="00C0022A">
      <w:pPr>
        <w:pStyle w:val="Heading4"/>
      </w:pPr>
      <w:r>
        <w:t>Feminist legal change is possible – must remain a priority – it is historically inaccurate to suggest the law hasn’t improved for feminist goals</w:t>
      </w:r>
    </w:p>
    <w:p w:rsidR="00C0022A" w:rsidRDefault="00C0022A" w:rsidP="00C0022A">
      <w:pPr>
        <w:rPr>
          <w:rStyle w:val="StyleStyleBold12pt"/>
        </w:rPr>
      </w:pPr>
      <w:r>
        <w:rPr>
          <w:rStyle w:val="StyleStyleBold12pt"/>
        </w:rPr>
        <w:t>Larson 1993</w:t>
      </w:r>
    </w:p>
    <w:p w:rsidR="00C0022A" w:rsidRDefault="00C0022A" w:rsidP="00C0022A">
      <w:pPr>
        <w:rPr>
          <w:rStyle w:val="StyleStyleBold12pt"/>
          <w:b w:val="0"/>
          <w:sz w:val="16"/>
          <w:szCs w:val="16"/>
        </w:rPr>
      </w:pPr>
      <w:r>
        <w:rPr>
          <w:rStyle w:val="StyleStyleBold12pt"/>
          <w:sz w:val="16"/>
          <w:szCs w:val="16"/>
        </w:rPr>
        <w:t xml:space="preserve">(Jane Larson (1958 - 2011) was the Voss-Bascom Professor of Law at the University of Wisconsin Law School. ; INTRODUCTION: THIRD WAVE CAN FEMINISTS USE THE LAW TO EFFECT SOCIAL CHANGE IN THE 1990s? ; 1992-93 ; </w:t>
      </w:r>
      <w:hyperlink r:id="rId12" w:history="1">
        <w:r w:rsidRPr="00C3548B">
          <w:rPr>
            <w:rStyle w:val="Hyperlink"/>
            <w:sz w:val="16"/>
            <w:szCs w:val="16"/>
          </w:rPr>
          <w:t>http://heinonline.org/HOL/Page?handle=hein.journals/illlr87&amp;div=45&amp;g_sent=1&amp;collection=journals</w:t>
        </w:r>
      </w:hyperlink>
      <w:r>
        <w:rPr>
          <w:rStyle w:val="StyleStyleBold12pt"/>
          <w:sz w:val="16"/>
          <w:szCs w:val="16"/>
        </w:rPr>
        <w:t xml:space="preserve"> ; AWEY)</w:t>
      </w:r>
    </w:p>
    <w:p w:rsidR="00C0022A" w:rsidRDefault="00C0022A" w:rsidP="00C0022A"/>
    <w:p w:rsidR="00C0022A" w:rsidRDefault="00C0022A" w:rsidP="00C0022A">
      <w:pPr>
        <w:rPr>
          <w:rStyle w:val="StyleBoldUnderline"/>
        </w:rPr>
      </w:pPr>
      <w:r w:rsidRPr="00B5353B">
        <w:t>Just as notable as the increasing complexity of feminism's political vision is the depth of the philosophical critique of the existing legal regime that the Symposium essays reflect</w:t>
      </w:r>
      <w:r w:rsidRPr="00B5353B">
        <w:rPr>
          <w:rStyle w:val="StyleBoldUnderline"/>
        </w:rPr>
        <w:t>. In the past decade, feminism has come fully into its own as a philosophical and political tradition</w:t>
      </w:r>
      <w:r w:rsidRPr="00B5353B">
        <w:t>, developing distinctive theories of knowledge, human nature, justice, and the paths, purposes, and practices of power. Feminist theorists increasingly set aside conventional political traditions and analytic models as inadequate for women's purposes: the lack of de jure equality does not explain women's condition; traditional civil rights strategies will not remedy women's injuries; and neither conservative, liberal, nor radical political theories fully articulate a model for a sexually just society. Yet, paradoxically</w:t>
      </w:r>
      <w:r w:rsidRPr="00B5353B">
        <w:rPr>
          <w:rStyle w:val="StyleBoldUnderline"/>
        </w:rPr>
        <w:t xml:space="preserve">, feminism remains more committed to change from within the existing frame of society than other progressive and critical political tendencies. </w:t>
      </w:r>
      <w:r w:rsidRPr="00B5353B">
        <w:t xml:space="preserve">Women are unwilling to separate their lives, interests, and aspirations from those of other people. As a result, feminism tends to fight its battles close to home, from within the families, workplaces, and polities that feminists seek fundamentally to reorder. The Symposium participants share with much current feminist thinking a tendency to theorize about broad principles of justice and fairness from quite intimate and particular settings-sexuality, 18 abortion, 19 childbirth and child rearing, 20 and education. 21 </w:t>
      </w:r>
      <w:r w:rsidRPr="00B5353B">
        <w:rPr>
          <w:rStyle w:val="StyleBoldUnderline"/>
        </w:rPr>
        <w:t>Looking to legal feminism's past accomplishments, no Symposium participant is so skeptical as to deny that feminist lawyering and theory have won many meaningful legal battles to advance women</w:t>
      </w:r>
      <w:r w:rsidRPr="00B5353B">
        <w:t xml:space="preserve">. </w:t>
      </w:r>
      <w:r w:rsidRPr="00B5353B">
        <w:rPr>
          <w:rStyle w:val="StyleBoldUnderline"/>
        </w:rPr>
        <w:t>It is no longer acceptable to explicitly argue that laws should reflect the view that men are superior to women-</w:t>
      </w:r>
      <w:r w:rsidRPr="00B5353B">
        <w:t xml:space="preserve">more capable, energetic, reasonable, intelligent, or just, or, by virtue either of divine or biological imperative, better suited than women to power. Linda Hirshman argues, however, that the law has found a new and more covert language for these same claims of male supremacy. The legal system, for example, freely spends its justice resources to order the political and commercial spheres critical to men's interests, yet it deprives, under a rubric of privacy and limited government, the relational and familial realms important to women. In the public sphere of politics and law, women's claims for sexual fairness often are derided as based on passion rather than logic, politics rather than reason, representing the pleading of special interests rather than the pursuit of universal principles appropriate in a democracy. Thus, the voices of women are systematically ignored, Hirshman contends, even in a legal and political system that claims to fully incorporate and represent their interests. 22 Hirshman gives special attention to the ways that the male-superior norm pervades legal education, expressed through disrespect of feminist legal scholars and their work, and in the minuscule numbers of women on law faculties.23 Through control of the political and scholarly agenda, Professor Hirshman claims, what is accepted as true, rational, and relevant continues to be judged according to a malesuperior norm. Hirshman advises her readers to be skeptical about the possibilities for bettering women's lives through law while lawyers continue to be trained in institutions that either ignore or disrespect women and their interests.24 </w:t>
      </w:r>
      <w:r w:rsidRPr="00B5353B">
        <w:rPr>
          <w:rStyle w:val="StyleBoldUnderline"/>
        </w:rPr>
        <w:t>Professor Hirshman urges feminists to "take back" the law as a tool for social justice by remaking the institutions of legal power, beginning with their intellectual foundation in the law schools.</w:t>
      </w:r>
      <w:r w:rsidRPr="00B5353B">
        <w:t xml:space="preserve"> Drawing attention to the importance of the Anita Hill-Clarence Thomas hearings in persuading Congress to pass the 1991 Civil Rights Restoration Act, 25 Professor Greene counsels the same kind of effort to reconstitute the legislatures, to ensure that elected representatives are able to hear and respond to calls for fundamental change on behalf of women.26 For both Hirshman and Greene, it is not enough for women to have an opportunity to be heard by those in power, to be the objects of men's justice. Rather, </w:t>
      </w:r>
      <w:r w:rsidRPr="00B5353B">
        <w:rPr>
          <w:rStyle w:val="StyleBoldUnderline"/>
        </w:rPr>
        <w:t>women must be represented among those who have the power to determine what justice is.</w:t>
      </w:r>
    </w:p>
    <w:p w:rsidR="00C0022A" w:rsidRDefault="00C0022A" w:rsidP="00D17C4E"/>
    <w:p w:rsidR="00C91DCD" w:rsidRDefault="00C91DCD" w:rsidP="00D17C4E"/>
    <w:p w:rsidR="00C91DCD" w:rsidRDefault="00C91DCD" w:rsidP="00C91DCD">
      <w:pPr>
        <w:pStyle w:val="Heading3"/>
      </w:pPr>
      <w:r>
        <w:t>Cyborg</w:t>
      </w:r>
    </w:p>
    <w:p w:rsidR="00C91DCD" w:rsidRDefault="00C91DCD" w:rsidP="00C91DCD"/>
    <w:p w:rsidR="00C91DCD" w:rsidRDefault="00C91DCD" w:rsidP="00C91DCD"/>
    <w:p w:rsidR="00C91DCD" w:rsidRDefault="00C91DCD" w:rsidP="00C91DCD">
      <w:pPr>
        <w:pStyle w:val="Heading4"/>
      </w:pPr>
      <w:r>
        <w:t>Talking about cyborgs allows for meaningful political action</w:t>
      </w:r>
    </w:p>
    <w:p w:rsidR="00C91DCD" w:rsidRDefault="00C91DCD" w:rsidP="00C91DCD">
      <w:r w:rsidRPr="00323A0F">
        <w:rPr>
          <w:b/>
        </w:rPr>
        <w:t>Sundén 2k1</w:t>
      </w:r>
      <w:r>
        <w:t xml:space="preserve"> (Jenny Sundén, Professor of Gender Studies at </w:t>
      </w:r>
      <w:r w:rsidRPr="001F3F11">
        <w:rPr>
          <w:color w:val="111111"/>
          <w:shd w:val="clear" w:color="auto" w:fill="FFFFFF"/>
        </w:rPr>
        <w:t>Södertörn</w:t>
      </w:r>
      <w:r>
        <w:t xml:space="preserve"> University, She has a Ph.D. from the Department of Communication Studies from </w:t>
      </w:r>
      <w:r w:rsidRPr="001F3F11">
        <w:rPr>
          <w:color w:val="111111"/>
          <w:shd w:val="clear" w:color="auto" w:fill="FFFFFF"/>
        </w:rPr>
        <w:t>Linköping</w:t>
      </w:r>
      <w:r>
        <w:rPr>
          <w:color w:val="111111"/>
          <w:shd w:val="clear" w:color="auto" w:fill="FFFFFF"/>
        </w:rPr>
        <w:t xml:space="preserve"> University, she is currently a reviewer of journals such as European Journal of Women’s Studies, Feminist media Studies, Feminist Theory, and New Media and Society</w:t>
      </w:r>
      <w:r>
        <w:t xml:space="preserve">; “What Happened to Difference in Cyberspace? The (Re)turn of the She-Cyborg”; Feminist Media Studies, Vol. 1, No.2, 2001; Published online Dec. 12, 2010; </w:t>
      </w:r>
      <w:hyperlink r:id="rId13" w:history="1">
        <w:r w:rsidRPr="00950C05">
          <w:rPr>
            <w:rStyle w:val="Hyperlink"/>
          </w:rPr>
          <w:t>http://www.tandfonline.com/doi/pdf/10.1080/14680770120062141)//HB</w:t>
        </w:r>
      </w:hyperlink>
    </w:p>
    <w:p w:rsidR="00C91DCD" w:rsidRPr="001F3F11" w:rsidRDefault="00C91DCD" w:rsidP="00C91DCD"/>
    <w:p w:rsidR="00C91DCD" w:rsidRPr="001F3F11" w:rsidRDefault="00C91DCD" w:rsidP="00C91DCD">
      <w:pPr>
        <w:rPr>
          <w:u w:val="single"/>
        </w:rPr>
      </w:pPr>
      <w:r>
        <w:t xml:space="preserve">Instead of reinforcing the Cartesian split through bodily destruction, feminist readings of the cyborg take transgressions as its subject. </w:t>
      </w:r>
      <w:r w:rsidRPr="001F3F11">
        <w:rPr>
          <w:u w:val="single"/>
        </w:rPr>
        <w:t>The cyborg is viewed as an alternative figuration, as a way out of the old schemes of thought. It is a powerful political fiction that shatters the dichotomous categorizations of Enlightenment epistemology, such as mind/body, organism/machine, public/ private, culture/nature, civilized/primitive, and centrally, man/woman, male/ female, masculine/feminine</w:t>
      </w:r>
      <w:r>
        <w:t xml:space="preserve">. </w:t>
      </w:r>
      <w:r w:rsidRPr="00C91DCD">
        <w:rPr>
          <w:rStyle w:val="Emphasis"/>
        </w:rPr>
        <w:t>Haraway</w:t>
      </w:r>
      <w:r>
        <w:t xml:space="preserve"> (1991a: 149) </w:t>
      </w:r>
      <w:r w:rsidRPr="00C91DCD">
        <w:rPr>
          <w:rStyle w:val="StyleBoldUnderline"/>
        </w:rPr>
        <w:t>has argued for a positive reading of the cyborg mythos</w:t>
      </w:r>
      <w:r>
        <w:t xml:space="preserve"> in a world that has blurred distinctions between these oppositions, in a “border war” in the territories of production, repro- duction and imagination. </w:t>
      </w:r>
      <w:r w:rsidRPr="00C91DCD">
        <w:rPr>
          <w:rStyle w:val="StyleBoldUnderline"/>
        </w:rPr>
        <w:t>Her ambition is “to build an ironic political myth faithful to feminism, socialism and materialism”.</w:t>
      </w:r>
      <w:r>
        <w:t xml:space="preserve"> </w:t>
      </w:r>
      <w:r w:rsidRPr="001F3F11">
        <w:rPr>
          <w:rStyle w:val="Emphasis"/>
        </w:rPr>
        <w:t>Her “Cyborg Manifesto” proposes a grounding for meaningful political action</w:t>
      </w:r>
      <w:r w:rsidRPr="001F3F11">
        <w:rPr>
          <w:u w:val="single"/>
        </w:rPr>
        <w:t>, and questions the tenden- cies of feminisms that base their epistemologies on an inversion of the dichoto- mies they intend to criticize. It is a cyborg interpretation with no commitment to an absolute grounding for knowledge, but with an emphasis on “situated” and “partial” knowledges, uncertain and sometimes contradictory subjectivities and identities whose significations are not determined by the categorizations of human/animal/machine.</w:t>
      </w:r>
    </w:p>
    <w:p w:rsidR="00C91DCD" w:rsidRDefault="00C91DCD" w:rsidP="00C91DCD"/>
    <w:p w:rsidR="0038612A" w:rsidRDefault="0038612A" w:rsidP="00C91DCD"/>
    <w:p w:rsidR="0038612A" w:rsidRDefault="0038612A" w:rsidP="0038612A">
      <w:pPr>
        <w:pStyle w:val="Heading3"/>
      </w:pPr>
      <w:r>
        <w:t>Anti-State/Foucault Affs</w:t>
      </w:r>
    </w:p>
    <w:p w:rsidR="0038612A" w:rsidRDefault="0038612A" w:rsidP="0038612A"/>
    <w:p w:rsidR="0038612A" w:rsidRDefault="0038612A" w:rsidP="0038612A">
      <w:pPr>
        <w:rPr>
          <w:rStyle w:val="StyleBoldUnderline"/>
        </w:rPr>
      </w:pPr>
    </w:p>
    <w:p w:rsidR="0038612A" w:rsidRPr="0038612A" w:rsidRDefault="0038612A" w:rsidP="0038612A">
      <w:pPr>
        <w:pStyle w:val="Heading4"/>
      </w:pPr>
      <w:r w:rsidRPr="0038612A">
        <w:t>Resistance to surveillance shouldn’t be held to only anti-state criticism – doing so limits new methods of resistance and ignores other forms of surveillance</w:t>
      </w:r>
    </w:p>
    <w:p w:rsidR="0038612A" w:rsidRPr="00724A79" w:rsidRDefault="0038612A" w:rsidP="0038612A">
      <w:pPr>
        <w:rPr>
          <w:b/>
          <w:bCs/>
          <w:sz w:val="26"/>
        </w:rPr>
      </w:pPr>
      <w:r>
        <w:rPr>
          <w:rStyle w:val="StyleStyleBold12pt"/>
        </w:rPr>
        <w:t xml:space="preserve">Geesin 12 </w:t>
      </w:r>
      <w:r>
        <w:t xml:space="preserve">(Beverly Geesin, PhD candidate in Sociology at U. of York, March 2012, Thesis: “Resistance to Surveillance in Everyday Life,” </w:t>
      </w:r>
      <w:hyperlink r:id="rId14" w:history="1">
        <w:r w:rsidRPr="00F12BC1">
          <w:rPr>
            <w:rStyle w:val="Hyperlink"/>
          </w:rPr>
          <w:t>http://etheses.whiterose.ac.uk/2697/</w:t>
        </w:r>
      </w:hyperlink>
      <w:r>
        <w:t>, pg. 9-10)</w:t>
      </w:r>
    </w:p>
    <w:p w:rsidR="0038612A" w:rsidRDefault="0038612A" w:rsidP="0038612A">
      <w:r>
        <w:t>While acknowledging the tremendous contribution that has been made towards the understanding of surveillance systems within contemporary society within surveillance studies</w:t>
      </w:r>
      <w:r w:rsidRPr="00724A79">
        <w:rPr>
          <w:rStyle w:val="StyleBoldUnderline"/>
        </w:rPr>
        <w:t>, there are three ways in which the discipline appears to be rather stuck</w:t>
      </w:r>
      <w:r>
        <w:t xml:space="preserve">. One </w:t>
      </w:r>
      <w:r w:rsidRPr="00724A79">
        <w:rPr>
          <w:rStyle w:val="StyleBoldUnderline"/>
        </w:rPr>
        <w:t>goal of this thesis is to reinvigorate discussions around surveillance in order to move beyond these</w:t>
      </w:r>
      <w:r>
        <w:t xml:space="preserve"> three conceptual </w:t>
      </w:r>
      <w:r w:rsidRPr="00724A79">
        <w:rPr>
          <w:rStyle w:val="StyleBoldUnderline"/>
        </w:rPr>
        <w:t>difficulties. Firstly, the field is held back by its attachment to Foucault’s</w:t>
      </w:r>
      <w:r>
        <w:t xml:space="preserve"> metaphor of the </w:t>
      </w:r>
      <w:r w:rsidRPr="00724A79">
        <w:rPr>
          <w:rStyle w:val="StyleBoldUnderline"/>
        </w:rPr>
        <w:t>Panopticon</w:t>
      </w:r>
      <w:r>
        <w:t xml:space="preserve"> (1977/1995). Even within attempts to move beyond Foucault’s Panopticon</w:t>
      </w:r>
      <w:r w:rsidRPr="00724A79">
        <w:rPr>
          <w:rStyle w:val="StyleBoldUnderline"/>
        </w:rPr>
        <w:t>, theorists seem to find it very difficult to let it go</w:t>
      </w:r>
      <w:r>
        <w:t xml:space="preserve"> (see Poster, 1990; 9 Gandy, 1993; Mathiesen, 1997; Lyon, 1994, 2006a, 2006b amongst others) </w:t>
      </w:r>
      <w:r w:rsidRPr="00724A79">
        <w:rPr>
          <w:rStyle w:val="StyleBoldUnderline"/>
        </w:rPr>
        <w:t>and this has led to a second fixation with Deleuze’s brief updating of the Panopticon with his ‘Post-script on Control Societies’</w:t>
      </w:r>
      <w:r>
        <w:t xml:space="preserve"> (1992). The model of the Panopticon as outlined by Foucault has become ‘reified’. </w:t>
      </w:r>
      <w:r w:rsidRPr="00724A79">
        <w:rPr>
          <w:rStyle w:val="StyleBoldUnderline"/>
        </w:rPr>
        <w:t>This has, on the one hand, limited the development of theoretical frameworks which go beyond this model. On the other hand, with forms of surveillance which do not fit within this model, they have either been excluded from analysis or misunderstood through an inappropriate application of the Panopticon</w:t>
      </w:r>
      <w:r>
        <w:t xml:space="preserve"> (Haggerty, 2006). This introductory chapter will explore this fascination with the Panopticon and the limitations of this particular model for understanding contemporary forms of analysis. </w:t>
      </w:r>
      <w:r w:rsidRPr="00724A79">
        <w:rPr>
          <w:rStyle w:val="StyleBoldUnderline"/>
        </w:rPr>
        <w:t>The rest of this thesis will explore other frameworks for understanding contemporary surveillance</w:t>
      </w:r>
      <w:r>
        <w:t xml:space="preserve"> (Chapters 2 and 3) and utilise them to analyse three ‘sites’ of surveillance (Chapters 4, 5 and 6).</w:t>
      </w:r>
    </w:p>
    <w:p w:rsidR="0038612A" w:rsidRDefault="0038612A" w:rsidP="0038612A"/>
    <w:p w:rsidR="0038612A" w:rsidRDefault="0038612A" w:rsidP="0038612A">
      <w:pPr>
        <w:pStyle w:val="Heading3"/>
      </w:pPr>
      <w:r>
        <w:t>Islamaphobia</w:t>
      </w:r>
    </w:p>
    <w:p w:rsidR="0038612A" w:rsidRDefault="0038612A" w:rsidP="0038612A"/>
    <w:p w:rsidR="0038612A" w:rsidRDefault="0038612A" w:rsidP="0038612A">
      <w:pPr>
        <w:pStyle w:val="Heading4"/>
      </w:pPr>
      <w:r>
        <w:t xml:space="preserve">Engaging the state and changing policy builds upon current government efforts to self-reform and ensures law enforcement stops racial profiling on minorities— disengaging the state is ineffective and cedes the political to further allow dehumanization of not just Muslims, but all minorities </w:t>
      </w:r>
    </w:p>
    <w:p w:rsidR="0038612A" w:rsidRPr="0073279B" w:rsidRDefault="0038612A" w:rsidP="0038612A"/>
    <w:p w:rsidR="0038612A" w:rsidRPr="00A5661B" w:rsidRDefault="0038612A" w:rsidP="0038612A">
      <w:r w:rsidRPr="00A5661B">
        <w:rPr>
          <w:rStyle w:val="StyleStyleBold12pt"/>
        </w:rPr>
        <w:t>Representative Ellison, 14</w:t>
      </w:r>
      <w:r w:rsidRPr="00A5661B">
        <w:t xml:space="preserve"> (12/11/2014, Rep. Keith Ellison (D-MN), US Official News, “Rep. Ellison Testifies in Senate Hearing on Civil and Human Rights,” Lexis, JMP)</w:t>
      </w:r>
    </w:p>
    <w:p w:rsidR="0038612A" w:rsidRDefault="0038612A" w:rsidP="0038612A">
      <w:pPr>
        <w:rPr>
          <w:sz w:val="12"/>
        </w:rPr>
      </w:pPr>
      <w:r w:rsidRPr="00883B56">
        <w:rPr>
          <w:sz w:val="12"/>
        </w:rPr>
        <w:t xml:space="preserve">Office of the House of Representative Keith Ellison, U.S Government has issued the following news release: Rep. Keith Ellison (D-MN) testified in front of Senate Judiciary Committee on the Constitution, Civil Rights, and Human rights today during a hearing entitled “The State of Civil and Human Rights in the United States.” The hearing was chaired by Senator Dick Durbin (D-IL) and Rep. Ellison was joined by his colleagues Senator Cory Booker (D-NJ) and Rep. Luis Gutierrez (D-IL). Rep. Ellison’s written testimony submitted for the record to the committee is below. Last week </w:t>
      </w:r>
      <w:r w:rsidRPr="00A5661B">
        <w:rPr>
          <w:rStyle w:val="StyleBoldUnderline"/>
        </w:rPr>
        <w:t xml:space="preserve">15 year old Abdisamad Sheikh-Hussein was run over by a man in an SUV that had a bumper sticker that said "Islam Is Worse Than Ebola" on it. </w:t>
      </w:r>
      <w:r w:rsidRPr="00A5661B">
        <w:rPr>
          <w:rStyle w:val="Emphasis"/>
        </w:rPr>
        <w:t>Discrimination and hate exist everywhere and we should shine a light on them.</w:t>
      </w:r>
      <w:r w:rsidRPr="00A5661B">
        <w:rPr>
          <w:rStyle w:val="StyleBoldUnderline"/>
        </w:rPr>
        <w:t xml:space="preserve"> Today I’d like to focus on state-sponsored violations of our civil rights and liberties and the context in which these violations occur.</w:t>
      </w:r>
      <w:r>
        <w:rPr>
          <w:u w:val="single"/>
        </w:rPr>
        <w:t xml:space="preserve"> </w:t>
      </w:r>
      <w:r w:rsidRPr="00883B56">
        <w:rPr>
          <w:sz w:val="12"/>
        </w:rPr>
        <w:t xml:space="preserve">Why? Because </w:t>
      </w:r>
      <w:r w:rsidRPr="0039708C">
        <w:rPr>
          <w:rStyle w:val="StyleBoldUnderline"/>
          <w:highlight w:val="green"/>
        </w:rPr>
        <w:t>the government’s job is to promote the general welfare</w:t>
      </w:r>
      <w:r w:rsidRPr="00A5661B">
        <w:rPr>
          <w:rStyle w:val="StyleBoldUnderline"/>
        </w:rPr>
        <w:t xml:space="preserve">. </w:t>
      </w:r>
      <w:r w:rsidRPr="00883B56">
        <w:rPr>
          <w:rStyle w:val="StyleBoldUnderline"/>
        </w:rPr>
        <w:t xml:space="preserve">Because we entrust our government with the right to protect and serve our </w:t>
      </w:r>
      <w:r w:rsidRPr="0039708C">
        <w:rPr>
          <w:rStyle w:val="StyleBoldUnderline"/>
          <w:highlight w:val="green"/>
        </w:rPr>
        <w:t>communities, we expect more of them. Most of the time our public servants diligently uphold this social contract</w:t>
      </w:r>
      <w:r w:rsidRPr="00A5661B">
        <w:rPr>
          <w:rStyle w:val="StyleBoldUnderline"/>
        </w:rPr>
        <w:t xml:space="preserve">; but </w:t>
      </w:r>
      <w:r w:rsidRPr="0039708C">
        <w:rPr>
          <w:rStyle w:val="Emphasis"/>
          <w:highlight w:val="green"/>
        </w:rPr>
        <w:t>when the state fails it is all the more devastating and deserves our attention</w:t>
      </w:r>
      <w:r w:rsidRPr="00883B56">
        <w:rPr>
          <w:rStyle w:val="StyleBoldUnderline"/>
        </w:rPr>
        <w:t xml:space="preserve">. President </w:t>
      </w:r>
      <w:r w:rsidRPr="0039708C">
        <w:rPr>
          <w:rStyle w:val="StyleBoldUnderline"/>
          <w:highlight w:val="green"/>
        </w:rPr>
        <w:t>Obama and</w:t>
      </w:r>
      <w:r w:rsidRPr="00883B56">
        <w:rPr>
          <w:rStyle w:val="StyleBoldUnderline"/>
        </w:rPr>
        <w:t xml:space="preserve"> Attorney General </w:t>
      </w:r>
      <w:r w:rsidRPr="0039708C">
        <w:rPr>
          <w:rStyle w:val="StyleBoldUnderline"/>
          <w:highlight w:val="green"/>
        </w:rPr>
        <w:t>Holder have demonstrated leadership that has brought important reforms</w:t>
      </w:r>
      <w:r w:rsidRPr="00883B56">
        <w:rPr>
          <w:rStyle w:val="StyleBoldUnderline"/>
        </w:rPr>
        <w:t xml:space="preserve"> like the Hate Crimes Prevention Act, the repeal of Don’t Ask Don’t Tell, and the Fair Sentencing Act. </w:t>
      </w:r>
      <w:r w:rsidRPr="0039708C">
        <w:rPr>
          <w:rStyle w:val="StyleBoldUnderline"/>
          <w:highlight w:val="green"/>
        </w:rPr>
        <w:t>We still have a long way to go. Our system of justice works for some, not all</w:t>
      </w:r>
      <w:r w:rsidRPr="00883B56">
        <w:rPr>
          <w:rStyle w:val="StyleBoldUnderline"/>
        </w:rPr>
        <w:t>.</w:t>
      </w:r>
      <w:r w:rsidRPr="00883B56">
        <w:rPr>
          <w:sz w:val="12"/>
        </w:rPr>
        <w:t xml:space="preserve"> This injustice takes place in a social and economic context. When Officer Wilson confronted Michael Brown on Canfield Drive in Ferguson, the interaction didn’t take place in a vacuum. Like many of our communities, Ferguson suffers from economic abandonment. Ferguson Missouri’s unemployment is 13%, over double the national average. The number of low-income people in Ferguson doubled over the last 10 years. In 2012, almost all of Ferguson’s neighborhoods had a poverty rate of over 20%, the threshold at which the negative effects of poverty emerge. Do we respond to this with policies that create jobs, improve infrastructure, and promote education? No. We build more prisons and give our police weapons designed for a war zone. Our low income and minority communities are over-policed and under-protected. We cannot continue to try to address our economic problems with criminal justice solutions. It isn’t fair to our communities. It isn’t fair to law enforcement. And it solves neither the criminal justice nor the economic justice problems. If we only buy body cameras and don’t address structural and economic inequality, we will find ourselves here again, year after year. We know we have an inequality problem when the CEO of Wal-mart makes over $12,000 per hour and the average Wal-mart employee makes $8.48, or when the CEO of McDonalds makes $9,200 an hour and the cashier makes $8.25. I’d also like to talk about another form of state sponsored discrimination – one that I have experienced myself. It isn’t a secret that I have experience with the divisive rhetoric and fear-mongering that some public officials use to gain power. Many will recall the House Committee on Homeland Security hearings to discuss the threat posed by Muslims in America. My request to broaden the hearing to include all forms of violent extremism was rejected. Now, years later, public officials around the country continue to use divisive rhetoric. A county commissioner in Coffee County, TN posted on his public Facebook page an image of a man holding a shotgun with the caption “How to Wink at a Muslim.” A state senator in Oklahoma said that American Muslims are a "cancer in our nation that needs cutting out." And in my own state of Minnesota, a GOP County chairman called Muslims parasites that should be fragged. To frag someone means to violently kill them. </w:t>
      </w:r>
      <w:r w:rsidRPr="00883B56">
        <w:rPr>
          <w:rStyle w:val="StyleBoldUnderline"/>
        </w:rPr>
        <w:t xml:space="preserve">These are not rare occurrences. These examples demonstrate that </w:t>
      </w:r>
      <w:r w:rsidRPr="00883B56">
        <w:rPr>
          <w:rStyle w:val="Emphasis"/>
        </w:rPr>
        <w:t>these toxic views have spread</w:t>
      </w:r>
      <w:r w:rsidRPr="00883B56">
        <w:rPr>
          <w:rStyle w:val="StyleBoldUnderline"/>
        </w:rPr>
        <w:t>.</w:t>
      </w:r>
      <w:r w:rsidRPr="00883B56">
        <w:rPr>
          <w:u w:val="single"/>
        </w:rPr>
        <w:t xml:space="preserve"> </w:t>
      </w:r>
      <w:r w:rsidRPr="00883B56">
        <w:rPr>
          <w:sz w:val="12"/>
        </w:rPr>
        <w:t xml:space="preserve">This type of bigotry is contrary to what we stand for as Americans, and </w:t>
      </w:r>
      <w:r w:rsidRPr="00883B56">
        <w:rPr>
          <w:rStyle w:val="StyleBoldUnderline"/>
        </w:rPr>
        <w:t>w</w:t>
      </w:r>
      <w:r w:rsidRPr="00A5661B">
        <w:rPr>
          <w:rStyle w:val="StyleBoldUnderline"/>
        </w:rPr>
        <w:t xml:space="preserve">hen our public officials engage in it, it gives the American public a signal that it is ok to do the same. </w:t>
      </w:r>
      <w:r w:rsidRPr="0039708C">
        <w:rPr>
          <w:rStyle w:val="Emphasis"/>
          <w:highlight w:val="green"/>
        </w:rPr>
        <w:t>Public officials have an increased responsibility and</w:t>
      </w:r>
      <w:r w:rsidRPr="00A5661B">
        <w:rPr>
          <w:rStyle w:val="Emphasis"/>
        </w:rPr>
        <w:t xml:space="preserve"> when they begin to treat a particular group differently because of their faith, </w:t>
      </w:r>
      <w:r w:rsidRPr="0039708C">
        <w:rPr>
          <w:rStyle w:val="Emphasis"/>
          <w:sz w:val="28"/>
          <w:szCs w:val="28"/>
          <w:highlight w:val="green"/>
        </w:rPr>
        <w:t>they should be called out and held accountable</w:t>
      </w:r>
      <w:r w:rsidRPr="00A5661B">
        <w:rPr>
          <w:rStyle w:val="Emphasis"/>
        </w:rPr>
        <w:t>.</w:t>
      </w:r>
      <w:r>
        <w:rPr>
          <w:u w:val="single"/>
        </w:rPr>
        <w:t xml:space="preserve"> </w:t>
      </w:r>
      <w:r w:rsidRPr="00A5661B">
        <w:rPr>
          <w:rStyle w:val="StyleBoldUnderline"/>
        </w:rPr>
        <w:t>Our words matter.</w:t>
      </w:r>
      <w:r>
        <w:rPr>
          <w:rStyle w:val="StyleBoldUnderline"/>
        </w:rPr>
        <w:t xml:space="preserve"> </w:t>
      </w:r>
      <w:r w:rsidRPr="0039708C">
        <w:rPr>
          <w:rStyle w:val="Emphasis"/>
          <w:sz w:val="28"/>
          <w:szCs w:val="28"/>
          <w:highlight w:val="green"/>
        </w:rPr>
        <w:t>Beyond changing the rhetoric, we have to change our policies.</w:t>
      </w:r>
      <w:r>
        <w:rPr>
          <w:b/>
          <w:iCs/>
          <w:sz w:val="28"/>
          <w:szCs w:val="28"/>
          <w:u w:val="single"/>
        </w:rPr>
        <w:t xml:space="preserve"> </w:t>
      </w:r>
      <w:r w:rsidRPr="00883B56">
        <w:rPr>
          <w:sz w:val="12"/>
        </w:rPr>
        <w:t xml:space="preserve">Shortly after he took office President Bush said that racial profiling is “wrong, and we will end it in America.” Over a decade later we still have bad policies on the books. </w:t>
      </w:r>
      <w:r w:rsidRPr="00A5661B">
        <w:rPr>
          <w:rStyle w:val="StyleBoldUnderline"/>
        </w:rPr>
        <w:t>In</w:t>
      </w:r>
      <w:r w:rsidRPr="00883B56">
        <w:rPr>
          <w:sz w:val="12"/>
        </w:rPr>
        <w:t xml:space="preserve"> New York and </w:t>
      </w:r>
      <w:r w:rsidRPr="00A5661B">
        <w:rPr>
          <w:rStyle w:val="StyleBoldUnderline"/>
        </w:rPr>
        <w:t>many</w:t>
      </w:r>
      <w:r w:rsidRPr="00883B56">
        <w:rPr>
          <w:sz w:val="12"/>
        </w:rPr>
        <w:t xml:space="preserve"> other </w:t>
      </w:r>
      <w:r w:rsidRPr="00A5661B">
        <w:rPr>
          <w:rStyle w:val="StyleBoldUnderline"/>
        </w:rPr>
        <w:t>US cities, Muslim communities are mapped, infiltrated, and surveilled simply because they are Muslim. The Departments of Homeland Security and Justice conduct extensive operations in Arab, Middle Eastern, Muslim, and South Asian communities under the guise of countering violent extremism.</w:t>
      </w:r>
      <w:r>
        <w:rPr>
          <w:u w:val="single"/>
        </w:rPr>
        <w:t xml:space="preserve"> </w:t>
      </w:r>
      <w:r w:rsidRPr="00883B56">
        <w:rPr>
          <w:sz w:val="12"/>
        </w:rPr>
        <w:t>Study after study has shown that acts of violent extremism in the United States are motivated by a variety of ideologies and that only a small percentage are committed by American Muslims. According to the FBI, only 6% of acts of terrorism on American soil between 1980 and 2005 were committed by those Muslims. Yet, nearly all programming targeted towards countering violent extremism is geared towards Muslim communities. I am not against surveillance. I am against surveillance without reasonable suspicion. We should not be singling out communities and harassing and spying on them without cause</w:t>
      </w:r>
      <w:r w:rsidRPr="00FC6C3B">
        <w:rPr>
          <w:rStyle w:val="StyleBoldUnderline"/>
        </w:rPr>
        <w:t>. Intelligence gathering should never be based on religion or race.</w:t>
      </w:r>
      <w:r w:rsidRPr="00883B56">
        <w:rPr>
          <w:rStyle w:val="StyleBoldUnderline"/>
        </w:rPr>
        <w:t xml:space="preserve"> </w:t>
      </w:r>
      <w:r w:rsidRPr="0039708C">
        <w:rPr>
          <w:rStyle w:val="StyleBoldUnderline"/>
          <w:highlight w:val="green"/>
        </w:rPr>
        <w:t>If you think this is just a “Muslim problem” – you’re wrong. Local</w:t>
      </w:r>
      <w:r w:rsidRPr="0039708C">
        <w:rPr>
          <w:rStyle w:val="Emphasis"/>
          <w:highlight w:val="green"/>
        </w:rPr>
        <w:t xml:space="preserve"> law enforcement</w:t>
      </w:r>
      <w:r w:rsidRPr="00A5661B">
        <w:rPr>
          <w:rStyle w:val="Emphasis"/>
        </w:rPr>
        <w:t xml:space="preserve">, encouraged by the federal government, </w:t>
      </w:r>
      <w:r w:rsidRPr="0039708C">
        <w:rPr>
          <w:rStyle w:val="Emphasis"/>
          <w:highlight w:val="green"/>
        </w:rPr>
        <w:t>raid Latino communities</w:t>
      </w:r>
      <w:r w:rsidRPr="00A5661B">
        <w:rPr>
          <w:rStyle w:val="Emphasis"/>
        </w:rPr>
        <w:t xml:space="preserve"> and workplaces.</w:t>
      </w:r>
      <w:r w:rsidRPr="00A5661B">
        <w:rPr>
          <w:rStyle w:val="StyleBoldUnderline"/>
        </w:rPr>
        <w:t xml:space="preserve"> </w:t>
      </w:r>
      <w:r w:rsidRPr="0039708C">
        <w:rPr>
          <w:rStyle w:val="StyleBoldUnderline"/>
          <w:highlight w:val="green"/>
        </w:rPr>
        <w:t>There is FBI surveillance</w:t>
      </w:r>
      <w:r w:rsidRPr="00A5661B">
        <w:rPr>
          <w:rStyle w:val="StyleBoldUnderline"/>
        </w:rPr>
        <w:t>, without suspicion, of Chinese and Russian communities in the US.</w:t>
      </w:r>
      <w:r>
        <w:rPr>
          <w:u w:val="single"/>
        </w:rPr>
        <w:t xml:space="preserve"> </w:t>
      </w:r>
      <w:r w:rsidRPr="00883B56">
        <w:rPr>
          <w:sz w:val="12"/>
        </w:rPr>
        <w:t xml:space="preserve">And as we know, there is the routine practice of profiling African American young men. A young black man is 21 times more likely to be shot and killed by a police officer than his white counterpart. </w:t>
      </w:r>
      <w:r w:rsidRPr="00883B56">
        <w:rPr>
          <w:rStyle w:val="StyleBoldUnderline"/>
        </w:rPr>
        <w:t xml:space="preserve">As the co-chair of the Progressive Caucus I have joined the chairs of </w:t>
      </w:r>
      <w:r w:rsidRPr="0039708C">
        <w:rPr>
          <w:rStyle w:val="StyleBoldUnderline"/>
          <w:highlight w:val="green"/>
        </w:rPr>
        <w:t>the Congressional Black Caucus, The Congressional Hispanic Caucus, and The Asian Pacific Caucus</w:t>
      </w:r>
      <w:r w:rsidRPr="00883B56">
        <w:rPr>
          <w:rStyle w:val="StyleBoldUnderline"/>
        </w:rPr>
        <w:t xml:space="preserve"> to </w:t>
      </w:r>
      <w:r w:rsidRPr="0039708C">
        <w:rPr>
          <w:rStyle w:val="StyleBoldUnderline"/>
          <w:highlight w:val="green"/>
        </w:rPr>
        <w:t>urge the Department of Justice to issue revised profiling guidance that will help stop law enforcement from discriminating against our citizens based on their religion, national, origin, ethnicity, and sexuality</w:t>
      </w:r>
      <w:r w:rsidRPr="00883B56">
        <w:rPr>
          <w:rStyle w:val="StyleBoldUnderline"/>
        </w:rPr>
        <w:t>.</w:t>
      </w:r>
      <w:r w:rsidRPr="00883B56">
        <w:rPr>
          <w:sz w:val="12"/>
        </w:rPr>
        <w:t xml:space="preserve"> Yesterday </w:t>
      </w:r>
      <w:r w:rsidRPr="0039708C">
        <w:rPr>
          <w:rStyle w:val="StyleBoldUnderline"/>
          <w:highlight w:val="green"/>
        </w:rPr>
        <w:t>the Department of Justice issued the revised guidance that expands protections for some, but allows the FBI, TSA, and Border Patrol to continue</w:t>
      </w:r>
      <w:r w:rsidRPr="00883B56">
        <w:rPr>
          <w:rStyle w:val="StyleBoldUnderline"/>
        </w:rPr>
        <w:t xml:space="preserve"> mapping, monitoring, and </w:t>
      </w:r>
      <w:r w:rsidRPr="0039708C">
        <w:rPr>
          <w:rStyle w:val="StyleBoldUnderline"/>
          <w:highlight w:val="green"/>
        </w:rPr>
        <w:t>targeting</w:t>
      </w:r>
      <w:r w:rsidRPr="00883B56">
        <w:rPr>
          <w:rStyle w:val="StyleBoldUnderline"/>
        </w:rPr>
        <w:t xml:space="preserve"> Americans based on their religion or what they look like</w:t>
      </w:r>
      <w:r w:rsidRPr="00883B56">
        <w:rPr>
          <w:sz w:val="12"/>
        </w:rPr>
        <w:t xml:space="preserve">. </w:t>
      </w:r>
      <w:r w:rsidRPr="00883B56">
        <w:rPr>
          <w:rStyle w:val="StyleBoldUnderline"/>
        </w:rPr>
        <w:t>We should not continue to violate the civil liberties of our citizens in the name of national security. Discriminatory profiling is wrong.</w:t>
      </w:r>
      <w:r w:rsidRPr="00883B56">
        <w:rPr>
          <w:sz w:val="12"/>
        </w:rPr>
        <w:t xml:space="preserve"> It doesn’t help prevent crime. It creates a culture of fear and resentment within our communities. It is contrary to our core constitutional principles when federal dollars are spent perpetuating law-breaking activity like entrapment.</w:t>
      </w:r>
    </w:p>
    <w:p w:rsidR="0038612A" w:rsidRPr="00883B56" w:rsidRDefault="0038612A" w:rsidP="0038612A">
      <w:pPr>
        <w:rPr>
          <w:sz w:val="12"/>
        </w:rPr>
      </w:pPr>
    </w:p>
    <w:p w:rsidR="0038612A" w:rsidRPr="00A5661B" w:rsidRDefault="0038612A" w:rsidP="0038612A">
      <w:pPr>
        <w:pStyle w:val="Heading4"/>
      </w:pPr>
      <w:r>
        <w:t>Topical version of the aff solve better— curtailing FBI surveillance power provide the best safeguard against abuse and only reform through the state addresses the heart of the problem</w:t>
      </w:r>
      <w:r w:rsidRPr="00A5661B">
        <w:t xml:space="preserve"> </w:t>
      </w:r>
    </w:p>
    <w:p w:rsidR="0038612A" w:rsidRDefault="0038612A" w:rsidP="0038612A">
      <w:pPr>
        <w:rPr>
          <w:rStyle w:val="StyleStyleBold12pt"/>
        </w:rPr>
      </w:pPr>
    </w:p>
    <w:p w:rsidR="0038612A" w:rsidRPr="00A5661B" w:rsidRDefault="0038612A" w:rsidP="0038612A">
      <w:r w:rsidRPr="00A5661B">
        <w:rPr>
          <w:rStyle w:val="StyleStyleBold12pt"/>
        </w:rPr>
        <w:t>Berman, 11</w:t>
      </w:r>
      <w:r w:rsidRPr="00A5661B">
        <w:t xml:space="preserve"> --- Counsel in the Liberty and National Security Project at the Brennan Center for Justice (Emily, “DOMESTIC INTELLIGENCE: NEW POWERS, NEW RISKS,” </w:t>
      </w:r>
      <w:hyperlink r:id="rId15" w:history="1">
        <w:r w:rsidRPr="00A5661B">
          <w:rPr>
            <w:rStyle w:val="Hyperlink"/>
          </w:rPr>
          <w:t>http://brennan.3cdn.net/b80aa0bab0b425857d_jdm6b8776.pdf</w:t>
        </w:r>
      </w:hyperlink>
      <w:r w:rsidRPr="00A5661B">
        <w:t>, JMP)</w:t>
      </w:r>
    </w:p>
    <w:p w:rsidR="0038612A" w:rsidRDefault="0038612A" w:rsidP="0038612A">
      <w:pPr>
        <w:rPr>
          <w:sz w:val="14"/>
        </w:rPr>
      </w:pPr>
      <w:r w:rsidRPr="00FF433C">
        <w:rPr>
          <w:sz w:val="14"/>
        </w:rPr>
        <w:t xml:space="preserve">Substantive Recommendations Regardless of what additional procedural protections are implemented, </w:t>
      </w:r>
      <w:r w:rsidRPr="00A5661B">
        <w:rPr>
          <w:rStyle w:val="StyleBoldUnderline"/>
        </w:rPr>
        <w:t xml:space="preserve">some elements of </w:t>
      </w:r>
      <w:r w:rsidRPr="0039708C">
        <w:rPr>
          <w:rStyle w:val="StyleBoldUnderline"/>
          <w:highlight w:val="green"/>
        </w:rPr>
        <w:t>the FBI’s existing powers</w:t>
      </w:r>
      <w:r w:rsidRPr="00A5661B">
        <w:rPr>
          <w:rStyle w:val="StyleBoldUnderline"/>
        </w:rPr>
        <w:t xml:space="preserve"> simply permit too much government intrusion into the lives of innocent Americans and therefore </w:t>
      </w:r>
      <w:r w:rsidRPr="0039708C">
        <w:rPr>
          <w:rStyle w:val="StyleBoldUnderline"/>
          <w:highlight w:val="green"/>
        </w:rPr>
        <w:t>should be curtailed</w:t>
      </w:r>
      <w:r w:rsidRPr="00FF433C">
        <w:rPr>
          <w:sz w:val="14"/>
        </w:rPr>
        <w:t xml:space="preserve"> in the following ways: 1. </w:t>
      </w:r>
      <w:r w:rsidRPr="0039708C">
        <w:rPr>
          <w:rStyle w:val="StyleBoldUnderline"/>
          <w:highlight w:val="green"/>
        </w:rPr>
        <w:t>Prohibit the FBI from using highly intrusive investigative techniques unless there is</w:t>
      </w:r>
      <w:r w:rsidRPr="00A5661B">
        <w:rPr>
          <w:rStyle w:val="StyleBoldUnderline"/>
        </w:rPr>
        <w:t xml:space="preserve"> some </w:t>
      </w:r>
      <w:r w:rsidRPr="0039708C">
        <w:rPr>
          <w:rStyle w:val="StyleBoldUnderline"/>
          <w:highlight w:val="green"/>
        </w:rPr>
        <w:t>basis</w:t>
      </w:r>
      <w:r w:rsidRPr="00A5661B">
        <w:rPr>
          <w:rStyle w:val="StyleBoldUnderline"/>
        </w:rPr>
        <w:t xml:space="preserve"> in fact </w:t>
      </w:r>
      <w:r w:rsidRPr="0039708C">
        <w:rPr>
          <w:rStyle w:val="StyleBoldUnderline"/>
          <w:highlight w:val="green"/>
        </w:rPr>
        <w:t>to suspect wrongdoing</w:t>
      </w:r>
      <w:r w:rsidRPr="00A5661B">
        <w:rPr>
          <w:rStyle w:val="StyleBoldUnderline"/>
        </w:rPr>
        <w:t>.</w:t>
      </w:r>
      <w:r w:rsidRPr="00FF433C">
        <w:rPr>
          <w:sz w:val="14"/>
        </w:rPr>
        <w:t xml:space="preserve">290 • </w:t>
      </w:r>
      <w:r w:rsidRPr="00A5661B">
        <w:rPr>
          <w:rStyle w:val="StyleBoldUnderline"/>
        </w:rPr>
        <w:t>This would prohibit tailing someone, posing as other people in order to mine information from neighbors and acquaintances, and recruiting informants to glean more information in the absence of some factual basis for suspicion.</w:t>
      </w:r>
      <w:r>
        <w:rPr>
          <w:rStyle w:val="StyleBoldUnderline"/>
        </w:rPr>
        <w:t xml:space="preserve"> </w:t>
      </w:r>
      <w:r w:rsidRPr="00FF433C">
        <w:rPr>
          <w:sz w:val="14"/>
        </w:rPr>
        <w:t xml:space="preserve">• </w:t>
      </w:r>
      <w:r w:rsidRPr="0039708C">
        <w:rPr>
          <w:rStyle w:val="StyleBoldUnderline"/>
          <w:highlight w:val="green"/>
        </w:rPr>
        <w:t>This prohibition</w:t>
      </w:r>
      <w:r w:rsidRPr="00FF433C">
        <w:rPr>
          <w:sz w:val="14"/>
        </w:rPr>
        <w:t xml:space="preserve">, summarily overturned by the 2008 Guidelines, was enshrined in all previous iterations of the Guidelines for decades. It </w:t>
      </w:r>
      <w:r w:rsidRPr="0039708C">
        <w:rPr>
          <w:rStyle w:val="Emphasis"/>
          <w:highlight w:val="green"/>
        </w:rPr>
        <w:t>is the single most important safeguard against profiling and other forms of abuse</w:t>
      </w:r>
      <w:r w:rsidRPr="0039708C">
        <w:rPr>
          <w:rStyle w:val="StyleBoldUnderline"/>
          <w:highlight w:val="green"/>
        </w:rPr>
        <w:t>,</w:t>
      </w:r>
      <w:r w:rsidRPr="00A5661B">
        <w:rPr>
          <w:rStyle w:val="StyleBoldUnderline"/>
        </w:rPr>
        <w:t xml:space="preserve"> and the government has offered no persuasive justification for its sudden disappearance</w:t>
      </w:r>
      <w:r w:rsidRPr="00FF433C">
        <w:rPr>
          <w:sz w:val="14"/>
        </w:rPr>
        <w:t xml:space="preserve">. 2. </w:t>
      </w:r>
      <w:r w:rsidRPr="0039708C">
        <w:rPr>
          <w:rStyle w:val="StyleBoldUnderline"/>
          <w:highlight w:val="green"/>
        </w:rPr>
        <w:t>Require agents to use the least intrusive investigative technique that is likely to prove effective</w:t>
      </w:r>
      <w:r w:rsidRPr="00FF433C">
        <w:rPr>
          <w:sz w:val="14"/>
        </w:rPr>
        <w:t xml:space="preserve">. • The “least intrusive method” requirement has been part of the Guidelines since their inception. The current, equivocal language on this requirement in the Guidelines and the DIOG should be amended to stress its importance, even in terrorism investigations. 3. </w:t>
      </w:r>
      <w:r w:rsidRPr="00FF433C">
        <w:rPr>
          <w:rStyle w:val="StyleBoldUnderline"/>
        </w:rPr>
        <w:t>Prohibit improper consideration of race, religion, ethnicity, national origin, or First-Amendment-protected activity in investigative decisions</w:t>
      </w:r>
      <w:r w:rsidRPr="00FF433C">
        <w:rPr>
          <w:sz w:val="14"/>
        </w:rPr>
        <w:t xml:space="preserve">. • </w:t>
      </w:r>
      <w:r w:rsidRPr="00FF433C">
        <w:rPr>
          <w:rStyle w:val="StyleBoldUnderline"/>
        </w:rPr>
        <w:t>Addressing this issue is most urgent in the context of rules regarding use of informants to collect information about First-Amendment-protected activity, such as infil</w:t>
      </w:r>
      <w:r w:rsidRPr="00A5661B">
        <w:rPr>
          <w:rStyle w:val="StyleBoldUnderline"/>
        </w:rPr>
        <w:t>tration of a place of worship or political gathering.</w:t>
      </w:r>
      <w:r w:rsidRPr="00FF433C">
        <w:rPr>
          <w:sz w:val="14"/>
        </w:rPr>
        <w:t xml:space="preserve"> Such activities should require higher levels of predication and more aggressive oversight of investigative decisions than activities that do not implicate Americans’ constitutional rights.</w:t>
      </w:r>
      <w:r w:rsidRPr="00FC6C3B">
        <w:rPr>
          <w:rStyle w:val="StyleBoldUnderline"/>
        </w:rPr>
        <w:t xml:space="preserve"> Even outside the First Amendment context, however,</w:t>
      </w:r>
      <w:r w:rsidRPr="00FC6C3B">
        <w:rPr>
          <w:rStyle w:val="Emphasis"/>
        </w:rPr>
        <w:t xml:space="preserve"> </w:t>
      </w:r>
      <w:r w:rsidRPr="0039708C">
        <w:rPr>
          <w:rStyle w:val="Emphasis"/>
          <w:highlight w:val="green"/>
        </w:rPr>
        <w:t>reform is necessary</w:t>
      </w:r>
      <w:r w:rsidRPr="00FC6C3B">
        <w:rPr>
          <w:rStyle w:val="Emphasis"/>
        </w:rPr>
        <w:t>.</w:t>
      </w:r>
      <w:r w:rsidRPr="00FF433C">
        <w:rPr>
          <w:sz w:val="14"/>
        </w:rPr>
        <w:t xml:space="preserve"> </w:t>
      </w:r>
      <w:r w:rsidRPr="0039708C">
        <w:rPr>
          <w:rStyle w:val="Emphasis"/>
          <w:highlight w:val="green"/>
        </w:rPr>
        <w:t>One standard</w:t>
      </w:r>
      <w:r w:rsidRPr="0073279B">
        <w:rPr>
          <w:rStyle w:val="Emphasis"/>
        </w:rPr>
        <w:t xml:space="preserve"> to consider </w:t>
      </w:r>
      <w:r w:rsidRPr="0039708C">
        <w:rPr>
          <w:rStyle w:val="Emphasis"/>
          <w:highlight w:val="green"/>
        </w:rPr>
        <w:t>was recently implemented by the Office of the Director of National Intelligence</w:t>
      </w:r>
      <w:r w:rsidRPr="0073279B">
        <w:rPr>
          <w:rStyle w:val="Emphasis"/>
        </w:rPr>
        <w:t xml:space="preserve"> </w:t>
      </w:r>
      <w:r w:rsidRPr="00FF433C">
        <w:rPr>
          <w:sz w:val="14"/>
        </w:rPr>
        <w:t xml:space="preserve">(DNI). </w:t>
      </w:r>
      <w:r w:rsidRPr="00A5661B">
        <w:rPr>
          <w:rStyle w:val="StyleBoldUnderline"/>
        </w:rPr>
        <w:t>The standard</w:t>
      </w:r>
      <w:r w:rsidRPr="00FF433C">
        <w:rPr>
          <w:sz w:val="14"/>
        </w:rPr>
        <w:t xml:space="preserve"> for use in the DNI’s Information Sharing Environment (ISE)-Suspicious Activity Reporting (SAR) system </w:t>
      </w:r>
      <w:r w:rsidRPr="00A5661B">
        <w:rPr>
          <w:rStyle w:val="StyleBoldUnderline"/>
        </w:rPr>
        <w:t>adopts a “</w:t>
      </w:r>
      <w:r w:rsidRPr="0073279B">
        <w:rPr>
          <w:rStyle w:val="StyleBoldUnderline"/>
        </w:rPr>
        <w:t>behavior-focused approach to identifying suspicious activity” based on the standard announced in Terry v. Ohio</w:t>
      </w:r>
      <w:r w:rsidRPr="0073279B">
        <w:rPr>
          <w:sz w:val="14"/>
        </w:rPr>
        <w:t xml:space="preserve">,291 392 U.S. 1 (1968). </w:t>
      </w:r>
      <w:r w:rsidRPr="0073279B">
        <w:rPr>
          <w:rStyle w:val="StyleBoldUnderline"/>
        </w:rPr>
        <w:t>It requires that “race, ethnicity, national origin, or religious affiliation should not be considered as factors that create suspicion (except if used</w:t>
      </w:r>
      <w:r w:rsidRPr="00A5661B">
        <w:rPr>
          <w:rStyle w:val="StyleBoldUnderline"/>
        </w:rPr>
        <w:t xml:space="preserve"> as part of a specific suspect description).”</w:t>
      </w:r>
      <w:r w:rsidRPr="00FF433C">
        <w:rPr>
          <w:sz w:val="14"/>
        </w:rPr>
        <w:t xml:space="preserve">292 </w:t>
      </w:r>
      <w:r w:rsidRPr="0039708C">
        <w:rPr>
          <w:rStyle w:val="Emphasis"/>
          <w:highlight w:val="green"/>
        </w:rPr>
        <w:t>This type of limitation on the use of these factors to justify law enforcement activity is crucial</w:t>
      </w:r>
      <w:r w:rsidRPr="0073279B">
        <w:rPr>
          <w:rStyle w:val="Emphasis"/>
        </w:rPr>
        <w:t>.</w:t>
      </w:r>
      <w:r w:rsidRPr="00FF433C">
        <w:rPr>
          <w:sz w:val="14"/>
        </w:rPr>
        <w:t xml:space="preserve"> Conclusion </w:t>
      </w:r>
      <w:r w:rsidRPr="0039708C">
        <w:rPr>
          <w:rStyle w:val="Emphasis"/>
          <w:highlight w:val="green"/>
        </w:rPr>
        <w:t>The time to act is now</w:t>
      </w:r>
      <w:r w:rsidRPr="00FF433C">
        <w:rPr>
          <w:sz w:val="14"/>
        </w:rPr>
        <w:t xml:space="preserve">—before the Guidelines result in widespread and unwarranted intrusions into Americans’ privacy, harmful religious and ethnic profiling, and the divergence of scarce resources to ineffective and indiscriminate collection of information. </w:t>
      </w:r>
      <w:r w:rsidRPr="0039708C">
        <w:rPr>
          <w:rStyle w:val="StyleBoldUnderline"/>
          <w:highlight w:val="green"/>
        </w:rPr>
        <w:t>The</w:t>
      </w:r>
      <w:r w:rsidRPr="00A5661B">
        <w:rPr>
          <w:rStyle w:val="StyleBoldUnderline"/>
        </w:rPr>
        <w:t xml:space="preserve"> </w:t>
      </w:r>
      <w:r w:rsidRPr="0039708C">
        <w:rPr>
          <w:rStyle w:val="StyleBoldUnderline"/>
          <w:highlight w:val="green"/>
        </w:rPr>
        <w:t>changes</w:t>
      </w:r>
      <w:r w:rsidRPr="00FF433C">
        <w:rPr>
          <w:sz w:val="14"/>
        </w:rPr>
        <w:t xml:space="preserve"> recommended above </w:t>
      </w:r>
      <w:r w:rsidRPr="0039708C">
        <w:rPr>
          <w:rStyle w:val="StyleBoldUnderline"/>
          <w:highlight w:val="green"/>
        </w:rPr>
        <w:t>will</w:t>
      </w:r>
      <w:r w:rsidRPr="00A5661B">
        <w:rPr>
          <w:rStyle w:val="StyleBoldUnderline"/>
        </w:rPr>
        <w:t xml:space="preserve"> go a long way to </w:t>
      </w:r>
      <w:r w:rsidRPr="0039708C">
        <w:rPr>
          <w:rStyle w:val="StyleBoldUnderline"/>
          <w:highlight w:val="green"/>
        </w:rPr>
        <w:t>reduce the risk of excesses that the current Guidelines permit</w:t>
      </w:r>
      <w:r w:rsidRPr="00A5661B">
        <w:rPr>
          <w:rStyle w:val="StyleBoldUnderline"/>
        </w:rPr>
        <w:t xml:space="preserve">. They would reinvigorate the substantive standards on which investigative activity should be predicated and would ensure that intrusive investigative methods are used only when necessary. And </w:t>
      </w:r>
      <w:r w:rsidRPr="0039708C">
        <w:rPr>
          <w:rStyle w:val="Emphasis"/>
          <w:highlight w:val="green"/>
        </w:rPr>
        <w:t>they would impose internal and external checks to guarantee the lawful, effective use of the powers conferred on federal agents</w:t>
      </w:r>
      <w:r w:rsidRPr="00A5661B">
        <w:rPr>
          <w:rStyle w:val="StyleBoldUnderline"/>
        </w:rPr>
        <w:t>.</w:t>
      </w:r>
      <w:r w:rsidRPr="00FF433C">
        <w:rPr>
          <w:sz w:val="14"/>
        </w:rPr>
        <w:t xml:space="preserve"> In short, </w:t>
      </w:r>
      <w:r w:rsidRPr="0039708C">
        <w:rPr>
          <w:rStyle w:val="StyleBoldUnderline"/>
          <w:highlight w:val="green"/>
        </w:rPr>
        <w:t>they would safeguard Americans’ rights of privacy, free expression, association, and religion</w:t>
      </w:r>
      <w:r w:rsidRPr="00A5661B">
        <w:rPr>
          <w:rStyle w:val="StyleBoldUnderline"/>
        </w:rPr>
        <w:t xml:space="preserve"> as well as help to focus investigative activity where there are indications of threats.</w:t>
      </w:r>
      <w:r w:rsidRPr="00FF433C">
        <w:rPr>
          <w:sz w:val="14"/>
        </w:rPr>
        <w:t xml:space="preserve"> The result will be a safer, more just America.</w:t>
      </w:r>
    </w:p>
    <w:p w:rsidR="0038612A" w:rsidRPr="0038612A" w:rsidRDefault="0038612A" w:rsidP="0038612A"/>
    <w:p w:rsidR="00052A56" w:rsidRDefault="00052A56" w:rsidP="00D17C4E"/>
    <w:p w:rsidR="00052A56" w:rsidRDefault="00052A56" w:rsidP="00052A56">
      <w:pPr>
        <w:pStyle w:val="Heading2"/>
      </w:pPr>
      <w:r>
        <w:t>Not Mutually Exclusive</w:t>
      </w:r>
    </w:p>
    <w:p w:rsidR="00052A56" w:rsidRDefault="00052A56" w:rsidP="00052A56"/>
    <w:p w:rsidR="00052A56" w:rsidRDefault="00052A56" w:rsidP="00052A56"/>
    <w:p w:rsidR="00052A56" w:rsidRDefault="00052A56" w:rsidP="00052A56">
      <w:pPr>
        <w:pStyle w:val="Heading3"/>
      </w:pPr>
      <w:r>
        <w:t>Public Movements not exclusive</w:t>
      </w:r>
    </w:p>
    <w:p w:rsidR="00052A56" w:rsidRPr="00052A56" w:rsidRDefault="00052A56" w:rsidP="00052A56"/>
    <w:p w:rsidR="00052A56" w:rsidRPr="00052A56" w:rsidRDefault="00052A56" w:rsidP="00052A56">
      <w:pPr>
        <w:pStyle w:val="Heading4"/>
      </w:pPr>
      <w:r w:rsidRPr="00052A56">
        <w:t>Public movements and legal reforms are not mutually exclusive— projects of oral dissent must be incorporated into politics in order to effectively create change within the state</w:t>
      </w:r>
    </w:p>
    <w:p w:rsidR="00052A56" w:rsidRDefault="00052A56" w:rsidP="00052A56">
      <w:pPr>
        <w:rPr>
          <w:rStyle w:val="StyleStyleBold12pt"/>
          <w:b w:val="0"/>
          <w:sz w:val="20"/>
          <w:szCs w:val="20"/>
        </w:rPr>
      </w:pPr>
      <w:r>
        <w:rPr>
          <w:rStyle w:val="StyleStyleBold12pt"/>
        </w:rPr>
        <w:t xml:space="preserve">Guinier 09 </w:t>
      </w:r>
      <w:r w:rsidRPr="00DB0311">
        <w:rPr>
          <w:rStyle w:val="StyleStyleBold12pt"/>
          <w:sz w:val="20"/>
          <w:szCs w:val="20"/>
        </w:rPr>
        <w:t xml:space="preserve">(Lani Guinier is an American civil rights theorist; she is the Bennett Boskey Professor of Law at Harvard Law School and the first woman of color appointed to a tenured professorship at that institution. “BEYOND LEGISLATURES: SOCIAL MOVEMENTS, SOCIAL CHANGE, AND THE POSSIBILITIES OF DEMOSPRUDENCE” 89 B.U. L. Rev. 539 2009 p. 544-547, pg. online @ </w:t>
      </w:r>
      <w:hyperlink r:id="rId16" w:history="1">
        <w:r w:rsidRPr="00950C05">
          <w:rPr>
            <w:rStyle w:val="Hyperlink"/>
            <w:sz w:val="20"/>
            <w:szCs w:val="20"/>
          </w:rPr>
          <w:t>www.law.harvard.edu/faculty/guinier/publications/bu-courting.pdf//DM</w:t>
        </w:r>
      </w:hyperlink>
      <w:r w:rsidRPr="00DB0311">
        <w:rPr>
          <w:rStyle w:val="StyleStyleBold12pt"/>
          <w:sz w:val="20"/>
          <w:szCs w:val="20"/>
        </w:rPr>
        <w:t>)</w:t>
      </w:r>
    </w:p>
    <w:p w:rsidR="00052A56" w:rsidRPr="00DB0311" w:rsidRDefault="00052A56" w:rsidP="00052A56">
      <w:pPr>
        <w:rPr>
          <w:rStyle w:val="StyleStyleBold12pt"/>
          <w:b w:val="0"/>
          <w:sz w:val="20"/>
          <w:szCs w:val="20"/>
        </w:rPr>
      </w:pPr>
    </w:p>
    <w:p w:rsidR="00052A56" w:rsidRDefault="00052A56" w:rsidP="00052A56">
      <w:pPr>
        <w:rPr>
          <w:sz w:val="14"/>
        </w:rPr>
      </w:pPr>
      <w:r w:rsidRPr="00B80855">
        <w:rPr>
          <w:sz w:val="14"/>
        </w:rPr>
        <w:t xml:space="preserve">In her Ledbetter dissent and subsequent remarks, Justice Ginsburg was courting the people to reverse the decision of a Supreme Court majority and thereby limit its effect. </w:t>
      </w:r>
      <w:r w:rsidRPr="009969AB">
        <w:rPr>
          <w:rStyle w:val="StyleBoldUnderline"/>
          <w:highlight w:val="yellow"/>
        </w:rPr>
        <w:t>In</w:t>
      </w:r>
      <w:r w:rsidRPr="00B80855">
        <w:rPr>
          <w:sz w:val="14"/>
        </w:rPr>
        <w:t xml:space="preserve"> </w:t>
      </w:r>
      <w:r w:rsidRPr="00DB0311">
        <w:rPr>
          <w:rStyle w:val="StyleBoldUnderline"/>
        </w:rPr>
        <w:t xml:space="preserve">Robert </w:t>
      </w:r>
      <w:r w:rsidRPr="009969AB">
        <w:rPr>
          <w:rStyle w:val="StyleBoldUnderline"/>
          <w:highlight w:val="yellow"/>
        </w:rPr>
        <w:t>Cover’s “jurisgenerative” sense, she claimed a space for citizens to advance alternative interpretations of the law</w:t>
      </w:r>
      <w:r w:rsidRPr="0066239B">
        <w:rPr>
          <w:rStyle w:val="StyleBoldUnderline"/>
        </w:rPr>
        <w:t xml:space="preserve">. </w:t>
      </w:r>
      <w:r w:rsidRPr="009969AB">
        <w:rPr>
          <w:rStyle w:val="StyleBoldUnderline"/>
          <w:highlight w:val="yellow"/>
        </w:rPr>
        <w:t>Her</w:t>
      </w:r>
      <w:r w:rsidRPr="0066239B">
        <w:rPr>
          <w:rStyle w:val="StyleBoldUnderline"/>
        </w:rPr>
        <w:t xml:space="preserve"> oral dissent and public </w:t>
      </w:r>
      <w:r w:rsidRPr="009969AB">
        <w:rPr>
          <w:rStyle w:val="StyleBoldUnderline"/>
          <w:highlight w:val="yellow"/>
        </w:rPr>
        <w:t>remarks represented a set of demosprudential practices for instantiating and reinforcing the relationship between public engagement and institutional legitimacy</w:t>
      </w:r>
      <w:r w:rsidRPr="0066239B">
        <w:rPr>
          <w:rStyle w:val="StyleBoldUnderline"/>
        </w:rPr>
        <w:t>.</w:t>
      </w:r>
      <w:r w:rsidRPr="0066239B">
        <w:rPr>
          <w:sz w:val="14"/>
        </w:rPr>
        <w:t xml:space="preserve"> In Justice Ginsburg’s oral dissent we see the possibilities of a more democratically-oriented jurisprudence, or what Gerald Torres and I term demosprudence.37 Demosprudence builds on the idea that lawmaking is a collaborative enterprise between formal elites – whether judges, legislators or lawyers – and ordinary people. The foundational hypothesis of demosprudence is that the wisdom of the people should inform the lawmaking enterprise in a democracy. From a demosprudential perspective, the Court gains a new source of democratic authority when its members engage ordinary people in a productive dialogue about the potential role of “We the People” in lawmaking.38 Demosprudence is a term Professor Torres and I initially coined to describe the process of making and interpreting law from an external – not just internal – perspective. </w:t>
      </w:r>
      <w:r w:rsidRPr="0066239B">
        <w:rPr>
          <w:rStyle w:val="StyleBoldUnderline"/>
        </w:rPr>
        <w:t>That perspective emphasizes the role of informal democratic mobilizations and wide-ranging social movements that serve to make formal institutions, including those that regulate legal culture</w:t>
      </w:r>
      <w:r w:rsidRPr="0066239B">
        <w:rPr>
          <w:sz w:val="14"/>
        </w:rPr>
        <w:t xml:space="preserve">, more democratic.39 Demosprudence focuses on the ways that “the demos” (especially through social movements) can contribute to the meaning of law. </w:t>
      </w:r>
      <w:r w:rsidRPr="0066239B">
        <w:rPr>
          <w:rStyle w:val="StyleBoldUnderline"/>
        </w:rPr>
        <w:t xml:space="preserve">Justice </w:t>
      </w:r>
      <w:r w:rsidRPr="009969AB">
        <w:rPr>
          <w:rStyle w:val="StyleBoldUnderline"/>
          <w:highlight w:val="yellow"/>
        </w:rPr>
        <w:t>Ginsburg acted demosprudentially when she invited a wider audience into the conversation about one of the core conflicts at the heart of our democracy</w:t>
      </w:r>
      <w:r w:rsidRPr="0066239B">
        <w:rPr>
          <w:rStyle w:val="StyleBoldUnderline"/>
        </w:rPr>
        <w:t xml:space="preserve">.40 </w:t>
      </w:r>
      <w:r w:rsidRPr="009969AB">
        <w:rPr>
          <w:rStyle w:val="StyleBoldUnderline"/>
          <w:highlight w:val="yellow"/>
        </w:rPr>
        <w:t>She grounded her oral dissent and her public remarks in a set of demosprudential practices that linked public engagement with institutional legitimacy</w:t>
      </w:r>
      <w:r w:rsidRPr="0066239B">
        <w:rPr>
          <w:rStyle w:val="StyleBoldUnderline"/>
        </w:rPr>
        <w:t xml:space="preserve">. </w:t>
      </w:r>
      <w:r w:rsidRPr="0066239B">
        <w:rPr>
          <w:sz w:val="14"/>
        </w:rPr>
        <w:t>Those practices are part of a larger demosprudential claim: that the Constitution belongs to the people, not just to the Supreme Court. The dissenting opinions, especially the oral dissents, of Justice Ginsburg and other members of the Court are the subject of my 2008 Supreme Court foreword, Demosprudence Through Dissent. 41 The foreword was addressed to judges, especially those speaking out in dissent, urging them to “engage dialogically with nonjudicial actors and to encourage them to act democratically.”42 The foreword focuses on oral dissents because of the special power of the spoken word, but Justices can issue demosprudential concurrences and even majority opinions, written as well as spoken.43 Moreover, true to its origins, demosprudence is not limited to reconceptualizing the judicial role. Lawyers and nonlawyers alike can be demosprudential, a claim that I foreshadow in the foreword and which Torres and I are developing in other work on law and social movements.</w:t>
      </w:r>
      <w:r w:rsidRPr="0066239B">
        <w:rPr>
          <w:rStyle w:val="StyleBoldUnderline"/>
        </w:rPr>
        <w:t>44 Supreme Court Justices can play a democracy-enhancing role by expanding the audience for their opinions to include those unlearned in the law. Of the current Justices, Justice Antonin Scalia has a particular knack for attracting and holding the attention of a nonlegal audience</w:t>
      </w:r>
      <w:r w:rsidRPr="0066239B">
        <w:rPr>
          <w:sz w:val="14"/>
        </w:rPr>
        <w:t xml:space="preserve">. </w:t>
      </w:r>
      <w:r w:rsidRPr="0066239B">
        <w:rPr>
          <w:rStyle w:val="StyleBoldUnderline"/>
        </w:rPr>
        <w:t>His dissents are</w:t>
      </w:r>
      <w:r w:rsidRPr="0066239B">
        <w:rPr>
          <w:sz w:val="14"/>
        </w:rPr>
        <w:t xml:space="preserve"> </w:t>
      </w:r>
      <w:r w:rsidRPr="0066239B">
        <w:rPr>
          <w:rStyle w:val="StyleBoldUnderline"/>
        </w:rPr>
        <w:t>“deliberate exercises in advocacy</w:t>
      </w:r>
      <w:r w:rsidRPr="0066239B">
        <w:rPr>
          <w:sz w:val="14"/>
        </w:rPr>
        <w:t xml:space="preserve">” </w:t>
      </w:r>
      <w:r w:rsidRPr="0066239B">
        <w:rPr>
          <w:rStyle w:val="StyleBoldUnderline"/>
        </w:rPr>
        <w:t>that “chart new paths for changing the law</w:t>
      </w:r>
      <w:r w:rsidRPr="0066239B">
        <w:rPr>
          <w:sz w:val="14"/>
        </w:rPr>
        <w:t xml:space="preserve">.”45 Just as Justice Ginsburg welcomed women’s rights activists into the public sphere in response to the Court majority’s decision in Ledbetter, Justice Scalia’s dissents are often in conversation with a conservative constituency of accountability.46 By writing dissents like these, both Justices have acknowledged that their </w:t>
      </w:r>
      <w:r w:rsidRPr="0066239B">
        <w:rPr>
          <w:rStyle w:val="StyleBoldUnderline"/>
        </w:rPr>
        <w:t>audience is not just their colleagues or the litigants in the cases before them. Both exemplify the potential power of demosprudential dissents when the dissenter is aligned with a social movement or constituency that “mobilizes to change the meaning of the Constitution over time</w:t>
      </w:r>
      <w:r w:rsidRPr="0066239B">
        <w:rPr>
          <w:sz w:val="14"/>
        </w:rPr>
        <w:t>.”47 Thus, Justice Ginsburg speaks in her “clearest voice” when she addresses issues of gender equality.48 Similarly, Justice</w:t>
      </w:r>
      <w:r w:rsidRPr="0066239B">
        <w:rPr>
          <w:rStyle w:val="StyleBoldUnderline"/>
        </w:rPr>
        <w:t xml:space="preserve"> Scalia effectively uses his originalist jurisprudence as “a language that a political movement can both understand and rally around</w:t>
      </w:r>
      <w:r w:rsidRPr="0066239B">
        <w:rPr>
          <w:sz w:val="14"/>
        </w:rPr>
        <w:t xml:space="preserve">.”49 Both Justices Ginsburg and Scalia are at their best as demosprudential dissenters when they encourage a “social movement to fight on.”50 Robert Post, writing in this symposium, reads my argument exactly right: </w:t>
      </w:r>
      <w:r w:rsidRPr="0066239B">
        <w:rPr>
          <w:rStyle w:val="StyleBoldUnderline"/>
        </w:rPr>
        <w:t>“[C]ourts do not end democratic debate about the meaning of rights and the law; they are participants within that debate.”</w:t>
      </w:r>
      <w:r w:rsidRPr="0066239B">
        <w:rPr>
          <w:sz w:val="14"/>
        </w:rPr>
        <w:t xml:space="preserve">51 As Post explains, I argue that the “meaning of constitutional principles are forged within the cauldron of political debate,” a debate in which judges are often important, though not necessarily central, actors.52 </w:t>
      </w:r>
      <w:r w:rsidRPr="0066239B">
        <w:rPr>
          <w:rStyle w:val="StyleBoldUnderline"/>
        </w:rPr>
        <w:t>Law and politics are in continuous dialogue, and the goal of a demosprudential dissenter is to ensure that the views of a judicial majority do not preempt political dialogue.</w:t>
      </w:r>
      <w:r w:rsidRPr="0066239B">
        <w:rPr>
          <w:sz w:val="14"/>
        </w:rPr>
        <w:t xml:space="preserve"> When Justice Ginsburg spoke in a voice more conversational than technical, she did more than declare her disagreement with the majority’s holding. By vigorously speaking out during the opinion announcement, she also appealed to citizens in terms that laypersons could understand and to Congress directly.53 This is demosprudence.</w:t>
      </w:r>
      <w:r w:rsidRPr="00B80855">
        <w:rPr>
          <w:sz w:val="14"/>
        </w:rPr>
        <w:t xml:space="preserve"> </w:t>
      </w:r>
    </w:p>
    <w:p w:rsidR="00052A56" w:rsidRDefault="00052A56" w:rsidP="00052A56"/>
    <w:p w:rsidR="00052A56" w:rsidRDefault="00052A56" w:rsidP="00052A56"/>
    <w:p w:rsidR="00052A56" w:rsidRDefault="00052A56" w:rsidP="00052A56">
      <w:pPr>
        <w:pStyle w:val="Heading3"/>
      </w:pPr>
      <w:r>
        <w:t>State Centered Practices spur social change</w:t>
      </w:r>
    </w:p>
    <w:p w:rsidR="00052A56" w:rsidRDefault="00052A56" w:rsidP="00052A56"/>
    <w:p w:rsidR="00052A56" w:rsidRPr="00052A56" w:rsidRDefault="00052A56" w:rsidP="00052A56">
      <w:pPr>
        <w:pStyle w:val="Heading4"/>
      </w:pPr>
      <w:r w:rsidRPr="00052A56">
        <w:t>Even if the state is not perfect, it has a role to play in key social and rights movements— specifically the Supreme Court can engage in acts of demosprudence to spur dissent and public conversation</w:t>
      </w:r>
    </w:p>
    <w:p w:rsidR="00052A56" w:rsidRPr="00DE76F9" w:rsidRDefault="00052A56" w:rsidP="00052A56">
      <w:pPr>
        <w:rPr>
          <w:bCs/>
          <w:sz w:val="20"/>
          <w:szCs w:val="20"/>
        </w:rPr>
      </w:pPr>
      <w:r>
        <w:rPr>
          <w:rStyle w:val="StyleStyleBold12pt"/>
        </w:rPr>
        <w:t xml:space="preserve">Guinier 09 </w:t>
      </w:r>
      <w:r w:rsidRPr="00DB0311">
        <w:rPr>
          <w:rStyle w:val="StyleStyleBold12pt"/>
          <w:sz w:val="20"/>
          <w:szCs w:val="20"/>
        </w:rPr>
        <w:t>(Lani Guinier is an American civil rights theorist; she is theBennett Boskey Professor of Law at Harvard Law School and the first woman of color appointed to a tenured professorship at that institution. “BEYOND LEGISLATURES: SOCIAL MOVEMENTS, SOCIAL CHANGE, AND THE POSSIBILITIES OF DEMOSPRUDENCE”</w:t>
      </w:r>
      <w:r>
        <w:rPr>
          <w:rStyle w:val="StyleStyleBold12pt"/>
          <w:sz w:val="20"/>
          <w:szCs w:val="20"/>
        </w:rPr>
        <w:t xml:space="preserve"> 89 B.U. L. Rev. 539 2009 p. 547-551</w:t>
      </w:r>
      <w:r w:rsidRPr="00DB0311">
        <w:rPr>
          <w:rStyle w:val="StyleStyleBold12pt"/>
          <w:sz w:val="20"/>
          <w:szCs w:val="20"/>
        </w:rPr>
        <w:t>, pg. online @ www.law.harvard.edu/faculty/guinier/publications/bu-courting.pdf//DM)</w:t>
      </w:r>
    </w:p>
    <w:p w:rsidR="00052A56" w:rsidRDefault="00052A56" w:rsidP="00052A56">
      <w:pPr>
        <w:rPr>
          <w:sz w:val="14"/>
        </w:rPr>
      </w:pPr>
      <w:r w:rsidRPr="0070509F">
        <w:rPr>
          <w:sz w:val="14"/>
        </w:rPr>
        <w:t>Robert Post eloquently summarizes and contextualizes the argument I make about demosprudence. He also corrects the misunderstanding of the law/politics divide that beats at the heart of Gerald Rosenberg’s criticisms of that argument.54 Post neatly restates my premise: “</w:t>
      </w:r>
      <w:r w:rsidRPr="00DE76F9">
        <w:rPr>
          <w:rStyle w:val="StyleBoldUnderline"/>
        </w:rPr>
        <w:t>Law inspires and provokes the claims of politically engaged agents, as it simultaneously emerges from these claims</w:t>
      </w:r>
      <w:r w:rsidRPr="0070509F">
        <w:rPr>
          <w:sz w:val="14"/>
        </w:rPr>
        <w:t>.”55 In his companion essay, Professor Rosenberg polices the law/politics distinction to create a false binary. Rosenberg dismisses the possibility of an ongoing and recursive conversation between law and politics that may produce changes in the law and eventually in our “constitutional culture,” meaning changes in the popular as well as elite understanding of what the law means. Constitutional culture is the fish tank in which the beliefs and actions of judicial as well as non-judicial participants swim</w:t>
      </w:r>
      <w:r w:rsidRPr="00DE76F9">
        <w:rPr>
          <w:rStyle w:val="StyleBoldUnderline"/>
        </w:rPr>
        <w:t>. It is the “dynamic sociopolitical environment” in which ideas about legal meanings circulate, ferment, compete and ultimately surface in formal venues such as legal advocacy or legislative actions</w:t>
      </w:r>
      <w:r w:rsidRPr="0070509F">
        <w:rPr>
          <w:sz w:val="14"/>
        </w:rPr>
        <w:t xml:space="preserve">.56 As political scientist Daniel HoSang explains, </w:t>
      </w:r>
      <w:r w:rsidRPr="009969AB">
        <w:rPr>
          <w:rStyle w:val="StyleBoldUnderline"/>
          <w:highlight w:val="yellow"/>
        </w:rPr>
        <w:t>the goal of demosprudence is “to open up analytic and political possibility to build and sustain more dynamic and politically potent relationships between [legal elites] and aggrieved communities</w:t>
      </w:r>
      <w:r w:rsidRPr="009969AB">
        <w:rPr>
          <w:sz w:val="14"/>
          <w:highlight w:val="yellow"/>
        </w:rPr>
        <w:t>.</w:t>
      </w:r>
      <w:r w:rsidRPr="0070509F">
        <w:rPr>
          <w:sz w:val="14"/>
        </w:rPr>
        <w:t xml:space="preserve">”57 Professor Rosenberg’s critique of demosprudence rests on several misunderstandings of my work and that of other legal scholars.58 First, Professor Rosenberg wrongly assumes that my claims are descriptive rather than aspirational.59 Second, Professor Rosenberg’s concern about my “Courtcentric” analysis overlooks the occasion for my argument;60 that is, the traditions associated with the Supreme Court foreword published every year in the November issue of the Harvard Law Review. Third, he orients his entire critique around polling data and other social science research to trivialize the relationship of narrative to culture, to exaggerate the predictive capacity of a data-driven approach to quantify causation and to preempt other useful analytic approaches.61 First, my foreword posits that </w:t>
      </w:r>
      <w:r w:rsidRPr="00DE76F9">
        <w:rPr>
          <w:rStyle w:val="StyleBoldUnderline"/>
        </w:rPr>
        <w:t xml:space="preserve">judges can play a demosprudential role and that oral dissents are one potential vehicle for allowing them to do so.62 </w:t>
      </w:r>
      <w:r w:rsidRPr="009969AB">
        <w:rPr>
          <w:rStyle w:val="StyleBoldUnderline"/>
          <w:highlight w:val="yellow"/>
        </w:rPr>
        <w:t>While it is true that oral dissents currently face obstacles to their demosprudential efficacy, those obstacles need not be insurmountable.</w:t>
      </w:r>
      <w:r w:rsidRPr="00DE76F9">
        <w:rPr>
          <w:rStyle w:val="StyleBoldUnderline"/>
        </w:rPr>
        <w:t xml:space="preserve"> </w:t>
      </w:r>
      <w:r w:rsidRPr="0070509F">
        <w:rPr>
          <w:sz w:val="14"/>
        </w:rPr>
        <w:t xml:space="preserve">Moreover, Rosenberg’s critique arguably makes my point. He is saying “people don’t pay attention,”63 while I am saying “yes, they can!” Indeed, they might pay more attention if Justices took the time to talk to them.64 He characterizes the past; I aim to sketch out the contours of a different future. Rosenberg is absolutely right that one next step might be to deploy the tools of social science to explore the extent to which this claim has been realized.65 But the foreword is suggestive, not predictive. Justices of the Supreme Court can be demosprudential when they use their opinions to engage non-legal actors in the process of making and interpreting law over time. They have democratically-based reasons to seek to inspire a mobilized constituency; it is not that they invariably will cause a social movement to emerge. Similarly, </w:t>
      </w:r>
      <w:r w:rsidRPr="009969AB">
        <w:rPr>
          <w:rStyle w:val="StyleBoldUnderline"/>
          <w:highlight w:val="yellow"/>
        </w:rPr>
        <w:t>the idea that Court opinions do not invariably inspire social movements does not mean they cannot have this effect</w:t>
      </w:r>
      <w:r w:rsidRPr="0070509F">
        <w:rPr>
          <w:sz w:val="14"/>
        </w:rPr>
        <w:t xml:space="preserve">. Nor do I argue that oral dissents are the only, or even the single most important, communication tool at the Court’s disposal. </w:t>
      </w:r>
      <w:r w:rsidRPr="009969AB">
        <w:rPr>
          <w:rStyle w:val="StyleBoldUnderline"/>
          <w:highlight w:val="yellow"/>
        </w:rPr>
        <w:t>When the Supreme Court announced Brown</w:t>
      </w:r>
      <w:r w:rsidRPr="00DE76F9">
        <w:rPr>
          <w:rStyle w:val="StyleBoldUnderline"/>
        </w:rPr>
        <w:t xml:space="preserve"> v. Board of Education</w:t>
      </w:r>
      <w:r w:rsidRPr="0070509F">
        <w:rPr>
          <w:sz w:val="14"/>
        </w:rPr>
        <w:t xml:space="preserve">66 in 1954, there were no dissents. Moreover, the orality of the opinion announcement was not a central feature of the event. No one heard the voice of Earl Warren reading his decision on the radio. Nevertheless, the decision had a powerful effect, in part because </w:t>
      </w:r>
      <w:r w:rsidRPr="009969AB">
        <w:rPr>
          <w:rStyle w:val="StyleBoldUnderline"/>
          <w:highlight w:val="yellow"/>
        </w:rPr>
        <w:t>it was purposely drafted to speak to “the people</w:t>
      </w:r>
      <w:r w:rsidRPr="00DE76F9">
        <w:rPr>
          <w:rStyle w:val="StyleBoldUnderline"/>
        </w:rPr>
        <w:t xml:space="preserve">.”67 Justice </w:t>
      </w:r>
      <w:r w:rsidRPr="009969AB">
        <w:rPr>
          <w:rStyle w:val="StyleBoldUnderline"/>
          <w:highlight w:val="yellow"/>
        </w:rPr>
        <w:t>Warren consciously intended that the Brown opinion should be short and readable by the lay public</w:t>
      </w:r>
      <w:r w:rsidRPr="0070509F">
        <w:rPr>
          <w:sz w:val="14"/>
        </w:rPr>
        <w:t xml:space="preserve">.68 In his work, Professor Rosenberg focuses on the white backlash the Brown decision inspired.69 But a demosprudential analysis also focuses on the front lash, the way that Brown helped inspire the civil rights movement. Brown’s accessibility and forcefulness helped inspire a social movement that in turn gave the opinion its legs.70 </w:t>
      </w:r>
      <w:r w:rsidRPr="00DE76F9">
        <w:rPr>
          <w:rStyle w:val="StyleBoldUnderline"/>
        </w:rPr>
        <w:t>In 1955, Rosa Parks refused to give up her seat on a bus in Montgomery. She was arrested</w:t>
      </w:r>
      <w:r w:rsidRPr="0070509F">
        <w:rPr>
          <w:sz w:val="14"/>
        </w:rPr>
        <w:t xml:space="preserve">. Four days later, when she was formally arraigned and convicted, </w:t>
      </w:r>
      <w:r w:rsidRPr="00DE76F9">
        <w:rPr>
          <w:rStyle w:val="StyleBoldUnderline"/>
        </w:rPr>
        <w:t>a one-day bus boycott by the black citizens of Montgomery was unexpectedly, amazingly, successful.71 Dr. Martin Luther King, Jr. delivered a sermon that evening before a mass meeting of 5000 people gathered at and around Holt Street Baptist Church.72 He prepared his audience to take the bold step of continuing the boycott indefinitely. He did so by brilliantly fusing two great texts: the Supreme Court’s pronouncement a year earlier in Brown and the Bible</w:t>
      </w:r>
      <w:r w:rsidRPr="0070509F">
        <w:rPr>
          <w:sz w:val="14"/>
        </w:rPr>
        <w:t xml:space="preserve">.73 Dr. King roused the crowd at that first mass meeting in Montgomery with a spirited refrain: “If we are wrong – the Supreme Court of this nation is wrong. If we are wrong God Almighty was wrong.”74 In the foreword, I argue that </w:t>
      </w:r>
      <w:r w:rsidRPr="009969AB">
        <w:rPr>
          <w:rStyle w:val="StyleBoldUnderline"/>
          <w:highlight w:val="yellow"/>
        </w:rPr>
        <w:t>Dr. King was a classic example of a “roleliterate participant</w:t>
      </w:r>
      <w:r w:rsidRPr="0070509F">
        <w:rPr>
          <w:sz w:val="14"/>
        </w:rPr>
        <w:t xml:space="preserve">.”75 His theological and strategic acumen enabled him to invoke Brown as “authorization” and “legitimation” to sustain the actions that 50,000 blacks in Montgomery, Alabama would take for over thirteen months when they refused to ride the city’s buses.76 But as Robert Post rightly points out, the word “authorize” meant something more like embolden or encourage.77 My point is that </w:t>
      </w:r>
      <w:r w:rsidRPr="009969AB">
        <w:rPr>
          <w:rStyle w:val="StyleBoldUnderline"/>
          <w:highlight w:val="yellow"/>
        </w:rPr>
        <w:t>Brown shows judicial actors can inspire or provoke “mass conversation.” It is when the legal constitution is narrated through the experience of ordinary people in conversation with each other that legal interpretation becomes sustainable as a culture shift</w:t>
      </w:r>
      <w:r w:rsidRPr="0070509F">
        <w:rPr>
          <w:sz w:val="14"/>
        </w:rPr>
        <w:t xml:space="preserve">.78 And if a majority opinion can rouse, so too can a dissenting one. Thus, demosprudence through dissent emphasizes the use of narrative techniques and a clear appeal to shared values that make the legal claims transparent and accessible. Although demosprudence through dissent is prescriptive rather than descriptive, it was never my intent to suggest that the Court should be central to any social movement. Like Justice Ginsburg, I am not a proponent of juridification (the substitution of law for politics).79 In Justice Ginsburg’s words, “[t]he Constitution does not belong to the Supreme Court.”80 At the same time, I recognize </w:t>
      </w:r>
      <w:r w:rsidRPr="009969AB">
        <w:rPr>
          <w:sz w:val="14"/>
          <w:highlight w:val="yellow"/>
        </w:rPr>
        <w:t xml:space="preserve">that </w:t>
      </w:r>
      <w:r w:rsidRPr="009969AB">
        <w:rPr>
          <w:rStyle w:val="StyleBoldUnderline"/>
          <w:highlight w:val="yellow"/>
        </w:rPr>
        <w:t>the Court has been deeply influential, albeit unintentionally at times, in some very important social movements</w:t>
      </w:r>
      <w:r w:rsidRPr="0070509F">
        <w:rPr>
          <w:sz w:val="14"/>
        </w:rPr>
        <w:t xml:space="preserve">. Studying the 1960s student movement in Atlanta, Tomiko Brown-Nagin argues that the lunch counter sit-ins were, in fact, a reaction to the Supreme Court’s decision – not because of what the Supreme Court said, but because of what it did not say.81 The Court initially raised, then dashed expectations. It was the disappointment with “all deliberate speed” – </w:t>
      </w:r>
      <w:r w:rsidRPr="009969AB">
        <w:rPr>
          <w:rStyle w:val="StyleBoldUnderline"/>
          <w:highlight w:val="yellow"/>
        </w:rPr>
        <w:t>the legal system’s failure to live up to the promise of the Court’s initial ruling –</w:t>
      </w:r>
      <w:r w:rsidRPr="0070509F">
        <w:rPr>
          <w:rStyle w:val="StyleBoldUnderline"/>
        </w:rPr>
        <w:t xml:space="preserve"> that inspired students to take to the streets and initiate some of the bold protest demonstrations at lunch counters and in streets in the 1960s.82 Brown-Nagin </w:t>
      </w:r>
      <w:r w:rsidRPr="009969AB">
        <w:rPr>
          <w:rStyle w:val="StyleBoldUnderline"/>
          <w:highlight w:val="yellow"/>
        </w:rPr>
        <w:t>emphasizes the multiple ways in which courts, lawyers and social movement actors are engaged in a dialogic and recursive discourse.</w:t>
      </w:r>
      <w:r w:rsidRPr="0070509F">
        <w:rPr>
          <w:sz w:val="14"/>
        </w:rPr>
        <w:t>83</w:t>
      </w:r>
    </w:p>
    <w:p w:rsidR="00052A56" w:rsidRPr="00052A56" w:rsidRDefault="00052A56" w:rsidP="00052A56"/>
    <w:p w:rsidR="00C0022A" w:rsidRDefault="00C0022A" w:rsidP="00D17C4E"/>
    <w:p w:rsidR="00E05700" w:rsidRDefault="00E05700" w:rsidP="00E05700">
      <w:pPr>
        <w:pStyle w:val="Heading3"/>
      </w:pPr>
      <w:r>
        <w:t>Cultural Change</w:t>
      </w:r>
    </w:p>
    <w:p w:rsidR="00E05700" w:rsidRPr="00E05700" w:rsidRDefault="00E05700" w:rsidP="00E05700"/>
    <w:p w:rsidR="00C0022A" w:rsidRDefault="00C0022A" w:rsidP="00C0022A">
      <w:pPr>
        <w:pStyle w:val="Heading4"/>
      </w:pPr>
      <w:r>
        <w:t>Using the law creates a “cultural shift” which can change people’s mindset</w:t>
      </w:r>
    </w:p>
    <w:p w:rsidR="00C0022A" w:rsidRDefault="00C0022A" w:rsidP="00C0022A">
      <w:pPr>
        <w:rPr>
          <w:rStyle w:val="StyleStyleBold12pt"/>
        </w:rPr>
      </w:pPr>
      <w:r>
        <w:rPr>
          <w:rStyle w:val="StyleStyleBold12pt"/>
        </w:rPr>
        <w:t>Loewy 2000</w:t>
      </w:r>
    </w:p>
    <w:p w:rsidR="00C0022A" w:rsidRPr="003C7E8E" w:rsidRDefault="00C0022A" w:rsidP="00C0022A">
      <w:pPr>
        <w:rPr>
          <w:rStyle w:val="StyleStyleBold12pt"/>
          <w:b w:val="0"/>
          <w:sz w:val="16"/>
          <w:szCs w:val="16"/>
        </w:rPr>
      </w:pPr>
      <w:r>
        <w:rPr>
          <w:rStyle w:val="StyleStyleBold12pt"/>
          <w:sz w:val="16"/>
          <w:szCs w:val="16"/>
        </w:rPr>
        <w:t xml:space="preserve">(Karen L. Loewy is a Senior Staff Attorney for Lambda Legal, the oldest and largest national legal organization committed to achieving full recognition of the civil rights of lesbians, gay men, bisexuals, transgender people and those with HIV.  Ms. Loewy is involved in all aspects of Lambda Legal’s impact litigation, policy advocacy and public education, with particular emphasis on issues affecting LGBT and HIV-positive seniors. ; LAWYERING FOR SOCIAL CHANGE; 1999-2000; </w:t>
      </w:r>
      <w:hyperlink r:id="rId17" w:history="1">
        <w:r w:rsidRPr="00C3548B">
          <w:rPr>
            <w:rStyle w:val="Hyperlink"/>
            <w:sz w:val="16"/>
            <w:szCs w:val="16"/>
          </w:rPr>
          <w:t>http://heinonline.org/HOL/Page?handle=hein.journals/frdurb27&amp;div=61&amp;g_sent=1&amp;collection=journals</w:t>
        </w:r>
      </w:hyperlink>
      <w:r>
        <w:rPr>
          <w:rStyle w:val="StyleStyleBold12pt"/>
          <w:sz w:val="16"/>
          <w:szCs w:val="16"/>
        </w:rPr>
        <w:t xml:space="preserve"> ; AWEY)</w:t>
      </w:r>
    </w:p>
    <w:p w:rsidR="00C0022A" w:rsidRDefault="00C0022A" w:rsidP="00C0022A"/>
    <w:p w:rsidR="00C0022A" w:rsidRPr="00B5353B" w:rsidRDefault="00C0022A" w:rsidP="00C0022A">
      <w:r w:rsidRPr="00B5353B">
        <w:t xml:space="preserve">Three </w:t>
      </w:r>
      <w:r w:rsidRPr="00B5353B">
        <w:rPr>
          <w:rStyle w:val="StyleBoldUnderline"/>
        </w:rPr>
        <w:t>ways of approaching the achievement of social change are the notions of "cultural shift</w:t>
      </w:r>
      <w:r w:rsidRPr="00B5353B">
        <w:t xml:space="preserve">," "negotiation of strategy" and "dimensional lawyering." These views are not mutually exclusive, but they are informed by different underlying ideologies. a. Cultural Shift </w:t>
      </w:r>
      <w:r w:rsidRPr="00B5353B">
        <w:rPr>
          <w:rStyle w:val="StyleBoldUnderline"/>
        </w:rPr>
        <w:t>The creation of a cultural shift is one view of the way to make true social change</w:t>
      </w:r>
      <w:r w:rsidRPr="00B5353B">
        <w:t xml:space="preserve">. 39 Professor Thomas Stoddard suggests that social change and legal change are not always coexistent, that one does not always prompt the other.4 ' Furthermore, attempts at law reform may only succeed on a formal level and may not have any real impact on the larger cultural context into which they fit.41 </w:t>
      </w:r>
      <w:r w:rsidRPr="00B5353B">
        <w:rPr>
          <w:rStyle w:val="StyleBoldUnderline"/>
        </w:rPr>
        <w:t>The law's traditional mechanisms can be adapted,</w:t>
      </w:r>
      <w:r w:rsidRPr="00B5353B">
        <w:t xml:space="preserve"> however, to </w:t>
      </w:r>
      <w:r w:rsidRPr="00B5353B">
        <w:rPr>
          <w:rStyle w:val="StyleBoldUnderline"/>
        </w:rPr>
        <w:t>improve society in extra-legal ways.</w:t>
      </w:r>
      <w:r w:rsidRPr="00B5353B">
        <w:t xml:space="preserve"> This use of the law is what Stoddard calls the law's culture-shifting capacity.42 </w:t>
      </w:r>
      <w:r w:rsidRPr="00B5353B">
        <w:rPr>
          <w:rStyle w:val="StyleBoldUnderline"/>
        </w:rPr>
        <w:t>A cultural shift may take place when far-reaching or significant change occurs, public awareness of that change is widespread</w:t>
      </w:r>
      <w:r w:rsidRPr="00B5353B">
        <w:t xml:space="preserve">, </w:t>
      </w:r>
      <w:r w:rsidRPr="00B5353B">
        <w:rPr>
          <w:rStyle w:val="StyleBoldUnderline"/>
        </w:rPr>
        <w:t>the public generally perceives that change as legitimate or valid</w:t>
      </w:r>
      <w:r w:rsidRPr="00B5353B">
        <w:t xml:space="preserve">, and there is continuous, overall enforcement of the change. 43 One theory perhaps underlying the notion of cultural shift and its belief that all of these components must occur contemporaneously is that lawyers may not be able to divert the direction of a rule of law very far off course from the beliefs of elected officials." Without the support of the general public and the enforcement of the change, change cannot really occur. </w:t>
      </w:r>
      <w:r w:rsidRPr="00B5353B">
        <w:rPr>
          <w:rStyle w:val="StyleBoldUnderline"/>
        </w:rPr>
        <w:t>To make major changes in critical social relationships, one must change the way people think about the issue.45 A new law that affects a large number of people in fundamental ways creates the potential for culture shifting</w:t>
      </w:r>
      <w:r w:rsidRPr="00B5353B">
        <w:t xml:space="preserve">. 6 For the shift to have cultural resonance, however, the general public must also perceive the shift. It must be "generally discerned and then absorbed by the society as a whole."47 </w:t>
      </w:r>
      <w:r w:rsidRPr="00B5353B">
        <w:rPr>
          <w:rStyle w:val="StyleBoldUnderline"/>
        </w:rPr>
        <w:t>This common awareness must also be accompanied by some sense of public acceptance grounded in a sense of legitimacy or validity, as awareness is never enough to assure compliance.4</w:t>
      </w:r>
      <w:r w:rsidRPr="00B5353B">
        <w:t xml:space="preserve">8 Finally, unless the rules are enforced, the public will disregard them. Unless a new law promotes public awareness and adherence to the rules, as well as provides appropriate sanction for their disregard, culture-shifting cannot occur.49 Professor Nan Hunter suggests an additional requirement for a true cultural shift.50 She posits that in addition to the four requirements listed above, some type of public engagement in the effort to change the law must occur.51 </w:t>
      </w:r>
      <w:r w:rsidRPr="00B5353B">
        <w:rPr>
          <w:rStyle w:val="StyleBoldUnderline"/>
        </w:rPr>
        <w:t>When a change stems from a mobilized public demand, whether through litigation or legislation on state or federal levels, the resulting change has an immediate culture-shifting impact.</w:t>
      </w:r>
      <w:r w:rsidRPr="00B5353B">
        <w:t xml:space="preserve">5 2 She thus places great emphasis on mobilization and empowerment of those seeking legal assistance, and strengthening the represented constituency or community organization.53 </w:t>
      </w:r>
      <w:r w:rsidRPr="00B5353B">
        <w:rPr>
          <w:rStyle w:val="StyleBoldUnderline"/>
        </w:rPr>
        <w:t>This empowerment is valuable because the constituent community will work toward larger, more fundamental change, viewing the law as a tool to accomplish this change as opposed to viewing the reform of the law as the end goal in and of itself</w:t>
      </w:r>
      <w:r w:rsidRPr="00B5353B">
        <w:t xml:space="preserve">.54 Consequently, these communities will not be constrained by the limits of the law and will better serve as repeat players in the scheme of social change.55 Professor Chai Feldblum suggests that </w:t>
      </w:r>
      <w:r w:rsidRPr="00B5353B">
        <w:rPr>
          <w:rStyle w:val="StyleBoldUnderline"/>
        </w:rPr>
        <w:t>in order for the public to believe in the legitimacy of a change, whether enacted by the legislature or decided by a court, there must be an engagement with the morality underlying the issue</w:t>
      </w:r>
      <w:r w:rsidRPr="00B5353B">
        <w:t xml:space="preserve">.56 She maintains that the moral discourse surrounding the debate of social issues must not be discounted.57 While legal commentators have long documented the impact of judicial reasoning on the moral rhetoric surrounding a controversial issue, the legislators' discourse has lacked similar recognition.5 8 </w:t>
      </w:r>
      <w:r w:rsidRPr="00B5353B">
        <w:rPr>
          <w:rStyle w:val="StyleBoldUnderline"/>
        </w:rPr>
        <w:t xml:space="preserve">Because the surrounding rhetoric is so powerful, it must involve a real engagement with the underlying moral issues, </w:t>
      </w:r>
      <w:r w:rsidRPr="00B5353B">
        <w:t>as this grappling will have an impact on the type of culture-shift that occurs.59 Because the issues around which social change occur are those that are grounded, at their core, in morality, the more the moral aspects of the issues are emphasized, the greater the impact of the cultural shift. 60</w:t>
      </w:r>
    </w:p>
    <w:p w:rsidR="00C0022A" w:rsidRDefault="00C0022A" w:rsidP="00C0022A"/>
    <w:p w:rsidR="00C0022A" w:rsidRDefault="00C91DCD" w:rsidP="00C91DCD">
      <w:pPr>
        <w:pStyle w:val="Heading2"/>
      </w:pPr>
      <w:r>
        <w:t>Blocks</w:t>
      </w:r>
    </w:p>
    <w:p w:rsidR="00C91DCD" w:rsidRDefault="00C91DCD" w:rsidP="00C91DCD"/>
    <w:p w:rsidR="00C91DCD" w:rsidRDefault="00C91DCD" w:rsidP="00C91DCD"/>
    <w:p w:rsidR="00C91DCD" w:rsidRDefault="00C91DCD" w:rsidP="00C91DCD">
      <w:pPr>
        <w:pStyle w:val="Heading3"/>
      </w:pPr>
      <w:r>
        <w:t>A2 Law Sucks/Excludes Us</w:t>
      </w:r>
    </w:p>
    <w:p w:rsidR="00C91DCD" w:rsidRDefault="00C91DCD" w:rsidP="00C91DCD"/>
    <w:p w:rsidR="00C91DCD" w:rsidRDefault="00C91DCD" w:rsidP="00C91DCD"/>
    <w:p w:rsidR="00C91DCD" w:rsidRPr="009969AB" w:rsidRDefault="00C91DCD" w:rsidP="00C91DCD">
      <w:pPr>
        <w:pStyle w:val="Heading4"/>
      </w:pPr>
      <w:r>
        <w:t>Engaging Paradoxically with the law has value – if the law is BAD then the only way it will change is buying getting into the trenches</w:t>
      </w:r>
    </w:p>
    <w:p w:rsidR="00C91DCD" w:rsidRPr="000C5259" w:rsidRDefault="00C91DCD" w:rsidP="00C91DCD">
      <w:pPr>
        <w:rPr>
          <w:rStyle w:val="StyleStyleBold12pt"/>
        </w:rPr>
      </w:pPr>
      <w:r>
        <w:rPr>
          <w:rStyle w:val="StyleStyleBold12pt"/>
        </w:rPr>
        <w:t xml:space="preserve">Hirsch 12 </w:t>
      </w:r>
      <w:r w:rsidRPr="000C5259">
        <w:rPr>
          <w:rStyle w:val="StyleStyleBold12pt"/>
          <w:sz w:val="20"/>
          <w:szCs w:val="20"/>
        </w:rPr>
        <w:t>(Dr. Alexander Keller Hirsch is Assistant Professor in the Department of Political Science at the University of Alaska, Fairbanks. His primary field is political theory, and his research and teaching interests focus on the entanglements, impasses, and dreamworlds faced by people who inhabit the afterness of catastrophe, 2012, "The promise of the unforgiven: Violence, power and paradox in Arendt," pgs. 9-11, online @ psc.sagepub.com/content/early/2012/12/13/0191453712467319.full.pdf+html//DM)</w:t>
      </w:r>
    </w:p>
    <w:p w:rsidR="00C91DCD" w:rsidRPr="00D4272F" w:rsidRDefault="00C91DCD" w:rsidP="00C91DCD">
      <w:pPr>
        <w:rPr>
          <w:sz w:val="16"/>
        </w:rPr>
      </w:pPr>
      <w:r w:rsidRPr="00D4272F">
        <w:rPr>
          <w:sz w:val="16"/>
        </w:rPr>
        <w:t xml:space="preserve">My approach to the paradox differs from both Young-Bruehl’s and Bar On’s in that I am less interested in smoothing over, correcting, or otherwise neutralizing Arendt’s aporia. Rather than view it as something to be explained or solved, I contend that the irresolvability of the paradox is precisely its source of generativity. In this sense I follow in line with a number of scholars who have recently argued that </w:t>
      </w:r>
      <w:r w:rsidRPr="000C5259">
        <w:rPr>
          <w:rStyle w:val="StyleBoldUnderline"/>
        </w:rPr>
        <w:t>paradox</w:t>
      </w:r>
      <w:r w:rsidRPr="00D4272F">
        <w:rPr>
          <w:sz w:val="16"/>
        </w:rPr>
        <w:t xml:space="preserve">, far from an endgame, </w:t>
      </w:r>
      <w:r w:rsidRPr="000C5259">
        <w:rPr>
          <w:rStyle w:val="StyleBoldUnderline"/>
        </w:rPr>
        <w:t>represents a condition of possibility for a renewed vision of democratic politics as an inherently tragic venture</w:t>
      </w:r>
      <w:r w:rsidRPr="00D4272F">
        <w:rPr>
          <w:sz w:val="16"/>
        </w:rPr>
        <w:t xml:space="preserve">. Perhaps Bonnie Honig has been most effective in this regard. In her marvelous recent collection of essays, Emergency Politics, Honig invokes Rousseau’s well-known paradox of politics. For Rousseau, famously, </w:t>
      </w:r>
      <w:r w:rsidRPr="000C5259">
        <w:rPr>
          <w:rStyle w:val="StyleBoldUnderline"/>
        </w:rPr>
        <w:t>political founding requires virtuous citizens to set it in motion, and yet such a citizenry cannot exist until that founding has conditioned a people capable of founding in the first place</w:t>
      </w:r>
      <w:r w:rsidRPr="00D4272F">
        <w:rPr>
          <w:sz w:val="16"/>
        </w:rPr>
        <w:t>. As Honig parses Rousseau, ‘</w:t>
      </w:r>
      <w:r w:rsidRPr="000C5259">
        <w:rPr>
          <w:rStyle w:val="StyleBoldUnderline"/>
        </w:rPr>
        <w:t>In order for there to be a people well-formed enough for good lawmaking, there must be good law, for how else will the people be well formed?</w:t>
      </w:r>
      <w:r w:rsidRPr="00D4272F">
        <w:rPr>
          <w:sz w:val="16"/>
        </w:rPr>
        <w:t xml:space="preserve"> The problem is: Where would that good law come from absent an already well-formed, virtuous people?’44 Where most deliberative theorists, such as Seyla Benhabib or Ju¨rgen Habermas, work to find normative or prescriptive principles and procedures for solving Rousseau’s paradox</w:t>
      </w:r>
      <w:r w:rsidRPr="000C5259">
        <w:rPr>
          <w:rStyle w:val="StyleBoldUnderline"/>
        </w:rPr>
        <w:t>, Honig urges us to bracket the inclination to settle, sublimate, or otherwise resolve it at all. Rather she sees the paradox of politics as fecund with possibility</w:t>
      </w:r>
      <w:r w:rsidRPr="00D4272F">
        <w:rPr>
          <w:sz w:val="16"/>
        </w:rPr>
        <w:t xml:space="preserve">. On this point, it is well worth quoting Honig at length: It might seem that acknowledging the vicious circularity of the paradox of politics must be costly to a democracy, or demoralizing: If the people do not exist as a prior – or even as a post hoc – unifying force, then what will authorize or legitimate their exercises of power? But there is ... also promise in such an acknowledgment. Besides, denial is costly too, for </w:t>
      </w:r>
      <w:r w:rsidRPr="000C5259">
        <w:rPr>
          <w:rStyle w:val="StyleBoldUnderline"/>
        </w:rPr>
        <w:t>we can deny or disguise the paradox of politics only by suppressing or naturalizing the exclusion of those (elements of the) people whose residual, remaindered, minoritized existence might call the pure general will into question.</w:t>
      </w:r>
      <w:r w:rsidRPr="00D4272F">
        <w:rPr>
          <w:sz w:val="16"/>
        </w:rPr>
        <w:t xml:space="preserve"> From the perspective of the paradox of politics, unchosen, unarticulated, or minoritized alternatives – different forms of life, identities, solidarities, sexes or genders, alternative categories of justice, unfamiliar tempos – re-present themselves to us daily, in one form or another, sometimes inchoate. </w:t>
      </w:r>
      <w:r w:rsidRPr="000C5259">
        <w:rPr>
          <w:rStyle w:val="StyleBoldUnderline"/>
        </w:rPr>
        <w:t>The paradox of politics provides a lens through which to re-enliven those alternatives. It helps us to see the lengths to which we go or are driven to insulate ourselves from</w:t>
      </w:r>
      <w:r w:rsidRPr="00D4272F">
        <w:rPr>
          <w:sz w:val="16"/>
        </w:rPr>
        <w:t xml:space="preserve"> the remainders of our settled paths. It keeps alive both the centripetal force whereby a people is formed or maintained as a unity and the centrifugal force whereby its other, the multitude, asserts itself.45 Here, Honig highlights those forms of exclusion that get erased when the paradox of politics is resolved or forgotten. </w:t>
      </w:r>
      <w:r w:rsidRPr="00D4272F">
        <w:rPr>
          <w:rStyle w:val="StyleBoldUnderline"/>
        </w:rPr>
        <w:t>Taking the irreparability of that paradox seriously means that new angles of vision get opened up. Specifically, the paradox helps us to see the extent of our attempts to conceal the violence committed in the act of founding a people. What is further revealed is the extent to which the work of democratic politics entails ‘not just rupture but maintenance, not just new beginnings but preparation, receptivity, and orientation’</w:t>
      </w:r>
      <w:r w:rsidRPr="00D4272F">
        <w:rPr>
          <w:sz w:val="16"/>
        </w:rPr>
        <w:t>.46 This is the tragic condition of the political paradox Honig redeems for democratic thinking. In qualifying what constitutes a tragic condition Honig turns to the moral philosophy of Bernard Williams. For Williams, Honig recalls, tragic situations are ‘situations where there is no right thing to do but something must be done. Here every action is inaction.’47 Tragic situations are paradoxical ones. No matter what choice we make we are stuck. In this sense, tragedy questions the view that the subject is the sovereign master of its destiny. Tragedy raises doubts about the Platonist vision of the hyperrational ideal and the Kantian belief in the sufficiency and autonomy of the self.48 Instead</w:t>
      </w:r>
      <w:r w:rsidRPr="00D4272F">
        <w:rPr>
          <w:rStyle w:val="StyleBoldUnderline"/>
        </w:rPr>
        <w:t>, tragedy affirms the notion that the subject and its actions are vulnerable to forces and power not entirely within rational control</w:t>
      </w:r>
      <w:r w:rsidRPr="00D4272F">
        <w:rPr>
          <w:sz w:val="16"/>
        </w:rPr>
        <w:t>. Moreover, for Williams, as for Honig, ‘</w:t>
      </w:r>
      <w:r w:rsidRPr="00D4272F">
        <w:rPr>
          <w:rStyle w:val="StyleBoldUnderline"/>
        </w:rPr>
        <w:t>the question posed to the moral agent by the tragic situation is not simply what should we do in a tragic situation but what does the tragic situation do to us and how can we survive it with our moral integrity intact</w:t>
      </w:r>
      <w:r w:rsidRPr="00D4272F">
        <w:rPr>
          <w:sz w:val="16"/>
        </w:rPr>
        <w:t>?’49 The goal of moral theory is not to guide action or prescribe the normative ‘right thing’ to do, but rather to help the agent to survive the situation. ‘</w:t>
      </w:r>
      <w:r w:rsidRPr="00D4272F">
        <w:rPr>
          <w:rStyle w:val="Emphasis"/>
        </w:rPr>
        <w:t>The goal’,</w:t>
      </w:r>
      <w:r w:rsidRPr="00D4272F">
        <w:rPr>
          <w:sz w:val="16"/>
        </w:rPr>
        <w:t xml:space="preserve"> Honig writes, </w:t>
      </w:r>
      <w:r w:rsidRPr="00D4272F">
        <w:rPr>
          <w:rStyle w:val="Emphasis"/>
        </w:rPr>
        <w:t>‘is to salvage from the wreckage of the situation enough narrative unity for the self to go on</w:t>
      </w:r>
      <w:r w:rsidRPr="00D4272F">
        <w:rPr>
          <w:sz w:val="16"/>
        </w:rPr>
        <w:t xml:space="preserve">.’50 Arendt’s paradox is certainly tragic in this sense. If forgiveness is both violent, in its suddenness, and yet redeeming, in its capacity to release us from what we have violently done, we are left wedged between an impossible choice and a no less compelling imperative to act. If promising is what we do to subdue the unexpected and beckoning chaos of the future, then we must promise not to forgive, not to begin, not to do the violence required of us if we are to enter the world of appearances together and generate the conditions for power’s emergence. This tragic situation calls for a theory of survivability and survivance, for a salvaging on behalf of the self. Importantly though, I think there is more than a moral dimension to the tragedy at play in the paradox of Arendt’s treatment of violence, power, forgiveness and promising. </w:t>
      </w:r>
      <w:r w:rsidRPr="00D4272F">
        <w:rPr>
          <w:rStyle w:val="StyleBoldUnderline"/>
        </w:rPr>
        <w:t>There is a political face too. A tragic view sacralizes the restlessly ongoing and irresolvable quality of conflict endemic to human experience. It also induces a critical responsiveness to ambivalence</w:t>
      </w:r>
      <w:r w:rsidRPr="00D4272F">
        <w:rPr>
          <w:sz w:val="16"/>
        </w:rPr>
        <w:t xml:space="preserve">, what Richard Seaford calls the ‘prevalence of duality over unity’.51 </w:t>
      </w:r>
      <w:r w:rsidRPr="00D4272F">
        <w:rPr>
          <w:rStyle w:val="StyleBoldUnderline"/>
        </w:rPr>
        <w:t>Politics</w:t>
      </w:r>
      <w:r w:rsidRPr="00D4272F">
        <w:rPr>
          <w:sz w:val="16"/>
        </w:rPr>
        <w:t xml:space="preserve">, seen as a tragic condition of human life, </w:t>
      </w:r>
      <w:r w:rsidRPr="00D4272F">
        <w:rPr>
          <w:rStyle w:val="StyleBoldUnderline"/>
        </w:rPr>
        <w:t>is conceived less as a means of foreclosing the conflicts that arise out of difference and disagreement than as a channel through which they might be quickened, elaborated and honed</w:t>
      </w:r>
      <w:r w:rsidRPr="00D4272F">
        <w:rPr>
          <w:sz w:val="16"/>
        </w:rPr>
        <w:t xml:space="preserve">. In this sense, tragedy is attuned to an immensely complex field of powers, pressured encounters and civic possibilities. When conceived politically, which is to say tragically, democracy fosters robust and active modes of citizenship engaged in projects of public and counter-public building. These projects are aware both of the omnipresent and ineliminable quality of conflict and </w:t>
      </w:r>
      <w:r w:rsidRPr="00D4272F">
        <w:rPr>
          <w:rStyle w:val="StyleBoldUnderline"/>
        </w:rPr>
        <w:t>that the dynamism of this conflict is the source of political agency in the perpetually disputed and contingent character of the world held in common</w:t>
      </w:r>
      <w:r w:rsidRPr="00D4272F">
        <w:rPr>
          <w:sz w:val="16"/>
        </w:rPr>
        <w:t>. This is a world shimmering with plurality, so long as the tragedy of democratic experience is upheld.</w:t>
      </w:r>
    </w:p>
    <w:p w:rsidR="00C91DCD" w:rsidRDefault="00C91DCD" w:rsidP="00C91DCD"/>
    <w:p w:rsidR="0038612A" w:rsidRDefault="0038612A" w:rsidP="00C91DCD"/>
    <w:p w:rsidR="0038612A" w:rsidRDefault="0038612A" w:rsidP="0038612A">
      <w:pPr>
        <w:pStyle w:val="Heading3"/>
      </w:pPr>
      <w:r>
        <w:t>A2 Cant Engage the Surveillance Culture</w:t>
      </w:r>
    </w:p>
    <w:p w:rsidR="0038612A" w:rsidRDefault="0038612A" w:rsidP="0038612A"/>
    <w:p w:rsidR="0038612A" w:rsidRDefault="0038612A" w:rsidP="0038612A"/>
    <w:p w:rsidR="0038612A" w:rsidRDefault="0038612A" w:rsidP="0038612A"/>
    <w:p w:rsidR="0038612A" w:rsidRPr="005E69A0" w:rsidRDefault="0038612A" w:rsidP="0038612A">
      <w:pPr>
        <w:pStyle w:val="Heading4"/>
      </w:pPr>
      <w:r>
        <w:t>Forum exists in the FISA Court to challenge the NSA – public advocates prove</w:t>
      </w:r>
    </w:p>
    <w:p w:rsidR="0038612A" w:rsidRPr="007A7505" w:rsidRDefault="0038612A" w:rsidP="0038612A">
      <w:pPr>
        <w:rPr>
          <w:b/>
          <w:bCs/>
          <w:sz w:val="26"/>
        </w:rPr>
      </w:pPr>
      <w:r>
        <w:rPr>
          <w:rStyle w:val="StyleStyleBold12pt"/>
        </w:rPr>
        <w:t xml:space="preserve">Nolan et al. 13 </w:t>
      </w:r>
      <w:r>
        <w:t xml:space="preserve">(Andrew Nolan, Richard M. Thompson II, and Vivian S. Chu, Legislative Attorneys of the Congressional Research Service, 10/23/2013, “Introducing a Public Advocate into the Foreign Intelligence Surveillance Act’s Courts: Select Legal Issues,” </w:t>
      </w:r>
      <w:r w:rsidRPr="007A7505">
        <w:t>https://www.justsecurity.org/wp-content/uploads/2013/10/CRS-Report-FISC-Public-Advocate-Oct.-25-2013.pdf</w:t>
      </w:r>
      <w:r>
        <w:t>)</w:t>
      </w:r>
    </w:p>
    <w:p w:rsidR="0038612A" w:rsidRDefault="0038612A" w:rsidP="0038612A">
      <w:pPr>
        <w:rPr>
          <w:rStyle w:val="StyleBoldUnderline"/>
        </w:rPr>
      </w:pPr>
      <w:r w:rsidRPr="007A7505">
        <w:rPr>
          <w:sz w:val="16"/>
          <w:szCs w:val="16"/>
        </w:rPr>
        <w:t>It is a basic principle of American constitutional law that with one exception46 the Constitution only applies to the federal government and, via the Fourteenth Amendment and certain other clauses, to the governments of the states.47 Accordingly, before evaluating the constitutional implications of including a public advocate in FISA proceedings a threshold issue is to assess what the exact role of the FISA advocate is as a legal matter and, more specifically, whether the advocate is a sovereign entity that can be subject to the constraints of the Constitution</w:t>
      </w:r>
      <w:r>
        <w:t xml:space="preserve">.48 At first blush, one can argue that </w:t>
      </w:r>
      <w:r w:rsidRPr="007A7505">
        <w:rPr>
          <w:rStyle w:val="StyleBoldUnderline"/>
        </w:rPr>
        <w:t>an opposition advocate in a FISA proceeding cannot be considered a government actor, as a public advocate represents the privacy interests of either the general public</w:t>
      </w:r>
      <w:r>
        <w:t xml:space="preserve"> or those being targeted. Indeed, as one scholar noted in another context regarding the concept of a public advocate, </w:t>
      </w:r>
      <w:r w:rsidRPr="007A7505">
        <w:rPr>
          <w:rStyle w:val="StyleBoldUnderline"/>
        </w:rPr>
        <w:t>the institution itself,</w:t>
      </w:r>
      <w:r>
        <w:t xml:space="preserve"> in actively opposing the position of a government agent, </w:t>
      </w:r>
      <w:r w:rsidRPr="007A7505">
        <w:rPr>
          <w:rStyle w:val="StyleBoldUnderline"/>
        </w:rPr>
        <w:t>is “so different from the traditional three branches of government” that the advocate “would be like a fourth branch of government</w:t>
      </w:r>
      <w:r>
        <w:t xml:space="preserve">, totally different from anything contemplated by the framers at the time of the ratification of the Constitution,” and, therefore, </w:t>
      </w:r>
      <w:r w:rsidRPr="007A7505">
        <w:rPr>
          <w:rStyle w:val="StyleBoldUnderline"/>
        </w:rPr>
        <w:t>free of the constraints of the Constitution</w:t>
      </w:r>
      <w:r>
        <w:t xml:space="preserve">.49 Moreover, </w:t>
      </w:r>
      <w:r w:rsidRPr="007A7505">
        <w:rPr>
          <w:rStyle w:val="StyleBoldUnderline"/>
        </w:rPr>
        <w:t>if one assumes a public advocate is a direct analogue to that of a public defender</w:t>
      </w:r>
      <w:r>
        <w:t xml:space="preserve"> in a federal criminal case, </w:t>
      </w:r>
      <w:r w:rsidRPr="007A7505">
        <w:rPr>
          <w:rStyle w:val="StyleBoldUnderline"/>
        </w:rPr>
        <w:t>the adversarial relationship of the FISA advocate with the government arguably prevents consideration of the opposition advocate as an instrument of the federal government.</w:t>
      </w:r>
      <w:r>
        <w:t xml:space="preserve">50 Specifically, </w:t>
      </w:r>
      <w:r w:rsidRPr="007A7505">
        <w:rPr>
          <w:rStyle w:val="StyleBoldUnderline"/>
        </w:rPr>
        <w:t>a public advocate,</w:t>
      </w:r>
      <w:r>
        <w:t xml:space="preserve"> being bound by the canons of professional responsibility, </w:t>
      </w:r>
      <w:r w:rsidRPr="007A7505">
        <w:rPr>
          <w:rStyle w:val="StyleBoldUnderline"/>
        </w:rPr>
        <w:t>must exercise independent judgment on behalf of his client – the public – and cannot be considered a “servant of an administrative superior” – i.e., the government</w:t>
      </w:r>
      <w:r>
        <w:t>.51 Put another way, an opponent of the government’s position cannot be converted into its “virtual agent.”</w:t>
      </w:r>
      <w:r w:rsidRPr="007A7505">
        <w:rPr>
          <w:rStyle w:val="StyleBoldUnderline"/>
        </w:rPr>
        <w:t>52 In this light, some proposals for including an advocate have described the advocate’s client as not being the government, but the “people of the United States” in “preserving privacy and civil liberties.”53</w:t>
      </w:r>
    </w:p>
    <w:p w:rsidR="0038612A" w:rsidRDefault="0038612A" w:rsidP="0038612A"/>
    <w:p w:rsidR="0038612A" w:rsidRPr="0038612A" w:rsidRDefault="0038612A" w:rsidP="0038612A"/>
    <w:sectPr w:rsidR="0038612A" w:rsidRPr="003861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2D12" w:rsidRDefault="000C2D12" w:rsidP="005F5576">
      <w:r>
        <w:separator/>
      </w:r>
    </w:p>
  </w:endnote>
  <w:endnote w:type="continuationSeparator" w:id="0">
    <w:p w:rsidR="000C2D12" w:rsidRDefault="000C2D1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2D12" w:rsidRDefault="000C2D12" w:rsidP="005F5576">
      <w:r>
        <w:separator/>
      </w:r>
    </w:p>
  </w:footnote>
  <w:footnote w:type="continuationSeparator" w:id="0">
    <w:p w:rsidR="000C2D12" w:rsidRDefault="000C2D12"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022A"/>
    <w:rsid w:val="000022F2"/>
    <w:rsid w:val="0000459F"/>
    <w:rsid w:val="00004EB4"/>
    <w:rsid w:val="000171BA"/>
    <w:rsid w:val="0002196C"/>
    <w:rsid w:val="00021F29"/>
    <w:rsid w:val="000250C0"/>
    <w:rsid w:val="00027EED"/>
    <w:rsid w:val="0003041D"/>
    <w:rsid w:val="00033028"/>
    <w:rsid w:val="00033DA5"/>
    <w:rsid w:val="000360A7"/>
    <w:rsid w:val="00052A1D"/>
    <w:rsid w:val="00052A56"/>
    <w:rsid w:val="00055E12"/>
    <w:rsid w:val="000560A0"/>
    <w:rsid w:val="000636F1"/>
    <w:rsid w:val="0006392A"/>
    <w:rsid w:val="00064A59"/>
    <w:rsid w:val="0007162E"/>
    <w:rsid w:val="00073B9A"/>
    <w:rsid w:val="00084C77"/>
    <w:rsid w:val="0008595B"/>
    <w:rsid w:val="00090287"/>
    <w:rsid w:val="00090BA2"/>
    <w:rsid w:val="000978A3"/>
    <w:rsid w:val="00097D7E"/>
    <w:rsid w:val="000A1D39"/>
    <w:rsid w:val="000A4FA5"/>
    <w:rsid w:val="000B61C8"/>
    <w:rsid w:val="000C1421"/>
    <w:rsid w:val="000C2D12"/>
    <w:rsid w:val="000C767D"/>
    <w:rsid w:val="000D0B76"/>
    <w:rsid w:val="000D2AE5"/>
    <w:rsid w:val="000D3A26"/>
    <w:rsid w:val="000D3D8D"/>
    <w:rsid w:val="000E41A3"/>
    <w:rsid w:val="000F37E7"/>
    <w:rsid w:val="000F5352"/>
    <w:rsid w:val="00113C68"/>
    <w:rsid w:val="00114663"/>
    <w:rsid w:val="0012057B"/>
    <w:rsid w:val="00126D92"/>
    <w:rsid w:val="001301AC"/>
    <w:rsid w:val="001304DF"/>
    <w:rsid w:val="00132F98"/>
    <w:rsid w:val="0013792C"/>
    <w:rsid w:val="00140397"/>
    <w:rsid w:val="0014072D"/>
    <w:rsid w:val="0014131D"/>
    <w:rsid w:val="00141F7D"/>
    <w:rsid w:val="00141FBF"/>
    <w:rsid w:val="00144B6F"/>
    <w:rsid w:val="00152052"/>
    <w:rsid w:val="00156BDD"/>
    <w:rsid w:val="0016509D"/>
    <w:rsid w:val="0016711C"/>
    <w:rsid w:val="00167A9F"/>
    <w:rsid w:val="001711E1"/>
    <w:rsid w:val="00175018"/>
    <w:rsid w:val="00177828"/>
    <w:rsid w:val="00177A1E"/>
    <w:rsid w:val="00182D51"/>
    <w:rsid w:val="0018565A"/>
    <w:rsid w:val="0019587B"/>
    <w:rsid w:val="001A4335"/>
    <w:rsid w:val="001A4F0E"/>
    <w:rsid w:val="001B0A04"/>
    <w:rsid w:val="001B3CEC"/>
    <w:rsid w:val="001C1D82"/>
    <w:rsid w:val="001C2147"/>
    <w:rsid w:val="001C587E"/>
    <w:rsid w:val="001C7C90"/>
    <w:rsid w:val="001D0D51"/>
    <w:rsid w:val="001D7A86"/>
    <w:rsid w:val="001E4805"/>
    <w:rsid w:val="001E538D"/>
    <w:rsid w:val="001F7572"/>
    <w:rsid w:val="0020006E"/>
    <w:rsid w:val="002009AE"/>
    <w:rsid w:val="00202A11"/>
    <w:rsid w:val="0020798E"/>
    <w:rsid w:val="002101DA"/>
    <w:rsid w:val="00217499"/>
    <w:rsid w:val="00227838"/>
    <w:rsid w:val="00227C0E"/>
    <w:rsid w:val="00231C71"/>
    <w:rsid w:val="0024023F"/>
    <w:rsid w:val="00240C4E"/>
    <w:rsid w:val="00241AF5"/>
    <w:rsid w:val="00243DC0"/>
    <w:rsid w:val="002476F2"/>
    <w:rsid w:val="00250E16"/>
    <w:rsid w:val="00257696"/>
    <w:rsid w:val="0026382E"/>
    <w:rsid w:val="00272786"/>
    <w:rsid w:val="00287AB7"/>
    <w:rsid w:val="00294D00"/>
    <w:rsid w:val="002971D3"/>
    <w:rsid w:val="002A213E"/>
    <w:rsid w:val="002A612B"/>
    <w:rsid w:val="002B68A4"/>
    <w:rsid w:val="002B788B"/>
    <w:rsid w:val="002C571D"/>
    <w:rsid w:val="002C5772"/>
    <w:rsid w:val="002D0374"/>
    <w:rsid w:val="002D2946"/>
    <w:rsid w:val="002D529E"/>
    <w:rsid w:val="002D6BD6"/>
    <w:rsid w:val="002E4DD9"/>
    <w:rsid w:val="002F0314"/>
    <w:rsid w:val="00300EBB"/>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6F0A"/>
    <w:rsid w:val="003745B1"/>
    <w:rsid w:val="00376C22"/>
    <w:rsid w:val="00382AAF"/>
    <w:rsid w:val="00383E0A"/>
    <w:rsid w:val="003847C7"/>
    <w:rsid w:val="00384DEB"/>
    <w:rsid w:val="00385298"/>
    <w:rsid w:val="003852CE"/>
    <w:rsid w:val="0038612A"/>
    <w:rsid w:val="0038647A"/>
    <w:rsid w:val="003928C7"/>
    <w:rsid w:val="00392E92"/>
    <w:rsid w:val="00395C83"/>
    <w:rsid w:val="003A2A3B"/>
    <w:rsid w:val="003A440C"/>
    <w:rsid w:val="003B024E"/>
    <w:rsid w:val="003B0C84"/>
    <w:rsid w:val="003B183E"/>
    <w:rsid w:val="003B2F3E"/>
    <w:rsid w:val="003B55B7"/>
    <w:rsid w:val="003C756E"/>
    <w:rsid w:val="003D039B"/>
    <w:rsid w:val="003D2C33"/>
    <w:rsid w:val="003D716B"/>
    <w:rsid w:val="003E1574"/>
    <w:rsid w:val="003E1F57"/>
    <w:rsid w:val="003E4831"/>
    <w:rsid w:val="003E48DE"/>
    <w:rsid w:val="003E7E8B"/>
    <w:rsid w:val="003F3030"/>
    <w:rsid w:val="003F36D1"/>
    <w:rsid w:val="003F47AE"/>
    <w:rsid w:val="00403971"/>
    <w:rsid w:val="004053AE"/>
    <w:rsid w:val="00407386"/>
    <w:rsid w:val="004138EF"/>
    <w:rsid w:val="004167B6"/>
    <w:rsid w:val="004319DE"/>
    <w:rsid w:val="00435232"/>
    <w:rsid w:val="004400EA"/>
    <w:rsid w:val="00450882"/>
    <w:rsid w:val="00451C20"/>
    <w:rsid w:val="00452001"/>
    <w:rsid w:val="0045442E"/>
    <w:rsid w:val="004564E2"/>
    <w:rsid w:val="00462418"/>
    <w:rsid w:val="00471A70"/>
    <w:rsid w:val="00473A79"/>
    <w:rsid w:val="004746F7"/>
    <w:rsid w:val="00475E03"/>
    <w:rsid w:val="00476723"/>
    <w:rsid w:val="0047798D"/>
    <w:rsid w:val="004931DE"/>
    <w:rsid w:val="004A6083"/>
    <w:rsid w:val="004A6E81"/>
    <w:rsid w:val="004A7806"/>
    <w:rsid w:val="004B0545"/>
    <w:rsid w:val="004B7E46"/>
    <w:rsid w:val="004C0246"/>
    <w:rsid w:val="004D1837"/>
    <w:rsid w:val="004D3745"/>
    <w:rsid w:val="004D3987"/>
    <w:rsid w:val="004E294C"/>
    <w:rsid w:val="004E3132"/>
    <w:rsid w:val="004E552E"/>
    <w:rsid w:val="004E656D"/>
    <w:rsid w:val="004F0849"/>
    <w:rsid w:val="004F173C"/>
    <w:rsid w:val="004F1B8C"/>
    <w:rsid w:val="004F33F3"/>
    <w:rsid w:val="004F45B0"/>
    <w:rsid w:val="004F7168"/>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97E78"/>
    <w:rsid w:val="005A506B"/>
    <w:rsid w:val="005A701C"/>
    <w:rsid w:val="005A7D23"/>
    <w:rsid w:val="005B2444"/>
    <w:rsid w:val="005B2D14"/>
    <w:rsid w:val="005B3140"/>
    <w:rsid w:val="005C0B05"/>
    <w:rsid w:val="005D1156"/>
    <w:rsid w:val="005E0681"/>
    <w:rsid w:val="005E170D"/>
    <w:rsid w:val="005E3B08"/>
    <w:rsid w:val="005E3FE4"/>
    <w:rsid w:val="005E572E"/>
    <w:rsid w:val="005F5576"/>
    <w:rsid w:val="00600102"/>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3FCD"/>
    <w:rsid w:val="006B054D"/>
    <w:rsid w:val="006B302F"/>
    <w:rsid w:val="006C64D4"/>
    <w:rsid w:val="006E53F0"/>
    <w:rsid w:val="006F46C3"/>
    <w:rsid w:val="006F7CDF"/>
    <w:rsid w:val="00700BDB"/>
    <w:rsid w:val="0070121B"/>
    <w:rsid w:val="00701E73"/>
    <w:rsid w:val="00711FE2"/>
    <w:rsid w:val="00712649"/>
    <w:rsid w:val="007149F2"/>
    <w:rsid w:val="00714BC9"/>
    <w:rsid w:val="00723721"/>
    <w:rsid w:val="00723F91"/>
    <w:rsid w:val="00725623"/>
    <w:rsid w:val="0074188E"/>
    <w:rsid w:val="00743059"/>
    <w:rsid w:val="00744B46"/>
    <w:rsid w:val="00744F58"/>
    <w:rsid w:val="00750CED"/>
    <w:rsid w:val="00754649"/>
    <w:rsid w:val="00760A29"/>
    <w:rsid w:val="00771E18"/>
    <w:rsid w:val="007739F1"/>
    <w:rsid w:val="007745C6"/>
    <w:rsid w:val="007755F6"/>
    <w:rsid w:val="007761AD"/>
    <w:rsid w:val="00777387"/>
    <w:rsid w:val="007815E5"/>
    <w:rsid w:val="00781B35"/>
    <w:rsid w:val="00787343"/>
    <w:rsid w:val="00790BFA"/>
    <w:rsid w:val="00791121"/>
    <w:rsid w:val="00791C88"/>
    <w:rsid w:val="0079696E"/>
    <w:rsid w:val="00797B76"/>
    <w:rsid w:val="007A3D06"/>
    <w:rsid w:val="007B383B"/>
    <w:rsid w:val="007C350D"/>
    <w:rsid w:val="007C3689"/>
    <w:rsid w:val="007C3C9B"/>
    <w:rsid w:val="007C6035"/>
    <w:rsid w:val="007D1349"/>
    <w:rsid w:val="007D3012"/>
    <w:rsid w:val="007D65A7"/>
    <w:rsid w:val="007E3F59"/>
    <w:rsid w:val="007E5043"/>
    <w:rsid w:val="007E5183"/>
    <w:rsid w:val="007F0C3A"/>
    <w:rsid w:val="00801D93"/>
    <w:rsid w:val="00802F9C"/>
    <w:rsid w:val="00804BD0"/>
    <w:rsid w:val="008105AA"/>
    <w:rsid w:val="008133F9"/>
    <w:rsid w:val="00823AAC"/>
    <w:rsid w:val="00827C68"/>
    <w:rsid w:val="00835148"/>
    <w:rsid w:val="0084229B"/>
    <w:rsid w:val="00854C66"/>
    <w:rsid w:val="008553E1"/>
    <w:rsid w:val="00855BD7"/>
    <w:rsid w:val="008716EE"/>
    <w:rsid w:val="00872E99"/>
    <w:rsid w:val="0087643B"/>
    <w:rsid w:val="00877669"/>
    <w:rsid w:val="00882F67"/>
    <w:rsid w:val="00887244"/>
    <w:rsid w:val="00897F92"/>
    <w:rsid w:val="008A64C9"/>
    <w:rsid w:val="008B180A"/>
    <w:rsid w:val="008B24B7"/>
    <w:rsid w:val="008C2CD8"/>
    <w:rsid w:val="008C5743"/>
    <w:rsid w:val="008C68EE"/>
    <w:rsid w:val="008C7F44"/>
    <w:rsid w:val="008D1080"/>
    <w:rsid w:val="008D4273"/>
    <w:rsid w:val="008D4EF3"/>
    <w:rsid w:val="008E0E4F"/>
    <w:rsid w:val="008E1FD5"/>
    <w:rsid w:val="008E4139"/>
    <w:rsid w:val="008E5B6A"/>
    <w:rsid w:val="008F322F"/>
    <w:rsid w:val="008F3D17"/>
    <w:rsid w:val="00907DFE"/>
    <w:rsid w:val="00914596"/>
    <w:rsid w:val="009146BF"/>
    <w:rsid w:val="00915AD4"/>
    <w:rsid w:val="00915EF1"/>
    <w:rsid w:val="00924C08"/>
    <w:rsid w:val="00927D88"/>
    <w:rsid w:val="00930D1F"/>
    <w:rsid w:val="00935127"/>
    <w:rsid w:val="0094025E"/>
    <w:rsid w:val="0094256C"/>
    <w:rsid w:val="00953F11"/>
    <w:rsid w:val="00967859"/>
    <w:rsid w:val="009706C1"/>
    <w:rsid w:val="00976675"/>
    <w:rsid w:val="00976FBF"/>
    <w:rsid w:val="00984B38"/>
    <w:rsid w:val="009A0636"/>
    <w:rsid w:val="009A6FF5"/>
    <w:rsid w:val="009B2B47"/>
    <w:rsid w:val="009B35DB"/>
    <w:rsid w:val="009B44AB"/>
    <w:rsid w:val="009C4298"/>
    <w:rsid w:val="009D318C"/>
    <w:rsid w:val="009F325A"/>
    <w:rsid w:val="009F7E98"/>
    <w:rsid w:val="00A10B8B"/>
    <w:rsid w:val="00A141D6"/>
    <w:rsid w:val="00A20D78"/>
    <w:rsid w:val="00A2174A"/>
    <w:rsid w:val="00A22BAF"/>
    <w:rsid w:val="00A26733"/>
    <w:rsid w:val="00A33A10"/>
    <w:rsid w:val="00A3595E"/>
    <w:rsid w:val="00A411D7"/>
    <w:rsid w:val="00A46C7F"/>
    <w:rsid w:val="00A73245"/>
    <w:rsid w:val="00A77145"/>
    <w:rsid w:val="00A77A41"/>
    <w:rsid w:val="00A82989"/>
    <w:rsid w:val="00A904FE"/>
    <w:rsid w:val="00A9262C"/>
    <w:rsid w:val="00A95410"/>
    <w:rsid w:val="00AB06A5"/>
    <w:rsid w:val="00AB3B76"/>
    <w:rsid w:val="00AB61DD"/>
    <w:rsid w:val="00AC222F"/>
    <w:rsid w:val="00AC2CC7"/>
    <w:rsid w:val="00AC7B3B"/>
    <w:rsid w:val="00AD3CE6"/>
    <w:rsid w:val="00AE1307"/>
    <w:rsid w:val="00AE7586"/>
    <w:rsid w:val="00AF0E63"/>
    <w:rsid w:val="00AF40F8"/>
    <w:rsid w:val="00AF7A65"/>
    <w:rsid w:val="00B045A5"/>
    <w:rsid w:val="00B06710"/>
    <w:rsid w:val="00B07EBF"/>
    <w:rsid w:val="00B10F23"/>
    <w:rsid w:val="00B15565"/>
    <w:rsid w:val="00B166CB"/>
    <w:rsid w:val="00B167F7"/>
    <w:rsid w:val="00B235E1"/>
    <w:rsid w:val="00B272CF"/>
    <w:rsid w:val="00B3145D"/>
    <w:rsid w:val="00B357BA"/>
    <w:rsid w:val="00B45786"/>
    <w:rsid w:val="00B473A8"/>
    <w:rsid w:val="00B52C5B"/>
    <w:rsid w:val="00B564DB"/>
    <w:rsid w:val="00B768B6"/>
    <w:rsid w:val="00B816A3"/>
    <w:rsid w:val="00B908D1"/>
    <w:rsid w:val="00B940D1"/>
    <w:rsid w:val="00BB46BD"/>
    <w:rsid w:val="00BB58BD"/>
    <w:rsid w:val="00BB6A26"/>
    <w:rsid w:val="00BC1034"/>
    <w:rsid w:val="00BD109E"/>
    <w:rsid w:val="00BD73CA"/>
    <w:rsid w:val="00BE2408"/>
    <w:rsid w:val="00BE3EC6"/>
    <w:rsid w:val="00BE5BEB"/>
    <w:rsid w:val="00BE6528"/>
    <w:rsid w:val="00C0022A"/>
    <w:rsid w:val="00C0087A"/>
    <w:rsid w:val="00C05F9D"/>
    <w:rsid w:val="00C27212"/>
    <w:rsid w:val="00C27EBD"/>
    <w:rsid w:val="00C34185"/>
    <w:rsid w:val="00C42DD6"/>
    <w:rsid w:val="00C545E7"/>
    <w:rsid w:val="00C66858"/>
    <w:rsid w:val="00C67A66"/>
    <w:rsid w:val="00C72E69"/>
    <w:rsid w:val="00C7411E"/>
    <w:rsid w:val="00C84988"/>
    <w:rsid w:val="00C91DCD"/>
    <w:rsid w:val="00CA4AF6"/>
    <w:rsid w:val="00CA59CA"/>
    <w:rsid w:val="00CB2356"/>
    <w:rsid w:val="00CB4075"/>
    <w:rsid w:val="00CB45A8"/>
    <w:rsid w:val="00CB4E6D"/>
    <w:rsid w:val="00CC23DE"/>
    <w:rsid w:val="00CD3E3A"/>
    <w:rsid w:val="00CD7459"/>
    <w:rsid w:val="00CE55A6"/>
    <w:rsid w:val="00CF0E82"/>
    <w:rsid w:val="00CF13FC"/>
    <w:rsid w:val="00CF4AAF"/>
    <w:rsid w:val="00CF561A"/>
    <w:rsid w:val="00CF6C18"/>
    <w:rsid w:val="00CF7EA8"/>
    <w:rsid w:val="00D004DA"/>
    <w:rsid w:val="00D01673"/>
    <w:rsid w:val="00D0309A"/>
    <w:rsid w:val="00D07BA4"/>
    <w:rsid w:val="00D109BA"/>
    <w:rsid w:val="00D1476F"/>
    <w:rsid w:val="00D176BE"/>
    <w:rsid w:val="00D17C4E"/>
    <w:rsid w:val="00D17D0B"/>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5A3C"/>
    <w:rsid w:val="00D66ABC"/>
    <w:rsid w:val="00D71CFC"/>
    <w:rsid w:val="00D86024"/>
    <w:rsid w:val="00D94CA3"/>
    <w:rsid w:val="00D96595"/>
    <w:rsid w:val="00DA018C"/>
    <w:rsid w:val="00DA0CAA"/>
    <w:rsid w:val="00DA3C9D"/>
    <w:rsid w:val="00DA68A0"/>
    <w:rsid w:val="00DB0F7E"/>
    <w:rsid w:val="00DB5489"/>
    <w:rsid w:val="00DB6C98"/>
    <w:rsid w:val="00DC4FF8"/>
    <w:rsid w:val="00DC701C"/>
    <w:rsid w:val="00DD7039"/>
    <w:rsid w:val="00DD7F91"/>
    <w:rsid w:val="00DE637A"/>
    <w:rsid w:val="00E00376"/>
    <w:rsid w:val="00E01016"/>
    <w:rsid w:val="00E043B1"/>
    <w:rsid w:val="00E05700"/>
    <w:rsid w:val="00E14EBD"/>
    <w:rsid w:val="00E16734"/>
    <w:rsid w:val="00E1723E"/>
    <w:rsid w:val="00E17DBD"/>
    <w:rsid w:val="00E23260"/>
    <w:rsid w:val="00E2367A"/>
    <w:rsid w:val="00E27BC7"/>
    <w:rsid w:val="00E35FC9"/>
    <w:rsid w:val="00E377A4"/>
    <w:rsid w:val="00E41346"/>
    <w:rsid w:val="00E420E9"/>
    <w:rsid w:val="00E4635D"/>
    <w:rsid w:val="00E61D76"/>
    <w:rsid w:val="00E65081"/>
    <w:rsid w:val="00E67132"/>
    <w:rsid w:val="00E674DB"/>
    <w:rsid w:val="00E70912"/>
    <w:rsid w:val="00E71C74"/>
    <w:rsid w:val="00E75F28"/>
    <w:rsid w:val="00E859F6"/>
    <w:rsid w:val="00E90AA6"/>
    <w:rsid w:val="00E977B8"/>
    <w:rsid w:val="00E97AD1"/>
    <w:rsid w:val="00EA109B"/>
    <w:rsid w:val="00EA15A8"/>
    <w:rsid w:val="00EA2926"/>
    <w:rsid w:val="00EB2CDE"/>
    <w:rsid w:val="00EC1A81"/>
    <w:rsid w:val="00EC7E5C"/>
    <w:rsid w:val="00ED7743"/>
    <w:rsid w:val="00ED78F1"/>
    <w:rsid w:val="00EE4DCA"/>
    <w:rsid w:val="00EE5F04"/>
    <w:rsid w:val="00EF0F62"/>
    <w:rsid w:val="00F007E1"/>
    <w:rsid w:val="00F0134E"/>
    <w:rsid w:val="00F057C6"/>
    <w:rsid w:val="00F17D96"/>
    <w:rsid w:val="00F22565"/>
    <w:rsid w:val="00F31BBD"/>
    <w:rsid w:val="00F3380E"/>
    <w:rsid w:val="00F34E2C"/>
    <w:rsid w:val="00F40689"/>
    <w:rsid w:val="00F40837"/>
    <w:rsid w:val="00F42F79"/>
    <w:rsid w:val="00F47773"/>
    <w:rsid w:val="00F5019D"/>
    <w:rsid w:val="00F56308"/>
    <w:rsid w:val="00F61A4F"/>
    <w:rsid w:val="00F634D6"/>
    <w:rsid w:val="00F64385"/>
    <w:rsid w:val="00F6473F"/>
    <w:rsid w:val="00F64D2B"/>
    <w:rsid w:val="00F73A26"/>
    <w:rsid w:val="00F76366"/>
    <w:rsid w:val="00F805C0"/>
    <w:rsid w:val="00FA364E"/>
    <w:rsid w:val="00FA3979"/>
    <w:rsid w:val="00FB4261"/>
    <w:rsid w:val="00FB43B1"/>
    <w:rsid w:val="00FC0608"/>
    <w:rsid w:val="00FC12FD"/>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FC12FD"/>
    <w:pPr>
      <w:spacing w:after="160" w:line="259" w:lineRule="auto"/>
    </w:pPr>
    <w:rPr>
      <w:rFonts w:ascii="Arial" w:hAnsi="Arial" w:cs="Arial"/>
    </w:rPr>
  </w:style>
  <w:style w:type="paragraph" w:styleId="Heading1">
    <w:name w:val="heading 1"/>
    <w:aliases w:val="Pocket"/>
    <w:basedOn w:val="Normal"/>
    <w:next w:val="Normal"/>
    <w:link w:val="Heading1Char"/>
    <w:qFormat/>
    <w:rsid w:val="00FC12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C12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C12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FC12F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C12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12FD"/>
  </w:style>
  <w:style w:type="character" w:customStyle="1" w:styleId="Heading1Char">
    <w:name w:val="Heading 1 Char"/>
    <w:aliases w:val="Pocket Char"/>
    <w:basedOn w:val="DefaultParagraphFont"/>
    <w:link w:val="Heading1"/>
    <w:rsid w:val="00FC12F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C12FD"/>
    <w:rPr>
      <w:rFonts w:ascii="Arial" w:eastAsiaTheme="majorEastAsia" w:hAnsi="Arial" w:cstheme="majorBidi"/>
      <w:b/>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FC12FD"/>
    <w:rPr>
      <w:rFonts w:ascii="Arial" w:hAnsi="Arial" w:cs="Arial"/>
      <w:b/>
      <w:i w:val="0"/>
      <w:iCs/>
      <w:sz w:val="22"/>
      <w:u w:val="single"/>
      <w:bdr w:val="single" w:sz="12"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2"/>
    <w:rsid w:val="00FC12FD"/>
    <w:rPr>
      <w:rFonts w:ascii="Arial" w:eastAsiaTheme="majorEastAsia" w:hAnsi="Arial" w:cstheme="majorBidi"/>
      <w:b/>
      <w:sz w:val="32"/>
      <w:szCs w:val="24"/>
      <w:u w:val="single"/>
    </w:rPr>
  </w:style>
  <w:style w:type="character" w:customStyle="1" w:styleId="StyleBoldUnderline">
    <w:name w:val="Style Bold Underline"/>
    <w:aliases w:val="Underline,Style Underline,apple-style-span + 6 pt,Bold,Kern at 16 pt,Intense Emphasis1,Intense Emphasis2,Intense Emphasis11,Intense Emphasis111,HHeading 3 + 12 pt,Cards + Font: 12 pt Char,Citation Char Char Char,ci,Style,c,Title Cha"/>
    <w:basedOn w:val="DefaultParagraphFont"/>
    <w:uiPriority w:val="6"/>
    <w:qFormat/>
    <w:rsid w:val="00FC12FD"/>
    <w:rPr>
      <w:b/>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FC12FD"/>
    <w:rPr>
      <w:b/>
      <w:bCs/>
      <w:sz w:val="26"/>
      <w:u w:val="singl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Read,Important,Card Text,Internet Link,Analytic Text"/>
    <w:basedOn w:val="DefaultParagraphFont"/>
    <w:uiPriority w:val="99"/>
    <w:unhideWhenUsed/>
    <w:rsid w:val="00FC12FD"/>
    <w:rPr>
      <w:color w:val="auto"/>
      <w:u w:val="none"/>
    </w:rPr>
  </w:style>
  <w:style w:type="character" w:styleId="FollowedHyperlink">
    <w:name w:val="FollowedHyperlink"/>
    <w:basedOn w:val="DefaultParagraphFont"/>
    <w:uiPriority w:val="99"/>
    <w:semiHidden/>
    <w:unhideWhenUsed/>
    <w:rsid w:val="00FC12FD"/>
    <w:rPr>
      <w:color w:val="auto"/>
      <w:u w:val="non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FC12FD"/>
    <w:rPr>
      <w:rFonts w:ascii="Arial" w:eastAsiaTheme="majorEastAsia" w:hAnsi="Arial" w:cstheme="majorBidi"/>
      <w:b/>
      <w:iCs/>
      <w:sz w:val="26"/>
    </w:rPr>
  </w:style>
  <w:style w:type="paragraph" w:customStyle="1" w:styleId="textbold">
    <w:name w:val="text bold"/>
    <w:basedOn w:val="Normal"/>
    <w:link w:val="Emphasis"/>
    <w:uiPriority w:val="7"/>
    <w:qFormat/>
    <w:rsid w:val="00C91DCD"/>
    <w:pPr>
      <w:pBdr>
        <w:top w:val="single" w:sz="4" w:space="0" w:color="auto"/>
        <w:left w:val="single" w:sz="4" w:space="0" w:color="auto"/>
        <w:bottom w:val="single" w:sz="4" w:space="0" w:color="auto"/>
        <w:right w:val="single" w:sz="4" w:space="0" w:color="auto"/>
      </w:pBdr>
      <w:spacing w:line="256" w:lineRule="auto"/>
      <w:ind w:left="720"/>
    </w:pPr>
    <w:rPr>
      <w:b/>
      <w:iCs/>
      <w:u w:val="single"/>
      <w:bdr w:val="single" w:sz="12" w:space="0" w:color="auto"/>
    </w:rPr>
  </w:style>
  <w:style w:type="character" w:customStyle="1" w:styleId="apple-converted-space">
    <w:name w:val="apple-converted-space"/>
    <w:basedOn w:val="DefaultParagraphFont"/>
    <w:rsid w:val="00C91DC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FC12FD"/>
    <w:pPr>
      <w:spacing w:after="160" w:line="259" w:lineRule="auto"/>
    </w:pPr>
    <w:rPr>
      <w:rFonts w:ascii="Arial" w:hAnsi="Arial" w:cs="Arial"/>
    </w:rPr>
  </w:style>
  <w:style w:type="paragraph" w:styleId="Heading1">
    <w:name w:val="heading 1"/>
    <w:aliases w:val="Pocket"/>
    <w:basedOn w:val="Normal"/>
    <w:next w:val="Normal"/>
    <w:link w:val="Heading1Char"/>
    <w:qFormat/>
    <w:rsid w:val="00FC12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C12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C12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FC12F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C12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12FD"/>
  </w:style>
  <w:style w:type="character" w:customStyle="1" w:styleId="Heading1Char">
    <w:name w:val="Heading 1 Char"/>
    <w:aliases w:val="Pocket Char"/>
    <w:basedOn w:val="DefaultParagraphFont"/>
    <w:link w:val="Heading1"/>
    <w:rsid w:val="00FC12F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C12FD"/>
    <w:rPr>
      <w:rFonts w:ascii="Arial" w:eastAsiaTheme="majorEastAsia" w:hAnsi="Arial" w:cstheme="majorBidi"/>
      <w:b/>
      <w:sz w:val="44"/>
      <w:szCs w:val="26"/>
      <w:u w:val="doub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FC12FD"/>
    <w:rPr>
      <w:rFonts w:ascii="Arial" w:hAnsi="Arial" w:cs="Arial"/>
      <w:b/>
      <w:i w:val="0"/>
      <w:iCs/>
      <w:sz w:val="22"/>
      <w:u w:val="single"/>
      <w:bdr w:val="single" w:sz="12"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2"/>
    <w:rsid w:val="00FC12FD"/>
    <w:rPr>
      <w:rFonts w:ascii="Arial" w:eastAsiaTheme="majorEastAsia" w:hAnsi="Arial" w:cstheme="majorBidi"/>
      <w:b/>
      <w:sz w:val="32"/>
      <w:szCs w:val="24"/>
      <w:u w:val="single"/>
    </w:rPr>
  </w:style>
  <w:style w:type="character" w:customStyle="1" w:styleId="StyleBoldUnderline">
    <w:name w:val="Style Bold Underline"/>
    <w:aliases w:val="Underline,Style Underline,apple-style-span + 6 pt,Bold,Kern at 16 pt,Intense Emphasis1,Intense Emphasis2,Intense Emphasis11,Intense Emphasis111,HHeading 3 + 12 pt,Cards + Font: 12 pt Char,Citation Char Char Char,ci,Style,c,Title Cha"/>
    <w:basedOn w:val="DefaultParagraphFont"/>
    <w:uiPriority w:val="6"/>
    <w:qFormat/>
    <w:rsid w:val="00FC12FD"/>
    <w:rPr>
      <w:b/>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FC12FD"/>
    <w:rPr>
      <w:b/>
      <w:bCs/>
      <w:sz w:val="26"/>
      <w:u w:val="singl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Read,Important,Card Text,Internet Link,Analytic Text"/>
    <w:basedOn w:val="DefaultParagraphFont"/>
    <w:uiPriority w:val="99"/>
    <w:unhideWhenUsed/>
    <w:rsid w:val="00FC12FD"/>
    <w:rPr>
      <w:color w:val="auto"/>
      <w:u w:val="none"/>
    </w:rPr>
  </w:style>
  <w:style w:type="character" w:styleId="FollowedHyperlink">
    <w:name w:val="FollowedHyperlink"/>
    <w:basedOn w:val="DefaultParagraphFont"/>
    <w:uiPriority w:val="99"/>
    <w:semiHidden/>
    <w:unhideWhenUsed/>
    <w:rsid w:val="00FC12FD"/>
    <w:rPr>
      <w:color w:val="auto"/>
      <w:u w:val="non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FC12FD"/>
    <w:rPr>
      <w:rFonts w:ascii="Arial" w:eastAsiaTheme="majorEastAsia" w:hAnsi="Arial" w:cstheme="majorBidi"/>
      <w:b/>
      <w:iCs/>
      <w:sz w:val="26"/>
    </w:rPr>
  </w:style>
  <w:style w:type="paragraph" w:customStyle="1" w:styleId="textbold">
    <w:name w:val="text bold"/>
    <w:basedOn w:val="Normal"/>
    <w:link w:val="Emphasis"/>
    <w:uiPriority w:val="7"/>
    <w:qFormat/>
    <w:rsid w:val="00C91DCD"/>
    <w:pPr>
      <w:pBdr>
        <w:top w:val="single" w:sz="4" w:space="0" w:color="auto"/>
        <w:left w:val="single" w:sz="4" w:space="0" w:color="auto"/>
        <w:bottom w:val="single" w:sz="4" w:space="0" w:color="auto"/>
        <w:right w:val="single" w:sz="4" w:space="0" w:color="auto"/>
      </w:pBdr>
      <w:spacing w:line="256" w:lineRule="auto"/>
      <w:ind w:left="720"/>
    </w:pPr>
    <w:rPr>
      <w:b/>
      <w:iCs/>
      <w:u w:val="single"/>
      <w:bdr w:val="single" w:sz="12" w:space="0" w:color="auto"/>
    </w:rPr>
  </w:style>
  <w:style w:type="character" w:customStyle="1" w:styleId="apple-converted-space">
    <w:name w:val="apple-converted-space"/>
    <w:basedOn w:val="DefaultParagraphFont"/>
    <w:rsid w:val="00C91D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tandfonline.com/doi/pdf/10.1080/14680770120062141)//HB"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heinonline.org/HOL/Page?handle=hein.journals/illlr87&amp;div=45&amp;g_sent=1&amp;collection=journals" TargetMode="External"/><Relationship Id="rId17" Type="http://schemas.openxmlformats.org/officeDocument/2006/relationships/hyperlink" Target="http://heinonline.org/HOL/Page?handle=hein.journals/frdurb27&amp;div=61&amp;g_sent=1&amp;collection=journals" TargetMode="External"/><Relationship Id="rId2" Type="http://schemas.openxmlformats.org/officeDocument/2006/relationships/customXml" Target="../customXml/item2.xml"/><Relationship Id="rId16" Type="http://schemas.openxmlformats.org/officeDocument/2006/relationships/hyperlink" Target="http://www.law.harvard.edu/faculty/guinier/publications/bu-courting.pdf//D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brennan.3cdn.net/b80aa0bab0b425857d_jdm6b8776.pdf"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etheses.whiterose.ac.uk/269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88EEFD4-C6DC-4294-9808-37C3D2587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8</Pages>
  <Words>12386</Words>
  <Characters>70605</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82826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Jamesherndon3</dc:creator>
  <cp:keywords>Verbatim</cp:keywords>
  <dc:description>Verbatim 4.6</dc:description>
  <cp:lastModifiedBy>Eric Forslund</cp:lastModifiedBy>
  <cp:revision>2</cp:revision>
  <dcterms:created xsi:type="dcterms:W3CDTF">2015-07-30T14:44:00Z</dcterms:created>
  <dcterms:modified xsi:type="dcterms:W3CDTF">2015-07-30T14:44:00Z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