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4896" w:rsidRDefault="00324896" w:rsidP="00324896">
      <w:pPr>
        <w:pStyle w:val="Heading3"/>
      </w:pPr>
      <w:bookmarkStart w:id="0" w:name="_GoBack"/>
      <w:bookmarkEnd w:id="0"/>
      <w:r>
        <w:t xml:space="preserve">AT: Circumvention </w:t>
      </w:r>
    </w:p>
    <w:p w:rsidR="00324896" w:rsidRDefault="00324896" w:rsidP="00324896">
      <w:pPr>
        <w:pStyle w:val="Heading4"/>
      </w:pPr>
      <w:r>
        <w:t xml:space="preserve">DOJ complies – </w:t>
      </w:r>
      <w:r w:rsidRPr="00324896">
        <w:rPr>
          <w:u w:val="single"/>
        </w:rPr>
        <w:t>empirics prove</w:t>
      </w:r>
      <w:r>
        <w:t xml:space="preserve"> </w:t>
      </w:r>
    </w:p>
    <w:p w:rsidR="00324896" w:rsidRDefault="00324896" w:rsidP="00B55AD5">
      <w:r w:rsidRPr="00324896">
        <w:rPr>
          <w:rStyle w:val="Style13ptBold"/>
        </w:rPr>
        <w:t>Maines 15</w:t>
      </w:r>
      <w:r>
        <w:t xml:space="preserve"> (Patrick, president of the Media Institute, a nonprofit organization that promotes free speech, sound communications policy and excellence in journalism, “The LEADS Act and cloud computing,” March 30, </w:t>
      </w:r>
      <w:hyperlink r:id="rId7" w:history="1">
        <w:r w:rsidRPr="004E6722">
          <w:rPr>
            <w:rStyle w:val="Hyperlink"/>
          </w:rPr>
          <w:t>http://thehill.com/blogs/pundits-blog/technology/237328-the-leads-act-and-cloud-computing</w:t>
        </w:r>
      </w:hyperlink>
      <w:r>
        <w:t xml:space="preserve">, CMR) </w:t>
      </w:r>
    </w:p>
    <w:p w:rsidR="00324896" w:rsidRPr="00324896" w:rsidRDefault="00324896" w:rsidP="00B55AD5">
      <w:pPr>
        <w:rPr>
          <w:sz w:val="16"/>
        </w:rPr>
      </w:pPr>
    </w:p>
    <w:p w:rsidR="00324896" w:rsidRPr="00324896" w:rsidRDefault="00324896" w:rsidP="00B55AD5">
      <w:pPr>
        <w:rPr>
          <w:sz w:val="16"/>
        </w:rPr>
      </w:pPr>
      <w:r w:rsidRPr="00324896">
        <w:rPr>
          <w:sz w:val="16"/>
        </w:rPr>
        <w:t xml:space="preserve">For media companies, these are not abstract questions. As </w:t>
      </w:r>
      <w:r w:rsidRPr="00324896">
        <w:rPr>
          <w:rStyle w:val="StyleUnderline"/>
          <w:highlight w:val="green"/>
        </w:rPr>
        <w:t>the</w:t>
      </w:r>
      <w:r w:rsidRPr="00324896">
        <w:rPr>
          <w:sz w:val="16"/>
        </w:rPr>
        <w:t xml:space="preserve"> Department of Justice (</w:t>
      </w:r>
      <w:r w:rsidRPr="00324896">
        <w:rPr>
          <w:rStyle w:val="StyleUnderline"/>
          <w:highlight w:val="green"/>
        </w:rPr>
        <w:t>DOJ</w:t>
      </w:r>
      <w:r w:rsidRPr="00324896">
        <w:rPr>
          <w:sz w:val="16"/>
          <w:highlight w:val="green"/>
        </w:rPr>
        <w:t xml:space="preserve">) </w:t>
      </w:r>
      <w:r w:rsidRPr="00324896">
        <w:rPr>
          <w:rStyle w:val="Emphasis"/>
          <w:highlight w:val="green"/>
        </w:rPr>
        <w:t>recognized</w:t>
      </w:r>
      <w:r w:rsidRPr="00324896">
        <w:rPr>
          <w:sz w:val="16"/>
          <w:highlight w:val="green"/>
        </w:rPr>
        <w:t xml:space="preserve"> </w:t>
      </w:r>
      <w:r w:rsidRPr="00324896">
        <w:rPr>
          <w:rStyle w:val="StyleUnderline"/>
          <w:highlight w:val="green"/>
        </w:rPr>
        <w:t xml:space="preserve">in </w:t>
      </w:r>
      <w:r w:rsidRPr="00324896">
        <w:rPr>
          <w:rStyle w:val="Emphasis"/>
          <w:highlight w:val="green"/>
        </w:rPr>
        <w:t>updating its rules</w:t>
      </w:r>
      <w:r w:rsidRPr="00324896">
        <w:rPr>
          <w:sz w:val="16"/>
        </w:rPr>
        <w:t xml:space="preserve"> regarding subpoenas to reporters, </w:t>
      </w:r>
      <w:r w:rsidRPr="00324896">
        <w:rPr>
          <w:rStyle w:val="StyleUnderline"/>
          <w:highlight w:val="green"/>
        </w:rPr>
        <w:t>maintaining</w:t>
      </w:r>
      <w:r w:rsidRPr="00324896">
        <w:rPr>
          <w:rStyle w:val="StyleUnderline"/>
        </w:rPr>
        <w:t xml:space="preserve"> the </w:t>
      </w:r>
      <w:r w:rsidRPr="00324896">
        <w:rPr>
          <w:rStyle w:val="StyleUnderline"/>
          <w:highlight w:val="green"/>
        </w:rPr>
        <w:t>confidentiality of</w:t>
      </w:r>
      <w:r w:rsidRPr="00324896">
        <w:rPr>
          <w:rStyle w:val="StyleUnderline"/>
        </w:rPr>
        <w:t xml:space="preserve"> the </w:t>
      </w:r>
      <w:r w:rsidRPr="00324896">
        <w:rPr>
          <w:rStyle w:val="StyleUnderline"/>
          <w:highlight w:val="green"/>
        </w:rPr>
        <w:t>newsgathering</w:t>
      </w:r>
      <w:r w:rsidRPr="00324896">
        <w:rPr>
          <w:rStyle w:val="StyleUnderline"/>
        </w:rPr>
        <w:t xml:space="preserve"> process </w:t>
      </w:r>
      <w:r w:rsidRPr="00324896">
        <w:rPr>
          <w:rStyle w:val="StyleUnderline"/>
          <w:highlight w:val="green"/>
        </w:rPr>
        <w:t>is essential to</w:t>
      </w:r>
      <w:r w:rsidRPr="00324896">
        <w:rPr>
          <w:sz w:val="16"/>
        </w:rPr>
        <w:t xml:space="preserve"> both a free press and a working </w:t>
      </w:r>
      <w:r w:rsidRPr="00324896">
        <w:rPr>
          <w:rStyle w:val="StyleUnderline"/>
          <w:highlight w:val="green"/>
        </w:rPr>
        <w:t>democracy</w:t>
      </w:r>
      <w:r w:rsidRPr="00324896">
        <w:rPr>
          <w:sz w:val="16"/>
          <w:highlight w:val="green"/>
        </w:rPr>
        <w:t xml:space="preserve">. </w:t>
      </w:r>
      <w:r w:rsidRPr="00324896">
        <w:rPr>
          <w:rStyle w:val="StyleUnderline"/>
          <w:highlight w:val="green"/>
        </w:rPr>
        <w:t xml:space="preserve">The DOJ now has </w:t>
      </w:r>
      <w:r w:rsidRPr="00324896">
        <w:rPr>
          <w:rStyle w:val="Emphasis"/>
          <w:highlight w:val="green"/>
        </w:rPr>
        <w:t>strong guidelines</w:t>
      </w:r>
      <w:r w:rsidRPr="00324896">
        <w:rPr>
          <w:sz w:val="16"/>
          <w:highlight w:val="green"/>
        </w:rPr>
        <w:t xml:space="preserve"> </w:t>
      </w:r>
      <w:r w:rsidRPr="00324896">
        <w:rPr>
          <w:rStyle w:val="StyleUnderline"/>
          <w:highlight w:val="green"/>
        </w:rPr>
        <w:t>governing</w:t>
      </w:r>
      <w:r w:rsidRPr="00324896">
        <w:rPr>
          <w:sz w:val="16"/>
        </w:rPr>
        <w:t xml:space="preserve"> the </w:t>
      </w:r>
      <w:r w:rsidRPr="00324896">
        <w:rPr>
          <w:rStyle w:val="StyleUnderline"/>
          <w:highlight w:val="green"/>
        </w:rPr>
        <w:t>considerations</w:t>
      </w:r>
      <w:r w:rsidRPr="00324896">
        <w:rPr>
          <w:rStyle w:val="StyleUnderline"/>
        </w:rPr>
        <w:t xml:space="preserve"> that will be considered before subpoenas will be directed to reporters</w:t>
      </w:r>
      <w:r w:rsidRPr="00324896">
        <w:rPr>
          <w:sz w:val="16"/>
        </w:rPr>
        <w:t xml:space="preserve">, but these are only internal guidelines and they only apply to the DOJ. The bipartisan </w:t>
      </w:r>
      <w:r w:rsidRPr="00324896">
        <w:rPr>
          <w:rStyle w:val="StyleUnderline"/>
          <w:highlight w:val="green"/>
        </w:rPr>
        <w:t xml:space="preserve">LEADS Act provides a </w:t>
      </w:r>
      <w:r w:rsidRPr="00324896">
        <w:rPr>
          <w:rStyle w:val="Emphasis"/>
          <w:highlight w:val="green"/>
        </w:rPr>
        <w:t>path forward</w:t>
      </w:r>
      <w:r w:rsidRPr="00324896">
        <w:rPr>
          <w:sz w:val="16"/>
          <w:highlight w:val="green"/>
        </w:rPr>
        <w:t xml:space="preserve"> </w:t>
      </w:r>
      <w:r w:rsidRPr="00324896">
        <w:rPr>
          <w:rStyle w:val="StyleUnderline"/>
          <w:highlight w:val="green"/>
        </w:rPr>
        <w:t xml:space="preserve">to </w:t>
      </w:r>
      <w:r w:rsidRPr="00324896">
        <w:rPr>
          <w:rStyle w:val="Emphasis"/>
          <w:highlight w:val="green"/>
        </w:rPr>
        <w:t>update the law</w:t>
      </w:r>
      <w:r w:rsidRPr="00324896">
        <w:rPr>
          <w:rStyle w:val="StyleUnderline"/>
        </w:rPr>
        <w:t xml:space="preserve"> </w:t>
      </w:r>
      <w:r w:rsidRPr="00324896">
        <w:rPr>
          <w:sz w:val="16"/>
        </w:rPr>
        <w:t xml:space="preserve">to permit the cloud to be more meaningful and useful to media companies — and to others concerned about the privacy and security of their data. And </w:t>
      </w:r>
      <w:r w:rsidRPr="00324896">
        <w:rPr>
          <w:rStyle w:val="StyleUnderline"/>
        </w:rPr>
        <w:t>by doing so, Congress can bolster</w:t>
      </w:r>
      <w:r w:rsidRPr="00324896">
        <w:rPr>
          <w:sz w:val="16"/>
        </w:rPr>
        <w:t xml:space="preserve"> the </w:t>
      </w:r>
      <w:r w:rsidRPr="00324896">
        <w:rPr>
          <w:rStyle w:val="StyleUnderline"/>
        </w:rPr>
        <w:t>competitiveness</w:t>
      </w:r>
      <w:r w:rsidRPr="00324896">
        <w:rPr>
          <w:sz w:val="16"/>
        </w:rPr>
        <w:t xml:space="preserve"> of an emerging and important area of our information economy.</w:t>
      </w:r>
      <w:r w:rsidR="00CF34DB">
        <w:rPr>
          <w:sz w:val="16"/>
        </w:rPr>
        <w:t xml:space="preserve"> </w:t>
      </w:r>
    </w:p>
    <w:p w:rsidR="00324896" w:rsidRDefault="00324896" w:rsidP="00324896">
      <w:pPr>
        <w:pStyle w:val="Heading4"/>
      </w:pPr>
      <w:r>
        <w:t xml:space="preserve">Plan </w:t>
      </w:r>
      <w:r w:rsidRPr="00324896">
        <w:rPr>
          <w:u w:val="single"/>
        </w:rPr>
        <w:t>mandates</w:t>
      </w:r>
      <w:r>
        <w:t xml:space="preserve"> compliance – DOJ </w:t>
      </w:r>
      <w:r w:rsidRPr="00324896">
        <w:t xml:space="preserve">resistance </w:t>
      </w:r>
      <w:r w:rsidRPr="00324896">
        <w:rPr>
          <w:u w:val="single"/>
        </w:rPr>
        <w:t>barely passing scrutiny</w:t>
      </w:r>
      <w:r>
        <w:rPr>
          <w:u w:val="single"/>
        </w:rPr>
        <w:t xml:space="preserve"> </w:t>
      </w:r>
      <w:r>
        <w:t xml:space="preserve">  </w:t>
      </w:r>
    </w:p>
    <w:p w:rsidR="00324896" w:rsidRDefault="00324896" w:rsidP="00B55AD5">
      <w:r w:rsidRPr="00324896">
        <w:rPr>
          <w:rStyle w:val="Style13ptBold"/>
        </w:rPr>
        <w:t>Horowitz 6/26</w:t>
      </w:r>
      <w:r>
        <w:t xml:space="preserve"> (Daniel, former staff Director of the House Small Business Committee and a veteran of the House Republican Leadership, “Protect Our Online Privacy: LEADs Act 2015,” 2015, </w:t>
      </w:r>
      <w:hyperlink r:id="rId8" w:history="1">
        <w:r w:rsidRPr="004E6722">
          <w:rPr>
            <w:rStyle w:val="Hyperlink"/>
          </w:rPr>
          <w:t>http://www.unitedliberty.org/articles/19273-protect-our-online-privacy</w:t>
        </w:r>
      </w:hyperlink>
      <w:r>
        <w:t xml:space="preserve">) </w:t>
      </w:r>
    </w:p>
    <w:p w:rsidR="00324896" w:rsidRPr="00324896" w:rsidRDefault="00324896" w:rsidP="00B55AD5">
      <w:pPr>
        <w:rPr>
          <w:sz w:val="16"/>
        </w:rPr>
      </w:pPr>
    </w:p>
    <w:p w:rsidR="00324896" w:rsidRPr="00324896" w:rsidRDefault="00324896" w:rsidP="00B55AD5">
      <w:pPr>
        <w:rPr>
          <w:sz w:val="16"/>
        </w:rPr>
      </w:pPr>
      <w:r w:rsidRPr="00324896">
        <w:rPr>
          <w:sz w:val="16"/>
        </w:rPr>
        <w:t>The issue stems from a criminal investigation by the US government into the actions of an Irish citizen who stored computer information on a cloud-based storage system housed by an Irish company on the Emerald Isle. The company, however, was a subsidiary of Microsoft. “</w:t>
      </w:r>
      <w:r w:rsidRPr="00324896">
        <w:rPr>
          <w:rStyle w:val="StyleUnderline"/>
          <w:highlight w:val="green"/>
        </w:rPr>
        <w:t>Microsoft is an American company</w:t>
      </w:r>
      <w:r w:rsidRPr="00324896">
        <w:rPr>
          <w:sz w:val="16"/>
          <w:highlight w:val="green"/>
        </w:rPr>
        <w:t xml:space="preserve">”, </w:t>
      </w:r>
      <w:r w:rsidRPr="00324896">
        <w:rPr>
          <w:rStyle w:val="StyleUnderline"/>
          <w:highlight w:val="green"/>
        </w:rPr>
        <w:t xml:space="preserve">is the </w:t>
      </w:r>
      <w:r w:rsidRPr="00324896">
        <w:rPr>
          <w:rStyle w:val="Emphasis"/>
          <w:highlight w:val="green"/>
        </w:rPr>
        <w:t>thin excuse</w:t>
      </w:r>
      <w:r w:rsidRPr="00324896">
        <w:rPr>
          <w:rStyle w:val="StyleUnderline"/>
          <w:highlight w:val="green"/>
        </w:rPr>
        <w:t xml:space="preserve"> DOJ is clinging to</w:t>
      </w:r>
      <w:r w:rsidRPr="00324896">
        <w:rPr>
          <w:rStyle w:val="StyleUnderline"/>
        </w:rPr>
        <w:t xml:space="preserve"> as it attempts to force Microsoft to seize the info</w:t>
      </w:r>
      <w:r w:rsidRPr="00324896">
        <w:rPr>
          <w:sz w:val="16"/>
        </w:rPr>
        <w:t>rmation. DoJ slapped Microsoft with a questionable warrant which in an effort to protect the privacy of their users, Microsoft has chosen to defy.</w:t>
      </w:r>
    </w:p>
    <w:p w:rsidR="00324896" w:rsidRPr="00324896" w:rsidRDefault="00324896" w:rsidP="00B55AD5">
      <w:pPr>
        <w:rPr>
          <w:sz w:val="16"/>
        </w:rPr>
      </w:pPr>
      <w:r w:rsidRPr="00324896">
        <w:rPr>
          <w:sz w:val="16"/>
        </w:rPr>
        <w:t>Traditionally and historically, if the United States (or any other country) have needed information residing in another country, it would rely on Mutual Legal Assistance Treaty (MLAT). The US would request a subpoena be issued by the foreign government who would process the request and hand the material over to the United States DoJ. Problem solved. Despite the fact that the United States and Ireland have just such an agreement in place but the Obama Administration has chosen to ignore this long-standing agreement just to take the easier, and legally questionable route. The dispute is making its way through the courts and the courts, thus far, have unreasonably sided with the federal government’s jurisdictional power grab. The Supreme Court will now consider whether to take the case. Thankfully, some in Congress are not waiting for the court to act.</w:t>
      </w:r>
    </w:p>
    <w:p w:rsidR="00324896" w:rsidRDefault="00324896" w:rsidP="00B55AD5">
      <w:pPr>
        <w:rPr>
          <w:sz w:val="16"/>
        </w:rPr>
      </w:pPr>
      <w:r w:rsidRPr="00324896">
        <w:rPr>
          <w:sz w:val="16"/>
        </w:rPr>
        <w:t xml:space="preserve">Rep. Tom Marino (R-PA) and more than 40 fellow Conservative Members of the U.S. House have introduced </w:t>
      </w:r>
      <w:r w:rsidRPr="00324896">
        <w:rPr>
          <w:rStyle w:val="StyleUnderline"/>
          <w:highlight w:val="green"/>
        </w:rPr>
        <w:t>the LEADs Act</w:t>
      </w:r>
      <w:r w:rsidRPr="00324896">
        <w:rPr>
          <w:sz w:val="16"/>
        </w:rPr>
        <w:t xml:space="preserve"> of 2015. The bill </w:t>
      </w:r>
      <w:r w:rsidRPr="00324896">
        <w:rPr>
          <w:rStyle w:val="StyleUnderline"/>
          <w:highlight w:val="green"/>
        </w:rPr>
        <w:t>skillfully walks the line between the needs of law enforcement</w:t>
      </w:r>
      <w:r w:rsidRPr="00324896">
        <w:rPr>
          <w:sz w:val="16"/>
          <w:highlight w:val="green"/>
        </w:rPr>
        <w:t>,</w:t>
      </w:r>
      <w:r w:rsidRPr="00324896">
        <w:rPr>
          <w:sz w:val="16"/>
        </w:rPr>
        <w:t xml:space="preserve"> individuals Internet </w:t>
      </w:r>
      <w:r w:rsidRPr="00324896">
        <w:rPr>
          <w:rStyle w:val="StyleUnderline"/>
          <w:highlight w:val="green"/>
        </w:rPr>
        <w:t>privacy and</w:t>
      </w:r>
      <w:r w:rsidRPr="00324896">
        <w:rPr>
          <w:sz w:val="16"/>
        </w:rPr>
        <w:t xml:space="preserve"> American </w:t>
      </w:r>
      <w:r w:rsidRPr="00324896">
        <w:rPr>
          <w:rStyle w:val="StyleUnderline"/>
          <w:highlight w:val="green"/>
        </w:rPr>
        <w:t>competitiveness</w:t>
      </w:r>
      <w:r w:rsidRPr="00324896">
        <w:rPr>
          <w:sz w:val="16"/>
        </w:rPr>
        <w:t xml:space="preserve">. The Act empowers U.S. warrants to reach data owned by U.S. citizens whether stored here in the US or on the cloud anywhere around the globe. However, if the data is owned by a foreign citizen, who is not living in the U.S. and the data is stored overseas - even if stored on the network of a US company - then </w:t>
      </w:r>
      <w:r w:rsidRPr="00324896">
        <w:rPr>
          <w:rStyle w:val="StyleUnderline"/>
        </w:rPr>
        <w:t xml:space="preserve">Obama’s </w:t>
      </w:r>
      <w:r w:rsidRPr="00324896">
        <w:rPr>
          <w:rStyle w:val="StyleUnderline"/>
          <w:highlight w:val="green"/>
        </w:rPr>
        <w:t xml:space="preserve">DoJ would </w:t>
      </w:r>
      <w:r w:rsidRPr="00324896">
        <w:rPr>
          <w:rStyle w:val="Emphasis"/>
          <w:highlight w:val="green"/>
        </w:rPr>
        <w:t>have to comply</w:t>
      </w:r>
      <w:r w:rsidRPr="00324896">
        <w:rPr>
          <w:rStyle w:val="StyleUnderline"/>
          <w:highlight w:val="green"/>
        </w:rPr>
        <w:t xml:space="preserve"> with the law of the country in which the data is stored</w:t>
      </w:r>
      <w:r w:rsidRPr="00324896">
        <w:rPr>
          <w:sz w:val="16"/>
        </w:rPr>
        <w:t>.</w:t>
      </w:r>
    </w:p>
    <w:p w:rsidR="00324896" w:rsidRDefault="00CF34DB" w:rsidP="00CF34DB">
      <w:pPr>
        <w:pStyle w:val="Heading4"/>
      </w:pPr>
      <w:r>
        <w:t xml:space="preserve">DOJ falls in line – overwhelming support </w:t>
      </w:r>
    </w:p>
    <w:p w:rsidR="00CF34DB" w:rsidRPr="00CF34DB" w:rsidRDefault="00CF34DB" w:rsidP="00CF34DB">
      <w:r w:rsidRPr="00CF34DB">
        <w:rPr>
          <w:rStyle w:val="Style13ptBold"/>
        </w:rPr>
        <w:t>Fulton 14</w:t>
      </w:r>
      <w:r>
        <w:t xml:space="preserve"> (Sandra, Legislative Assistant, American Civil Liberties Union, “SEC Blocking Update to Electronic Privacy Laws,” April 11, </w:t>
      </w:r>
      <w:hyperlink r:id="rId9" w:history="1">
        <w:r w:rsidRPr="004E6722">
          <w:rPr>
            <w:rStyle w:val="Hyperlink"/>
          </w:rPr>
          <w:t>https://www.acslaw.org/acsblog/all/electronic-communications-privacy-act</w:t>
        </w:r>
      </w:hyperlink>
      <w:r>
        <w:t xml:space="preserve">, CMR) </w:t>
      </w:r>
    </w:p>
    <w:p w:rsidR="008C4830" w:rsidRDefault="008C4830" w:rsidP="00324896"/>
    <w:p w:rsidR="008C4830" w:rsidRPr="00CF34DB" w:rsidRDefault="008C4830" w:rsidP="00324896">
      <w:pPr>
        <w:rPr>
          <w:sz w:val="16"/>
        </w:rPr>
      </w:pPr>
      <w:r w:rsidRPr="00CF34DB">
        <w:rPr>
          <w:rStyle w:val="StyleUnderline"/>
          <w:highlight w:val="green"/>
        </w:rPr>
        <w:t>ECPA</w:t>
      </w:r>
      <w:r w:rsidRPr="00CF34DB">
        <w:rPr>
          <w:rStyle w:val="StyleUnderline"/>
        </w:rPr>
        <w:t xml:space="preserve">, enacted in 1986, </w:t>
      </w:r>
      <w:r w:rsidRPr="00CF34DB">
        <w:rPr>
          <w:rStyle w:val="StyleUnderline"/>
          <w:highlight w:val="green"/>
        </w:rPr>
        <w:t>is the main statute protecting</w:t>
      </w:r>
      <w:r w:rsidRPr="00CF34DB">
        <w:rPr>
          <w:rStyle w:val="StyleUnderline"/>
        </w:rPr>
        <w:t xml:space="preserve"> our </w:t>
      </w:r>
      <w:r w:rsidRPr="00CF34DB">
        <w:rPr>
          <w:rStyle w:val="StyleUnderline"/>
          <w:highlight w:val="green"/>
        </w:rPr>
        <w:t>online communications</w:t>
      </w:r>
      <w:r w:rsidRPr="00CF34DB">
        <w:rPr>
          <w:rStyle w:val="StyleUnderline"/>
        </w:rPr>
        <w:t xml:space="preserve"> from unauthorized government</w:t>
      </w:r>
      <w:r w:rsidRPr="00CF34DB">
        <w:rPr>
          <w:sz w:val="16"/>
        </w:rPr>
        <w:t xml:space="preserve"> access. </w:t>
      </w:r>
      <w:r w:rsidRPr="00CF34DB">
        <w:rPr>
          <w:rStyle w:val="StyleUnderline"/>
          <w:highlight w:val="green"/>
        </w:rPr>
        <w:t>Unfortunately, as our lives have moved online</w:t>
      </w:r>
      <w:r w:rsidRPr="00CF34DB">
        <w:rPr>
          <w:rStyle w:val="StyleUnderline"/>
        </w:rPr>
        <w:t xml:space="preserve"> the </w:t>
      </w:r>
      <w:r w:rsidRPr="00CF34DB">
        <w:rPr>
          <w:rStyle w:val="StyleUnderline"/>
          <w:highlight w:val="green"/>
        </w:rPr>
        <w:t>law has remained stagnant, leaving</w:t>
      </w:r>
      <w:r w:rsidRPr="00CF34DB">
        <w:rPr>
          <w:rStyle w:val="StyleUnderline"/>
        </w:rPr>
        <w:t xml:space="preserve"> dangerous </w:t>
      </w:r>
      <w:r w:rsidRPr="00CF34DB">
        <w:rPr>
          <w:rStyle w:val="StyleUnderline"/>
          <w:highlight w:val="green"/>
        </w:rPr>
        <w:t>loopholes</w:t>
      </w:r>
      <w:r w:rsidRPr="00CF34DB">
        <w:rPr>
          <w:rStyle w:val="StyleUnderline"/>
        </w:rPr>
        <w:t xml:space="preserve"> in our privacy protections</w:t>
      </w:r>
      <w:r w:rsidRPr="00CF34DB">
        <w:rPr>
          <w:sz w:val="16"/>
        </w:rPr>
        <w:t xml:space="preserve">. </w:t>
      </w:r>
      <w:r w:rsidRPr="00CF34DB">
        <w:rPr>
          <w:rStyle w:val="StyleUnderline"/>
          <w:highlight w:val="green"/>
        </w:rPr>
        <w:t xml:space="preserve">A </w:t>
      </w:r>
      <w:r w:rsidRPr="00CF34DB">
        <w:rPr>
          <w:rStyle w:val="Emphasis"/>
          <w:highlight w:val="green"/>
        </w:rPr>
        <w:t>broad coalition</w:t>
      </w:r>
      <w:r w:rsidRPr="00CF34DB">
        <w:rPr>
          <w:sz w:val="16"/>
          <w:highlight w:val="green"/>
        </w:rPr>
        <w:t xml:space="preserve"> </w:t>
      </w:r>
      <w:r w:rsidRPr="00CF34DB">
        <w:rPr>
          <w:rStyle w:val="StyleUnderline"/>
          <w:highlight w:val="green"/>
        </w:rPr>
        <w:t>including privacy</w:t>
      </w:r>
      <w:r w:rsidRPr="00CF34DB">
        <w:rPr>
          <w:rStyle w:val="StyleUnderline"/>
        </w:rPr>
        <w:t xml:space="preserve"> and consumer </w:t>
      </w:r>
      <w:r w:rsidRPr="00CF34DB">
        <w:rPr>
          <w:rStyle w:val="StyleUnderline"/>
          <w:highlight w:val="green"/>
        </w:rPr>
        <w:t>advocates</w:t>
      </w:r>
      <w:r w:rsidRPr="00CF34DB">
        <w:rPr>
          <w:rStyle w:val="StyleUnderline"/>
        </w:rPr>
        <w:t xml:space="preserve">, civil rights organizations, </w:t>
      </w:r>
      <w:r w:rsidRPr="00CF34DB">
        <w:rPr>
          <w:rStyle w:val="StyleUnderline"/>
          <w:highlight w:val="green"/>
        </w:rPr>
        <w:t>tech companies, and</w:t>
      </w:r>
      <w:r w:rsidRPr="00CF34DB">
        <w:rPr>
          <w:rStyle w:val="StyleUnderline"/>
        </w:rPr>
        <w:t xml:space="preserve"> members of </w:t>
      </w:r>
      <w:r w:rsidRPr="00CF34DB">
        <w:rPr>
          <w:rStyle w:val="StyleUnderline"/>
          <w:highlight w:val="green"/>
        </w:rPr>
        <w:t>Congress</w:t>
      </w:r>
      <w:r w:rsidRPr="00CF34DB">
        <w:rPr>
          <w:rStyle w:val="StyleUnderline"/>
        </w:rPr>
        <w:t xml:space="preserve"> from both parties </w:t>
      </w:r>
      <w:r w:rsidRPr="00CF34DB">
        <w:rPr>
          <w:rStyle w:val="StyleUnderline"/>
          <w:highlight w:val="green"/>
        </w:rPr>
        <w:t>has been pushing for an update</w:t>
      </w:r>
      <w:r w:rsidRPr="00CF34DB">
        <w:rPr>
          <w:sz w:val="16"/>
        </w:rPr>
        <w:t xml:space="preserve">. Strong bipartisan legislation to update the law has over 200 sponsors and is making serious headway in Congress. </w:t>
      </w:r>
      <w:r w:rsidRPr="00CF34DB">
        <w:rPr>
          <w:rStyle w:val="Emphasis"/>
          <w:highlight w:val="green"/>
        </w:rPr>
        <w:t>Even the D</w:t>
      </w:r>
      <w:r w:rsidRPr="008C4830">
        <w:rPr>
          <w:rStyle w:val="Emphasis"/>
        </w:rPr>
        <w:t xml:space="preserve">epartment </w:t>
      </w:r>
      <w:r w:rsidRPr="00CF34DB">
        <w:rPr>
          <w:rStyle w:val="Emphasis"/>
          <w:highlight w:val="green"/>
        </w:rPr>
        <w:t>o</w:t>
      </w:r>
      <w:r w:rsidRPr="008C4830">
        <w:rPr>
          <w:rStyle w:val="Emphasis"/>
        </w:rPr>
        <w:t xml:space="preserve">f </w:t>
      </w:r>
      <w:r w:rsidRPr="00CF34DB">
        <w:rPr>
          <w:rStyle w:val="Emphasis"/>
          <w:highlight w:val="green"/>
        </w:rPr>
        <w:t>J</w:t>
      </w:r>
      <w:r w:rsidRPr="008C4830">
        <w:rPr>
          <w:rStyle w:val="Emphasis"/>
        </w:rPr>
        <w:t>ustice</w:t>
      </w:r>
      <w:r w:rsidRPr="00CF34DB">
        <w:rPr>
          <w:sz w:val="16"/>
        </w:rPr>
        <w:t>—</w:t>
      </w:r>
      <w:r w:rsidRPr="008C4830">
        <w:rPr>
          <w:rStyle w:val="StyleUnderline"/>
        </w:rPr>
        <w:t>the law enforcement agency with</w:t>
      </w:r>
      <w:r w:rsidRPr="00CF34DB">
        <w:rPr>
          <w:sz w:val="16"/>
        </w:rPr>
        <w:t xml:space="preserve"> arguably </w:t>
      </w:r>
      <w:r w:rsidRPr="008C4830">
        <w:rPr>
          <w:rStyle w:val="StyleUnderline"/>
        </w:rPr>
        <w:t>the most to lose in such an update</w:t>
      </w:r>
      <w:r w:rsidRPr="00CF34DB">
        <w:rPr>
          <w:sz w:val="16"/>
        </w:rPr>
        <w:t>—</w:t>
      </w:r>
      <w:r w:rsidRPr="00CF34DB">
        <w:rPr>
          <w:rStyle w:val="StyleUnderline"/>
          <w:highlight w:val="green"/>
        </w:rPr>
        <w:t>testified</w:t>
      </w:r>
      <w:r w:rsidRPr="00CF34DB">
        <w:rPr>
          <w:sz w:val="16"/>
        </w:rPr>
        <w:t xml:space="preserve"> that some </w:t>
      </w:r>
      <w:r w:rsidRPr="00CF34DB">
        <w:rPr>
          <w:rStyle w:val="StyleUnderline"/>
          <w:highlight w:val="green"/>
        </w:rPr>
        <w:t xml:space="preserve">ECPA loopholes </w:t>
      </w:r>
      <w:r w:rsidRPr="00CF34DB">
        <w:rPr>
          <w:rStyle w:val="Emphasis"/>
          <w:highlight w:val="green"/>
        </w:rPr>
        <w:t>need to be closed</w:t>
      </w:r>
      <w:r w:rsidRPr="008C4830">
        <w:rPr>
          <w:rStyle w:val="StyleUnderline"/>
        </w:rPr>
        <w:t>.</w:t>
      </w:r>
    </w:p>
    <w:p w:rsidR="008C4830" w:rsidRDefault="008C4830" w:rsidP="00324896"/>
    <w:p w:rsidR="00324896" w:rsidRPr="00324896" w:rsidRDefault="00324896" w:rsidP="00324896"/>
    <w:sectPr w:rsidR="00324896" w:rsidRPr="00324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692508"/>
    <w:docVar w:name="VerbatimVersion" w:val="5.1"/>
  </w:docVars>
  <w:rsids>
    <w:rsidRoot w:val="00324896"/>
    <w:rsid w:val="000139A3"/>
    <w:rsid w:val="00084D2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4896"/>
    <w:rsid w:val="00325646"/>
    <w:rsid w:val="003460F2"/>
    <w:rsid w:val="003464D9"/>
    <w:rsid w:val="0038158C"/>
    <w:rsid w:val="003902BA"/>
    <w:rsid w:val="003A09E2"/>
    <w:rsid w:val="00407037"/>
    <w:rsid w:val="00435834"/>
    <w:rsid w:val="004605D6"/>
    <w:rsid w:val="004C60E8"/>
    <w:rsid w:val="004E3579"/>
    <w:rsid w:val="004E728B"/>
    <w:rsid w:val="004E7694"/>
    <w:rsid w:val="004F39E0"/>
    <w:rsid w:val="00537BD5"/>
    <w:rsid w:val="0057268A"/>
    <w:rsid w:val="005D2912"/>
    <w:rsid w:val="006065BD"/>
    <w:rsid w:val="00645FA9"/>
    <w:rsid w:val="00647866"/>
    <w:rsid w:val="00665003"/>
    <w:rsid w:val="006A2AD0"/>
    <w:rsid w:val="006B7808"/>
    <w:rsid w:val="006C2375"/>
    <w:rsid w:val="006D4ECC"/>
    <w:rsid w:val="00717F10"/>
    <w:rsid w:val="00722258"/>
    <w:rsid w:val="007243E5"/>
    <w:rsid w:val="00766EA0"/>
    <w:rsid w:val="007A2226"/>
    <w:rsid w:val="007F5B66"/>
    <w:rsid w:val="00823A1C"/>
    <w:rsid w:val="00845B9D"/>
    <w:rsid w:val="00850B4E"/>
    <w:rsid w:val="00860984"/>
    <w:rsid w:val="008B3ECB"/>
    <w:rsid w:val="008B4E85"/>
    <w:rsid w:val="008C1B2E"/>
    <w:rsid w:val="008C4830"/>
    <w:rsid w:val="0091627E"/>
    <w:rsid w:val="0097032B"/>
    <w:rsid w:val="009D2EAD"/>
    <w:rsid w:val="009D54B2"/>
    <w:rsid w:val="009E1922"/>
    <w:rsid w:val="009F7ED2"/>
    <w:rsid w:val="00A528F2"/>
    <w:rsid w:val="00A93661"/>
    <w:rsid w:val="00A95652"/>
    <w:rsid w:val="00AC0AB8"/>
    <w:rsid w:val="00AE457E"/>
    <w:rsid w:val="00B33C6D"/>
    <w:rsid w:val="00B4508F"/>
    <w:rsid w:val="00B55AD5"/>
    <w:rsid w:val="00B8057C"/>
    <w:rsid w:val="00BD5E3C"/>
    <w:rsid w:val="00BD6238"/>
    <w:rsid w:val="00BF593B"/>
    <w:rsid w:val="00BF773A"/>
    <w:rsid w:val="00BF7E81"/>
    <w:rsid w:val="00C13773"/>
    <w:rsid w:val="00C17CC8"/>
    <w:rsid w:val="00C83417"/>
    <w:rsid w:val="00C9604F"/>
    <w:rsid w:val="00CA19AA"/>
    <w:rsid w:val="00CC5298"/>
    <w:rsid w:val="00CD736E"/>
    <w:rsid w:val="00CD798D"/>
    <w:rsid w:val="00CE161E"/>
    <w:rsid w:val="00CF34DB"/>
    <w:rsid w:val="00CF59A8"/>
    <w:rsid w:val="00D2661E"/>
    <w:rsid w:val="00D325A9"/>
    <w:rsid w:val="00D36A8A"/>
    <w:rsid w:val="00D61409"/>
    <w:rsid w:val="00D6691E"/>
    <w:rsid w:val="00D71170"/>
    <w:rsid w:val="00DA1C92"/>
    <w:rsid w:val="00DA25D4"/>
    <w:rsid w:val="00DA6538"/>
    <w:rsid w:val="00DA7D83"/>
    <w:rsid w:val="00E15E75"/>
    <w:rsid w:val="00E5262C"/>
    <w:rsid w:val="00EC7DC4"/>
    <w:rsid w:val="00ED30CF"/>
    <w:rsid w:val="00F176EF"/>
    <w:rsid w:val="00F45E10"/>
    <w:rsid w:val="00F6364A"/>
    <w:rsid w:val="00F9113A"/>
    <w:rsid w:val="00FD431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E457E"/>
    <w:rPr>
      <w:rFonts w:ascii="Times New Roman" w:hAnsi="Times New Roman" w:cs="Times New Roman"/>
    </w:rPr>
  </w:style>
  <w:style w:type="paragraph" w:styleId="Heading1">
    <w:name w:val="heading 1"/>
    <w:aliases w:val="Pocket"/>
    <w:basedOn w:val="Normal"/>
    <w:next w:val="Normal"/>
    <w:link w:val="Heading1Char"/>
    <w:autoRedefine/>
    <w:qFormat/>
    <w:rsid w:val="00AE45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E45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E45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E45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E45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457E"/>
  </w:style>
  <w:style w:type="character" w:customStyle="1" w:styleId="Heading1Char">
    <w:name w:val="Heading 1 Char"/>
    <w:aliases w:val="Pocket Char"/>
    <w:basedOn w:val="DefaultParagraphFont"/>
    <w:link w:val="Heading1"/>
    <w:rsid w:val="00AE457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E457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E457E"/>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AE457E"/>
    <w:rPr>
      <w:rFonts w:ascii="Times New Roman" w:eastAsiaTheme="majorEastAsia" w:hAnsi="Times New Roman" w:cstheme="majorBidi"/>
      <w:b/>
      <w:iCs/>
      <w:sz w:val="26"/>
    </w:rPr>
  </w:style>
  <w:style w:type="character" w:styleId="Emphasis">
    <w:name w:val="Emphasis"/>
    <w:basedOn w:val="DefaultParagraphFont"/>
    <w:uiPriority w:val="7"/>
    <w:qFormat/>
    <w:rsid w:val="00AE457E"/>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AE457E"/>
    <w:rPr>
      <w:b/>
      <w:bCs/>
      <w:sz w:val="26"/>
      <w:u w:val="none"/>
    </w:rPr>
  </w:style>
  <w:style w:type="character" w:customStyle="1" w:styleId="StyleUnderline">
    <w:name w:val="Style Underline"/>
    <w:aliases w:val="Underline"/>
    <w:basedOn w:val="DefaultParagraphFont"/>
    <w:uiPriority w:val="6"/>
    <w:qFormat/>
    <w:rsid w:val="00AE457E"/>
    <w:rPr>
      <w:b w:val="0"/>
      <w:sz w:val="22"/>
      <w:u w:val="single"/>
    </w:rPr>
  </w:style>
  <w:style w:type="character" w:styleId="Hyperlink">
    <w:name w:val="Hyperlink"/>
    <w:basedOn w:val="DefaultParagraphFont"/>
    <w:uiPriority w:val="99"/>
    <w:unhideWhenUsed/>
    <w:rsid w:val="00AE457E"/>
    <w:rPr>
      <w:color w:val="auto"/>
      <w:u w:val="none"/>
    </w:rPr>
  </w:style>
  <w:style w:type="character" w:styleId="FollowedHyperlink">
    <w:name w:val="FollowedHyperlink"/>
    <w:basedOn w:val="DefaultParagraphFont"/>
    <w:uiPriority w:val="99"/>
    <w:semiHidden/>
    <w:unhideWhenUsed/>
    <w:rsid w:val="00AE457E"/>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E457E"/>
    <w:rPr>
      <w:rFonts w:ascii="Times New Roman" w:hAnsi="Times New Roman" w:cs="Times New Roman"/>
    </w:rPr>
  </w:style>
  <w:style w:type="paragraph" w:styleId="Heading1">
    <w:name w:val="heading 1"/>
    <w:aliases w:val="Pocket"/>
    <w:basedOn w:val="Normal"/>
    <w:next w:val="Normal"/>
    <w:link w:val="Heading1Char"/>
    <w:autoRedefine/>
    <w:qFormat/>
    <w:rsid w:val="00AE45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E45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E45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E45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E45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457E"/>
  </w:style>
  <w:style w:type="character" w:customStyle="1" w:styleId="Heading1Char">
    <w:name w:val="Heading 1 Char"/>
    <w:aliases w:val="Pocket Char"/>
    <w:basedOn w:val="DefaultParagraphFont"/>
    <w:link w:val="Heading1"/>
    <w:rsid w:val="00AE457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E457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E457E"/>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AE457E"/>
    <w:rPr>
      <w:rFonts w:ascii="Times New Roman" w:eastAsiaTheme="majorEastAsia" w:hAnsi="Times New Roman" w:cstheme="majorBidi"/>
      <w:b/>
      <w:iCs/>
      <w:sz w:val="26"/>
    </w:rPr>
  </w:style>
  <w:style w:type="character" w:styleId="Emphasis">
    <w:name w:val="Emphasis"/>
    <w:basedOn w:val="DefaultParagraphFont"/>
    <w:uiPriority w:val="7"/>
    <w:qFormat/>
    <w:rsid w:val="00AE457E"/>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AE457E"/>
    <w:rPr>
      <w:b/>
      <w:bCs/>
      <w:sz w:val="26"/>
      <w:u w:val="none"/>
    </w:rPr>
  </w:style>
  <w:style w:type="character" w:customStyle="1" w:styleId="StyleUnderline">
    <w:name w:val="Style Underline"/>
    <w:aliases w:val="Underline"/>
    <w:basedOn w:val="DefaultParagraphFont"/>
    <w:uiPriority w:val="6"/>
    <w:qFormat/>
    <w:rsid w:val="00AE457E"/>
    <w:rPr>
      <w:b w:val="0"/>
      <w:sz w:val="22"/>
      <w:u w:val="single"/>
    </w:rPr>
  </w:style>
  <w:style w:type="character" w:styleId="Hyperlink">
    <w:name w:val="Hyperlink"/>
    <w:basedOn w:val="DefaultParagraphFont"/>
    <w:uiPriority w:val="99"/>
    <w:unhideWhenUsed/>
    <w:rsid w:val="00AE457E"/>
    <w:rPr>
      <w:color w:val="auto"/>
      <w:u w:val="none"/>
    </w:rPr>
  </w:style>
  <w:style w:type="character" w:styleId="FollowedHyperlink">
    <w:name w:val="FollowedHyperlink"/>
    <w:basedOn w:val="DefaultParagraphFont"/>
    <w:uiPriority w:val="99"/>
    <w:semiHidden/>
    <w:unhideWhenUsed/>
    <w:rsid w:val="00AE457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tedliberty.org/articles/19273-protect-our-online-privacy" TargetMode="External"/><Relationship Id="rId3" Type="http://schemas.openxmlformats.org/officeDocument/2006/relationships/styles" Target="styles.xml"/><Relationship Id="rId7" Type="http://schemas.openxmlformats.org/officeDocument/2006/relationships/hyperlink" Target="http://thehill.com/blogs/pundits-blog/technology/237328-the-leads-act-and-cloud-compu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acslaw.org/acsblog/all/electronic-communications-privacy-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A7B35-71F6-4C69-BC49-3924F0DB6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roarkdebate16</dc:creator>
  <cp:keywords>5.1.1</cp:keywords>
  <cp:lastModifiedBy>Carly</cp:lastModifiedBy>
  <cp:revision>2</cp:revision>
  <dcterms:created xsi:type="dcterms:W3CDTF">2015-07-16T19:08:00Z</dcterms:created>
  <dcterms:modified xsi:type="dcterms:W3CDTF">2015-07-16T19:08:00Z</dcterms:modified>
</cp:coreProperties>
</file>