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85A" w:rsidRDefault="004A185A" w:rsidP="004A185A">
      <w:pPr>
        <w:pStyle w:val="Heading1"/>
      </w:pPr>
      <w:r>
        <w:t xml:space="preserve">Medical Records </w:t>
      </w:r>
      <w:proofErr w:type="spellStart"/>
      <w:r>
        <w:t>Misc</w:t>
      </w:r>
      <w:proofErr w:type="spellEnd"/>
      <w:r>
        <w:t xml:space="preserve"> Addendum</w:t>
      </w:r>
    </w:p>
    <w:p w:rsidR="004A185A" w:rsidRPr="004A185A" w:rsidRDefault="004A185A" w:rsidP="004A185A"/>
    <w:p w:rsidR="0092308A" w:rsidRDefault="0092308A" w:rsidP="0092308A">
      <w:pPr>
        <w:pStyle w:val="Heading3"/>
      </w:pPr>
      <w:r>
        <w:t>2AC – AT: T Substantial</w:t>
      </w:r>
    </w:p>
    <w:p w:rsidR="007A177B" w:rsidRPr="007A177B" w:rsidRDefault="007A177B" w:rsidP="007A177B">
      <w:pPr>
        <w:pStyle w:val="Heading4"/>
      </w:pPr>
      <w:r w:rsidRPr="007A177B">
        <w:br w:type="page"/>
      </w:r>
      <w:r w:rsidR="00752BD6">
        <w:t xml:space="preserve">1. </w:t>
      </w:r>
      <w:r w:rsidRPr="007A177B">
        <w:t>We meet - even if medical records haven’t always made up a huge portion of surveillance, the shift to electronic records has vastly increased their dissemination and ability to be surveilled</w:t>
      </w:r>
    </w:p>
    <w:p w:rsidR="005F5C3C" w:rsidRDefault="005F5C3C" w:rsidP="00B55AD5">
      <w:pPr>
        <w:rPr>
          <w:rStyle w:val="Style13ptBold"/>
        </w:rPr>
      </w:pPr>
      <w:r w:rsidRPr="005F5C3C">
        <w:rPr>
          <w:rStyle w:val="Style13ptBold"/>
        </w:rPr>
        <w:t xml:space="preserve">Zheng </w:t>
      </w:r>
      <w:proofErr w:type="gramStart"/>
      <w:r w:rsidRPr="005F5C3C">
        <w:rPr>
          <w:rStyle w:val="Style13ptBold"/>
        </w:rPr>
        <w:t>et</w:t>
      </w:r>
      <w:proofErr w:type="gramEnd"/>
      <w:r w:rsidRPr="005F5C3C">
        <w:rPr>
          <w:rStyle w:val="Style13ptBold"/>
        </w:rPr>
        <w:t xml:space="preserve">. </w:t>
      </w:r>
      <w:proofErr w:type="gramStart"/>
      <w:r w:rsidRPr="005F5C3C">
        <w:rPr>
          <w:rStyle w:val="Style13ptBold"/>
        </w:rPr>
        <w:t>al</w:t>
      </w:r>
      <w:proofErr w:type="gramEnd"/>
      <w:r w:rsidRPr="005F5C3C">
        <w:rPr>
          <w:rStyle w:val="Style13ptBold"/>
        </w:rPr>
        <w:t xml:space="preserve"> 14</w:t>
      </w:r>
    </w:p>
    <w:p w:rsidR="005F5C3C" w:rsidRPr="007A177B" w:rsidRDefault="005F5C3C" w:rsidP="007A177B">
      <w:r w:rsidRPr="007A177B">
        <w:t>(</w:t>
      </w:r>
      <w:proofErr w:type="spellStart"/>
      <w:r w:rsidRPr="007A177B">
        <w:t>Hongzhang</w:t>
      </w:r>
      <w:proofErr w:type="spellEnd"/>
      <w:r w:rsidRPr="007A177B">
        <w:t xml:space="preserve">, Holly Gaff, Gary Smith, and Sylvain </w:t>
      </w:r>
      <w:proofErr w:type="spellStart"/>
      <w:r w:rsidRPr="007A177B">
        <w:t>DeLisle</w:t>
      </w:r>
      <w:proofErr w:type="spellEnd"/>
      <w:r w:rsidRPr="007A177B">
        <w:t xml:space="preserve">, NCIB, </w:t>
      </w:r>
      <w:r w:rsidR="007A177B" w:rsidRPr="007A177B">
        <w:t xml:space="preserve">“Epidemic Surveillance Using an Electronic Medical Record: An Empiric Approach to Performance Improvement,” 2014, </w:t>
      </w:r>
      <w:hyperlink r:id="rId7" w:history="1">
        <w:r w:rsidR="007A177B" w:rsidRPr="007A177B">
          <w:rPr>
            <w:rStyle w:val="Hyperlink"/>
          </w:rPr>
          <w:t>http://www.ncbi.nlm.nih.gov/pmc/articles/PMC4090236/</w:t>
        </w:r>
      </w:hyperlink>
      <w:r w:rsidR="007A177B" w:rsidRPr="007A177B">
        <w:t xml:space="preserve"> ) /</w:t>
      </w:r>
      <w:proofErr w:type="spellStart"/>
      <w:r w:rsidR="007A177B" w:rsidRPr="007A177B">
        <w:t>jdi</w:t>
      </w:r>
      <w:proofErr w:type="spellEnd"/>
      <w:r w:rsidR="007A177B" w:rsidRPr="007A177B">
        <w:t>-mm</w:t>
      </w:r>
    </w:p>
    <w:p w:rsidR="00A95652" w:rsidRPr="0092308A" w:rsidRDefault="0082784B" w:rsidP="00B55AD5">
      <w:pPr>
        <w:rPr>
          <w:sz w:val="16"/>
        </w:rPr>
      </w:pPr>
      <w:r w:rsidRPr="0092308A">
        <w:rPr>
          <w:rStyle w:val="StyleUnderline"/>
        </w:rPr>
        <w:t>Electronic data offer the opportunity for more timely and complete gathering of health information compared to what has historically been achieved through manual, paper-based reporting</w:t>
      </w:r>
      <w:r w:rsidRPr="0092308A">
        <w:rPr>
          <w:sz w:val="16"/>
        </w:rPr>
        <w:t xml:space="preserve"> [8]. T</w:t>
      </w:r>
      <w:r w:rsidRPr="0092308A">
        <w:rPr>
          <w:rStyle w:val="StyleUnderline"/>
        </w:rPr>
        <w:t>he increasingly rapid deployment of electronic medical records</w:t>
      </w:r>
      <w:r w:rsidRPr="0092308A">
        <w:rPr>
          <w:sz w:val="16"/>
        </w:rPr>
        <w:t xml:space="preserve"> (EMR) [9] </w:t>
      </w:r>
      <w:r w:rsidRPr="0092308A">
        <w:rPr>
          <w:rStyle w:val="Emphasis"/>
        </w:rPr>
        <w:t>broadens the array of data that could be recruited for surveillance purposes</w:t>
      </w:r>
      <w:r w:rsidRPr="0092308A">
        <w:rPr>
          <w:sz w:val="16"/>
        </w:rPr>
        <w:t xml:space="preserve"> [10], [11]. EMR-based surveillance could improve our response to a serious outbreak of ARI not only by allowing earlier recognition, but also by offering an efficient conduit for the information necessary to manage actual patients and to keep abreast of the evolving epidemic [12]–[14]. At present, however, the tantalizing potential of EMR-based surveillance remains in the making [15]–[18]. To gain insight on the conduct of surveillance in an EMR environment, we previously evaluated how EMR entries should be assembled to discover individuals with ARI [19]. We found that computerized free-text analyses aimed at uncovering ARI symptoms documented in outpatient clinical notes could complement diagnostic codes and other structured data to improve case detection. In this report, we asked if those EMR-enabled gains in case-detection could accelerate the discovery of ARI outbreaks. Using software to reconstitute a surveillance system operating prospectively on historical data sets, we compared alternative case-detection approaches for their ability to reduce the delay in detecting a modeled community outbreak of influenza. Our approach and results begin to chart how EMR-based information could be systematically organized to better serve public health surveillance.</w:t>
      </w:r>
    </w:p>
    <w:p w:rsidR="00B8257E" w:rsidRDefault="00B8257E" w:rsidP="00B55AD5"/>
    <w:p w:rsidR="00752BD6" w:rsidRDefault="00752BD6" w:rsidP="00752BD6">
      <w:pPr>
        <w:pStyle w:val="Heading4"/>
      </w:pPr>
      <w:r>
        <w:t xml:space="preserve">2. And, counter-interpretation- the curtailment has to be substantial- </w:t>
      </w:r>
    </w:p>
    <w:p w:rsidR="00752BD6" w:rsidRDefault="00752BD6" w:rsidP="00752BD6">
      <w:pPr>
        <w:pStyle w:val="Heading4"/>
        <w:rPr>
          <w:lang w:bidi="en-US"/>
        </w:rPr>
      </w:pPr>
      <w:r>
        <w:rPr>
          <w:lang w:bidi="en-US"/>
        </w:rPr>
        <w:t xml:space="preserve">3. We meet our counter interpretation, drone courts are legal restrictions on the targeted killing activities of the president </w:t>
      </w:r>
    </w:p>
    <w:p w:rsidR="00752BD6" w:rsidRDefault="00752BD6" w:rsidP="00752BD6">
      <w:pPr>
        <w:pStyle w:val="Heading4"/>
      </w:pPr>
      <w:r>
        <w:t>Plan meets substantial curtailment- eliminates surveillance provisions in 1AC</w:t>
      </w:r>
    </w:p>
    <w:p w:rsidR="00752BD6" w:rsidRDefault="00752BD6" w:rsidP="00752BD6">
      <w:pPr>
        <w:rPr>
          <w:rStyle w:val="Style13ptBold"/>
        </w:rPr>
      </w:pPr>
      <w:r w:rsidRPr="000A4752">
        <w:rPr>
          <w:rStyle w:val="Style13ptBold"/>
        </w:rPr>
        <w:t xml:space="preserve">Association of </w:t>
      </w:r>
      <w:r>
        <w:rPr>
          <w:rStyle w:val="Style13ptBold"/>
        </w:rPr>
        <w:t>S</w:t>
      </w:r>
      <w:r w:rsidRPr="000A4752">
        <w:rPr>
          <w:rStyle w:val="Style13ptBold"/>
        </w:rPr>
        <w:t xml:space="preserve">tate and </w:t>
      </w:r>
      <w:r>
        <w:rPr>
          <w:rStyle w:val="Style13ptBold"/>
        </w:rPr>
        <w:t>T</w:t>
      </w:r>
      <w:r w:rsidRPr="000A4752">
        <w:rPr>
          <w:rStyle w:val="Style13ptBold"/>
        </w:rPr>
        <w:t xml:space="preserve">erritorial </w:t>
      </w:r>
      <w:r>
        <w:rPr>
          <w:rStyle w:val="Style13ptBold"/>
        </w:rPr>
        <w:t>H</w:t>
      </w:r>
      <w:r w:rsidRPr="000A4752">
        <w:rPr>
          <w:rStyle w:val="Style13ptBold"/>
        </w:rPr>
        <w:t>ealth Care Officials</w:t>
      </w:r>
      <w:r>
        <w:rPr>
          <w:rStyle w:val="Style13ptBold"/>
        </w:rPr>
        <w:t>, No Date</w:t>
      </w:r>
    </w:p>
    <w:p w:rsidR="00752BD6" w:rsidRPr="000A4752" w:rsidRDefault="00752BD6" w:rsidP="00752BD6">
      <w:r w:rsidRPr="000A4752">
        <w:t xml:space="preserve">(Association of State and Territorial Health Care Officials, “Comparison of FERPA and HIPAA Privacy Rule for Accessing Student Health Data,” </w:t>
      </w:r>
      <w:hyperlink r:id="rId8" w:history="1">
        <w:r w:rsidRPr="000A4752">
          <w:rPr>
            <w:rStyle w:val="Hyperlink"/>
          </w:rPr>
          <w:t>http://www.astho.org/Programs/Preparedness/Public-Health-Emergency-Law/Public-Health-and-Schools-Toolkit/Comparison-of-FERPA-and-HIPAA-Privacy-Rule/</w:t>
        </w:r>
      </w:hyperlink>
      <w:r w:rsidRPr="000A4752">
        <w:t>) /</w:t>
      </w:r>
      <w:proofErr w:type="spellStart"/>
      <w:r w:rsidRPr="000A4752">
        <w:t>jdi</w:t>
      </w:r>
      <w:proofErr w:type="spellEnd"/>
      <w:r w:rsidRPr="000A4752">
        <w:t>-mm</w:t>
      </w:r>
    </w:p>
    <w:p w:rsidR="00752BD6" w:rsidRPr="00BA2EDA" w:rsidRDefault="00752BD6" w:rsidP="00752BD6">
      <w:r w:rsidRPr="00A0147A">
        <w:rPr>
          <w:rStyle w:val="StyleUnderline"/>
        </w:rPr>
        <w:t>HIPAA</w:t>
      </w:r>
      <w:r>
        <w:t xml:space="preserve"> In general, a state law or regulation that conflicts with HIPAA and the Privacy Rule is preempted by the federal law. </w:t>
      </w:r>
      <w:r w:rsidRPr="00A0147A">
        <w:rPr>
          <w:rStyle w:val="StyleUnderline"/>
        </w:rPr>
        <w:t>The Privacy Rule contains exceptions that allow differing state requirements to control if the state law</w:t>
      </w:r>
      <w:r>
        <w:t xml:space="preserve">: (1) relates to privacy of individually identifiable health information and provides greater protections or rights than </w:t>
      </w:r>
      <w:r w:rsidRPr="00A0147A">
        <w:rPr>
          <w:rStyle w:val="StyleUnderline"/>
        </w:rPr>
        <w:t>the Privacy Rule</w:t>
      </w:r>
      <w:r>
        <w:t xml:space="preserve">; (2) </w:t>
      </w:r>
      <w:r w:rsidRPr="00A0147A">
        <w:rPr>
          <w:rStyle w:val="StyleUnderline"/>
        </w:rPr>
        <w:t>requires</w:t>
      </w:r>
      <w:r>
        <w:t xml:space="preserve"> the reporting of disease, injury, child abuse, birth, or death, and for </w:t>
      </w:r>
      <w:r w:rsidRPr="00A0147A">
        <w:rPr>
          <w:rStyle w:val="StyleUnderline"/>
        </w:rPr>
        <w:t>public health surveillance, investigation, or intervention</w:t>
      </w:r>
      <w:r>
        <w:t xml:space="preserve">; or (3) requires certain reporting by health plans, such as for management or financial audits or evaluations. </w:t>
      </w:r>
      <w:r w:rsidRPr="00A0147A">
        <w:rPr>
          <w:rStyle w:val="StyleUnderline"/>
        </w:rPr>
        <w:t>States can also request a determination that a conflicting state law will not be preempted by HIPAA if the state can demonstrate one of the conditions listed in the rule, including, but not limited to, that the conflicting provision serves a compelling public health, safety, or welfare interest, and, if the conflicting provision relates to a privacy right, that the intrusion into privacy is warranted given the public interest being served</w:t>
      </w:r>
      <w:r>
        <w:t>.</w:t>
      </w:r>
    </w:p>
    <w:p w:rsidR="00752BD6" w:rsidRPr="00752BD6" w:rsidRDefault="00752BD6" w:rsidP="00752BD6">
      <w:pPr>
        <w:rPr>
          <w:lang w:bidi="en-US"/>
        </w:rPr>
      </w:pPr>
    </w:p>
    <w:p w:rsidR="00752BD6" w:rsidRDefault="00752BD6" w:rsidP="00752BD6">
      <w:pPr>
        <w:pStyle w:val="Heading4"/>
      </w:pPr>
      <w:r>
        <w:t>4. Prefer our interpretation</w:t>
      </w:r>
    </w:p>
    <w:p w:rsidR="00752BD6" w:rsidRDefault="00752BD6" w:rsidP="00752BD6">
      <w:pPr>
        <w:pStyle w:val="Heading4"/>
      </w:pPr>
      <w:r>
        <w:t xml:space="preserve">a. </w:t>
      </w:r>
      <w:r w:rsidR="00435CE3">
        <w:t xml:space="preserve">Education </w:t>
      </w:r>
      <w:r>
        <w:t xml:space="preserve">- </w:t>
      </w:r>
      <w:r w:rsidR="00D1560A">
        <w:t>having substantial modify “surveillance” m</w:t>
      </w:r>
      <w:r>
        <w:t>eans th</w:t>
      </w:r>
      <w:r w:rsidR="00D1560A">
        <w:t xml:space="preserve">at only the NSA </w:t>
      </w:r>
      <w:proofErr w:type="spellStart"/>
      <w:r w:rsidR="00D1560A">
        <w:t>aff</w:t>
      </w:r>
      <w:proofErr w:type="spellEnd"/>
      <w:r w:rsidR="00D1560A">
        <w:t xml:space="preserve"> is topical, destroys </w:t>
      </w:r>
      <w:proofErr w:type="spellStart"/>
      <w:r w:rsidR="00D1560A">
        <w:t>aff</w:t>
      </w:r>
      <w:proofErr w:type="spellEnd"/>
      <w:r w:rsidR="00D1560A">
        <w:t xml:space="preserve"> innovation and potential for small </w:t>
      </w:r>
      <w:proofErr w:type="spellStart"/>
      <w:r w:rsidR="00D1560A">
        <w:t>aff</w:t>
      </w:r>
      <w:proofErr w:type="spellEnd"/>
      <w:r w:rsidR="00D1560A">
        <w:t xml:space="preserve"> ground</w:t>
      </w:r>
      <w:r w:rsidR="00435CE3">
        <w:t>, skirts most interesting lit bases, and dis-incentivizes research</w:t>
      </w:r>
    </w:p>
    <w:p w:rsidR="00D1560A" w:rsidRPr="00D1560A" w:rsidRDefault="00D1560A" w:rsidP="00D1560A"/>
    <w:p w:rsidR="00435CE3" w:rsidRPr="00435CE3" w:rsidRDefault="00752BD6" w:rsidP="00435CE3">
      <w:pPr>
        <w:pStyle w:val="Heading4"/>
      </w:pPr>
      <w:r>
        <w:t>b.</w:t>
      </w:r>
      <w:r w:rsidR="00D83177">
        <w:t xml:space="preserve"> </w:t>
      </w:r>
      <w:r w:rsidR="00D1560A">
        <w:t>Predictability</w:t>
      </w:r>
      <w:r>
        <w:t>—</w:t>
      </w:r>
      <w:r w:rsidR="00D1560A" w:rsidRPr="00D1560A">
        <w:t xml:space="preserve"> </w:t>
      </w:r>
      <w:r w:rsidR="00D1560A">
        <w:t xml:space="preserve">medical surveillance is </w:t>
      </w:r>
      <w:r w:rsidR="00D1560A">
        <w:t xml:space="preserve">the </w:t>
      </w:r>
      <w:r w:rsidR="00D1560A">
        <w:t xml:space="preserve">crux of the privacy </w:t>
      </w:r>
      <w:r w:rsidR="00D1560A">
        <w:t>debate, and there are links to enough to</w:t>
      </w:r>
      <w:r w:rsidR="00435CE3">
        <w:t xml:space="preserve"> any of the topic DA’s while maintaining </w:t>
      </w:r>
      <w:proofErr w:type="spellStart"/>
      <w:r w:rsidR="00435CE3">
        <w:t>aff</w:t>
      </w:r>
      <w:proofErr w:type="spellEnd"/>
      <w:r w:rsidR="00435CE3">
        <w:t xml:space="preserve"> flexibility </w:t>
      </w:r>
    </w:p>
    <w:p w:rsidR="00D1560A" w:rsidRDefault="00D1560A" w:rsidP="00C04865"/>
    <w:p w:rsidR="00752BD6" w:rsidRDefault="00752BD6" w:rsidP="00752BD6">
      <w:pPr>
        <w:pStyle w:val="Heading4"/>
      </w:pPr>
      <w:r>
        <w:t>5. Prefer reasonability over competing interpretations</w:t>
      </w:r>
      <w:r w:rsidR="00D1560A">
        <w:t xml:space="preserve">- competing interpretations yields shallow standard debates- </w:t>
      </w:r>
      <w:r>
        <w:t xml:space="preserve">if the </w:t>
      </w:r>
      <w:proofErr w:type="spellStart"/>
      <w:r>
        <w:t>aff</w:t>
      </w:r>
      <w:proofErr w:type="spellEnd"/>
      <w:r>
        <w:t xml:space="preserve"> doesn’t make debate impossible than you </w:t>
      </w:r>
      <w:r w:rsidR="00D1560A">
        <w:t xml:space="preserve">shouldn’t </w:t>
      </w:r>
      <w:r>
        <w:t>vote against us</w:t>
      </w:r>
    </w:p>
    <w:p w:rsidR="004A185A" w:rsidRPr="00B55AD5" w:rsidRDefault="004A185A" w:rsidP="004A185A"/>
    <w:p w:rsidR="00BA2EDA" w:rsidRDefault="004A185A" w:rsidP="0092308A">
      <w:pPr>
        <w:pStyle w:val="Heading3"/>
      </w:pPr>
      <w:r>
        <w:t xml:space="preserve">2AC – </w:t>
      </w:r>
      <w:r w:rsidR="00BA2EDA">
        <w:t>AT</w:t>
      </w:r>
      <w:r>
        <w:t>:</w:t>
      </w:r>
      <w:r w:rsidR="00BA2EDA">
        <w:t xml:space="preserve"> </w:t>
      </w:r>
      <w:proofErr w:type="spellStart"/>
      <w:r w:rsidR="00BA2EDA">
        <w:t>Biosurveillance</w:t>
      </w:r>
      <w:proofErr w:type="spellEnd"/>
      <w:r w:rsidR="00BA2EDA">
        <w:t xml:space="preserve"> good</w:t>
      </w:r>
    </w:p>
    <w:p w:rsidR="0092308A" w:rsidRPr="0092308A" w:rsidRDefault="0092308A" w:rsidP="0092308A">
      <w:pPr>
        <w:pStyle w:val="Heading4"/>
      </w:pPr>
      <w:proofErr w:type="spellStart"/>
      <w:r>
        <w:t>Biosurveillance</w:t>
      </w:r>
      <w:proofErr w:type="spellEnd"/>
      <w:r>
        <w:t xml:space="preserve"> shouldn’t be the justification to erode privacy issues- privacy critical to resolving any bioterror attack- no turns</w:t>
      </w:r>
    </w:p>
    <w:p w:rsidR="0092308A" w:rsidRPr="0092308A" w:rsidRDefault="0092308A" w:rsidP="0092308A">
      <w:pPr>
        <w:rPr>
          <w:rStyle w:val="Style13ptBold"/>
        </w:rPr>
      </w:pPr>
      <w:r w:rsidRPr="0092308A">
        <w:rPr>
          <w:rStyle w:val="Style13ptBold"/>
        </w:rPr>
        <w:t xml:space="preserve">Hodge </w:t>
      </w:r>
      <w:r>
        <w:rPr>
          <w:rStyle w:val="Style13ptBold"/>
        </w:rPr>
        <w:t xml:space="preserve">et al </w:t>
      </w:r>
      <w:r w:rsidRPr="0092308A">
        <w:rPr>
          <w:rStyle w:val="Style13ptBold"/>
        </w:rPr>
        <w:t>03</w:t>
      </w:r>
    </w:p>
    <w:p w:rsidR="0092308A" w:rsidRPr="0092308A" w:rsidRDefault="0092308A" w:rsidP="0092308A">
      <w:r w:rsidRPr="0092308A">
        <w:t>(James, is an Assistant Public Health Professor, Johns Hopkins Bloomberg School of Public Health; Adjunct Professor of Law, Georgetown University Law Center; and Executive Director, Center for Law and the Public’s Health at Georgetown and Johns Hopkins Universities.</w:t>
      </w:r>
      <w:r>
        <w:t xml:space="preserve"> </w:t>
      </w:r>
      <w:r w:rsidRPr="0092308A">
        <w:t>Erin Fuse Brown is a J.D</w:t>
      </w:r>
      <w:proofErr w:type="gramStart"/>
      <w:r w:rsidRPr="0092308A">
        <w:t>./</w:t>
      </w:r>
      <w:proofErr w:type="gramEnd"/>
      <w:r w:rsidRPr="0092308A">
        <w:t>M.P.H. candidate at Georgetown University Law Center and the Johns Hopkins Bloomberg School of Public Health, and a research assistant for the Center for</w:t>
      </w:r>
      <w:r>
        <w:t xml:space="preserve"> </w:t>
      </w:r>
      <w:r w:rsidRPr="0092308A">
        <w:t>Law and the Public’s Health.</w:t>
      </w:r>
      <w:r>
        <w:t xml:space="preserve"> </w:t>
      </w:r>
      <w:r w:rsidRPr="0092308A">
        <w:t>Jessica P. O’Connell is a J.D./M.P.H. candidate at Georgetown University Law Center and the Johns Hopkins Bloomberg School of Public Health, and a research assistant for the Center for Law and the Public’s Health</w:t>
      </w:r>
      <w:r>
        <w:t>, “The HIPAA Privacy Rule and Bioterrorism Planning, Prevention, and Response,” 2003) //</w:t>
      </w:r>
      <w:proofErr w:type="spellStart"/>
      <w:r>
        <w:t>jdi</w:t>
      </w:r>
      <w:proofErr w:type="spellEnd"/>
      <w:r>
        <w:t>-mm</w:t>
      </w:r>
    </w:p>
    <w:p w:rsidR="00BA2EDA" w:rsidRDefault="00BA2EDA" w:rsidP="00B55AD5">
      <w:r w:rsidRPr="0092308A">
        <w:rPr>
          <w:rStyle w:val="StyleUnderline"/>
        </w:rPr>
        <w:t xml:space="preserve">While individual privacy interests should not trump societal needs for health data sharing during a bioterrorism event, </w:t>
      </w:r>
      <w:r w:rsidRPr="0092308A">
        <w:rPr>
          <w:rStyle w:val="Emphasis"/>
        </w:rPr>
        <w:t>they cannot simply be dismissed.</w:t>
      </w:r>
      <w:r>
        <w:t xml:space="preserve"> </w:t>
      </w:r>
      <w:r w:rsidRPr="0092308A">
        <w:rPr>
          <w:rStyle w:val="Emphasis"/>
        </w:rPr>
        <w:t>Protecting individual privacy and communal health and safety are synergistic.</w:t>
      </w:r>
      <w:r>
        <w:t xml:space="preserve"> </w:t>
      </w:r>
      <w:r w:rsidRPr="0092308A">
        <w:rPr>
          <w:rStyle w:val="Emphasis"/>
        </w:rPr>
        <w:t>Maintaining some standard of privacy of identifiable health data even during a bioterrorism event may be essential to accomplishing public health and law enforcement objectives.</w:t>
      </w:r>
      <w:r>
        <w:t xml:space="preserve"> People will not tolerate objectionable privacy abuses by government or the private sector. Failing </w:t>
      </w:r>
      <w:r w:rsidRPr="0092308A">
        <w:rPr>
          <w:rStyle w:val="StyleUnderline"/>
        </w:rPr>
        <w:t>to respect the confidentiality of a person’s health information leads individuals to avoid, or limit their participation in, public health programs, criminal investigations, research, and even clinical care</w:t>
      </w:r>
      <w:proofErr w:type="gramStart"/>
      <w:r w:rsidRPr="0092308A">
        <w:rPr>
          <w:rStyle w:val="StyleUnderline"/>
        </w:rPr>
        <w:t>.(</w:t>
      </w:r>
      <w:proofErr w:type="gramEnd"/>
      <w:r w:rsidRPr="0092308A">
        <w:rPr>
          <w:rStyle w:val="StyleUnderline"/>
        </w:rPr>
        <w:t>3) Large-scale avoidance of these services or activities during a bioterrorism event would be</w:t>
      </w:r>
      <w:r>
        <w:t xml:space="preserve"> </w:t>
      </w:r>
      <w:r w:rsidRPr="0092308A">
        <w:rPr>
          <w:rStyle w:val="Emphasis"/>
        </w:rPr>
        <w:t>disastrous</w:t>
      </w:r>
      <w:r>
        <w:t xml:space="preserve">. Conversely, </w:t>
      </w:r>
      <w:r w:rsidRPr="0092308A">
        <w:rPr>
          <w:rStyle w:val="Emphasis"/>
        </w:rPr>
        <w:t>everyone benefits from governmental and societal efforts to control the spread of disease or other conditions resulting from a bioterrorism event.</w:t>
      </w:r>
      <w:r>
        <w:t xml:space="preserve"> Individuals alone cannot ensure their safety. </w:t>
      </w:r>
      <w:r w:rsidRPr="0092308A">
        <w:rPr>
          <w:rStyle w:val="StyleUnderline"/>
        </w:rPr>
        <w:t>They need to cooperate with public health and other authorities to protect their own and others’ health and welfare. People must be willing to confidentially share their health data for public health or law enforcement purposes during a bioterrorism event.</w:t>
      </w:r>
    </w:p>
    <w:p w:rsidR="0016600D" w:rsidRDefault="0016600D" w:rsidP="0016600D">
      <w:pPr>
        <w:pStyle w:val="Heading3"/>
      </w:pPr>
      <w:r>
        <w:t>2AC – AT: Informed Consent CP</w:t>
      </w:r>
    </w:p>
    <w:p w:rsidR="0016600D" w:rsidRDefault="0016600D" w:rsidP="0016600D">
      <w:pPr>
        <w:pStyle w:val="Heading4"/>
      </w:pPr>
      <w:r>
        <w:t xml:space="preserve">Informed consent won’t solve- people have no desire to share their information </w:t>
      </w:r>
      <w:bookmarkStart w:id="0" w:name="_GoBack"/>
      <w:bookmarkEnd w:id="0"/>
    </w:p>
    <w:p w:rsidR="0016600D" w:rsidRDefault="0016600D" w:rsidP="0016600D">
      <w:pPr>
        <w:rPr>
          <w:rStyle w:val="Style13ptBold"/>
        </w:rPr>
      </w:pPr>
      <w:r w:rsidRPr="00724071">
        <w:rPr>
          <w:rStyle w:val="Style13ptBold"/>
        </w:rPr>
        <w:t>National Research Council 08</w:t>
      </w:r>
    </w:p>
    <w:p w:rsidR="0016600D" w:rsidRPr="00724071" w:rsidRDefault="0016600D" w:rsidP="0016600D">
      <w:r w:rsidRPr="00724071">
        <w:t>(National Research Council, Committee on Technical and Privacy Dimensions of Information</w:t>
      </w:r>
      <w:r>
        <w:t xml:space="preserve"> </w:t>
      </w:r>
      <w:r w:rsidRPr="00724071">
        <w:t>for Terrorism Prevention and Other National Goals</w:t>
      </w:r>
      <w:r>
        <w:t xml:space="preserve"> </w:t>
      </w:r>
      <w:r w:rsidRPr="00724071">
        <w:t>Committee on Law and Justice and Committee on National Statistics</w:t>
      </w:r>
      <w:r>
        <w:t xml:space="preserve"> </w:t>
      </w:r>
      <w:r w:rsidRPr="00724071">
        <w:t>Division on Behavioral and Social Sciences and Education</w:t>
      </w:r>
      <w:r>
        <w:t xml:space="preserve"> </w:t>
      </w:r>
      <w:r w:rsidRPr="00724071">
        <w:t>Computer Science and Telecommunications Board</w:t>
      </w:r>
      <w:r>
        <w:t xml:space="preserve"> </w:t>
      </w:r>
      <w:r w:rsidRPr="00724071">
        <w:t xml:space="preserve">Division on Engineering and Physical Sciences, Library of Congress Cataloging-in-Publication Data, “Protecting Individual Privacy in the Struggle Against Terrorists: A Framework for Assessment,” 2008, </w:t>
      </w:r>
      <w:hyperlink r:id="rId9" w:history="1">
        <w:r w:rsidRPr="00724071">
          <w:rPr>
            <w:rStyle w:val="Hyperlink"/>
          </w:rPr>
          <w:t>https://epic.org/misc/nrc_rept_100708.pdf</w:t>
        </w:r>
      </w:hyperlink>
      <w:r w:rsidRPr="00724071">
        <w:t>) //</w:t>
      </w:r>
      <w:proofErr w:type="spellStart"/>
      <w:r w:rsidRPr="00724071">
        <w:t>jdi</w:t>
      </w:r>
      <w:proofErr w:type="spellEnd"/>
      <w:r w:rsidRPr="00724071">
        <w:t>-mm</w:t>
      </w:r>
    </w:p>
    <w:p w:rsidR="0016600D" w:rsidRPr="00384544" w:rsidRDefault="0016600D" w:rsidP="0016600D">
      <w:pPr>
        <w:rPr>
          <w:sz w:val="16"/>
        </w:rPr>
      </w:pPr>
      <w:r w:rsidRPr="00384544">
        <w:rPr>
          <w:rStyle w:val="StyleUnderline"/>
        </w:rPr>
        <w:t xml:space="preserve">The implications of these findings for public support of databases designed to monitor public health threats are threefold. First, </w:t>
      </w:r>
      <w:r w:rsidRPr="00384544">
        <w:rPr>
          <w:rStyle w:val="Emphasis"/>
        </w:rPr>
        <w:t>c</w:t>
      </w:r>
      <w:r w:rsidRPr="00A629D7">
        <w:rPr>
          <w:rStyle w:val="Emphasis"/>
          <w:highlight w:val="yellow"/>
        </w:rPr>
        <w:t>oncerns about privacy make respondents hesitant about any online health database system</w:t>
      </w:r>
      <w:r w:rsidRPr="00A629D7">
        <w:rPr>
          <w:rStyle w:val="StyleUnderline"/>
          <w:highlight w:val="yellow"/>
        </w:rPr>
        <w:t>.</w:t>
      </w:r>
      <w:r w:rsidRPr="00384544">
        <w:rPr>
          <w:rStyle w:val="StyleUnderline"/>
        </w:rPr>
        <w:t xml:space="preserve"> </w:t>
      </w:r>
      <w:r w:rsidRPr="00384544">
        <w:rPr>
          <w:sz w:val="16"/>
        </w:rPr>
        <w:t xml:space="preserve">Second, </w:t>
      </w:r>
      <w:r w:rsidRPr="00384544">
        <w:rPr>
          <w:rStyle w:val="StyleUnderline"/>
        </w:rPr>
        <w:t>respondents expect to exert no small degree of control over how their medical information is used and to whom it is released</w:t>
      </w:r>
      <w:r w:rsidRPr="00384544">
        <w:rPr>
          <w:sz w:val="16"/>
        </w:rPr>
        <w:t xml:space="preserve">. Third, </w:t>
      </w:r>
      <w:r w:rsidRPr="00A629D7">
        <w:rPr>
          <w:rStyle w:val="StyleUnderline"/>
          <w:highlight w:val="yellow"/>
        </w:rPr>
        <w:t>when respondents perceive personal benefits, they are more willing to consider online storage and sharing of information, but they do not appear to be motivated to share information</w:t>
      </w:r>
      <w:r w:rsidRPr="00384544">
        <w:rPr>
          <w:rStyle w:val="StyleUnderline"/>
        </w:rPr>
        <w:t xml:space="preserve"> by broader concerns about social well-being or by any sense of civic duty</w:t>
      </w:r>
      <w:r w:rsidRPr="00384544">
        <w:rPr>
          <w:sz w:val="16"/>
        </w:rPr>
        <w:t xml:space="preserve">. Thus, </w:t>
      </w:r>
      <w:r w:rsidRPr="00A629D7">
        <w:rPr>
          <w:rStyle w:val="StyleUnderline"/>
          <w:highlight w:val="yellow"/>
        </w:rPr>
        <w:t xml:space="preserve">to the extent that members of the public regard disease outbreaks or bioterrorist attacks as remote possibilities that will probably not affect them </w:t>
      </w:r>
      <w:proofErr w:type="gramStart"/>
      <w:r w:rsidRPr="00A629D7">
        <w:rPr>
          <w:rStyle w:val="StyleUnderline"/>
          <w:highlight w:val="yellow"/>
        </w:rPr>
        <w:t>directly</w:t>
      </w:r>
      <w:r w:rsidRPr="00384544">
        <w:rPr>
          <w:rStyle w:val="StyleUnderline"/>
        </w:rPr>
        <w:t>,</w:t>
      </w:r>
      <w:proofErr w:type="gramEnd"/>
      <w:r w:rsidRPr="00384544">
        <w:rPr>
          <w:rStyle w:val="StyleUnderline"/>
        </w:rPr>
        <w:t xml:space="preserve"> they are unlikely to wish to share medical information to help track such occurrences</w:t>
      </w:r>
      <w:r w:rsidRPr="00384544">
        <w:rPr>
          <w:sz w:val="16"/>
        </w:rPr>
        <w:t>.</w:t>
      </w:r>
    </w:p>
    <w:p w:rsidR="0016600D" w:rsidRPr="00AC35EE" w:rsidRDefault="0016600D" w:rsidP="0016600D"/>
    <w:p w:rsidR="0016600D" w:rsidRPr="00BF32AB" w:rsidRDefault="0016600D" w:rsidP="0016600D">
      <w:pPr>
        <w:pStyle w:val="Heading4"/>
      </w:pPr>
      <w:r>
        <w:t xml:space="preserve">Informed Consent </w:t>
      </w:r>
      <w:r w:rsidRPr="00BF32AB">
        <w:t>won’t solve, efforts are autonomous</w:t>
      </w:r>
    </w:p>
    <w:p w:rsidR="0016600D" w:rsidRPr="00BF32AB" w:rsidRDefault="0016600D" w:rsidP="0016600D">
      <w:pPr>
        <w:rPr>
          <w:rFonts w:asciiTheme="minorHAnsi" w:hAnsiTheme="minorHAnsi"/>
          <w:sz w:val="20"/>
        </w:rPr>
      </w:pPr>
      <w:proofErr w:type="spellStart"/>
      <w:r>
        <w:rPr>
          <w:rFonts w:asciiTheme="minorHAnsi" w:hAnsiTheme="minorHAnsi"/>
          <w:sz w:val="20"/>
        </w:rPr>
        <w:t>Sandip</w:t>
      </w:r>
      <w:proofErr w:type="spellEnd"/>
      <w:r>
        <w:rPr>
          <w:rFonts w:asciiTheme="minorHAnsi" w:hAnsiTheme="minorHAnsi"/>
          <w:sz w:val="20"/>
        </w:rPr>
        <w:t xml:space="preserve"> </w:t>
      </w:r>
      <w:r w:rsidRPr="00BF32AB">
        <w:rPr>
          <w:rStyle w:val="Style13ptBold"/>
        </w:rPr>
        <w:t>Patel</w:t>
      </w:r>
      <w:r>
        <w:rPr>
          <w:rFonts w:asciiTheme="minorHAnsi" w:hAnsiTheme="minorHAnsi"/>
          <w:sz w:val="20"/>
        </w:rPr>
        <w:t xml:space="preserve">, Feb 11 </w:t>
      </w:r>
      <w:r w:rsidRPr="00BF32AB">
        <w:rPr>
          <w:rStyle w:val="Style13ptBold"/>
        </w:rPr>
        <w:t>2014</w:t>
      </w:r>
      <w:r>
        <w:rPr>
          <w:rFonts w:asciiTheme="minorHAnsi" w:hAnsiTheme="minorHAnsi"/>
          <w:sz w:val="20"/>
        </w:rPr>
        <w:t xml:space="preserve"> </w:t>
      </w:r>
      <w:r w:rsidRPr="00BF32AB">
        <w:rPr>
          <w:rFonts w:asciiTheme="minorHAnsi" w:hAnsiTheme="minorHAnsi"/>
          <w:sz w:val="20"/>
        </w:rPr>
        <w:t>[</w:t>
      </w:r>
      <w:proofErr w:type="spellStart"/>
      <w:r w:rsidRPr="00BF32AB">
        <w:rPr>
          <w:rFonts w:asciiTheme="minorHAnsi" w:hAnsiTheme="minorHAnsi"/>
          <w:sz w:val="20"/>
        </w:rPr>
        <w:t>Sandip</w:t>
      </w:r>
      <w:proofErr w:type="spellEnd"/>
      <w:r w:rsidRPr="00BF32AB">
        <w:rPr>
          <w:rFonts w:asciiTheme="minorHAnsi" w:hAnsiTheme="minorHAnsi"/>
          <w:sz w:val="20"/>
        </w:rPr>
        <w:t xml:space="preserve"> Patel, MD, is an expert on cancer immunotherapy and early phase clinical trials involving immunotherapy across </w:t>
      </w:r>
      <w:r>
        <w:rPr>
          <w:rFonts w:asciiTheme="minorHAnsi" w:hAnsiTheme="minorHAnsi"/>
          <w:sz w:val="20"/>
        </w:rPr>
        <w:t>all types of cancer,</w:t>
      </w:r>
      <w:r w:rsidRPr="00BF32AB">
        <w:rPr>
          <w:rFonts w:asciiTheme="minorHAnsi" w:hAnsiTheme="minorHAnsi"/>
          <w:sz w:val="20"/>
        </w:rPr>
        <w:t xml:space="preserve"> </w:t>
      </w:r>
      <w:r>
        <w:rPr>
          <w:rFonts w:asciiTheme="minorHAnsi" w:hAnsiTheme="minorHAnsi"/>
          <w:sz w:val="20"/>
        </w:rPr>
        <w:t xml:space="preserve">“The Limits of Informed Consent”, Feb 11 2014, </w:t>
      </w:r>
      <w:r w:rsidRPr="00BF32AB">
        <w:rPr>
          <w:rFonts w:asciiTheme="minorHAnsi" w:hAnsiTheme="minorHAnsi"/>
          <w:sz w:val="20"/>
        </w:rPr>
        <w:t>https://scholarblogs.emory.edu/philosophy316/2014/02/11/the-limits-of-informed-consent/</w:t>
      </w:r>
      <w:r>
        <w:rPr>
          <w:rFonts w:asciiTheme="minorHAnsi" w:hAnsiTheme="minorHAnsi"/>
          <w:sz w:val="20"/>
        </w:rPr>
        <w:t>]</w:t>
      </w:r>
    </w:p>
    <w:p w:rsidR="0016600D" w:rsidRDefault="0016600D" w:rsidP="0016600D">
      <w:pPr>
        <w:rPr>
          <w:rStyle w:val="Style13ptBold"/>
        </w:rPr>
      </w:pPr>
      <w:r w:rsidRPr="00BF32AB">
        <w:rPr>
          <w:rFonts w:asciiTheme="minorHAnsi" w:hAnsiTheme="minorHAnsi"/>
          <w:b/>
          <w:sz w:val="24"/>
          <w:u w:val="single"/>
        </w:rPr>
        <w:t xml:space="preserve">The autonomy of the patient has triumphed, in legal terms at least. </w:t>
      </w:r>
      <w:r w:rsidRPr="00A629D7">
        <w:rPr>
          <w:rFonts w:asciiTheme="minorHAnsi" w:hAnsiTheme="minorHAnsi"/>
          <w:b/>
          <w:sz w:val="24"/>
          <w:highlight w:val="yellow"/>
          <w:u w:val="single"/>
        </w:rPr>
        <w:t>Doctors</w:t>
      </w:r>
      <w:r w:rsidRPr="00BF32AB">
        <w:rPr>
          <w:rFonts w:asciiTheme="minorHAnsi" w:hAnsiTheme="minorHAnsi"/>
          <w:b/>
          <w:sz w:val="24"/>
          <w:u w:val="single"/>
        </w:rPr>
        <w:t xml:space="preserve"> and health care personnel </w:t>
      </w:r>
      <w:r w:rsidRPr="00A629D7">
        <w:rPr>
          <w:rFonts w:asciiTheme="minorHAnsi" w:hAnsiTheme="minorHAnsi"/>
          <w:b/>
          <w:sz w:val="24"/>
          <w:highlight w:val="yellow"/>
          <w:u w:val="single"/>
        </w:rPr>
        <w:t>are</w:t>
      </w:r>
      <w:r w:rsidRPr="00BF32AB">
        <w:rPr>
          <w:rFonts w:asciiTheme="minorHAnsi" w:hAnsiTheme="minorHAnsi"/>
          <w:b/>
          <w:sz w:val="24"/>
          <w:u w:val="single"/>
        </w:rPr>
        <w:t xml:space="preserve"> legally </w:t>
      </w:r>
      <w:r w:rsidRPr="00A629D7">
        <w:rPr>
          <w:rFonts w:asciiTheme="minorHAnsi" w:hAnsiTheme="minorHAnsi"/>
          <w:b/>
          <w:sz w:val="24"/>
          <w:highlight w:val="yellow"/>
          <w:u w:val="single"/>
        </w:rPr>
        <w:t>required to disclose information about treatments to patients, and patients have the legal right to say “yes” or “no” to any treatment.</w:t>
      </w:r>
      <w:r w:rsidRPr="00BF32AB">
        <w:rPr>
          <w:rFonts w:asciiTheme="minorHAnsi" w:hAnsiTheme="minorHAnsi"/>
          <w:b/>
          <w:sz w:val="24"/>
          <w:u w:val="single"/>
        </w:rPr>
        <w:t xml:space="preserve"> </w:t>
      </w:r>
      <w:r w:rsidRPr="00BF32AB">
        <w:rPr>
          <w:rFonts w:asciiTheme="minorHAnsi" w:hAnsiTheme="minorHAnsi"/>
          <w:sz w:val="16"/>
        </w:rPr>
        <w:t>But how practical is informed consent? The legal implementation of informed consent seems to be mostly a matter of filling out extra paperwork. So</w:t>
      </w:r>
      <w:r w:rsidRPr="00BF32AB">
        <w:rPr>
          <w:rFonts w:asciiTheme="minorHAnsi" w:hAnsiTheme="minorHAnsi"/>
          <w:sz w:val="24"/>
        </w:rPr>
        <w:t xml:space="preserve"> </w:t>
      </w:r>
      <w:r w:rsidRPr="00A629D7">
        <w:rPr>
          <w:rFonts w:asciiTheme="minorHAnsi" w:hAnsiTheme="minorHAnsi"/>
          <w:b/>
          <w:sz w:val="24"/>
          <w:highlight w:val="yellow"/>
          <w:u w:val="single"/>
        </w:rPr>
        <w:t>that seems practical enough.</w:t>
      </w:r>
      <w:r w:rsidRPr="00A629D7">
        <w:rPr>
          <w:rFonts w:asciiTheme="minorHAnsi" w:hAnsiTheme="minorHAnsi"/>
          <w:sz w:val="24"/>
          <w:highlight w:val="yellow"/>
        </w:rPr>
        <w:t xml:space="preserve"> </w:t>
      </w:r>
      <w:r w:rsidRPr="00A629D7">
        <w:rPr>
          <w:rFonts w:asciiTheme="minorHAnsi" w:hAnsiTheme="minorHAnsi"/>
          <w:b/>
          <w:sz w:val="24"/>
          <w:highlight w:val="yellow"/>
          <w:u w:val="single"/>
        </w:rPr>
        <w:t>On the other hand, actually practicing the moral values behind informed consent is much more difficult.</w:t>
      </w:r>
      <w:r w:rsidRPr="00BF32AB">
        <w:rPr>
          <w:rFonts w:asciiTheme="minorHAnsi" w:hAnsiTheme="minorHAnsi"/>
          <w:b/>
          <w:sz w:val="24"/>
          <w:u w:val="single"/>
        </w:rPr>
        <w:t xml:space="preserve"> </w:t>
      </w:r>
      <w:r w:rsidRPr="00BF32AB">
        <w:rPr>
          <w:rFonts w:asciiTheme="minorHAnsi" w:hAnsiTheme="minorHAnsi"/>
          <w:sz w:val="16"/>
        </w:rPr>
        <w:t xml:space="preserve">We value the freedom to choose on so many levels. We have a right to choose as consumers, as voters, as citizens and as competent people in general – so then why not as patients? Of course </w:t>
      </w:r>
      <w:r w:rsidRPr="00A629D7">
        <w:rPr>
          <w:rFonts w:asciiTheme="minorHAnsi" w:hAnsiTheme="minorHAnsi"/>
          <w:b/>
          <w:sz w:val="24"/>
          <w:highlight w:val="yellow"/>
          <w:u w:val="single"/>
        </w:rPr>
        <w:t>patients should have a right to consider multiple opinions, assess alternative treatments, and then make a choice on their own.</w:t>
      </w:r>
      <w:r w:rsidRPr="00BF32AB">
        <w:rPr>
          <w:rFonts w:asciiTheme="minorHAnsi" w:hAnsiTheme="minorHAnsi"/>
          <w:sz w:val="24"/>
        </w:rPr>
        <w:t xml:space="preserve"> </w:t>
      </w:r>
      <w:r w:rsidRPr="00BF32AB">
        <w:rPr>
          <w:rFonts w:asciiTheme="minorHAnsi" w:hAnsiTheme="minorHAnsi"/>
          <w:b/>
          <w:sz w:val="24"/>
          <w:u w:val="single"/>
        </w:rPr>
        <w:t xml:space="preserve">But in reality, a patient’s autonomy is highly limited. </w:t>
      </w:r>
      <w:r w:rsidRPr="00A629D7">
        <w:rPr>
          <w:rFonts w:asciiTheme="minorHAnsi" w:hAnsiTheme="minorHAnsi"/>
          <w:b/>
          <w:sz w:val="24"/>
          <w:highlight w:val="yellow"/>
          <w:u w:val="single"/>
        </w:rPr>
        <w:t>A lot of the limiting factors are neither inconsequential nor easily avoidable.</w:t>
      </w:r>
      <w:r w:rsidRPr="00BF32AB">
        <w:rPr>
          <w:rFonts w:asciiTheme="minorHAnsi" w:hAnsiTheme="minorHAnsi"/>
          <w:sz w:val="24"/>
        </w:rPr>
        <w:t xml:space="preserve"> </w:t>
      </w:r>
      <w:r w:rsidRPr="00BF32AB">
        <w:rPr>
          <w:rFonts w:asciiTheme="minorHAnsi" w:hAnsiTheme="minorHAnsi"/>
          <w:sz w:val="14"/>
        </w:rPr>
        <w:t xml:space="preserve">In Barriers to informed consent, </w:t>
      </w:r>
      <w:proofErr w:type="spellStart"/>
      <w:r w:rsidRPr="00BF32AB">
        <w:rPr>
          <w:rFonts w:asciiTheme="minorHAnsi" w:hAnsiTheme="minorHAnsi"/>
          <w:sz w:val="14"/>
        </w:rPr>
        <w:t>Lidz</w:t>
      </w:r>
      <w:proofErr w:type="spellEnd"/>
      <w:r w:rsidRPr="00BF32AB">
        <w:rPr>
          <w:rFonts w:asciiTheme="minorHAnsi" w:hAnsiTheme="minorHAnsi"/>
          <w:sz w:val="14"/>
        </w:rPr>
        <w:t xml:space="preserve"> et al. outline how patient trust, physician expertise, acute illnesses, and complex medical systems make true informed consent difficult to achieve.</w:t>
      </w:r>
      <w:r w:rsidRPr="00BF32AB">
        <w:rPr>
          <w:rFonts w:asciiTheme="minorHAnsi" w:hAnsiTheme="minorHAnsi"/>
          <w:b/>
          <w:sz w:val="14"/>
          <w:u w:val="single"/>
        </w:rPr>
        <w:t xml:space="preserve"> </w:t>
      </w:r>
      <w:r w:rsidRPr="00BF32AB">
        <w:rPr>
          <w:rFonts w:asciiTheme="minorHAnsi" w:hAnsiTheme="minorHAnsi"/>
          <w:sz w:val="14"/>
        </w:rPr>
        <w:t>Are we morally obligated to try to overcome these obstacles? Or can they be viewed as the practical, real-world limits to our abstract ideals of patient autonomy? This question isn’t really about obstacles like access to healthcare or the complexity of the healthcare system. There’s no question that we should be trying to increase access to care and streamlining the system. The interesting obstacles are those that deal with the doctor-patient relationship. Should we be trying to change this relationship on a moral basis?</w:t>
      </w:r>
      <w:r w:rsidRPr="00BF32AB">
        <w:rPr>
          <w:rFonts w:asciiTheme="minorHAnsi" w:hAnsiTheme="minorHAnsi"/>
          <w:b/>
          <w:sz w:val="14"/>
          <w:u w:val="single"/>
        </w:rPr>
        <w:t xml:space="preserve"> </w:t>
      </w:r>
      <w:r w:rsidRPr="00BF32AB">
        <w:rPr>
          <w:rFonts w:asciiTheme="minorHAnsi" w:hAnsiTheme="minorHAnsi"/>
          <w:sz w:val="14"/>
        </w:rPr>
        <w:t xml:space="preserve">Let’s consider patient trust and physician expertise – both important obstacles to informed consent. </w:t>
      </w:r>
      <w:r w:rsidRPr="00A629D7">
        <w:rPr>
          <w:rFonts w:asciiTheme="minorHAnsi" w:hAnsiTheme="minorHAnsi"/>
          <w:b/>
          <w:sz w:val="24"/>
          <w:highlight w:val="yellow"/>
          <w:u w:val="single"/>
        </w:rPr>
        <w:t>Patients often don’t really want to make a decision based on what they know about their medical condition. They</w:t>
      </w:r>
      <w:r w:rsidRPr="00BF32AB">
        <w:rPr>
          <w:rFonts w:asciiTheme="minorHAnsi" w:hAnsiTheme="minorHAnsi"/>
          <w:b/>
          <w:sz w:val="24"/>
          <w:u w:val="single"/>
        </w:rPr>
        <w:t xml:space="preserve"> instead </w:t>
      </w:r>
      <w:r w:rsidRPr="00A629D7">
        <w:rPr>
          <w:rFonts w:asciiTheme="minorHAnsi" w:hAnsiTheme="minorHAnsi"/>
          <w:b/>
          <w:sz w:val="24"/>
          <w:highlight w:val="yellow"/>
          <w:u w:val="single"/>
        </w:rPr>
        <w:t>trust the physician</w:t>
      </w:r>
      <w:r w:rsidRPr="00BF32AB">
        <w:rPr>
          <w:rFonts w:asciiTheme="minorHAnsi" w:hAnsiTheme="minorHAnsi"/>
          <w:b/>
          <w:sz w:val="24"/>
          <w:u w:val="single"/>
        </w:rPr>
        <w:t xml:space="preserve"> enough </w:t>
      </w:r>
      <w:r w:rsidRPr="00A629D7">
        <w:rPr>
          <w:rFonts w:asciiTheme="minorHAnsi" w:hAnsiTheme="minorHAnsi"/>
          <w:b/>
          <w:sz w:val="24"/>
          <w:highlight w:val="yellow"/>
          <w:u w:val="single"/>
        </w:rPr>
        <w:t>to make such decisions for them.</w:t>
      </w:r>
      <w:r w:rsidRPr="00BF32AB">
        <w:rPr>
          <w:rFonts w:asciiTheme="minorHAnsi" w:hAnsiTheme="minorHAnsi"/>
          <w:b/>
          <w:sz w:val="24"/>
          <w:u w:val="single"/>
        </w:rPr>
        <w:t xml:space="preserve"> I see </w:t>
      </w:r>
      <w:r w:rsidRPr="00A629D7">
        <w:rPr>
          <w:rFonts w:asciiTheme="minorHAnsi" w:hAnsiTheme="minorHAnsi"/>
          <w:b/>
          <w:sz w:val="24"/>
          <w:highlight w:val="yellow"/>
          <w:u w:val="single"/>
        </w:rPr>
        <w:t>this as a clear act of autonomy.</w:t>
      </w:r>
      <w:r w:rsidRPr="00BF32AB">
        <w:rPr>
          <w:rFonts w:asciiTheme="minorHAnsi" w:hAnsiTheme="minorHAnsi"/>
          <w:sz w:val="24"/>
        </w:rPr>
        <w:t xml:space="preserve"> </w:t>
      </w:r>
      <w:r w:rsidRPr="00BF32AB">
        <w:rPr>
          <w:rFonts w:asciiTheme="minorHAnsi" w:hAnsiTheme="minorHAnsi"/>
          <w:sz w:val="16"/>
        </w:rPr>
        <w:t xml:space="preserve">It’s a very rational choice to trust a trained professional’s informed decision over one’s own, likely less-informed decision. Ah but that’s where physicians have to make sure patients are fully and objectively informed, right?  Well even if a physician explains the relevant diagnosis and treatment to the patient in an easily comprehendible way, most patients will not know the essential mechanisms and pathology behind the physician’s decision. They’ll instead be given a simplified picture of a complex system – one that is inevitably going to be biased towards the physician’s decision anyway. </w:t>
      </w:r>
      <w:r w:rsidRPr="00BF32AB">
        <w:rPr>
          <w:rFonts w:asciiTheme="minorHAnsi" w:hAnsiTheme="minorHAnsi"/>
          <w:sz w:val="14"/>
        </w:rPr>
        <w:t>We can’t blame physicians for such simplified, biased explanations any more than we can blame scientists for being biased towards one particular theory or paradigm.</w:t>
      </w:r>
      <w:r w:rsidRPr="00BF32AB">
        <w:rPr>
          <w:rFonts w:asciiTheme="minorHAnsi" w:hAnsiTheme="minorHAnsi"/>
          <w:b/>
          <w:sz w:val="14"/>
          <w:u w:val="single"/>
        </w:rPr>
        <w:t xml:space="preserve"> </w:t>
      </w:r>
      <w:r w:rsidRPr="00BF32AB">
        <w:rPr>
          <w:rFonts w:asciiTheme="minorHAnsi" w:hAnsiTheme="minorHAnsi"/>
          <w:sz w:val="16"/>
        </w:rPr>
        <w:t>In the words of Galileo, “</w:t>
      </w:r>
      <w:r w:rsidRPr="00A629D7">
        <w:rPr>
          <w:rFonts w:asciiTheme="minorHAnsi" w:hAnsiTheme="minorHAnsi"/>
          <w:b/>
          <w:sz w:val="24"/>
          <w:highlight w:val="yellow"/>
          <w:u w:val="single"/>
        </w:rPr>
        <w:t>it is not within the power of the practitioners of demonstrative sciences to change opinion at will</w:t>
      </w:r>
      <w:r w:rsidRPr="00BF32AB">
        <w:rPr>
          <w:rFonts w:asciiTheme="minorHAnsi" w:hAnsiTheme="minorHAnsi"/>
          <w:sz w:val="16"/>
        </w:rPr>
        <w:t xml:space="preserve">,” (p 125). </w:t>
      </w:r>
      <w:r w:rsidRPr="00A629D7">
        <w:rPr>
          <w:rFonts w:asciiTheme="minorHAnsi" w:hAnsiTheme="minorHAnsi"/>
          <w:b/>
          <w:sz w:val="24"/>
          <w:highlight w:val="yellow"/>
          <w:u w:val="single"/>
        </w:rPr>
        <w:t>They are compelled to believe what they believe by the power of reason.</w:t>
      </w:r>
      <w:r w:rsidRPr="00C35E18">
        <w:rPr>
          <w:rStyle w:val="Style13ptBold"/>
        </w:rPr>
        <w:t xml:space="preserve"> </w:t>
      </w:r>
    </w:p>
    <w:p w:rsidR="0016600D" w:rsidRDefault="0016600D" w:rsidP="0016600D">
      <w:pPr>
        <w:pStyle w:val="Heading4"/>
      </w:pPr>
      <w:r>
        <w:t>Informed consent wouldn’t solve the trust advantage- causes manipulation of research data- studies prove</w:t>
      </w:r>
    </w:p>
    <w:p w:rsidR="0016600D" w:rsidRPr="00AC35EE" w:rsidRDefault="0016600D" w:rsidP="0016600D">
      <w:pPr>
        <w:rPr>
          <w:rStyle w:val="Style13ptBold"/>
        </w:rPr>
      </w:pPr>
      <w:r w:rsidRPr="00AC35EE">
        <w:rPr>
          <w:rStyle w:val="Style13ptBold"/>
        </w:rPr>
        <w:t>Loftus and Fries</w:t>
      </w:r>
      <w:r>
        <w:rPr>
          <w:rStyle w:val="Style13ptBold"/>
        </w:rPr>
        <w:t xml:space="preserve"> 08</w:t>
      </w:r>
    </w:p>
    <w:p w:rsidR="0016600D" w:rsidRDefault="0016600D" w:rsidP="0016600D">
      <w:r>
        <w:t xml:space="preserve">(Elizabeth, Distinguished Professor at the University of California - Irvine. She holds faculty positions in three departments (Psychology &amp; Social Behavior; Criminology, Law &amp; Society; and Cognitive Sciences), and in the School of Law, and is also a Fellow of the Center for the Neurobiology of Learning and Memory. She received her Ph.D. in Psychology from Stanford University, James, Professor of Medicine at Stanford University School of Medicine, </w:t>
      </w:r>
      <w:proofErr w:type="spellStart"/>
      <w:r>
        <w:t>Mcgill</w:t>
      </w:r>
      <w:proofErr w:type="spellEnd"/>
      <w:r>
        <w:t xml:space="preserve"> Journal of Medicine, “The Potential Perils of Informed Consent,” 2008, </w:t>
      </w:r>
      <w:hyperlink r:id="rId10" w:history="1">
        <w:r w:rsidRPr="00A7500E">
          <w:rPr>
            <w:rStyle w:val="Hyperlink"/>
          </w:rPr>
          <w:t>http://www.ncbi.nlm.nih.gov/pmc/articles/PMC2582663/</w:t>
        </w:r>
      </w:hyperlink>
      <w:r>
        <w:t>) /</w:t>
      </w:r>
      <w:proofErr w:type="spellStart"/>
      <w:r>
        <w:t>jdi</w:t>
      </w:r>
      <w:proofErr w:type="spellEnd"/>
      <w:r>
        <w:t>-mm</w:t>
      </w:r>
    </w:p>
    <w:p w:rsidR="0016600D" w:rsidRPr="00AC35EE" w:rsidRDefault="0016600D" w:rsidP="0016600D">
      <w:pPr>
        <w:rPr>
          <w:rStyle w:val="StyleUnderline"/>
        </w:rPr>
      </w:pPr>
      <w:r w:rsidRPr="00AC35EE">
        <w:rPr>
          <w:sz w:val="16"/>
        </w:rPr>
        <w:t xml:space="preserve">At the time we were immersed in this issue, </w:t>
      </w:r>
      <w:r w:rsidRPr="00C941DC">
        <w:rPr>
          <w:rStyle w:val="StyleUnderline"/>
        </w:rPr>
        <w:t xml:space="preserve">we conducted </w:t>
      </w:r>
      <w:r w:rsidRPr="00A629D7">
        <w:rPr>
          <w:rStyle w:val="StyleUnderline"/>
          <w:highlight w:val="yellow"/>
        </w:rPr>
        <w:t>an unpublished pilot study with patients at Stanford</w:t>
      </w:r>
      <w:r w:rsidRPr="00C941DC">
        <w:rPr>
          <w:rStyle w:val="StyleUnderline"/>
        </w:rPr>
        <w:t xml:space="preserve"> University Medical School </w:t>
      </w:r>
      <w:r w:rsidRPr="00A629D7">
        <w:rPr>
          <w:rStyle w:val="StyleUnderline"/>
          <w:highlight w:val="yellow"/>
        </w:rPr>
        <w:t>who had been diagnosed with</w:t>
      </w:r>
      <w:r w:rsidRPr="00C941DC">
        <w:rPr>
          <w:rStyle w:val="StyleUnderline"/>
        </w:rPr>
        <w:t xml:space="preserve"> </w:t>
      </w:r>
      <w:r w:rsidRPr="00A629D7">
        <w:rPr>
          <w:rStyle w:val="StyleUnderline"/>
          <w:highlight w:val="yellow"/>
        </w:rPr>
        <w:t>scleroderma</w:t>
      </w:r>
      <w:r w:rsidRPr="00C941DC">
        <w:rPr>
          <w:rStyle w:val="StyleUnderline"/>
        </w:rPr>
        <w:t xml:space="preserve"> and </w:t>
      </w:r>
      <w:r w:rsidRPr="00A629D7">
        <w:rPr>
          <w:rStyle w:val="StyleUnderline"/>
          <w:highlight w:val="yellow"/>
        </w:rPr>
        <w:t>were enrolled in an experiment testing the efficacy of a particular drug cocktail</w:t>
      </w:r>
      <w:r w:rsidRPr="00AC35EE">
        <w:rPr>
          <w:sz w:val="16"/>
        </w:rPr>
        <w:t xml:space="preserve"> (</w:t>
      </w:r>
      <w:proofErr w:type="spellStart"/>
      <w:r w:rsidRPr="00AC35EE">
        <w:rPr>
          <w:sz w:val="16"/>
        </w:rPr>
        <w:t>propanolol</w:t>
      </w:r>
      <w:proofErr w:type="spellEnd"/>
      <w:r w:rsidRPr="00AC35EE">
        <w:rPr>
          <w:sz w:val="16"/>
        </w:rPr>
        <w:t xml:space="preserve"> and alpha-methyldopa). The known side effects of the drugs did include upset stomach, tearfulness, dizziness, and headache. </w:t>
      </w:r>
      <w:r w:rsidRPr="00C941DC">
        <w:rPr>
          <w:rStyle w:val="StyleUnderline"/>
        </w:rPr>
        <w:t xml:space="preserve">Before beginning the clinical trial involving the drug or placebo, </w:t>
      </w:r>
      <w:r w:rsidRPr="00A629D7">
        <w:rPr>
          <w:rStyle w:val="StyleUnderline"/>
          <w:highlight w:val="yellow"/>
        </w:rPr>
        <w:t>patients received either a standard informed consent message or a “special message.” Both messages informed them of possible side effects</w:t>
      </w:r>
      <w:r w:rsidRPr="00AC35EE">
        <w:rPr>
          <w:rStyle w:val="StyleUnderline"/>
        </w:rPr>
        <w:t xml:space="preserve"> </w:t>
      </w:r>
      <w:r w:rsidRPr="00AC35EE">
        <w:rPr>
          <w:sz w:val="16"/>
        </w:rPr>
        <w:t xml:space="preserve">of the drug, </w:t>
      </w:r>
      <w:r w:rsidRPr="00AC35EE">
        <w:rPr>
          <w:rStyle w:val="StyleUnderline"/>
        </w:rPr>
        <w:t>a</w:t>
      </w:r>
      <w:r w:rsidRPr="00A629D7">
        <w:rPr>
          <w:rStyle w:val="StyleUnderline"/>
          <w:highlight w:val="yellow"/>
        </w:rPr>
        <w:t>nd listed the known side effects, plus some implausible made-up ones that had not been associated with the</w:t>
      </w:r>
      <w:r w:rsidRPr="00AC35EE">
        <w:rPr>
          <w:rStyle w:val="StyleUnderline"/>
        </w:rPr>
        <w:t xml:space="preserve"> drug </w:t>
      </w:r>
      <w:r w:rsidRPr="00AC35EE">
        <w:rPr>
          <w:sz w:val="16"/>
        </w:rPr>
        <w:t xml:space="preserve">(e.g., ringing in ears, burning sensation in feet). Some of our subjects received a “special message” as part of their “informed consent.” It read as follows: “You should keep in mind one important point about these possible side effects. </w:t>
      </w:r>
      <w:r w:rsidRPr="00A629D7">
        <w:rPr>
          <w:rStyle w:val="StyleUnderline"/>
          <w:highlight w:val="yellow"/>
        </w:rPr>
        <w:t>Research has shown that simply mentioning possible annoying symptoms causes some people to experience these symptoms – even when no drug is taken at all.</w:t>
      </w:r>
      <w:r w:rsidRPr="00AC35EE">
        <w:rPr>
          <w:rStyle w:val="StyleUnderline"/>
        </w:rPr>
        <w:t xml:space="preserve"> This happens because mention of the symptoms causes some people to expect that they will experience them, and a person’s expectations can then lead to the actual experience</w:t>
      </w:r>
      <w:r w:rsidRPr="00AC35EE">
        <w:rPr>
          <w:sz w:val="16"/>
        </w:rPr>
        <w:t xml:space="preserve">. Very few people will actually have these problems and you can help yourself guard against these sorts of discomfort by keeping yourself optimistic and stopping yourself from expecting that side effects are going to happen to you.” </w:t>
      </w:r>
      <w:r w:rsidRPr="00C941DC">
        <w:rPr>
          <w:rStyle w:val="StyleUnderline"/>
        </w:rPr>
        <w:t xml:space="preserve">Our pilot </w:t>
      </w:r>
      <w:r w:rsidRPr="00A629D7">
        <w:rPr>
          <w:rStyle w:val="StyleUnderline"/>
          <w:highlight w:val="yellow"/>
        </w:rPr>
        <w:t>study revealed</w:t>
      </w:r>
      <w:r w:rsidRPr="00AC35EE">
        <w:rPr>
          <w:rStyle w:val="StyleUnderline"/>
        </w:rPr>
        <w:t xml:space="preserve">, not surprisingly, </w:t>
      </w:r>
      <w:r w:rsidRPr="00A629D7">
        <w:rPr>
          <w:rStyle w:val="StyleUnderline"/>
          <w:highlight w:val="yellow"/>
        </w:rPr>
        <w:t>that subjects experienced side effects, some of which were physiologically unlikely.</w:t>
      </w:r>
      <w:r w:rsidRPr="00AC35EE">
        <w:rPr>
          <w:rStyle w:val="StyleUnderline"/>
        </w:rPr>
        <w:t xml:space="preserve"> The suggestion in the informed consent led even those given a placebo to this unpleasant fate. </w:t>
      </w:r>
      <w:r w:rsidRPr="00A629D7">
        <w:rPr>
          <w:rStyle w:val="StyleUnderline"/>
          <w:highlight w:val="yellow"/>
        </w:rPr>
        <w:t>A special message that explained the powerful role that expectations can have in producing unlikely symptoms reduced the reported side effects</w:t>
      </w:r>
      <w:r w:rsidRPr="00AC35EE">
        <w:rPr>
          <w:rStyle w:val="StyleUnderline"/>
        </w:rPr>
        <w:t>, and also decreased somewhat the use of medications to treat those unlikely symptoms</w:t>
      </w:r>
      <w:r w:rsidRPr="00AC35EE">
        <w:rPr>
          <w:sz w:val="16"/>
        </w:rPr>
        <w:t xml:space="preserve">. Our hope is that future researchers will do a full scale study that tests the impact of variations in informed consent rituals. While our special message may not be the best message to accomplish these hoped-for benefits, and we did not study whether it will work with different kinds of drugs or patients, our preliminary result should pique the interest of future researchers in considering both the positive and negative impacts of information that they ply their subjects and patients with. One size is not likely to fit all. </w:t>
      </w:r>
      <w:r w:rsidRPr="00A629D7">
        <w:rPr>
          <w:rStyle w:val="StyleUnderline"/>
          <w:highlight w:val="yellow"/>
        </w:rPr>
        <w:t>Flexibility in informed consent protocols might convey to patients and subjects their right to as little harm as possible.</w:t>
      </w:r>
    </w:p>
    <w:p w:rsidR="0016600D" w:rsidRDefault="0016600D" w:rsidP="0016600D">
      <w:pPr>
        <w:rPr>
          <w:rStyle w:val="Style13ptBold"/>
          <w:b w:val="0"/>
        </w:rPr>
      </w:pPr>
    </w:p>
    <w:p w:rsidR="0016600D" w:rsidRPr="00467E6B" w:rsidRDefault="0016600D" w:rsidP="0016600D">
      <w:pPr>
        <w:pStyle w:val="Heading4"/>
        <w:rPr>
          <w:rStyle w:val="Style13ptBold"/>
          <w:b/>
        </w:rPr>
      </w:pPr>
      <w:r w:rsidRPr="00467E6B">
        <w:rPr>
          <w:rStyle w:val="Style13ptBold"/>
          <w:b/>
        </w:rPr>
        <w:t xml:space="preserve">Must </w:t>
      </w:r>
      <w:r>
        <w:rPr>
          <w:rStyle w:val="Style13ptBold"/>
          <w:b/>
        </w:rPr>
        <w:t xml:space="preserve">prohibit </w:t>
      </w:r>
      <w:r>
        <w:rPr>
          <w:rStyle w:val="Style13ptBold"/>
          <w:b/>
          <w:u w:val="single"/>
        </w:rPr>
        <w:t>all</w:t>
      </w:r>
      <w:r>
        <w:rPr>
          <w:rStyle w:val="Style13ptBold"/>
          <w:b/>
        </w:rPr>
        <w:t xml:space="preserve"> NSA authority to solve- only prior approval solves</w:t>
      </w:r>
    </w:p>
    <w:p w:rsidR="0016600D" w:rsidRPr="00467E6B" w:rsidRDefault="0016600D" w:rsidP="0016600D">
      <w:r w:rsidRPr="00467E6B">
        <w:rPr>
          <w:rStyle w:val="Style13ptBold"/>
        </w:rPr>
        <w:t>TF ’14</w:t>
      </w:r>
      <w:r>
        <w:t xml:space="preserve"> [</w:t>
      </w:r>
      <w:r w:rsidRPr="00467E6B">
        <w:t xml:space="preserve">Tech Freedom, </w:t>
      </w:r>
      <w:hyperlink r:id="rId11" w:history="1">
        <w:r w:rsidRPr="00467E6B">
          <w:t>April 1, 2014</w:t>
        </w:r>
      </w:hyperlink>
      <w:r w:rsidRPr="00467E6B">
        <w:t xml:space="preserve">, </w:t>
      </w:r>
      <w:hyperlink r:id="rId12" w:history="1">
        <w:r w:rsidRPr="00467E6B">
          <w:t>TF, CDT, and 40 others tell Congress what real NSA reform should look like</w:t>
        </w:r>
      </w:hyperlink>
      <w:r>
        <w:t xml:space="preserve">, </w:t>
      </w:r>
      <w:r w:rsidRPr="00467E6B">
        <w:t>http://techfreedom.org/post/81391689035/tf-cdt-and-40-others-tell-congress-what-real-nsa</w:t>
      </w:r>
      <w:r>
        <w:t>]</w:t>
      </w:r>
    </w:p>
    <w:p w:rsidR="0016600D" w:rsidRPr="005A030B" w:rsidRDefault="0016600D" w:rsidP="0016600D">
      <w:r w:rsidRPr="005A030B">
        <w:rPr>
          <w:rStyle w:val="StyleUnderline"/>
        </w:rPr>
        <w:t>The White House has expressed support for reining in the NSA’s bulk collection</w:t>
      </w:r>
      <w:r w:rsidRPr="005A030B">
        <w:t xml:space="preserve"> of Americans’ phone records, but with multiple bills in Congress it’s uncertain which specific reforms will be included in the debate moving forward. </w:t>
      </w:r>
      <w:r w:rsidRPr="005A030B">
        <w:rPr>
          <w:rStyle w:val="StyleUnderline"/>
        </w:rPr>
        <w:t>To ensure whichever NSA reform bill advances is as strong as possible</w:t>
      </w:r>
      <w:r w:rsidRPr="005A030B">
        <w:t>, </w:t>
      </w:r>
      <w:proofErr w:type="spellStart"/>
      <w:r w:rsidRPr="005A030B">
        <w:t>TechFreedom</w:t>
      </w:r>
      <w:proofErr w:type="spellEnd"/>
      <w:r w:rsidRPr="005A030B">
        <w:t xml:space="preserve"> and 41 other </w:t>
      </w:r>
      <w:r w:rsidRPr="005A030B">
        <w:rPr>
          <w:rStyle w:val="StyleUnderline"/>
        </w:rPr>
        <w:t>nonprofits and businesses have sent a joint letter to key policymakers outlining what any bill aiming to reform bulk surveillance should include.</w:t>
      </w:r>
    </w:p>
    <w:p w:rsidR="0016600D" w:rsidRPr="005A030B" w:rsidRDefault="0016600D" w:rsidP="0016600D">
      <w:r w:rsidRPr="005A030B">
        <w:t>Read the text below, and see the </w:t>
      </w:r>
      <w:hyperlink r:id="rId13" w:tgtFrame="_blank" w:history="1">
        <w:r w:rsidRPr="005A030B">
          <w:t>full letter</w:t>
        </w:r>
      </w:hyperlink>
      <w:r w:rsidRPr="005A030B">
        <w:t> for the list of signatories and recipients:</w:t>
      </w:r>
    </w:p>
    <w:p w:rsidR="0016600D" w:rsidRPr="005A030B" w:rsidRDefault="0016600D" w:rsidP="0016600D">
      <w:r w:rsidRPr="005A030B">
        <w:t>We the undersigned are writing to express support for ending the government’s bulk collection of data about individuals. We strongly urge swift markup and passage of the USA FREEDOM Act (H.R.3361), which would enact appropriate surveillance reforms without sacrificing national </w:t>
      </w:r>
      <w:r w:rsidRPr="005A030B">
        <w:br/>
        <w:t xml:space="preserve">security. </w:t>
      </w:r>
      <w:r w:rsidRPr="005A030B">
        <w:rPr>
          <w:rStyle w:val="StyleUnderline"/>
        </w:rPr>
        <w:t>This letter focuses on bulk collection, but overbroad NSA surveillance raises many more privacy and security issues that Congress and the Administration should address</w:t>
      </w:r>
      <w:r w:rsidRPr="005A030B">
        <w:t>.</w:t>
      </w:r>
    </w:p>
    <w:p w:rsidR="0016600D" w:rsidRPr="005A030B" w:rsidRDefault="0016600D" w:rsidP="0016600D">
      <w:pPr>
        <w:rPr>
          <w:rStyle w:val="StyleUnderline"/>
        </w:rPr>
      </w:pPr>
      <w:r w:rsidRPr="005A030B">
        <w:t xml:space="preserve">We appreciate that Congress and the Administration are converging on consensus that the National Security Agency’s (NSA) bulk collection of telephone records must end. </w:t>
      </w:r>
      <w:r w:rsidRPr="005A030B">
        <w:rPr>
          <w:rStyle w:val="StyleUnderline"/>
        </w:rPr>
        <w:t>Among other things, legislation on bulk collection should:</w:t>
      </w:r>
    </w:p>
    <w:p w:rsidR="0016600D" w:rsidRPr="005A030B" w:rsidRDefault="0016600D" w:rsidP="0016600D">
      <w:r w:rsidRPr="005A030B">
        <w:rPr>
          <w:rStyle w:val="StyleUnderline"/>
        </w:rPr>
        <w:t>Prohibit bulk collection for all types of data, not just phone records</w:t>
      </w:r>
      <w:r w:rsidRPr="005A030B">
        <w:t>. Section 215 of the PATRIOT Act applies broadly to business records, and the Department of Justice has claimed authority for bulk collection of any records that reveal relationships between individuals. Legislation that focuses only on phone records may still allow for the bulk collection of, for example, Internet metadata, location information, financial records, library records, and numerous other records that may help “identify unknown relationships among individuals.”</w:t>
      </w:r>
    </w:p>
    <w:p w:rsidR="0016600D" w:rsidRPr="005A030B" w:rsidRDefault="0016600D" w:rsidP="0016600D">
      <w:r w:rsidRPr="005A030B">
        <w:rPr>
          <w:rStyle w:val="StyleUnderline"/>
        </w:rPr>
        <w:t xml:space="preserve">Prohibit bulk collection under Section 214 as well as Section 215 of the PATRIOT Act, </w:t>
      </w:r>
      <w:r w:rsidRPr="005A030B">
        <w:rPr>
          <w:rStyle w:val="Emphasis"/>
        </w:rPr>
        <w:t>or under any other authority</w:t>
      </w:r>
      <w:r w:rsidRPr="005A030B">
        <w:t xml:space="preserve">. While the NSA’s bulk collection of telephone records under the purported authority of Section 215 has received considerable attention, </w:t>
      </w:r>
      <w:r w:rsidRPr="005A030B">
        <w:rPr>
          <w:rStyle w:val="StyleUnderline"/>
        </w:rPr>
        <w:t xml:space="preserve">the NSA engaged in the bulk collection of Internet metadata using the Pen/Trap authority under Section 214 until 2011. Legislation that focuses solely on Section 215 would still fail to prohibit the bulk collection </w:t>
      </w:r>
      <w:r w:rsidRPr="005A030B">
        <w:t>of phone and Internet metadata using Section 214, the National Security Letter (NSL) statutes, or another authority. </w:t>
      </w:r>
    </w:p>
    <w:p w:rsidR="0016600D" w:rsidRPr="005A030B" w:rsidRDefault="0016600D" w:rsidP="0016600D">
      <w:r w:rsidRPr="005A030B">
        <w:rPr>
          <w:rStyle w:val="StyleUnderline"/>
        </w:rPr>
        <w:t>Require prior court approval for each record request</w:t>
      </w:r>
      <w:r w:rsidRPr="005A030B">
        <w:t xml:space="preserve">. Under current law, </w:t>
      </w:r>
      <w:r w:rsidRPr="00467E6B">
        <w:rPr>
          <w:rStyle w:val="StyleUnderline"/>
        </w:rPr>
        <w:t>the government must obtain approval from the FISA court before it can force private entities to turn over records</w:t>
      </w:r>
      <w:r w:rsidRPr="005A030B">
        <w:t xml:space="preserve"> (in bulk or otherwise) under Sections 215 and 214 of the PATRIOT Act. In addition, President Obama, in his January 17th policy announcement, established that a judicial finding is required before the government can query the phone records that the NSA collected in bulk. </w:t>
      </w:r>
      <w:r w:rsidRPr="00467E6B">
        <w:rPr>
          <w:rStyle w:val="StyleUnderline"/>
        </w:rPr>
        <w:t>Congress should leave this key safeguard in place</w:t>
      </w:r>
      <w:r w:rsidRPr="005A030B">
        <w:t xml:space="preserve">. </w:t>
      </w:r>
      <w:r w:rsidRPr="00467E6B">
        <w:rPr>
          <w:rStyle w:val="StyleUnderline"/>
        </w:rPr>
        <w:t xml:space="preserve">If there is concern that the FISA Court would move too slowly to authorize domestic surveillance beforehand, then </w:t>
      </w:r>
      <w:r w:rsidRPr="00467E6B">
        <w:rPr>
          <w:rStyle w:val="Emphasis"/>
        </w:rPr>
        <w:t>the solution should be to provide the FISA Court with sufficient resources</w:t>
      </w:r>
      <w:r w:rsidRPr="005A030B">
        <w:t>. </w:t>
      </w:r>
    </w:p>
    <w:p w:rsidR="0016600D" w:rsidRPr="0016600D" w:rsidRDefault="0016600D" w:rsidP="0016600D"/>
    <w:p w:rsidR="004A185A" w:rsidRDefault="004A185A" w:rsidP="004A185A">
      <w:pPr>
        <w:pStyle w:val="Heading2"/>
      </w:pPr>
      <w:r>
        <w:t>*Impacts*</w:t>
      </w:r>
    </w:p>
    <w:p w:rsidR="004A185A" w:rsidRDefault="004A185A" w:rsidP="004A185A">
      <w:pPr>
        <w:pStyle w:val="Heading3"/>
      </w:pPr>
      <w:r>
        <w:t>Drug-Resistant Diseases</w:t>
      </w:r>
    </w:p>
    <w:p w:rsidR="004A185A" w:rsidRDefault="004A185A" w:rsidP="004A185A">
      <w:pPr>
        <w:pStyle w:val="Heading4"/>
      </w:pPr>
      <w:r>
        <w:t>Drug-resistant diseases rising now—will cause an unstoppable epidemic</w:t>
      </w:r>
    </w:p>
    <w:p w:rsidR="004A185A" w:rsidRPr="00A97257" w:rsidRDefault="004A185A" w:rsidP="004A185A">
      <w:r>
        <w:rPr>
          <w:rStyle w:val="Style13ptBold"/>
        </w:rPr>
        <w:t>Sample 13</w:t>
      </w:r>
      <w:r>
        <w:rPr>
          <w:rStyle w:val="Style13ptBold"/>
          <w:b w:val="0"/>
        </w:rPr>
        <w:t xml:space="preserve"> </w:t>
      </w:r>
      <w:r>
        <w:rPr>
          <w:rStyle w:val="Style13ptBold"/>
          <w:b w:val="0"/>
          <w:sz w:val="22"/>
        </w:rPr>
        <w:t>(Joseph, [</w:t>
      </w:r>
      <w:r w:rsidRPr="00A97257">
        <w:t>Ian Sample is science editor of the Guardian. He has a PhD in biomedical materials from Queen Mary's, University of London</w:t>
      </w:r>
      <w:r>
        <w:t xml:space="preserve">], </w:t>
      </w:r>
      <w:r>
        <w:rPr>
          <w:i/>
        </w:rPr>
        <w:t>The Guardian</w:t>
      </w:r>
      <w:r>
        <w:t xml:space="preserve">, 1/23/13, </w:t>
      </w:r>
      <w:r w:rsidRPr="00A97257">
        <w:t>http://www.theguardian.com/society/2013/jan/23/antibiotic-resistant-diseases-apocalyptic-threat</w:t>
      </w:r>
      <w:r>
        <w:t>)</w:t>
      </w:r>
    </w:p>
    <w:p w:rsidR="004A185A" w:rsidRPr="00A97257" w:rsidRDefault="004A185A" w:rsidP="004A185A">
      <w:pPr>
        <w:rPr>
          <w:sz w:val="16"/>
        </w:rPr>
      </w:pPr>
      <w:r w:rsidRPr="00A97257">
        <w:rPr>
          <w:u w:val="single"/>
        </w:rPr>
        <w:t xml:space="preserve">Britain's most senior medical adviser has warned MPs that the </w:t>
      </w:r>
      <w:r w:rsidRPr="00A97257">
        <w:rPr>
          <w:rStyle w:val="Emphasis"/>
        </w:rPr>
        <w:t>rise in drug-resistant diseases could trigger a</w:t>
      </w:r>
      <w:r w:rsidRPr="00A97257">
        <w:rPr>
          <w:u w:val="single"/>
        </w:rPr>
        <w:t xml:space="preserve"> </w:t>
      </w:r>
      <w:r w:rsidRPr="00A97257">
        <w:rPr>
          <w:rStyle w:val="Emphasis"/>
        </w:rPr>
        <w:t>national emergency comparable to a catastrophic terrorist attack, pandemic flu or major coastal flooding</w:t>
      </w:r>
      <w:r w:rsidRPr="00A97257">
        <w:rPr>
          <w:sz w:val="16"/>
        </w:rPr>
        <w:t xml:space="preserve">. </w:t>
      </w:r>
      <w:hyperlink r:id="rId14" w:tooltip="CMO Dame Sally Davies" w:history="1">
        <w:r w:rsidRPr="00A97257">
          <w:rPr>
            <w:rStyle w:val="Hyperlink"/>
            <w:sz w:val="16"/>
          </w:rPr>
          <w:t>Dame Sally Davies</w:t>
        </w:r>
      </w:hyperlink>
      <w:r w:rsidRPr="00A97257">
        <w:rPr>
          <w:sz w:val="16"/>
        </w:rPr>
        <w:t xml:space="preserve">, the chief medical officer, said </w:t>
      </w:r>
      <w:r w:rsidRPr="00A97257">
        <w:rPr>
          <w:u w:val="single"/>
        </w:rPr>
        <w:t xml:space="preserve">the threat from infections that are resistant to frontline antibiotics was so serious that the issue should be added to the government's </w:t>
      </w:r>
      <w:hyperlink r:id="rId15" w:tooltip="National Risk Register" w:history="1">
        <w:r w:rsidRPr="00A97257">
          <w:rPr>
            <w:rStyle w:val="Hyperlink"/>
            <w:u w:val="single"/>
          </w:rPr>
          <w:t>national risk register of civil emergencies</w:t>
        </w:r>
      </w:hyperlink>
      <w:r w:rsidRPr="00A97257">
        <w:rPr>
          <w:sz w:val="16"/>
        </w:rPr>
        <w:t xml:space="preserve">. </w:t>
      </w:r>
      <w:hyperlink r:id="rId16" w:tooltip="HoC Science and Technology Committee " w:history="1">
        <w:r w:rsidRPr="00A97257">
          <w:rPr>
            <w:rStyle w:val="Hyperlink"/>
            <w:sz w:val="16"/>
          </w:rPr>
          <w:t>She described</w:t>
        </w:r>
      </w:hyperlink>
      <w:r w:rsidRPr="00A97257">
        <w:rPr>
          <w:sz w:val="16"/>
        </w:rPr>
        <w:t xml:space="preserve"> what she called </w:t>
      </w:r>
      <w:r w:rsidRPr="00A97257">
        <w:rPr>
          <w:u w:val="single"/>
        </w:rPr>
        <w:t>an "</w:t>
      </w:r>
      <w:r w:rsidRPr="00A97257">
        <w:rPr>
          <w:rStyle w:val="Emphasis"/>
        </w:rPr>
        <w:t>apocalyptic scenario</w:t>
      </w:r>
      <w:r w:rsidRPr="00A97257">
        <w:rPr>
          <w:u w:val="single"/>
        </w:rPr>
        <w:t xml:space="preserve">" where people going for simple operations in 20 years' time die of routine infections "because we have run out of antibiotics". </w:t>
      </w:r>
      <w:r w:rsidRPr="00A97257">
        <w:rPr>
          <w:sz w:val="16"/>
        </w:rPr>
        <w:t>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A97257">
        <w:rPr>
          <w:rStyle w:val="Emphasis"/>
        </w:rPr>
        <w:t>There are few public health issues of potentially greater importance for society than antibiotic resistance</w:t>
      </w:r>
      <w:r w:rsidRPr="00A97257">
        <w:rPr>
          <w:u w:val="single"/>
        </w:rPr>
        <w:t xml:space="preserve">. It means we are at increasing risk of developing infections that cannot be treated </w:t>
      </w:r>
      <w:r w:rsidRPr="00A97257">
        <w:rPr>
          <w:sz w:val="16"/>
        </w:rPr>
        <w:t xml:space="preserve">– but resistance can be managed. Advertisement "That is why we will be publishing a new cross-government strategy and action plan to tackle this issue in early spring." The issue of </w:t>
      </w:r>
      <w:r w:rsidRPr="00A97257">
        <w:rPr>
          <w:u w:val="single"/>
        </w:rPr>
        <w:t>drug resistance</w:t>
      </w:r>
      <w:r w:rsidRPr="00A97257">
        <w:rPr>
          <w:sz w:val="16"/>
        </w:rPr>
        <w:t xml:space="preserve"> is as old as antibiotics themselves, and </w:t>
      </w:r>
      <w:r w:rsidRPr="00A97257">
        <w:rPr>
          <w:u w:val="single"/>
        </w:rPr>
        <w:t>arises when drugs knock out susceptible infections, leaving</w:t>
      </w:r>
      <w:r w:rsidRPr="00A97257">
        <w:rPr>
          <w:sz w:val="16"/>
        </w:rPr>
        <w:t xml:space="preserve"> hardier, </w:t>
      </w:r>
      <w:r w:rsidRPr="00A97257">
        <w:rPr>
          <w:u w:val="single"/>
        </w:rPr>
        <w:t>resilient strains behind</w:t>
      </w:r>
      <w:r w:rsidRPr="00A97257">
        <w:rPr>
          <w:sz w:val="16"/>
        </w:rPr>
        <w:t xml:space="preserve">. </w:t>
      </w:r>
      <w:r w:rsidRPr="00A97257">
        <w:rPr>
          <w:u w:val="single"/>
        </w:rPr>
        <w:t>The survivors then multiply, and over time</w:t>
      </w:r>
      <w:r w:rsidRPr="00A97257">
        <w:rPr>
          <w:sz w:val="16"/>
        </w:rPr>
        <w:t xml:space="preserve"> can </w:t>
      </w:r>
      <w:r w:rsidRPr="00A97257">
        <w:rPr>
          <w:u w:val="single"/>
        </w:rPr>
        <w:t>become unstoppable</w:t>
      </w:r>
      <w:r w:rsidRPr="00A97257">
        <w:rPr>
          <w:sz w:val="16"/>
        </w:rPr>
        <w:t xml:space="preserv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w:t>
      </w:r>
      <w:proofErr w:type="spellStart"/>
      <w:r w:rsidRPr="00A97257">
        <w:rPr>
          <w:sz w:val="16"/>
        </w:rPr>
        <w:t>the</w:t>
      </w:r>
      <w:hyperlink r:id="rId17" w:tooltip="Health Protection Agency" w:history="1">
        <w:r w:rsidRPr="00A97257">
          <w:rPr>
            <w:rStyle w:val="Hyperlink"/>
            <w:sz w:val="16"/>
          </w:rPr>
          <w:t>Health</w:t>
        </w:r>
        <w:proofErr w:type="spellEnd"/>
        <w:r w:rsidRPr="00A97257">
          <w:rPr>
            <w:rStyle w:val="Hyperlink"/>
            <w:sz w:val="16"/>
          </w:rPr>
          <w:t xml:space="preserve"> Protection Agency</w:t>
        </w:r>
      </w:hyperlink>
      <w:r w:rsidRPr="00A97257">
        <w:rPr>
          <w:sz w:val="16"/>
        </w:rPr>
        <w:t xml:space="preserve">. "What has changed is that </w:t>
      </w:r>
      <w:r w:rsidRPr="00A97257">
        <w:rPr>
          <w:u w:val="single"/>
        </w:rPr>
        <w:t xml:space="preserve">the development pipeline is running dry. </w:t>
      </w:r>
      <w:r w:rsidRPr="00A97257">
        <w:rPr>
          <w:rStyle w:val="Emphasis"/>
        </w:rPr>
        <w:t>We don't have new antibiotics that we can rely on</w:t>
      </w:r>
      <w:r w:rsidRPr="00A97257">
        <w:rPr>
          <w:u w:val="single"/>
        </w:rPr>
        <w:t xml:space="preserve"> in the immediate future or in the longer term."</w:t>
      </w:r>
      <w:r w:rsidRPr="00A97257">
        <w:rPr>
          <w:sz w:val="16"/>
        </w:rPr>
        <w:t xml:space="preserve"> Changes in modern medicine have exacerbated the problem by making patients more susceptible to infections. For example, cancer treatments weaken the immune system, and the use of catheters increases the chances of bugs entering the bloodstream. "</w:t>
      </w:r>
      <w:r w:rsidRPr="00A97257">
        <w:rPr>
          <w:u w:val="single"/>
        </w:rPr>
        <w:t xml:space="preserve">We are becoming increasingly reliant on antibiotics in a whole range of areas of medicine. If we don't have new antibiotics to deal with the problems of resistance </w:t>
      </w:r>
      <w:r w:rsidRPr="00A97257">
        <w:rPr>
          <w:sz w:val="16"/>
        </w:rPr>
        <w:t xml:space="preserve">we see, </w:t>
      </w:r>
      <w:r w:rsidRPr="00A97257">
        <w:rPr>
          <w:u w:val="single"/>
        </w:rPr>
        <w:t>we are going to be in serious trouble,</w:t>
      </w:r>
      <w:r w:rsidRPr="00A97257">
        <w:rPr>
          <w:sz w:val="16"/>
        </w:rPr>
        <w:t xml:space="preserv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w:t>
      </w:r>
      <w:hyperlink r:id="rId18" w:history="1">
        <w:r w:rsidRPr="00A97257">
          <w:rPr>
            <w:rStyle w:val="Hyperlink"/>
            <w:sz w:val="16"/>
          </w:rPr>
          <w:t>Health</w:t>
        </w:r>
      </w:hyperlink>
      <w:r w:rsidRPr="00A97257">
        <w:rPr>
          <w:sz w:val="16"/>
        </w:rPr>
        <w:t xml:space="preserve"> </w:t>
      </w:r>
      <w:proofErr w:type="spellStart"/>
      <w:r w:rsidRPr="00A97257">
        <w:rPr>
          <w:sz w:val="16"/>
        </w:rPr>
        <w:t>Organisation</w:t>
      </w:r>
      <w:proofErr w:type="spellEnd"/>
      <w:r w:rsidRPr="00A97257">
        <w:rPr>
          <w:sz w:val="16"/>
        </w:rPr>
        <w:t xml:space="preserve"> and her counterparts in other countries to develop a strategy to tackle antibiotic resistance globally. </w:t>
      </w:r>
      <w:hyperlink r:id="rId19" w:history="1">
        <w:r w:rsidRPr="00A97257">
          <w:rPr>
            <w:rStyle w:val="Hyperlink"/>
            <w:sz w:val="16"/>
          </w:rPr>
          <w:t>Drug resistance</w:t>
        </w:r>
      </w:hyperlink>
      <w:r w:rsidRPr="00A97257">
        <w:rPr>
          <w:sz w:val="16"/>
        </w:rPr>
        <w:t xml:space="preserve"> is emerging in diseases across the board. Davies said 80% of gonorrhea was now resistant to the frontline antibiotic tetracycline, and infections were rising in young and middle-aged people. Multi-drug resistant TB was also a major threat, she said. Another </w:t>
      </w:r>
      <w:r w:rsidRPr="00A97257">
        <w:rPr>
          <w:u w:val="single"/>
        </w:rPr>
        <w:t>worrying trend is the rise in infections that are resistant to powerful antibiotics</w:t>
      </w:r>
      <w:r w:rsidRPr="00A97257">
        <w:rPr>
          <w:sz w:val="16"/>
        </w:rPr>
        <w:t xml:space="preserve"> called </w:t>
      </w:r>
      <w:proofErr w:type="spellStart"/>
      <w:r w:rsidRPr="00A97257">
        <w:rPr>
          <w:sz w:val="16"/>
        </w:rPr>
        <w:t>carbapenems</w:t>
      </w:r>
      <w:proofErr w:type="spellEnd"/>
      <w:r w:rsidRPr="00A97257">
        <w:rPr>
          <w:sz w:val="16"/>
        </w:rPr>
        <w:t xml:space="preserve">, </w:t>
      </w:r>
      <w:r w:rsidRPr="00A97257">
        <w:rPr>
          <w:u w:val="single"/>
        </w:rPr>
        <w:t>which doctors rely on to tackle the most serious infections</w:t>
      </w:r>
      <w:r w:rsidRPr="00A97257">
        <w:rPr>
          <w:sz w:val="16"/>
        </w:rPr>
        <w:t xml:space="preserve">. Resistant bugs carry a gene variant that allows them to destroy the drug. What concerns some scientists is that </w:t>
      </w:r>
      <w:r w:rsidRPr="00A97257">
        <w:rPr>
          <w:rStyle w:val="Emphasis"/>
        </w:rPr>
        <w:t>the gene variant can spread freely between different kinds of bacteria,</w:t>
      </w:r>
      <w:r w:rsidRPr="00A97257">
        <w:rPr>
          <w:sz w:val="16"/>
        </w:rPr>
        <w:t xml:space="preserve"> said Johnson.</w:t>
      </w:r>
    </w:p>
    <w:p w:rsidR="004A185A" w:rsidRDefault="004A185A" w:rsidP="004A185A"/>
    <w:p w:rsidR="004A185A" w:rsidRDefault="004A185A" w:rsidP="004A185A">
      <w:pPr>
        <w:pStyle w:val="Heading4"/>
      </w:pPr>
      <w:r>
        <w:t>A drug-resistant pandemic will destroy society and cause extinction</w:t>
      </w:r>
    </w:p>
    <w:p w:rsidR="004A185A" w:rsidRPr="00AE5957" w:rsidRDefault="004A185A" w:rsidP="004A185A">
      <w:pPr>
        <w:rPr>
          <w:rStyle w:val="Style13ptBold"/>
          <w:b w:val="0"/>
          <w:sz w:val="22"/>
        </w:rPr>
      </w:pPr>
      <w:r>
        <w:rPr>
          <w:rStyle w:val="Style13ptBold"/>
        </w:rPr>
        <w:t>Scientific American 14</w:t>
      </w:r>
      <w:r>
        <w:rPr>
          <w:rStyle w:val="Style13ptBold"/>
          <w:b w:val="0"/>
        </w:rPr>
        <w:t xml:space="preserve"> </w:t>
      </w:r>
      <w:r>
        <w:rPr>
          <w:rStyle w:val="Style13ptBold"/>
          <w:b w:val="0"/>
          <w:sz w:val="22"/>
        </w:rPr>
        <w:t xml:space="preserve">(Dina </w:t>
      </w:r>
      <w:proofErr w:type="spellStart"/>
      <w:r>
        <w:rPr>
          <w:rStyle w:val="Style13ptBold"/>
          <w:b w:val="0"/>
          <w:sz w:val="22"/>
        </w:rPr>
        <w:t>Maron</w:t>
      </w:r>
      <w:proofErr w:type="spellEnd"/>
      <w:r>
        <w:rPr>
          <w:rStyle w:val="Style13ptBold"/>
          <w:b w:val="0"/>
          <w:sz w:val="22"/>
        </w:rPr>
        <w:t xml:space="preserve">, [associate editor for health and medicine], </w:t>
      </w:r>
      <w:r>
        <w:rPr>
          <w:rStyle w:val="Style13ptBold"/>
          <w:b w:val="0"/>
          <w:i/>
          <w:sz w:val="22"/>
        </w:rPr>
        <w:t>Scientific American</w:t>
      </w:r>
      <w:r>
        <w:rPr>
          <w:rStyle w:val="Style13ptBold"/>
          <w:b w:val="0"/>
          <w:sz w:val="22"/>
        </w:rPr>
        <w:t xml:space="preserve">, 4/30/14, </w:t>
      </w:r>
      <w:r w:rsidRPr="00AE5957">
        <w:rPr>
          <w:rStyle w:val="Style13ptBold"/>
          <w:b w:val="0"/>
          <w:sz w:val="22"/>
        </w:rPr>
        <w:t>http://www.scientificamerican.com/article/antibiotic-resistance-is-now-rife-across-the-globe/</w:t>
      </w:r>
      <w:r>
        <w:rPr>
          <w:rStyle w:val="Style13ptBold"/>
          <w:b w:val="0"/>
          <w:sz w:val="22"/>
        </w:rPr>
        <w:t>)</w:t>
      </w:r>
    </w:p>
    <w:p w:rsidR="004A185A" w:rsidRPr="00A02CCF" w:rsidRDefault="004A185A" w:rsidP="004A185A">
      <w:pPr>
        <w:rPr>
          <w:sz w:val="16"/>
        </w:rPr>
      </w:pPr>
      <w:r w:rsidRPr="00AE5957">
        <w:rPr>
          <w:sz w:val="16"/>
        </w:rPr>
        <w:t xml:space="preserve">A first-ever </w:t>
      </w:r>
      <w:r w:rsidRPr="00AE5957">
        <w:rPr>
          <w:u w:val="single"/>
        </w:rPr>
        <w:t xml:space="preserve">World Health Organization assessment </w:t>
      </w:r>
      <w:r w:rsidRPr="00AE5957">
        <w:rPr>
          <w:sz w:val="16"/>
        </w:rPr>
        <w:t>of the growing problem</w:t>
      </w:r>
      <w:r w:rsidRPr="00AE5957">
        <w:rPr>
          <w:u w:val="single"/>
        </w:rPr>
        <w:t xml:space="preserve"> calls for rapid changes to avoid the misery and deaths of a </w:t>
      </w:r>
      <w:r w:rsidRPr="00AE5957">
        <w:rPr>
          <w:sz w:val="16"/>
        </w:rPr>
        <w:t>potential</w:t>
      </w:r>
      <w:r w:rsidRPr="00AE5957">
        <w:rPr>
          <w:u w:val="single"/>
        </w:rPr>
        <w:t xml:space="preserve"> "post-antibiotic era" </w:t>
      </w:r>
      <w:r w:rsidRPr="00AE5957">
        <w:rPr>
          <w:sz w:val="16"/>
        </w:rPr>
        <w:t xml:space="preserve">Dangerous </w:t>
      </w:r>
      <w:r w:rsidRPr="00AE5957">
        <w:rPr>
          <w:rStyle w:val="Emphasis"/>
        </w:rPr>
        <w:t>antibiotic-resistant bacteria and other pathogens have now emerged in every part of the world and threaten to roll back a century of medical advances.</w:t>
      </w:r>
      <w:r w:rsidRPr="00AE5957">
        <w:rPr>
          <w:sz w:val="16"/>
        </w:rPr>
        <w:t xml:space="preserve"> That’s the message from the World Health Organization in its first global report on this growing problem, which draws on drug-resistance data in 114 countries. “</w:t>
      </w:r>
      <w:r w:rsidRPr="00AE5957">
        <w:rPr>
          <w:u w:val="single"/>
        </w:rPr>
        <w:t xml:space="preserve">A post antibiotic-era—in which </w:t>
      </w:r>
      <w:r w:rsidRPr="00AE5957">
        <w:rPr>
          <w:rStyle w:val="Emphasis"/>
        </w:rPr>
        <w:t>common infections and minor injuries can kill</w:t>
      </w:r>
      <w:r w:rsidRPr="00AE5957">
        <w:rPr>
          <w:u w:val="single"/>
        </w:rPr>
        <w:t>—far from being an apocalyptic fantasy, is</w:t>
      </w:r>
      <w:r w:rsidRPr="00AE5957">
        <w:rPr>
          <w:sz w:val="16"/>
        </w:rPr>
        <w:t xml:space="preserve"> instead a </w:t>
      </w:r>
      <w:r w:rsidRPr="00AE5957">
        <w:rPr>
          <w:rStyle w:val="Emphasis"/>
        </w:rPr>
        <w:t>very real</w:t>
      </w:r>
      <w:r w:rsidRPr="00AE5957">
        <w:rPr>
          <w:sz w:val="16"/>
        </w:rPr>
        <w:t xml:space="preserve"> possibility </w:t>
      </w:r>
      <w:r w:rsidRPr="00AE5957">
        <w:rPr>
          <w:rStyle w:val="Emphasis"/>
        </w:rPr>
        <w:t>for the 21st century</w:t>
      </w:r>
      <w:r w:rsidRPr="00AE5957">
        <w:rPr>
          <w:sz w:val="16"/>
        </w:rPr>
        <w:t xml:space="preserve">,” wrote </w:t>
      </w:r>
      <w:proofErr w:type="spellStart"/>
      <w:r w:rsidRPr="00AE5957">
        <w:rPr>
          <w:sz w:val="16"/>
        </w:rPr>
        <w:t>Keiji</w:t>
      </w:r>
      <w:proofErr w:type="spellEnd"/>
      <w:r w:rsidRPr="00AE5957">
        <w:rPr>
          <w:sz w:val="16"/>
        </w:rPr>
        <w:t xml:space="preserve"> Fukuda, </w:t>
      </w:r>
      <w:proofErr w:type="gramStart"/>
      <w:r w:rsidRPr="00AE5957">
        <w:rPr>
          <w:sz w:val="16"/>
        </w:rPr>
        <w:t>WHO’s</w:t>
      </w:r>
      <w:proofErr w:type="gramEnd"/>
      <w:r w:rsidRPr="00AE5957">
        <w:rPr>
          <w:sz w:val="16"/>
        </w:rPr>
        <w:t xml:space="preserve"> assistant director general for Health Security, in an introduction to the report. The crisis is the fruit of several decades of overreliance on the drugs and careless prescribing practices as well as routine use of the medicines in the rearing of livestock, the report noted. </w:t>
      </w:r>
      <w:r w:rsidRPr="00AE5957">
        <w:rPr>
          <w:u w:val="single"/>
        </w:rPr>
        <w:t>Antibiotic resistance is putting patients in peril in both developing and developed countries</w:t>
      </w:r>
      <w:r w:rsidRPr="00AE5957">
        <w:rPr>
          <w:sz w:val="16"/>
        </w:rPr>
        <w:t xml:space="preserve">, as bacteria responsible for an array of dangerous infections evolve resistance to the drugs that once vanquished them. Gonorrhea, once well treated by antibiotics, is once again a major public health threat due to the emergence of new, resistant strains. Drugs that were once a last resort treatment for the sexually transmitted disease—which can lead to infertility, blindness and increased odds of HIV transmission if left untreated—are now the first-line treatment and are sometimes ineffective among patients in countries such as the U.K., Canada, Australia, France, Japan, Norway, South Africa, Slovenia and Sweden. Drugs to treat </w:t>
      </w:r>
      <w:proofErr w:type="spellStart"/>
      <w:r w:rsidRPr="00AE5957">
        <w:rPr>
          <w:sz w:val="16"/>
        </w:rPr>
        <w:t>Klebsiella</w:t>
      </w:r>
      <w:proofErr w:type="spellEnd"/>
      <w:r w:rsidRPr="00AE5957">
        <w:rPr>
          <w:sz w:val="16"/>
        </w:rPr>
        <w:t xml:space="preserve"> </w:t>
      </w:r>
      <w:proofErr w:type="spellStart"/>
      <w:r w:rsidRPr="00AE5957">
        <w:rPr>
          <w:sz w:val="16"/>
        </w:rPr>
        <w:t>pneumoniae</w:t>
      </w:r>
      <w:proofErr w:type="spellEnd"/>
      <w:r w:rsidRPr="00AE5957">
        <w:rPr>
          <w:sz w:val="16"/>
        </w:rPr>
        <w:t>—</w:t>
      </w:r>
      <w:proofErr w:type="gramStart"/>
      <w:r w:rsidRPr="00AE5957">
        <w:rPr>
          <w:sz w:val="16"/>
        </w:rPr>
        <w:t>a common intestinal bacteria</w:t>
      </w:r>
      <w:proofErr w:type="gramEnd"/>
      <w:r w:rsidRPr="00AE5957">
        <w:rPr>
          <w:sz w:val="16"/>
        </w:rPr>
        <w:t xml:space="preserve"> that can cause life-threatening infections in intensive care unit patients and newborns—no longer work in more than half of patients in some countries. And fluoroquinolones, drugs used to treat urinary tract infections, are also ineffective in more than half of sufferers in many parts of the world. </w:t>
      </w:r>
      <w:r w:rsidRPr="00AE5957">
        <w:rPr>
          <w:u w:val="single"/>
        </w:rPr>
        <w:t>Efforts to limit the spread of multidrug-resistant tuberculosis, malaria and HIV are also all under threat due to increasing bacterial resistance.</w:t>
      </w:r>
      <w:r w:rsidRPr="00AE5957">
        <w:rPr>
          <w:sz w:val="16"/>
        </w:rPr>
        <w:t xml:space="preserve"> Although the development of resistance is to be expected over time, overuse of the drugs has accelerated the process by supplying additional selective pressure, noted the report, which was authored by an extensive team of researchers with WHO. And </w:t>
      </w:r>
      <w:r w:rsidRPr="00AE5957">
        <w:rPr>
          <w:u w:val="single"/>
        </w:rPr>
        <w:t>there are few drugs to replace the ones that are now ineffective</w:t>
      </w:r>
      <w:r w:rsidRPr="00AE5957">
        <w:rPr>
          <w:sz w:val="16"/>
        </w:rPr>
        <w:t xml:space="preserve">: The last entirely new class of antibacterial drugs was discovered 27 years ago, according to the report. WHO warns that </w:t>
      </w:r>
      <w:r w:rsidRPr="00AE5957">
        <w:rPr>
          <w:rStyle w:val="Emphasis"/>
        </w:rPr>
        <w:t xml:space="preserve">the situation could have sweeping effects on global medicine, economics and societies unless global actions are taken </w:t>
      </w:r>
      <w:proofErr w:type="gramStart"/>
      <w:r w:rsidRPr="00AE5957">
        <w:rPr>
          <w:rStyle w:val="Emphasis"/>
        </w:rPr>
        <w:t>swiftly.</w:t>
      </w:r>
      <w:proofErr w:type="gramEnd"/>
      <w:r w:rsidRPr="00AE5957">
        <w:rPr>
          <w:rStyle w:val="Emphasis"/>
        </w:rPr>
        <w:t xml:space="preserve"> </w:t>
      </w:r>
      <w:r w:rsidRPr="00AE5957">
        <w:rPr>
          <w:rStyle w:val="Emphasis"/>
          <w:b w:val="0"/>
        </w:rPr>
        <w:t>A dearth of effective antibiotics will mean that</w:t>
      </w:r>
      <w:r w:rsidRPr="00AE5957">
        <w:rPr>
          <w:rStyle w:val="Emphasis"/>
        </w:rPr>
        <w:t xml:space="preserve"> infected patients will need more extensive care, require longer hospital stays and die in greater numbers</w:t>
      </w:r>
      <w:r w:rsidRPr="00AE5957">
        <w:rPr>
          <w:sz w:val="16"/>
        </w:rPr>
        <w:t>. To tackle the problem, the report calls for global, coordinated actions on the scale of those that nations are taking to mitigate and adapt to climate change.</w:t>
      </w:r>
    </w:p>
    <w:p w:rsidR="004A185A" w:rsidRDefault="004A185A" w:rsidP="004A185A">
      <w:pPr>
        <w:pStyle w:val="Heading3"/>
      </w:pPr>
      <w:r>
        <w:t>Impact UQ</w:t>
      </w:r>
    </w:p>
    <w:p w:rsidR="004A185A" w:rsidRDefault="004A185A" w:rsidP="004A185A">
      <w:pPr>
        <w:pStyle w:val="Heading4"/>
      </w:pPr>
      <w:r>
        <w:t>Drug-resistance exists NOW—death tolls are massive and will just keep getting worse</w:t>
      </w:r>
    </w:p>
    <w:p w:rsidR="004A185A" w:rsidRPr="00531874" w:rsidRDefault="004A185A" w:rsidP="004A185A">
      <w:r>
        <w:rPr>
          <w:rStyle w:val="Style13ptBold"/>
        </w:rPr>
        <w:t>McKenna 14</w:t>
      </w:r>
      <w:r>
        <w:rPr>
          <w:rStyle w:val="Style13ptBold"/>
          <w:u w:val="single"/>
        </w:rPr>
        <w:t xml:space="preserve"> </w:t>
      </w:r>
      <w:r>
        <w:rPr>
          <w:rStyle w:val="Style13ptBold"/>
          <w:b w:val="0"/>
          <w:sz w:val="22"/>
        </w:rPr>
        <w:t>(</w:t>
      </w:r>
      <w:proofErr w:type="spellStart"/>
      <w:r>
        <w:rPr>
          <w:rStyle w:val="Style13ptBold"/>
          <w:b w:val="0"/>
          <w:sz w:val="22"/>
        </w:rPr>
        <w:t>Maryn</w:t>
      </w:r>
      <w:proofErr w:type="spellEnd"/>
      <w:r>
        <w:rPr>
          <w:rStyle w:val="Style13ptBold"/>
          <w:b w:val="0"/>
          <w:sz w:val="22"/>
        </w:rPr>
        <w:t xml:space="preserve"> </w:t>
      </w:r>
      <w:r w:rsidRPr="00531874">
        <w:t>McKenna, [</w:t>
      </w:r>
      <w:proofErr w:type="spellStart"/>
      <w:r w:rsidRPr="00531874">
        <w:t>Maryn</w:t>
      </w:r>
      <w:proofErr w:type="spellEnd"/>
      <w:r w:rsidRPr="00531874">
        <w:t xml:space="preserve"> McKenna is a journalist for national magazines and a Senior Fellow of the Schuster Institute at Brandeis University. She is the author of SUPERBUG and BEATING BACK THE DEVIL, and is writing a book about food for National Geographic.</w:t>
      </w:r>
      <w:r>
        <w:t xml:space="preserve">], </w:t>
      </w:r>
      <w:proofErr w:type="gramStart"/>
      <w:r>
        <w:rPr>
          <w:i/>
        </w:rPr>
        <w:t>Wired</w:t>
      </w:r>
      <w:proofErr w:type="gramEnd"/>
      <w:r>
        <w:rPr>
          <w:i/>
        </w:rPr>
        <w:t>,</w:t>
      </w:r>
      <w:r>
        <w:t xml:space="preserve"> “The Coming Cost of Superbugs: 10 Million Deaths per Year.”</w:t>
      </w:r>
    </w:p>
    <w:p w:rsidR="004A185A" w:rsidRPr="00531874" w:rsidRDefault="004A185A" w:rsidP="004A185A">
      <w:pPr>
        <w:rPr>
          <w:sz w:val="16"/>
        </w:rPr>
      </w:pPr>
      <w:r w:rsidRPr="00531874">
        <w:rPr>
          <w:sz w:val="16"/>
        </w:rPr>
        <w:t xml:space="preserve">If you weren’t taking antibiotic resistance seriously before, now would be a good time to start. A project commissioned by </w:t>
      </w:r>
      <w:r w:rsidRPr="00A02CCF">
        <w:rPr>
          <w:u w:val="single"/>
        </w:rPr>
        <w:t>the British government has released estimates of the near-future global toll of antibiotic resistance that are jaw-dropping</w:t>
      </w:r>
      <w:r w:rsidRPr="00531874">
        <w:rPr>
          <w:sz w:val="16"/>
        </w:rPr>
        <w:t xml:space="preserve"> in their seriousness and scale: </w:t>
      </w:r>
      <w:r w:rsidRPr="00531874">
        <w:rPr>
          <w:rStyle w:val="Emphasis"/>
        </w:rPr>
        <w:t>10 million deaths per year</w:t>
      </w:r>
      <w:r w:rsidRPr="00A02CCF">
        <w:rPr>
          <w:u w:val="single"/>
        </w:rPr>
        <w:t>,</w:t>
      </w:r>
      <w:r w:rsidRPr="00531874">
        <w:rPr>
          <w:sz w:val="16"/>
        </w:rPr>
        <w:t xml:space="preserve"> more than cancer, </w:t>
      </w:r>
      <w:r w:rsidRPr="00531874">
        <w:rPr>
          <w:rStyle w:val="Emphasis"/>
        </w:rPr>
        <w:t>and at least $100 trillion in sacrificed gross national product.</w:t>
      </w:r>
      <w:r w:rsidRPr="00531874">
        <w:rPr>
          <w:sz w:val="16"/>
        </w:rPr>
        <w:t xml:space="preserve"> The project, called the </w:t>
      </w:r>
      <w:hyperlink r:id="rId20" w:history="1">
        <w:r w:rsidRPr="00531874">
          <w:rPr>
            <w:rStyle w:val="Hyperlink"/>
            <w:sz w:val="16"/>
          </w:rPr>
          <w:t>Review on Antimicrobial Resistance</w:t>
        </w:r>
      </w:hyperlink>
      <w:r w:rsidRPr="00531874">
        <w:rPr>
          <w:sz w:val="16"/>
        </w:rPr>
        <w:t xml:space="preserve">, was commissioned by UK Prime Minister David Cameron last summer, a follow-on to the </w:t>
      </w:r>
      <w:hyperlink r:id="rId21" w:history="1">
        <w:r w:rsidRPr="00531874">
          <w:rPr>
            <w:rStyle w:val="Hyperlink"/>
            <w:sz w:val="16"/>
          </w:rPr>
          <w:t>dire report issued in 2013</w:t>
        </w:r>
      </w:hyperlink>
      <w:r w:rsidRPr="00531874">
        <w:rPr>
          <w:sz w:val="16"/>
        </w:rPr>
        <w:t xml:space="preserve"> by the UK’s Chief Medical Officer, which ranked resistance as serious a threat to society as terrorism. To chair the effort, Cameron recruited Jim O’Neill, previously the head of economic research for Goldman Sachs (and the person credited with coining the acronym BRICs — Brazil, Russia, India, China — as part of forecasting that global economic power would shift south and east). The Review is envisioned as a two-year project that will publish periodically, ending in July 2016 with recommendations for actions to blunt the threat that antibiotic resistance poses worldwide. (The project is supported by the nonprofit </w:t>
      </w:r>
      <w:proofErr w:type="spellStart"/>
      <w:r w:rsidRPr="00531874">
        <w:rPr>
          <w:sz w:val="16"/>
        </w:rPr>
        <w:t>Wellcome</w:t>
      </w:r>
      <w:proofErr w:type="spellEnd"/>
      <w:r w:rsidRPr="00531874">
        <w:rPr>
          <w:sz w:val="16"/>
        </w:rPr>
        <w:t xml:space="preserve"> Trust.) Their </w:t>
      </w:r>
      <w:hyperlink r:id="rId22" w:history="1">
        <w:r w:rsidRPr="00531874">
          <w:rPr>
            <w:rStyle w:val="Hyperlink"/>
            <w:sz w:val="16"/>
          </w:rPr>
          <w:t>first paper</w:t>
        </w:r>
      </w:hyperlink>
      <w:r w:rsidRPr="00531874">
        <w:rPr>
          <w:sz w:val="16"/>
        </w:rPr>
        <w:t xml:space="preserve">, released late last week, is based on work by two consulting teams, from RAND and KPMG, examining just the effect of resistance in six pathogens: three commonly resistant bacterial infections, </w:t>
      </w:r>
      <w:proofErr w:type="spellStart"/>
      <w:r w:rsidRPr="00531874">
        <w:rPr>
          <w:sz w:val="16"/>
        </w:rPr>
        <w:t>Klebsiella</w:t>
      </w:r>
      <w:proofErr w:type="spellEnd"/>
      <w:r w:rsidRPr="00531874">
        <w:rPr>
          <w:sz w:val="16"/>
        </w:rPr>
        <w:t xml:space="preserve"> </w:t>
      </w:r>
      <w:proofErr w:type="spellStart"/>
      <w:r w:rsidRPr="00531874">
        <w:rPr>
          <w:sz w:val="16"/>
        </w:rPr>
        <w:t>pneumoniae</w:t>
      </w:r>
      <w:proofErr w:type="spellEnd"/>
      <w:r w:rsidRPr="00531874">
        <w:rPr>
          <w:sz w:val="16"/>
        </w:rPr>
        <w:t xml:space="preserve">, E. coli and MRSA; and three globally important diseases: HIV, TB and malaria. It doesn’t examine the effect of resistance in other pathogens; and it doesn’t attempt to estimate either healthcare costs or secondary social costs (more on that below). So it is a conservative effort, several different ways. And yet, its baseline estimates of the size of the global problem are breathtaking. Among them: </w:t>
      </w:r>
      <w:r w:rsidRPr="00531874">
        <w:rPr>
          <w:rStyle w:val="Emphasis"/>
        </w:rPr>
        <w:t>Antibiotic resistance currently accounts for an estimated 50,000 deaths in the US and Europe</w:t>
      </w:r>
      <w:r w:rsidRPr="00531874">
        <w:rPr>
          <w:sz w:val="16"/>
        </w:rPr>
        <w:t xml:space="preserve">, which have surveillance to support those numbers. (The </w:t>
      </w:r>
      <w:hyperlink r:id="rId23" w:history="1">
        <w:r w:rsidRPr="00531874">
          <w:rPr>
            <w:rStyle w:val="Hyperlink"/>
            <w:sz w:val="16"/>
          </w:rPr>
          <w:t>CDC puts</w:t>
        </w:r>
      </w:hyperlink>
      <w:r w:rsidRPr="00531874">
        <w:rPr>
          <w:sz w:val="16"/>
        </w:rPr>
        <w:t xml:space="preserve"> the number for the US at 23,000.) But the project estimates that the actual current death toll is </w:t>
      </w:r>
      <w:r w:rsidRPr="00531874">
        <w:rPr>
          <w:rStyle w:val="Emphasis"/>
        </w:rPr>
        <w:t>700,000 worldwide</w:t>
      </w:r>
      <w:r w:rsidRPr="00531874">
        <w:rPr>
          <w:sz w:val="16"/>
        </w:rPr>
        <w:t xml:space="preserve">. If antibiotic resistance were allowed to grow unchecked — that is, if there were no successful efforts to curb it or no new drugs to combat it (the latter is very plausible) — the number of deaths per year would balloon to 10 million by 2050. For comparison, that is more than the 8.2 million per year who currently die of cancer and 1.5 million who die of diabetes, combined. Those deaths would cost the world up to 3.5 percent of its total gross domestic product, or up to $100 trillion by 2050. Moreover, the toll of deaths — and the cost of them — would fall unevenly across the world, with the global south and Asia suffering to a greater extent and losing greater amounts of income. In one example, they estimate that 25 percent of all deaths in Nigeria could be caused by resistance if trends continue unchecked. Notably, the project doesn’t attempt to estimate what they call the </w:t>
      </w:r>
      <w:r w:rsidRPr="00531874">
        <w:rPr>
          <w:u w:val="single"/>
        </w:rPr>
        <w:t>secondary costs of resistance</w:t>
      </w:r>
      <w:r w:rsidRPr="00531874">
        <w:rPr>
          <w:sz w:val="16"/>
        </w:rPr>
        <w:t xml:space="preserve">: that is, </w:t>
      </w:r>
      <w:r w:rsidRPr="00531874">
        <w:rPr>
          <w:u w:val="single"/>
        </w:rPr>
        <w:t xml:space="preserve">the </w:t>
      </w:r>
      <w:r w:rsidRPr="00531874">
        <w:rPr>
          <w:rStyle w:val="Emphasis"/>
        </w:rPr>
        <w:t>cost of having to forego routine medical procedures such as cancer care, joint and organ transplants and surgeries</w:t>
      </w:r>
      <w:r w:rsidRPr="00531874">
        <w:rPr>
          <w:u w:val="single"/>
        </w:rPr>
        <w:t>, because</w:t>
      </w:r>
      <w:r w:rsidRPr="00531874">
        <w:rPr>
          <w:sz w:val="16"/>
        </w:rPr>
        <w:t xml:space="preserve"> without antibiotics, </w:t>
      </w:r>
      <w:r w:rsidRPr="00531874">
        <w:rPr>
          <w:u w:val="single"/>
        </w:rPr>
        <w:t xml:space="preserve">the danger of infection would be too great. </w:t>
      </w:r>
      <w:r w:rsidRPr="00531874">
        <w:rPr>
          <w:sz w:val="16"/>
        </w:rPr>
        <w:t>(They estimate that C-sections alone contribute 2 percent to annual GDP.) It also doesn’t try to estimate what the healthcare costs would be of caring for those additional resistance illnesses and deaths.</w:t>
      </w:r>
    </w:p>
    <w:p w:rsidR="004A185A" w:rsidRDefault="004A185A" w:rsidP="004A185A"/>
    <w:p w:rsidR="004A185A" w:rsidRDefault="004A185A" w:rsidP="004A185A"/>
    <w:p w:rsidR="004A185A" w:rsidRPr="00A97257" w:rsidRDefault="004A185A" w:rsidP="004A185A"/>
    <w:p w:rsidR="004A185A" w:rsidRDefault="004A185A" w:rsidP="004A185A"/>
    <w:p w:rsidR="004A185A" w:rsidRDefault="004A185A" w:rsidP="004A185A">
      <w:pPr>
        <w:pStyle w:val="Heading2"/>
      </w:pPr>
      <w:r>
        <w:t>Internal</w:t>
      </w:r>
    </w:p>
    <w:p w:rsidR="004A185A" w:rsidRDefault="004A185A" w:rsidP="004A185A">
      <w:pPr>
        <w:pStyle w:val="Heading3"/>
      </w:pPr>
      <w:r>
        <w:t>Trust Key</w:t>
      </w:r>
    </w:p>
    <w:p w:rsidR="004A185A" w:rsidRDefault="004A185A" w:rsidP="004A185A">
      <w:pPr>
        <w:pStyle w:val="Heading4"/>
      </w:pPr>
      <w:r>
        <w:t>Lack of patient trust would make it impossible to treat diseases</w:t>
      </w:r>
    </w:p>
    <w:p w:rsidR="004A185A" w:rsidRPr="008956DD" w:rsidRDefault="004A185A" w:rsidP="004A185A">
      <w:pPr>
        <w:rPr>
          <w:rStyle w:val="Style13ptBold"/>
          <w:b w:val="0"/>
          <w:sz w:val="22"/>
        </w:rPr>
      </w:pPr>
      <w:r>
        <w:rPr>
          <w:rStyle w:val="Style13ptBold"/>
        </w:rPr>
        <w:t>AAOS 10</w:t>
      </w:r>
      <w:r>
        <w:rPr>
          <w:rStyle w:val="Style13ptBold"/>
          <w:b w:val="0"/>
        </w:rPr>
        <w:t xml:space="preserve"> </w:t>
      </w:r>
      <w:r>
        <w:rPr>
          <w:rStyle w:val="Style13ptBold"/>
          <w:b w:val="0"/>
          <w:sz w:val="22"/>
        </w:rPr>
        <w:t xml:space="preserve">(S. Terry </w:t>
      </w:r>
      <w:proofErr w:type="spellStart"/>
      <w:r>
        <w:rPr>
          <w:rStyle w:val="Style13ptBold"/>
          <w:b w:val="0"/>
          <w:sz w:val="22"/>
        </w:rPr>
        <w:t>Canale</w:t>
      </w:r>
      <w:proofErr w:type="spellEnd"/>
      <w:r>
        <w:rPr>
          <w:rStyle w:val="Style13ptBold"/>
          <w:b w:val="0"/>
          <w:sz w:val="22"/>
        </w:rPr>
        <w:t xml:space="preserve">, MD, </w:t>
      </w:r>
      <w:r>
        <w:rPr>
          <w:rStyle w:val="Style13ptBold"/>
          <w:b w:val="0"/>
          <w:i/>
          <w:sz w:val="22"/>
        </w:rPr>
        <w:t>American Academy of Orthopedic Surgeons,</w:t>
      </w:r>
      <w:r>
        <w:rPr>
          <w:rStyle w:val="Style13ptBold"/>
          <w:b w:val="0"/>
          <w:sz w:val="22"/>
        </w:rPr>
        <w:t xml:space="preserve"> “Patient-Physician Trust,” July 2010, </w:t>
      </w:r>
      <w:r w:rsidRPr="00B707D7">
        <w:rPr>
          <w:rStyle w:val="Style13ptBold"/>
          <w:b w:val="0"/>
          <w:sz w:val="22"/>
        </w:rPr>
        <w:t>http://www.aaos.org/news/aaosnow/jul10/youraaos1.asp</w:t>
      </w:r>
      <w:r>
        <w:rPr>
          <w:rStyle w:val="Style13ptBold"/>
          <w:b w:val="0"/>
          <w:sz w:val="22"/>
        </w:rPr>
        <w:t xml:space="preserve">) </w:t>
      </w:r>
    </w:p>
    <w:p w:rsidR="004A185A" w:rsidRPr="00531874" w:rsidRDefault="004A185A" w:rsidP="004A185A">
      <w:pPr>
        <w:rPr>
          <w:sz w:val="16"/>
        </w:rPr>
      </w:pPr>
      <w:r w:rsidRPr="008956DD">
        <w:rPr>
          <w:sz w:val="16"/>
        </w:rPr>
        <w:t xml:space="preserve">The importance of trust </w:t>
      </w:r>
      <w:r w:rsidRPr="008956DD">
        <w:rPr>
          <w:u w:val="single"/>
        </w:rPr>
        <w:t xml:space="preserve">Why is trust so important in the medical field? </w:t>
      </w:r>
      <w:proofErr w:type="gramStart"/>
      <w:r w:rsidRPr="008956DD">
        <w:rPr>
          <w:u w:val="single"/>
        </w:rPr>
        <w:t>Because of one simple concept—“adherence.”</w:t>
      </w:r>
      <w:proofErr w:type="gramEnd"/>
      <w:r w:rsidRPr="008956DD">
        <w:rPr>
          <w:u w:val="single"/>
        </w:rPr>
        <w:t xml:space="preserve"> I am not going to let anyone put me to sleep—much less operate on me—if I don’t trust the situation or the person performing the surgery. I’m not going to take my medication if I don’t trust the person prescribing it.</w:t>
      </w:r>
      <w:r w:rsidRPr="008956DD">
        <w:rPr>
          <w:sz w:val="16"/>
        </w:rPr>
        <w:t xml:space="preserve"> Even if you don’t believe in trust, believe that </w:t>
      </w:r>
      <w:r w:rsidRPr="008956DD">
        <w:rPr>
          <w:u w:val="single"/>
        </w:rPr>
        <w:t>adherence is vitally important for the well-being of our patients</w:t>
      </w:r>
      <w:r w:rsidRPr="008956DD">
        <w:rPr>
          <w:sz w:val="16"/>
        </w:rPr>
        <w:t xml:space="preserve">. Today in the United States, one third of all new prescriptions are not filled, one third </w:t>
      </w:r>
      <w:proofErr w:type="gramStart"/>
      <w:r w:rsidRPr="008956DD">
        <w:rPr>
          <w:sz w:val="16"/>
        </w:rPr>
        <w:t>are</w:t>
      </w:r>
      <w:proofErr w:type="gramEnd"/>
      <w:r w:rsidRPr="008956DD">
        <w:rPr>
          <w:sz w:val="16"/>
        </w:rPr>
        <w:t xml:space="preserve"> only partially taken, and one third are filled and taken as prescribed. Some of that may be due to economics, when a physician says “Take this,” the trusting patient will speak up, ask for help, and bend over backwards to do what needs to be done. </w:t>
      </w:r>
      <w:r w:rsidRPr="008956DD">
        <w:rPr>
          <w:u w:val="single"/>
        </w:rPr>
        <w:t>So how do</w:t>
      </w:r>
      <w:r w:rsidRPr="008956DD">
        <w:rPr>
          <w:sz w:val="16"/>
        </w:rPr>
        <w:t xml:space="preserve"> we as </w:t>
      </w:r>
      <w:r w:rsidRPr="008956DD">
        <w:rPr>
          <w:u w:val="single"/>
        </w:rPr>
        <w:t>physicians maintain the trust</w:t>
      </w:r>
      <w:r w:rsidRPr="008956DD">
        <w:rPr>
          <w:sz w:val="16"/>
        </w:rPr>
        <w:t xml:space="preserve"> of our </w:t>
      </w:r>
      <w:r w:rsidRPr="008956DD">
        <w:rPr>
          <w:u w:val="single"/>
        </w:rPr>
        <w:t xml:space="preserve">patients? </w:t>
      </w:r>
      <w:proofErr w:type="gramStart"/>
      <w:r w:rsidRPr="008956DD">
        <w:rPr>
          <w:u w:val="single"/>
        </w:rPr>
        <w:t>By being honest</w:t>
      </w:r>
      <w:r w:rsidRPr="008956DD">
        <w:rPr>
          <w:sz w:val="16"/>
        </w:rPr>
        <w:t xml:space="preserve"> with others and honest with ourselves.</w:t>
      </w:r>
      <w:proofErr w:type="gramEnd"/>
      <w:r w:rsidRPr="008956DD">
        <w:rPr>
          <w:sz w:val="16"/>
        </w:rPr>
        <w:t xml:space="preserve"> Rigorous honesty is the key to trust. Recently, medicine—</w:t>
      </w:r>
      <w:proofErr w:type="spellStart"/>
      <w:r w:rsidRPr="008956DD">
        <w:rPr>
          <w:sz w:val="16"/>
        </w:rPr>
        <w:t>orthopaedics</w:t>
      </w:r>
      <w:proofErr w:type="spellEnd"/>
      <w:r w:rsidRPr="008956DD">
        <w:rPr>
          <w:sz w:val="16"/>
        </w:rPr>
        <w:t xml:space="preserve"> in particular—has come under scrutiny from the Department of Justice. Device companies were hit hard. We should learn from this—transparency is extremely important and there is nothing wrong with being a consultant as long as the arrangement is legitimate and transparent, one you’d be proud to have featured on the front page of The Wall Street Journal.</w:t>
      </w:r>
    </w:p>
    <w:p w:rsidR="004A185A" w:rsidRDefault="004A185A" w:rsidP="004A185A"/>
    <w:p w:rsidR="004A185A" w:rsidRDefault="004A185A" w:rsidP="004A185A">
      <w:pPr>
        <w:pStyle w:val="Heading3"/>
      </w:pPr>
      <w:r>
        <w:t>New Drugs Key</w:t>
      </w:r>
    </w:p>
    <w:p w:rsidR="004A185A" w:rsidRDefault="004A185A" w:rsidP="004A185A"/>
    <w:p w:rsidR="004A185A" w:rsidRDefault="004A185A" w:rsidP="004A185A">
      <w:pPr>
        <w:pStyle w:val="Heading4"/>
      </w:pPr>
      <w:r>
        <w:t>Development and adoption of new drugs is key to halt the pandemic</w:t>
      </w:r>
    </w:p>
    <w:p w:rsidR="004A185A" w:rsidRPr="005A5AB0" w:rsidRDefault="004A185A" w:rsidP="004A185A">
      <w:r>
        <w:rPr>
          <w:rStyle w:val="Style13ptBold"/>
        </w:rPr>
        <w:t>Chambers 15</w:t>
      </w:r>
      <w:r>
        <w:rPr>
          <w:rStyle w:val="Style13ptBold"/>
          <w:b w:val="0"/>
        </w:rPr>
        <w:t xml:space="preserve"> </w:t>
      </w:r>
      <w:r>
        <w:rPr>
          <w:rStyle w:val="Style13ptBold"/>
          <w:b w:val="0"/>
          <w:sz w:val="22"/>
        </w:rPr>
        <w:t xml:space="preserve">(Henry </w:t>
      </w:r>
      <w:r w:rsidRPr="005A5AB0">
        <w:t>F, [Dr. Chambers clinical and research interests are antimicrobial drug resistance, staphylococcal infections, experimental therapeutics, and epidemiology and pathogenesis of disease caused by Staphylococcus aureus. He is editor for the Sanford Guide to Antimicrobial Therapy and he has over 200 original publications and textbook chapters in the areas of drug resistance, endocarditis, bacterial infections, and staphylococcal diseases.</w:t>
      </w:r>
      <w:r>
        <w:t xml:space="preserve">], </w:t>
      </w:r>
      <w:proofErr w:type="spellStart"/>
      <w:r>
        <w:rPr>
          <w:i/>
        </w:rPr>
        <w:t>Healio</w:t>
      </w:r>
      <w:proofErr w:type="spellEnd"/>
      <w:r>
        <w:t xml:space="preserve">, “Drug Development Critical for Combating Drug Resistance,” June 2015, </w:t>
      </w:r>
      <w:r w:rsidRPr="005A5AB0">
        <w:t>http://www.healio.com/infectious-disease/vaccine-preventable-diseases/news/print/infectious-disease-news/%7Bec88f3ba-ee8d-4303-836b-ad0edf184133%7D/drug-development-critical-to-combating-antibiotic-resistance</w:t>
      </w:r>
      <w:r>
        <w:t xml:space="preserve">)  </w:t>
      </w:r>
    </w:p>
    <w:p w:rsidR="004A185A" w:rsidRPr="005A5AB0" w:rsidRDefault="004A185A" w:rsidP="004A185A">
      <w:pPr>
        <w:rPr>
          <w:rFonts w:eastAsia="Times New Roman"/>
          <w:sz w:val="16"/>
          <w:lang w:eastAsia="zh-CN"/>
        </w:rPr>
      </w:pPr>
      <w:r w:rsidRPr="005A5AB0">
        <w:rPr>
          <w:sz w:val="16"/>
        </w:rPr>
        <w:t xml:space="preserve">Since they were first discovered in 1928, </w:t>
      </w:r>
      <w:r w:rsidRPr="00531874">
        <w:rPr>
          <w:u w:val="single"/>
        </w:rPr>
        <w:t>antibiotics have saved countless lives from deadly infections</w:t>
      </w:r>
      <w:r w:rsidRPr="005A5AB0">
        <w:rPr>
          <w:sz w:val="16"/>
        </w:rPr>
        <w:t xml:space="preserve">. Continued antibiotic misuse, however, has contributed to antimicrobial resistance, a significant threat to human health that sickens more than 2 million people and kills at least 23,000 annually in the United States, according to the CDC. </w:t>
      </w:r>
      <w:proofErr w:type="gramStart"/>
      <w:r w:rsidRPr="005A5AB0">
        <w:rPr>
          <w:sz w:val="16"/>
        </w:rPr>
        <w:t>he</w:t>
      </w:r>
      <w:proofErr w:type="gramEnd"/>
      <w:r w:rsidRPr="005A5AB0">
        <w:rPr>
          <w:sz w:val="16"/>
        </w:rPr>
        <w:t xml:space="preserve"> global view is just as bleak. WHO has documented resistance worldwide to </w:t>
      </w:r>
      <w:proofErr w:type="spellStart"/>
      <w:r w:rsidRPr="005A5AB0">
        <w:rPr>
          <w:sz w:val="16"/>
        </w:rPr>
        <w:t>carbapenem</w:t>
      </w:r>
      <w:proofErr w:type="spellEnd"/>
      <w:r w:rsidRPr="005A5AB0">
        <w:rPr>
          <w:sz w:val="16"/>
        </w:rPr>
        <w:t xml:space="preserve"> antibiotics — the therapy of last resort in the treatment </w:t>
      </w:r>
      <w:proofErr w:type="spellStart"/>
      <w:r w:rsidRPr="005A5AB0">
        <w:rPr>
          <w:sz w:val="16"/>
        </w:rPr>
        <w:t>ofKlebsiella</w:t>
      </w:r>
      <w:proofErr w:type="spellEnd"/>
      <w:r w:rsidRPr="005A5AB0">
        <w:rPr>
          <w:sz w:val="16"/>
        </w:rPr>
        <w:t xml:space="preserve"> </w:t>
      </w:r>
      <w:proofErr w:type="spellStart"/>
      <w:r w:rsidRPr="005A5AB0">
        <w:rPr>
          <w:sz w:val="16"/>
        </w:rPr>
        <w:t>pneumoniae</w:t>
      </w:r>
      <w:proofErr w:type="spellEnd"/>
      <w:r w:rsidRPr="005A5AB0">
        <w:rPr>
          <w:sz w:val="16"/>
        </w:rPr>
        <w:t xml:space="preserve"> — and widespread resistance to fluoroquinolones. In some countries, fluoroquinolones are ineffective in more than half of treated patients. “The problem of </w:t>
      </w:r>
      <w:r w:rsidRPr="005A5AB0">
        <w:rPr>
          <w:rStyle w:val="Emphasis"/>
        </w:rPr>
        <w:t>antibiotic resistance continues to grow</w:t>
      </w:r>
      <w:r w:rsidRPr="00531874">
        <w:rPr>
          <w:u w:val="single"/>
        </w:rPr>
        <w:t>, and our inability to meet the challenge, in particular with antibiotics, is even greater than it was 5 years ago</w:t>
      </w:r>
      <w:r w:rsidRPr="005A5AB0">
        <w:rPr>
          <w:sz w:val="16"/>
        </w:rPr>
        <w:t xml:space="preserve">,” Helen W. Boucher, MD, director of the Infectious Diseases Fellowship Program at Tufts Medical Center and associate professor at Tufts University School of Medicine, told Infectious Disease News. Return to a pre-antibiotic era What is more, there are few prospects in the antibiotic research and development pipeline, which could mean a return to the pre-antibiotic era, when simple infections were a death sentence. “We’re coming dangerously close to a time when we have to tell our patients that we can’t offer therapies that we really think they deserve, such as organ transplants, chemotherapy for cancer or neonatal intensive care,” said Boucher, who also is a member of the Infectious Diseases Society of America’s (IDSA) Antimicrobial Resistance Committee. “This is incredibly scary. We don’t want to get to another pre-antibiotic era.” </w:t>
      </w:r>
      <w:r w:rsidRPr="005A5AB0">
        <w:rPr>
          <w:rStyle w:val="Emphasis"/>
        </w:rPr>
        <w:t>Combating antibiotic resistance is possible, however, with a multipronged approach that includes infection prevention, antibiotic stewardship and new drug development</w:t>
      </w:r>
      <w:r w:rsidRPr="005A5AB0">
        <w:rPr>
          <w:sz w:val="16"/>
        </w:rPr>
        <w:t xml:space="preserve">. To encourage development of antibacterial agents, in 2010 the IDSA established its 10 x ’20 initiative, a global call to develop 10 new antibiotics by 2020. This initiative is primarily focused on developing systemically administered antibiotics that target the ESKAPE </w:t>
      </w:r>
      <w:proofErr w:type="spellStart"/>
      <w:r w:rsidRPr="005A5AB0">
        <w:rPr>
          <w:sz w:val="16"/>
        </w:rPr>
        <w:t>pathogens</w:t>
      </w:r>
      <w:proofErr w:type="gramStart"/>
      <w:r w:rsidRPr="005A5AB0">
        <w:rPr>
          <w:sz w:val="16"/>
        </w:rPr>
        <w:t>:Enterococcus</w:t>
      </w:r>
      <w:proofErr w:type="spellEnd"/>
      <w:proofErr w:type="gramEnd"/>
      <w:r w:rsidRPr="005A5AB0">
        <w:rPr>
          <w:sz w:val="16"/>
        </w:rPr>
        <w:t xml:space="preserve"> </w:t>
      </w:r>
      <w:proofErr w:type="spellStart"/>
      <w:r w:rsidRPr="005A5AB0">
        <w:rPr>
          <w:sz w:val="16"/>
        </w:rPr>
        <w:t>faecium</w:t>
      </w:r>
      <w:proofErr w:type="spellEnd"/>
      <w:r w:rsidRPr="005A5AB0">
        <w:rPr>
          <w:sz w:val="16"/>
        </w:rPr>
        <w:t xml:space="preserve">, Staphylococcus aureus, </w:t>
      </w:r>
      <w:proofErr w:type="spellStart"/>
      <w:r w:rsidRPr="005A5AB0">
        <w:rPr>
          <w:sz w:val="16"/>
        </w:rPr>
        <w:t>Klebsiella</w:t>
      </w:r>
      <w:proofErr w:type="spellEnd"/>
      <w:r w:rsidRPr="005A5AB0">
        <w:rPr>
          <w:sz w:val="16"/>
        </w:rPr>
        <w:t xml:space="preserve"> </w:t>
      </w:r>
      <w:proofErr w:type="spellStart"/>
      <w:r w:rsidRPr="005A5AB0">
        <w:rPr>
          <w:sz w:val="16"/>
        </w:rPr>
        <w:t>pneumoniae,Acinetobacter</w:t>
      </w:r>
      <w:proofErr w:type="spellEnd"/>
      <w:r w:rsidRPr="005A5AB0">
        <w:rPr>
          <w:sz w:val="16"/>
        </w:rPr>
        <w:t xml:space="preserve"> </w:t>
      </w:r>
      <w:proofErr w:type="spellStart"/>
      <w:r w:rsidRPr="005A5AB0">
        <w:rPr>
          <w:sz w:val="16"/>
        </w:rPr>
        <w:t>baumanii</w:t>
      </w:r>
      <w:proofErr w:type="spellEnd"/>
      <w:r w:rsidRPr="005A5AB0">
        <w:rPr>
          <w:sz w:val="16"/>
        </w:rPr>
        <w:t xml:space="preserve">, Pseudomonas aeruginosa, and </w:t>
      </w:r>
      <w:proofErr w:type="spellStart"/>
      <w:r w:rsidRPr="005A5AB0">
        <w:rPr>
          <w:sz w:val="16"/>
        </w:rPr>
        <w:t>Enterobacter</w:t>
      </w:r>
      <w:proofErr w:type="spellEnd"/>
      <w:r w:rsidRPr="005A5AB0">
        <w:rPr>
          <w:sz w:val="16"/>
        </w:rPr>
        <w:t xml:space="preserve"> species. “The 10 x ’20 initiative is really just a rallying point to identify problems to get stakeholders thinking about what the issue is,” Stephen B. Calderwood, </w:t>
      </w:r>
      <w:proofErr w:type="spellStart"/>
      <w:r w:rsidRPr="005A5AB0">
        <w:rPr>
          <w:sz w:val="16"/>
        </w:rPr>
        <w:t>MD</w:t>
      </w:r>
      <w:proofErr w:type="gramStart"/>
      <w:r w:rsidRPr="005A5AB0">
        <w:rPr>
          <w:sz w:val="16"/>
        </w:rPr>
        <w:t>,chief</w:t>
      </w:r>
      <w:proofErr w:type="spellEnd"/>
      <w:proofErr w:type="gramEnd"/>
      <w:r w:rsidRPr="005A5AB0">
        <w:rPr>
          <w:sz w:val="16"/>
        </w:rPr>
        <w:t xml:space="preserve"> of the division of infectious diseases at Massachusetts General Hospital and president of the IDSA, said in an interview. At the midpoint of the initiative, Infectious Disease News spoke with experts about the success of the initiative so far, the federal response to antibiotic resistance and the challenges that remain in creating a more robust antibiotic</w:t>
      </w:r>
      <w:r w:rsidRPr="005A5AB0">
        <w:rPr>
          <w:rFonts w:eastAsia="Times New Roman"/>
          <w:sz w:val="16"/>
          <w:lang w:eastAsia="zh-CN"/>
        </w:rPr>
        <w:t xml:space="preserve"> pipeline.</w:t>
      </w:r>
    </w:p>
    <w:p w:rsidR="004A185A" w:rsidRDefault="004A185A" w:rsidP="004A185A"/>
    <w:p w:rsidR="004A185A" w:rsidRDefault="004A185A" w:rsidP="004A185A"/>
    <w:p w:rsidR="004A185A" w:rsidRPr="00531874" w:rsidRDefault="004A185A" w:rsidP="004A185A"/>
    <w:p w:rsidR="004A185A" w:rsidRDefault="004A185A" w:rsidP="004A185A"/>
    <w:sectPr w:rsidR="004A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82784B"/>
    <w:rsid w:val="000139A3"/>
    <w:rsid w:val="000A4752"/>
    <w:rsid w:val="00100833"/>
    <w:rsid w:val="00104529"/>
    <w:rsid w:val="00105942"/>
    <w:rsid w:val="00107396"/>
    <w:rsid w:val="00120EBD"/>
    <w:rsid w:val="00144A4C"/>
    <w:rsid w:val="0016600D"/>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5CE3"/>
    <w:rsid w:val="004605D6"/>
    <w:rsid w:val="004A185A"/>
    <w:rsid w:val="004C60E8"/>
    <w:rsid w:val="004E3579"/>
    <w:rsid w:val="004E728B"/>
    <w:rsid w:val="004F39E0"/>
    <w:rsid w:val="00537BD5"/>
    <w:rsid w:val="0057268A"/>
    <w:rsid w:val="005D2912"/>
    <w:rsid w:val="005F5C3C"/>
    <w:rsid w:val="006065BD"/>
    <w:rsid w:val="00645FA9"/>
    <w:rsid w:val="00647866"/>
    <w:rsid w:val="00665003"/>
    <w:rsid w:val="006A2AD0"/>
    <w:rsid w:val="006C2375"/>
    <w:rsid w:val="006D4ECC"/>
    <w:rsid w:val="00722258"/>
    <w:rsid w:val="007243E5"/>
    <w:rsid w:val="00752BD6"/>
    <w:rsid w:val="00766EA0"/>
    <w:rsid w:val="007A177B"/>
    <w:rsid w:val="007A2226"/>
    <w:rsid w:val="007F5B66"/>
    <w:rsid w:val="00823A1C"/>
    <w:rsid w:val="0082784B"/>
    <w:rsid w:val="00845B9D"/>
    <w:rsid w:val="00860984"/>
    <w:rsid w:val="008B3ECB"/>
    <w:rsid w:val="008B4E85"/>
    <w:rsid w:val="008C1B2E"/>
    <w:rsid w:val="0091627E"/>
    <w:rsid w:val="0092308A"/>
    <w:rsid w:val="0097032B"/>
    <w:rsid w:val="00993255"/>
    <w:rsid w:val="009D2EAD"/>
    <w:rsid w:val="009D54B2"/>
    <w:rsid w:val="009E1922"/>
    <w:rsid w:val="009F7ED2"/>
    <w:rsid w:val="00A0147A"/>
    <w:rsid w:val="00A93661"/>
    <w:rsid w:val="00A95652"/>
    <w:rsid w:val="00AC0AB8"/>
    <w:rsid w:val="00AC7DD4"/>
    <w:rsid w:val="00B33C6D"/>
    <w:rsid w:val="00B4508F"/>
    <w:rsid w:val="00B55AD5"/>
    <w:rsid w:val="00B8057C"/>
    <w:rsid w:val="00B8257E"/>
    <w:rsid w:val="00BA2EDA"/>
    <w:rsid w:val="00BD6238"/>
    <w:rsid w:val="00BF593B"/>
    <w:rsid w:val="00BF773A"/>
    <w:rsid w:val="00BF7E81"/>
    <w:rsid w:val="00C04865"/>
    <w:rsid w:val="00C13773"/>
    <w:rsid w:val="00C17CC8"/>
    <w:rsid w:val="00C5730D"/>
    <w:rsid w:val="00C83417"/>
    <w:rsid w:val="00C9604F"/>
    <w:rsid w:val="00CA19AA"/>
    <w:rsid w:val="00CC5298"/>
    <w:rsid w:val="00CD736E"/>
    <w:rsid w:val="00CD798D"/>
    <w:rsid w:val="00CE161E"/>
    <w:rsid w:val="00CF59A8"/>
    <w:rsid w:val="00D1560A"/>
    <w:rsid w:val="00D325A9"/>
    <w:rsid w:val="00D36A8A"/>
    <w:rsid w:val="00D61409"/>
    <w:rsid w:val="00D6691E"/>
    <w:rsid w:val="00D71170"/>
    <w:rsid w:val="00D8317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2784B"/>
    <w:rPr>
      <w:rFonts w:ascii="Calibri" w:hAnsi="Calibri"/>
    </w:rPr>
  </w:style>
  <w:style w:type="paragraph" w:styleId="Heading1">
    <w:name w:val="heading 1"/>
    <w:aliases w:val="Pocket"/>
    <w:basedOn w:val="Normal"/>
    <w:next w:val="Normal"/>
    <w:link w:val="Heading1Char"/>
    <w:qFormat/>
    <w:rsid w:val="008278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78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278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278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78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84B"/>
  </w:style>
  <w:style w:type="character" w:customStyle="1" w:styleId="Heading1Char">
    <w:name w:val="Heading 1 Char"/>
    <w:aliases w:val="Pocket Char"/>
    <w:basedOn w:val="DefaultParagraphFont"/>
    <w:link w:val="Heading1"/>
    <w:rsid w:val="008278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8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784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2784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82784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2784B"/>
    <w:rPr>
      <w:b/>
      <w:bCs/>
      <w:sz w:val="26"/>
      <w:u w:val="none"/>
    </w:rPr>
  </w:style>
  <w:style w:type="character" w:customStyle="1" w:styleId="StyleUnderline">
    <w:name w:val="Style Underline"/>
    <w:aliases w:val="Intense Emphasis,Underline,Style Bold Underline,Intense Emphasis1,apple-style-span + 6 pt,Bold,Kern at 16 pt,Intense Emphasis2,HHeading 3 + 12 pt,Style,Underline Char,Bold Cite Char,Citation Char Char Char,ci,c,Intense Emphasis3,Bo,B"/>
    <w:basedOn w:val="DefaultParagraphFont"/>
    <w:uiPriority w:val="6"/>
    <w:qFormat/>
    <w:rsid w:val="0082784B"/>
    <w:rPr>
      <w:b/>
      <w:sz w:val="22"/>
      <w:u w:val="single"/>
    </w:rPr>
  </w:style>
  <w:style w:type="character" w:styleId="Hyperlink">
    <w:name w:val="Hyperlink"/>
    <w:aliases w:val="heading 1 (block title),Card Text,Important,Read,Internet Link,Analytic Text"/>
    <w:basedOn w:val="DefaultParagraphFont"/>
    <w:uiPriority w:val="99"/>
    <w:unhideWhenUsed/>
    <w:rsid w:val="0082784B"/>
    <w:rPr>
      <w:color w:val="auto"/>
      <w:u w:val="none"/>
    </w:rPr>
  </w:style>
  <w:style w:type="character" w:styleId="FollowedHyperlink">
    <w:name w:val="FollowedHyperlink"/>
    <w:basedOn w:val="DefaultParagraphFont"/>
    <w:uiPriority w:val="99"/>
    <w:semiHidden/>
    <w:unhideWhenUsed/>
    <w:rsid w:val="0082784B"/>
    <w:rPr>
      <w:color w:val="auto"/>
      <w:u w:val="none"/>
    </w:rPr>
  </w:style>
  <w:style w:type="paragraph" w:customStyle="1" w:styleId="textbold">
    <w:name w:val="text bold"/>
    <w:basedOn w:val="Normal"/>
    <w:link w:val="Emphasis"/>
    <w:uiPriority w:val="7"/>
    <w:qFormat/>
    <w:rsid w:val="0016600D"/>
    <w:pPr>
      <w:spacing w:after="0"/>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2784B"/>
    <w:rPr>
      <w:rFonts w:ascii="Calibri" w:hAnsi="Calibri"/>
    </w:rPr>
  </w:style>
  <w:style w:type="paragraph" w:styleId="Heading1">
    <w:name w:val="heading 1"/>
    <w:aliases w:val="Pocket"/>
    <w:basedOn w:val="Normal"/>
    <w:next w:val="Normal"/>
    <w:link w:val="Heading1Char"/>
    <w:qFormat/>
    <w:rsid w:val="008278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78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278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278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78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84B"/>
  </w:style>
  <w:style w:type="character" w:customStyle="1" w:styleId="Heading1Char">
    <w:name w:val="Heading 1 Char"/>
    <w:aliases w:val="Pocket Char"/>
    <w:basedOn w:val="DefaultParagraphFont"/>
    <w:link w:val="Heading1"/>
    <w:rsid w:val="008278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8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784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2784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82784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2784B"/>
    <w:rPr>
      <w:b/>
      <w:bCs/>
      <w:sz w:val="26"/>
      <w:u w:val="none"/>
    </w:rPr>
  </w:style>
  <w:style w:type="character" w:customStyle="1" w:styleId="StyleUnderline">
    <w:name w:val="Style Underline"/>
    <w:aliases w:val="Intense Emphasis,Underline,Style Bold Underline,Intense Emphasis1,apple-style-span + 6 pt,Bold,Kern at 16 pt,Intense Emphasis2,HHeading 3 + 12 pt,Style,Underline Char,Bold Cite Char,Citation Char Char Char,ci,c,Intense Emphasis3,Bo,B"/>
    <w:basedOn w:val="DefaultParagraphFont"/>
    <w:uiPriority w:val="6"/>
    <w:qFormat/>
    <w:rsid w:val="0082784B"/>
    <w:rPr>
      <w:b/>
      <w:sz w:val="22"/>
      <w:u w:val="single"/>
    </w:rPr>
  </w:style>
  <w:style w:type="character" w:styleId="Hyperlink">
    <w:name w:val="Hyperlink"/>
    <w:aliases w:val="heading 1 (block title),Card Text,Important,Read,Internet Link,Analytic Text"/>
    <w:basedOn w:val="DefaultParagraphFont"/>
    <w:uiPriority w:val="99"/>
    <w:unhideWhenUsed/>
    <w:rsid w:val="0082784B"/>
    <w:rPr>
      <w:color w:val="auto"/>
      <w:u w:val="none"/>
    </w:rPr>
  </w:style>
  <w:style w:type="character" w:styleId="FollowedHyperlink">
    <w:name w:val="FollowedHyperlink"/>
    <w:basedOn w:val="DefaultParagraphFont"/>
    <w:uiPriority w:val="99"/>
    <w:semiHidden/>
    <w:unhideWhenUsed/>
    <w:rsid w:val="0082784B"/>
    <w:rPr>
      <w:color w:val="auto"/>
      <w:u w:val="none"/>
    </w:rPr>
  </w:style>
  <w:style w:type="paragraph" w:customStyle="1" w:styleId="textbold">
    <w:name w:val="text bold"/>
    <w:basedOn w:val="Normal"/>
    <w:link w:val="Emphasis"/>
    <w:uiPriority w:val="7"/>
    <w:qFormat/>
    <w:rsid w:val="0016600D"/>
    <w:pPr>
      <w:spacing w:after="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94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tho.org/Programs/Preparedness/Public-Health-Emergency-Law/Public-Health-and-Schools-Toolkit/Comparison-of-FERPA-and-HIPAA-Privacy-Rule/" TargetMode="External"/><Relationship Id="rId13" Type="http://schemas.openxmlformats.org/officeDocument/2006/relationships/hyperlink" Target="https://www.cdt.org/files/pdfs/End-Bulk-Collection.pdf" TargetMode="External"/><Relationship Id="rId18" Type="http://schemas.openxmlformats.org/officeDocument/2006/relationships/hyperlink" Target="http://www.theguardian.com/society/health" TargetMode="External"/><Relationship Id="rId3" Type="http://schemas.openxmlformats.org/officeDocument/2006/relationships/styles" Target="styles.xml"/><Relationship Id="rId21" Type="http://schemas.openxmlformats.org/officeDocument/2006/relationships/hyperlink" Target="http://www.wired.com/2013/03/uk-cmo-report/" TargetMode="External"/><Relationship Id="rId7" Type="http://schemas.openxmlformats.org/officeDocument/2006/relationships/hyperlink" Target="http://www.ncbi.nlm.nih.gov/pmc/articles/PMC4090236/" TargetMode="External"/><Relationship Id="rId12" Type="http://schemas.openxmlformats.org/officeDocument/2006/relationships/hyperlink" Target="http://techfreedom.org/post/81391689035/tf-cdt-and-40-others-tell-congress-what-real-nsa" TargetMode="External"/><Relationship Id="rId17" Type="http://schemas.openxmlformats.org/officeDocument/2006/relationships/hyperlink" Target="http://www.hpa.org.u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arliamentlive.tv/Main/Player.aspx?meetingId=12365&amp;wfs=true" TargetMode="External"/><Relationship Id="rId20" Type="http://schemas.openxmlformats.org/officeDocument/2006/relationships/hyperlink" Target="http://amr-review.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echfreedom.org/post/81391689035/tf-cdt-and-40-others-tell-congress-what-real-nsa"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cabinetoffice.gov.uk/resource-library/national-risk-register" TargetMode="External"/><Relationship Id="rId23" Type="http://schemas.openxmlformats.org/officeDocument/2006/relationships/hyperlink" Target="http://www.wired.com/2013/09/cdc-amr-rpt1/" TargetMode="External"/><Relationship Id="rId10" Type="http://schemas.openxmlformats.org/officeDocument/2006/relationships/hyperlink" Target="http://www.ncbi.nlm.nih.gov/pmc/articles/PMC2582663/" TargetMode="External"/><Relationship Id="rId19" Type="http://schemas.openxmlformats.org/officeDocument/2006/relationships/hyperlink" Target="http://www.theguardian.com/society/drug-resistance" TargetMode="External"/><Relationship Id="rId4" Type="http://schemas.microsoft.com/office/2007/relationships/stylesWithEffects" Target="stylesWithEffects.xml"/><Relationship Id="rId9" Type="http://schemas.openxmlformats.org/officeDocument/2006/relationships/hyperlink" Target="https://epic.org/misc/nrc_rept_100708.pdf" TargetMode="External"/><Relationship Id="rId14" Type="http://schemas.openxmlformats.org/officeDocument/2006/relationships/hyperlink" Target="http://www.dh.gov.uk/health/category/chief-professional-officers/chief-medical-officer/" TargetMode="External"/><Relationship Id="rId22" Type="http://schemas.openxmlformats.org/officeDocument/2006/relationships/hyperlink" Target="http://amr-review.org/sites/default/files/AMR%20Review%20Paper%20-%20Tackling%20a%20crisis%20for%20the%20health%20and%20wealth%20of%20nations_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3E618-ED9E-48ED-8576-259CDC73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201</TotalTime>
  <Pages>5</Pages>
  <Words>5505</Words>
  <Characters>31379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Mary Marcum</cp:lastModifiedBy>
  <cp:revision>6</cp:revision>
  <dcterms:created xsi:type="dcterms:W3CDTF">2015-06-29T19:39:00Z</dcterms:created>
  <dcterms:modified xsi:type="dcterms:W3CDTF">2015-06-30T22:52:00Z</dcterms:modified>
</cp:coreProperties>
</file>