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572" w:rsidRDefault="00217572" w:rsidP="00217572">
      <w:pPr>
        <w:pStyle w:val="Heading3"/>
      </w:pPr>
      <w:r>
        <w:t>Prisons Link</w:t>
      </w:r>
    </w:p>
    <w:p w:rsidR="00217572" w:rsidRPr="00217572" w:rsidRDefault="00217572" w:rsidP="00217572">
      <w:bookmarkStart w:id="0" w:name="_GoBack"/>
      <w:bookmarkEnd w:id="0"/>
    </w:p>
    <w:p w:rsidR="00C46FC9" w:rsidRDefault="00C46FC9" w:rsidP="00C46FC9">
      <w:pPr>
        <w:pStyle w:val="Heading4"/>
      </w:pPr>
      <w:r>
        <w:t xml:space="preserve">The </w:t>
      </w:r>
      <w:proofErr w:type="spellStart"/>
      <w:r>
        <w:t>aff</w:t>
      </w:r>
      <w:proofErr w:type="spellEnd"/>
      <w:r>
        <w:t xml:space="preserve"> focuses on the </w:t>
      </w:r>
      <w:r>
        <w:rPr>
          <w:u w:val="single"/>
        </w:rPr>
        <w:t>wrong problem</w:t>
      </w:r>
      <w:r>
        <w:t xml:space="preserve"> and gets </w:t>
      </w:r>
      <w:r>
        <w:rPr>
          <w:u w:val="single"/>
        </w:rPr>
        <w:t>coopted</w:t>
      </w:r>
      <w:r>
        <w:t xml:space="preserve"> to make the prison system stronger—they make prisons look better while leaving in place the larger </w:t>
      </w:r>
      <w:r w:rsidR="00217572">
        <w:t xml:space="preserve">neoliberal </w:t>
      </w:r>
      <w:r>
        <w:t xml:space="preserve">structures that </w:t>
      </w:r>
      <w:r w:rsidR="00217572">
        <w:t xml:space="preserve">sustain the </w:t>
      </w:r>
      <w:r>
        <w:t>prison-industrial complex</w:t>
      </w:r>
    </w:p>
    <w:p w:rsidR="00C46FC9" w:rsidRPr="00C46FC9" w:rsidRDefault="00C46FC9" w:rsidP="00C46FC9">
      <w:proofErr w:type="spellStart"/>
      <w:r w:rsidRPr="00C46FC9">
        <w:rPr>
          <w:rStyle w:val="Style13ptBold"/>
        </w:rPr>
        <w:t>Heitzeg</w:t>
      </w:r>
      <w:proofErr w:type="spellEnd"/>
      <w:r w:rsidRPr="00C46FC9">
        <w:rPr>
          <w:rStyle w:val="Style13ptBold"/>
        </w:rPr>
        <w:t>, 14</w:t>
      </w:r>
      <w:r>
        <w:t xml:space="preserve"> – </w:t>
      </w:r>
      <w:proofErr w:type="spellStart"/>
      <w:r>
        <w:t>Ph.D</w:t>
      </w:r>
      <w:proofErr w:type="spellEnd"/>
      <w:proofErr w:type="gramStart"/>
      <w:r>
        <w:t xml:space="preserve">, </w:t>
      </w:r>
      <w:r w:rsidRPr="00C46FC9">
        <w:t xml:space="preserve"> professor</w:t>
      </w:r>
      <w:proofErr w:type="gramEnd"/>
      <w:r w:rsidRPr="00C46FC9">
        <w:t xml:space="preserve"> of sociology and director of the critical studies of race/ethnicity program at St. Catherine University</w:t>
      </w:r>
      <w:r>
        <w:t xml:space="preserve"> (Nancy A., 12/18. “</w:t>
      </w:r>
      <w:r w:rsidRPr="00C46FC9">
        <w:t>The Perils of Criminal Justice "Reform" and the Promise of Abolition</w:t>
      </w:r>
      <w:r>
        <w:t xml:space="preserve">.” </w:t>
      </w:r>
      <w:r w:rsidRPr="00C46FC9">
        <w:t>http://www.truth-out.org/news/item/28087-the-perils-of-criminal-justice-reform-and-the-promise-of-abolition</w:t>
      </w:r>
      <w:r>
        <w:t>)</w:t>
      </w:r>
    </w:p>
    <w:p w:rsidR="00C46FC9" w:rsidRPr="00C46FC9" w:rsidRDefault="00C46FC9" w:rsidP="00C46FC9"/>
    <w:p w:rsidR="00E42E4C" w:rsidRPr="00F601E6" w:rsidRDefault="00C46FC9" w:rsidP="00C46FC9">
      <w:r>
        <w:t xml:space="preserve">But </w:t>
      </w:r>
      <w:r w:rsidRPr="00C46FC9">
        <w:rPr>
          <w:rStyle w:val="StyleUnderline"/>
        </w:rPr>
        <w:t>as we traverse</w:t>
      </w:r>
      <w:r>
        <w:t xml:space="preserve"> what Kilgore aptly calls </w:t>
      </w:r>
      <w:r w:rsidRPr="00C46FC9">
        <w:rPr>
          <w:rStyle w:val="StyleUnderline"/>
        </w:rPr>
        <w:t>the Contradictory Road of “Reforming” Mass Incarceration, let’s question</w:t>
      </w:r>
      <w:r>
        <w:t xml:space="preserve">, too, </w:t>
      </w:r>
      <w:r w:rsidRPr="00C46FC9">
        <w:rPr>
          <w:rStyle w:val="StyleUnderline"/>
        </w:rPr>
        <w:t xml:space="preserve">the legitimacy </w:t>
      </w:r>
      <w:proofErr w:type="gramStart"/>
      <w:r w:rsidRPr="00C46FC9">
        <w:rPr>
          <w:rStyle w:val="StyleUnderline"/>
        </w:rPr>
        <w:t>of  well</w:t>
      </w:r>
      <w:proofErr w:type="gramEnd"/>
      <w:r w:rsidRPr="00C46FC9">
        <w:rPr>
          <w:rStyle w:val="StyleUnderline"/>
        </w:rPr>
        <w:t>-meaning classically liberal models of  “corrections” and “reform</w:t>
      </w:r>
      <w:r>
        <w:t xml:space="preserve">.”  These models can do their own sort of damage. Early this </w:t>
      </w:r>
      <w:proofErr w:type="gramStart"/>
      <w:r>
        <w:t>year  right</w:t>
      </w:r>
      <w:proofErr w:type="gramEnd"/>
      <w:r>
        <w:t xml:space="preserve"> about the time that Angela Davis issued her words of warning – I was reminded of this again at a panel hosted by the Minneapolis League of Women Voters, Interrupting the Prison Pipeline: Partnerships, Prevention, Advocacy, Intervention. The panel included a host of well-connected Minneapolis political, nonprofit and faith-based “leaders.” And despite the claims of “interrupting” in the title, </w:t>
      </w:r>
      <w:r w:rsidRPr="00C46FC9">
        <w:rPr>
          <w:rStyle w:val="StyleUnderline"/>
        </w:rPr>
        <w:t>the primary focus was in providing services to those already incarcerated</w:t>
      </w:r>
      <w:r>
        <w:t xml:space="preserve"> or to ex-offenders in the form of increased employment opportunities via Ban the Box legislation, expanded voting rights for probationers, and more Second Chances. And of course we are for that. But </w:t>
      </w:r>
      <w:r w:rsidRPr="00C46FC9">
        <w:rPr>
          <w:rStyle w:val="StyleUnderline"/>
        </w:rPr>
        <w:t>where was discussion about prevention, alternatives to the criminal legal system, dismantling the school to prison pipeline, and the impetus for the first chances?</w:t>
      </w:r>
      <w:r>
        <w:t xml:space="preserve"> Here’s the truth: Minnesota, a couple of anomalies not withstanding, is a Blue state. </w:t>
      </w:r>
      <w:proofErr w:type="gramStart"/>
      <w:r>
        <w:t>Minneapolis an even bluer city.</w:t>
      </w:r>
      <w:proofErr w:type="gramEnd"/>
      <w:r>
        <w:t xml:space="preserve"> The state has one of the lowest incarceration rates in the nation (with fewer people in prison in the entire state than the two largest maximum security prisons in the U.S</w:t>
      </w:r>
      <w:proofErr w:type="gramStart"/>
      <w:r>
        <w:t>..</w:t>
      </w:r>
      <w:proofErr w:type="gramEnd"/>
      <w:r>
        <w:t xml:space="preserve"> combined), and a Department of Corrections that </w:t>
      </w:r>
      <w:proofErr w:type="spellStart"/>
      <w:r>
        <w:t>advertizes</w:t>
      </w:r>
      <w:proofErr w:type="spellEnd"/>
      <w:r>
        <w:t xml:space="preserve"> its’ “bold set of reforms that created one of the best correctional systems in the nation.” Still, the racial disparities are staggering, with Blacks and American Indians dramatically over-represented, and more than 100,000 on probation/community supervision, a rate, that while declining, is near the top of the nation. So </w:t>
      </w:r>
      <w:r w:rsidRPr="00C46FC9">
        <w:rPr>
          <w:rStyle w:val="StyleUnderline"/>
        </w:rPr>
        <w:t>Minnesota runs a kinder gentler correctional industrial complex, where mostly “nice” white liberals</w:t>
      </w:r>
      <w:r>
        <w:rPr>
          <w:rStyle w:val="StyleUnderline"/>
        </w:rPr>
        <w:t xml:space="preserve"> </w:t>
      </w:r>
      <w:r w:rsidRPr="00C46FC9">
        <w:rPr>
          <w:rStyle w:val="StyleUnderline"/>
        </w:rPr>
        <w:t>control vast percentages of select populations</w:t>
      </w:r>
      <w:r>
        <w:t xml:space="preserve"> (read: Black, Latino, Hmong, East African and American Indian) </w:t>
      </w:r>
      <w:r w:rsidRPr="00C46FC9">
        <w:rPr>
          <w:rStyle w:val="StyleUnderline"/>
        </w:rPr>
        <w:t>through racial profiling, community supervision/probation, and</w:t>
      </w:r>
      <w:r>
        <w:t xml:space="preserve"> by offering an array of “</w:t>
      </w:r>
      <w:r w:rsidRPr="00C46FC9">
        <w:rPr>
          <w:rStyle w:val="StyleUnderline"/>
        </w:rPr>
        <w:t>re-entry’ services</w:t>
      </w:r>
      <w:r>
        <w:t xml:space="preserve"> to those released from our prisons. </w:t>
      </w:r>
      <w:r w:rsidRPr="00C46FC9">
        <w:rPr>
          <w:rStyle w:val="StyleUnderline"/>
        </w:rPr>
        <w:t>The entire endeavor is funded and blessed by a complex web that includes</w:t>
      </w:r>
      <w:r>
        <w:t xml:space="preserve"> Hennepin County </w:t>
      </w:r>
      <w:r w:rsidRPr="00C46FC9">
        <w:rPr>
          <w:rStyle w:val="StyleUnderline"/>
        </w:rPr>
        <w:t>government services, the local nonprofit industrial complex, including an array of powerful statewide foundations, “socially responsible” corporations, interfaith coalitions, and elite research think tanks</w:t>
      </w:r>
      <w:r>
        <w:t xml:space="preserve"> of the University of Minnesota. It is an obvious improvement over mass incarceration or raw “Right on Crime” profiteering, but </w:t>
      </w:r>
      <w:r w:rsidRPr="00C46FC9">
        <w:rPr>
          <w:rStyle w:val="StyleUnderline"/>
        </w:rPr>
        <w:t xml:space="preserve">it is still a nearly impenetrable economic web that creates and sustains a huge employment sector. These interests insure that the system is always needed, and no issue is ever “solved”, that any grassroots </w:t>
      </w:r>
      <w:proofErr w:type="gramStart"/>
      <w:r w:rsidRPr="00C46FC9">
        <w:rPr>
          <w:rStyle w:val="StyleUnderline"/>
        </w:rPr>
        <w:t>groups that wants</w:t>
      </w:r>
      <w:proofErr w:type="gramEnd"/>
      <w:r w:rsidRPr="00C46FC9">
        <w:rPr>
          <w:rStyle w:val="StyleUnderline"/>
        </w:rPr>
        <w:t xml:space="preserve"> funding must jettison the more radical aspects of their agenda, and that innovative community-centered models, such as restorative justice, are immediately co-opted and institutionalized</w:t>
      </w:r>
      <w:r>
        <w:t xml:space="preserve">. Ultimately, </w:t>
      </w:r>
      <w:r w:rsidRPr="00C46FC9">
        <w:rPr>
          <w:rStyle w:val="StyleUnderline"/>
        </w:rPr>
        <w:t>we must question this too, and in fact, question the entire enterprise known as “criminal justice.” If the “best” practices still produce an excessive and unnecessary vortex of raced, classed, gendered social control, then alternatives to this must be envisioned</w:t>
      </w:r>
      <w:r>
        <w:t xml:space="preserve"> as well. We must ask again, with Angela Davis: So, the question is: </w:t>
      </w:r>
      <w:r w:rsidRPr="00C46FC9">
        <w:rPr>
          <w:rStyle w:val="StyleUnderline"/>
        </w:rPr>
        <w:t>How does one address the needs of prisoners by instituting reforms that are not going to create a stronger prison system?</w:t>
      </w:r>
      <w:r>
        <w:t xml:space="preserve"> Now there are something like two-and-a-half million people behind bars, if one counts all of the various aspects of what we call the prison-industrial complex, including military prisons, jails in Indian country, state and federal prisons, county jails, immigrant detention facilities—which constitute the fastest-growing sector of the prison-industrial complex. Yeah, so how—the question is: How do we respond to the needs of those who are inside, and at the same time </w:t>
      </w:r>
      <w:r w:rsidRPr="00C46FC9">
        <w:rPr>
          <w:rStyle w:val="StyleUnderline"/>
        </w:rPr>
        <w:t xml:space="preserve">begin a process of </w:t>
      </w:r>
      <w:proofErr w:type="spellStart"/>
      <w:r w:rsidRPr="00C46FC9">
        <w:rPr>
          <w:rStyle w:val="StyleUnderline"/>
        </w:rPr>
        <w:t>decarceration</w:t>
      </w:r>
      <w:proofErr w:type="spellEnd"/>
      <w:r>
        <w:t xml:space="preserve"> that will allow us to end this reliance on imprisonment as a default method of addressing—not addressing, really—major social problems? </w:t>
      </w:r>
      <w:proofErr w:type="gramStart"/>
      <w:r>
        <w:t>And the answer – Abolition.</w:t>
      </w:r>
      <w:proofErr w:type="gramEnd"/>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46FC9"/>
    <w:rsid w:val="000029E3"/>
    <w:rsid w:val="000029E8"/>
    <w:rsid w:val="00004225"/>
    <w:rsid w:val="000066CA"/>
    <w:rsid w:val="00007264"/>
    <w:rsid w:val="000076A9"/>
    <w:rsid w:val="00014FAD"/>
    <w:rsid w:val="00015D2A"/>
    <w:rsid w:val="0002490B"/>
    <w:rsid w:val="00026465"/>
    <w:rsid w:val="00030204"/>
    <w:rsid w:val="000312A0"/>
    <w:rsid w:val="00035337"/>
    <w:rsid w:val="00036EE3"/>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1757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128D"/>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565EA"/>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0F3C"/>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6FC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6FC9"/>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C46F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6F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6F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46FC9"/>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C46F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FC9"/>
  </w:style>
  <w:style w:type="character" w:customStyle="1" w:styleId="Heading1Char">
    <w:name w:val="Heading 1 Char"/>
    <w:aliases w:val="Pocket Char"/>
    <w:basedOn w:val="DefaultParagraphFont"/>
    <w:link w:val="Heading1"/>
    <w:uiPriority w:val="9"/>
    <w:rsid w:val="00C46F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6FC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6FC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46FC9"/>
    <w:rPr>
      <w:rFonts w:ascii="Calibri" w:eastAsiaTheme="majorEastAsia" w:hAnsi="Calibri" w:cstheme="majorBidi"/>
      <w:b/>
      <w:bCs/>
      <w:szCs w:val="26"/>
    </w:rPr>
  </w:style>
  <w:style w:type="character" w:customStyle="1" w:styleId="Style13ptBold">
    <w:name w:val="Style 13 pt Bold"/>
    <w:aliases w:val="Cite"/>
    <w:basedOn w:val="DefaultParagraphFont"/>
    <w:uiPriority w:val="1"/>
    <w:qFormat/>
    <w:rsid w:val="00C46FC9"/>
    <w:rPr>
      <w:b/>
      <w:sz w:val="24"/>
      <w:u w:val="none"/>
    </w:rPr>
  </w:style>
  <w:style w:type="character" w:customStyle="1" w:styleId="StyleUnderline">
    <w:name w:val="Style Underline"/>
    <w:aliases w:val="Underline"/>
    <w:basedOn w:val="DefaultParagraphFont"/>
    <w:uiPriority w:val="1"/>
    <w:qFormat/>
    <w:rsid w:val="00C46FC9"/>
    <w:rPr>
      <w:b/>
      <w:sz w:val="24"/>
      <w:u w:val="single"/>
    </w:rPr>
  </w:style>
  <w:style w:type="character" w:styleId="Emphasis">
    <w:name w:val="Emphasis"/>
    <w:basedOn w:val="DefaultParagraphFont"/>
    <w:uiPriority w:val="20"/>
    <w:qFormat/>
    <w:rsid w:val="00C46FC9"/>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C46FC9"/>
    <w:rPr>
      <w:color w:val="auto"/>
      <w:u w:val="none"/>
    </w:rPr>
  </w:style>
  <w:style w:type="character" w:styleId="Hyperlink">
    <w:name w:val="Hyperlink"/>
    <w:basedOn w:val="DefaultParagraphFont"/>
    <w:uiPriority w:val="99"/>
    <w:semiHidden/>
    <w:unhideWhenUsed/>
    <w:rsid w:val="00C46FC9"/>
    <w:rPr>
      <w:color w:val="auto"/>
      <w:u w:val="none"/>
    </w:rPr>
  </w:style>
  <w:style w:type="paragraph" w:styleId="DocumentMap">
    <w:name w:val="Document Map"/>
    <w:basedOn w:val="Normal"/>
    <w:link w:val="DocumentMapChar"/>
    <w:uiPriority w:val="99"/>
    <w:semiHidden/>
    <w:unhideWhenUsed/>
    <w:rsid w:val="00C46F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6FC9"/>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6FC9"/>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C46F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6F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6F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46FC9"/>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C46F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FC9"/>
  </w:style>
  <w:style w:type="character" w:customStyle="1" w:styleId="Heading1Char">
    <w:name w:val="Heading 1 Char"/>
    <w:aliases w:val="Pocket Char"/>
    <w:basedOn w:val="DefaultParagraphFont"/>
    <w:link w:val="Heading1"/>
    <w:uiPriority w:val="9"/>
    <w:rsid w:val="00C46F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6FC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6FC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46FC9"/>
    <w:rPr>
      <w:rFonts w:ascii="Calibri" w:eastAsiaTheme="majorEastAsia" w:hAnsi="Calibri" w:cstheme="majorBidi"/>
      <w:b/>
      <w:bCs/>
      <w:szCs w:val="26"/>
    </w:rPr>
  </w:style>
  <w:style w:type="character" w:customStyle="1" w:styleId="Style13ptBold">
    <w:name w:val="Style 13 pt Bold"/>
    <w:aliases w:val="Cite"/>
    <w:basedOn w:val="DefaultParagraphFont"/>
    <w:uiPriority w:val="1"/>
    <w:qFormat/>
    <w:rsid w:val="00C46FC9"/>
    <w:rPr>
      <w:b/>
      <w:sz w:val="24"/>
      <w:u w:val="none"/>
    </w:rPr>
  </w:style>
  <w:style w:type="character" w:customStyle="1" w:styleId="StyleUnderline">
    <w:name w:val="Style Underline"/>
    <w:aliases w:val="Underline"/>
    <w:basedOn w:val="DefaultParagraphFont"/>
    <w:uiPriority w:val="1"/>
    <w:qFormat/>
    <w:rsid w:val="00C46FC9"/>
    <w:rPr>
      <w:b/>
      <w:sz w:val="24"/>
      <w:u w:val="single"/>
    </w:rPr>
  </w:style>
  <w:style w:type="character" w:styleId="Emphasis">
    <w:name w:val="Emphasis"/>
    <w:basedOn w:val="DefaultParagraphFont"/>
    <w:uiPriority w:val="20"/>
    <w:qFormat/>
    <w:rsid w:val="00C46FC9"/>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C46FC9"/>
    <w:rPr>
      <w:color w:val="auto"/>
      <w:u w:val="none"/>
    </w:rPr>
  </w:style>
  <w:style w:type="character" w:styleId="Hyperlink">
    <w:name w:val="Hyperlink"/>
    <w:basedOn w:val="DefaultParagraphFont"/>
    <w:uiPriority w:val="99"/>
    <w:semiHidden/>
    <w:unhideWhenUsed/>
    <w:rsid w:val="00C46FC9"/>
    <w:rPr>
      <w:color w:val="auto"/>
      <w:u w:val="none"/>
    </w:rPr>
  </w:style>
  <w:style w:type="paragraph" w:styleId="DocumentMap">
    <w:name w:val="Document Map"/>
    <w:basedOn w:val="Normal"/>
    <w:link w:val="DocumentMapChar"/>
    <w:uiPriority w:val="99"/>
    <w:semiHidden/>
    <w:unhideWhenUsed/>
    <w:rsid w:val="00C46F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6FC9"/>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6CE54-C5D4-3E4B-958A-C4DBC158B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698</Words>
  <Characters>3981</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4670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Mikaela Malsin</dc:creator>
  <cp:keywords>5.0</cp:keywords>
  <dc:description/>
  <cp:lastModifiedBy>Mikaela Malsin</cp:lastModifiedBy>
  <cp:revision>1</cp:revision>
  <dcterms:created xsi:type="dcterms:W3CDTF">2015-08-04T14:08:00Z</dcterms:created>
  <dcterms:modified xsi:type="dcterms:W3CDTF">2015-08-04T18:47:00Z</dcterms:modified>
  <cp:category/>
</cp:coreProperties>
</file>