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7B2F75" w:rsidP="00596142">
      <w:pPr>
        <w:pStyle w:val="Heading1"/>
      </w:pPr>
      <w:r>
        <w:t>NEG</w:t>
      </w:r>
      <w:r w:rsidR="00596142">
        <w:t xml:space="preserve"> T </w:t>
      </w:r>
      <w:r w:rsidR="008F0F18">
        <w:t>– Curtail</w:t>
      </w:r>
    </w:p>
    <w:p w:rsidR="00596142" w:rsidRDefault="00596142" w:rsidP="00596142"/>
    <w:p w:rsidR="00596142" w:rsidRDefault="00596142" w:rsidP="003977D4">
      <w:pPr>
        <w:pStyle w:val="Heading3"/>
      </w:pPr>
      <w:r>
        <w:lastRenderedPageBreak/>
        <w:t xml:space="preserve">1nc </w:t>
      </w:r>
      <w:r w:rsidR="003977D4">
        <w:t>t – curtail vs prism</w:t>
      </w:r>
    </w:p>
    <w:p w:rsidR="00596142" w:rsidRDefault="00596142" w:rsidP="00596142"/>
    <w:p w:rsidR="00596142" w:rsidRPr="00596142" w:rsidRDefault="003977D4" w:rsidP="003977D4">
      <w:pPr>
        <w:pStyle w:val="Heading4"/>
      </w:pPr>
      <w:r w:rsidRPr="003977D4">
        <w:rPr>
          <w:u w:val="single"/>
        </w:rPr>
        <w:t>Interpretation</w:t>
      </w:r>
      <w:r w:rsidRPr="003977D4">
        <w:t xml:space="preserve"> </w:t>
      </w:r>
      <w:r>
        <w:t xml:space="preserve">– </w:t>
      </w:r>
      <w:r w:rsidR="009874C8">
        <w:t xml:space="preserve">“curtail” requires eliminating or substantially </w:t>
      </w:r>
      <w:r w:rsidR="000706F9">
        <w:t>de-funding</w:t>
      </w:r>
      <w:r w:rsidR="009874C8">
        <w:t xml:space="preserve"> a surveillance program – NOT merely regulating it</w:t>
      </w:r>
    </w:p>
    <w:p w:rsidR="00131909" w:rsidRDefault="00131909" w:rsidP="00131909">
      <w:pPr>
        <w:pStyle w:val="CiteSpacing"/>
      </w:pPr>
      <w:proofErr w:type="spellStart"/>
      <w:r w:rsidRPr="00131909">
        <w:rPr>
          <w:rStyle w:val="Style13ptBold"/>
        </w:rPr>
        <w:t>De</w:t>
      </w:r>
      <w:r>
        <w:rPr>
          <w:rStyle w:val="Style13ptBold"/>
        </w:rPr>
        <w:t>mbling</w:t>
      </w:r>
      <w:proofErr w:type="spellEnd"/>
      <w:r w:rsidRPr="00131909">
        <w:rPr>
          <w:rStyle w:val="Style13ptBold"/>
        </w:rPr>
        <w:t xml:space="preserve"> 78</w:t>
      </w:r>
      <w:r>
        <w:t xml:space="preserve"> – General Counsel</w:t>
      </w:r>
      <w:r w:rsidR="004210DA">
        <w:t xml:space="preserve"> @</w:t>
      </w:r>
      <w:r>
        <w:t xml:space="preserve"> </w:t>
      </w:r>
      <w:r w:rsidR="004210DA">
        <w:t xml:space="preserve">GAO </w:t>
      </w:r>
      <w:r>
        <w:t>(Paul</w:t>
      </w:r>
      <w:r w:rsidR="004210DA">
        <w:t xml:space="preserve"> </w:t>
      </w:r>
      <w:proofErr w:type="spellStart"/>
      <w:r w:rsidR="004210DA">
        <w:t>Dembling</w:t>
      </w:r>
      <w:proofErr w:type="spellEnd"/>
      <w:r>
        <w:t xml:space="preserve">, </w:t>
      </w:r>
      <w:r w:rsidR="004210DA">
        <w:t xml:space="preserve">General Counsel, General Accounting Office, </w:t>
      </w:r>
      <w:r>
        <w:t>“</w:t>
      </w:r>
      <w:r w:rsidR="004210DA">
        <w:t xml:space="preserve">Oversight Hearing on the Impoundment Control Act of 1974,” hearing before the </w:t>
      </w:r>
      <w:r w:rsidR="004E696F">
        <w:t>T</w:t>
      </w:r>
      <w:r w:rsidR="004210DA">
        <w:t xml:space="preserve">ask </w:t>
      </w:r>
      <w:r w:rsidR="004E696F">
        <w:t>F</w:t>
      </w:r>
      <w:r w:rsidR="004210DA">
        <w:t xml:space="preserve">orce on </w:t>
      </w:r>
      <w:r w:rsidR="004E696F">
        <w:t>B</w:t>
      </w:r>
      <w:r w:rsidR="004210DA">
        <w:t xml:space="preserve">udget </w:t>
      </w:r>
      <w:r w:rsidR="004E696F">
        <w:t>P</w:t>
      </w:r>
      <w:r w:rsidR="004210DA">
        <w:t>rocess</w:t>
      </w:r>
      <w:r w:rsidR="004E696F">
        <w:t>,</w:t>
      </w:r>
      <w:r w:rsidR="004210DA">
        <w:t xml:space="preserve"> Committee on the Budget, U.S. House of Representatives, 6-29-1878, </w:t>
      </w:r>
      <w:r>
        <w:t>Hein Online)</w:t>
      </w:r>
    </w:p>
    <w:p w:rsidR="00131909" w:rsidRDefault="00131909" w:rsidP="00131909">
      <w:r>
        <w:t xml:space="preserve">(3) </w:t>
      </w:r>
      <w:r w:rsidRPr="00131909">
        <w:rPr>
          <w:rStyle w:val="StyleUnderline"/>
          <w:highlight w:val="yellow"/>
        </w:rPr>
        <w:t xml:space="preserve">"Curtail" means to </w:t>
      </w:r>
      <w:r w:rsidRPr="00131909">
        <w:rPr>
          <w:rStyle w:val="Emphasis"/>
          <w:highlight w:val="yellow"/>
        </w:rPr>
        <w:t>discontinue</w:t>
      </w:r>
      <w:r w:rsidRPr="00B422DA">
        <w:rPr>
          <w:rStyle w:val="StyleUnderline"/>
        </w:rPr>
        <w:t xml:space="preserve">, in whole or in part, the </w:t>
      </w:r>
      <w:r w:rsidRPr="00131909">
        <w:rPr>
          <w:rStyle w:val="Emphasis"/>
          <w:highlight w:val="yellow"/>
        </w:rPr>
        <w:t>execution of a program</w:t>
      </w:r>
      <w:r w:rsidRPr="00131909">
        <w:rPr>
          <w:rStyle w:val="StyleUnderline"/>
        </w:rPr>
        <w:t>, resulting in the application of less budget authority</w:t>
      </w:r>
      <w:r w:rsidRPr="00131909">
        <w:t xml:space="preserve"> in furtherance of the program than provided by law.</w:t>
      </w:r>
    </w:p>
    <w:p w:rsidR="00131909" w:rsidRPr="00131909" w:rsidRDefault="00131909" w:rsidP="00131909"/>
    <w:p w:rsidR="003977D4" w:rsidRDefault="003977D4" w:rsidP="003977D4">
      <w:pPr>
        <w:pStyle w:val="Heading4"/>
      </w:pPr>
      <w:r w:rsidRPr="003977D4">
        <w:rPr>
          <w:u w:val="single"/>
        </w:rPr>
        <w:t>Violation</w:t>
      </w:r>
      <w:r>
        <w:t xml:space="preserve"> – the plan limits the use of </w:t>
      </w:r>
      <w:r w:rsidR="009874C8">
        <w:t>PRISM</w:t>
      </w:r>
      <w:r>
        <w:t xml:space="preserve"> – but does NOT curtail it</w:t>
      </w:r>
    </w:p>
    <w:p w:rsidR="003977D4" w:rsidRDefault="003977D4" w:rsidP="003977D4">
      <w:pPr>
        <w:pStyle w:val="CiteSpacing"/>
      </w:pPr>
      <w:proofErr w:type="spellStart"/>
      <w:r w:rsidRPr="00842530">
        <w:rPr>
          <w:rStyle w:val="Style13ptBold"/>
        </w:rPr>
        <w:t>Kampmarka</w:t>
      </w:r>
      <w:proofErr w:type="spellEnd"/>
      <w:r w:rsidRPr="00842530">
        <w:rPr>
          <w:rStyle w:val="Style13ptBold"/>
        </w:rPr>
        <w:t xml:space="preserve"> 14</w:t>
      </w:r>
      <w:r>
        <w:t xml:space="preserve"> </w:t>
      </w:r>
      <w:r w:rsidR="009874C8">
        <w:t xml:space="preserve">– Senior Lecturer @ RMIT University; </w:t>
      </w:r>
      <w:r>
        <w:t>(</w:t>
      </w:r>
      <w:proofErr w:type="spellStart"/>
      <w:r>
        <w:t>Binoy</w:t>
      </w:r>
      <w:proofErr w:type="spellEnd"/>
      <w:r>
        <w:t xml:space="preserve"> </w:t>
      </w:r>
      <w:proofErr w:type="spellStart"/>
      <w:r>
        <w:t>Kampmarka</w:t>
      </w:r>
      <w:proofErr w:type="spellEnd"/>
      <w:r>
        <w:t xml:space="preserve">, </w:t>
      </w:r>
      <w:r w:rsidR="009874C8">
        <w:t xml:space="preserve">Senior Lecturer in the School of Global, Urban and Social Studies, teaching within the Bachelor of Social Science, Legal and Dispute Studies program, </w:t>
      </w:r>
      <w:r>
        <w:t>RMIT University, “</w:t>
      </w:r>
      <w:r w:rsidRPr="00842530">
        <w:t>Restraining the Surveillance State: A Global Right to Privacy</w:t>
      </w:r>
      <w:r>
        <w:t xml:space="preserve">,” </w:t>
      </w:r>
      <w:r w:rsidRPr="00842530">
        <w:t xml:space="preserve">Journal of Global </w:t>
      </w:r>
      <w:proofErr w:type="spellStart"/>
      <w:r w:rsidRPr="00842530">
        <w:t>Faultlines</w:t>
      </w:r>
      <w:proofErr w:type="spellEnd"/>
      <w:r>
        <w:t xml:space="preserve">, 2(1), </w:t>
      </w:r>
      <w:r w:rsidRPr="00842530">
        <w:t>April 2014</w:t>
      </w:r>
      <w:r>
        <w:t>,</w:t>
      </w:r>
      <w:r w:rsidR="009874C8">
        <w:t xml:space="preserve"> </w:t>
      </w:r>
      <w:hyperlink r:id="rId6" w:history="1">
        <w:r w:rsidRPr="005D40D0">
          <w:rPr>
            <w:rStyle w:val="Hyperlink"/>
          </w:rPr>
          <w:t>http://www.keele.ac.uk/media/keeleuniversity/fachumsocsci/spire/docs/globalfaultlines/volume2/Restraining%20the%20Surveillance%20State%20-A%20Global%20Right%20to%20Privacy.pdf</w:t>
        </w:r>
      </w:hyperlink>
      <w:r>
        <w:t>)</w:t>
      </w:r>
    </w:p>
    <w:p w:rsidR="003977D4" w:rsidRPr="00581BE6" w:rsidRDefault="003977D4" w:rsidP="003977D4">
      <w:pPr>
        <w:rPr>
          <w:szCs w:val="20"/>
        </w:rPr>
      </w:pPr>
      <w:r w:rsidRPr="00581BE6">
        <w:rPr>
          <w:szCs w:val="20"/>
        </w:rPr>
        <w:t xml:space="preserve">The Presidential Policy Directive 28 or </w:t>
      </w:r>
      <w:r w:rsidRPr="00581BE6">
        <w:rPr>
          <w:rStyle w:val="Emphasis"/>
          <w:szCs w:val="20"/>
          <w:highlight w:val="yellow"/>
        </w:rPr>
        <w:t>PPD-28</w:t>
      </w:r>
      <w:r w:rsidRPr="00581BE6">
        <w:rPr>
          <w:szCs w:val="20"/>
        </w:rPr>
        <w:t xml:space="preserve"> remains even more pertinent than the speech.88 </w:t>
      </w:r>
      <w:proofErr w:type="gramStart"/>
      <w:r w:rsidRPr="00581BE6">
        <w:rPr>
          <w:szCs w:val="20"/>
        </w:rPr>
        <w:t>The</w:t>
      </w:r>
      <w:proofErr w:type="gramEnd"/>
      <w:r w:rsidRPr="00581BE6">
        <w:rPr>
          <w:szCs w:val="20"/>
        </w:rPr>
        <w:t xml:space="preserve"> directive </w:t>
      </w:r>
      <w:proofErr w:type="spellStart"/>
      <w:r w:rsidRPr="00581BE6">
        <w:rPr>
          <w:rStyle w:val="StyleUnderline"/>
          <w:szCs w:val="20"/>
        </w:rPr>
        <w:t>emphasises</w:t>
      </w:r>
      <w:proofErr w:type="spellEnd"/>
      <w:r w:rsidRPr="00581BE6">
        <w:rPr>
          <w:szCs w:val="20"/>
        </w:rPr>
        <w:t xml:space="preserve"> the technological supremacy of U.S. capabilities, with the need to “preserve and continue to develop a robust and technologically advanced signals intelligence capability to protect our security and that of our partners and allies.”89 A modest acknowledgment is made, after outlining </w:t>
      </w:r>
      <w:r w:rsidRPr="00581BE6">
        <w:rPr>
          <w:rStyle w:val="StyleUnderline"/>
          <w:szCs w:val="20"/>
        </w:rPr>
        <w:t>a range of interests and aims about taking into account “the legitimate privacy and civil liberties concerns of U.S. citizens and citizens of other nations</w:t>
      </w:r>
      <w:r w:rsidRPr="00581BE6">
        <w:rPr>
          <w:szCs w:val="20"/>
        </w:rPr>
        <w:t xml:space="preserve">.”90 These are </w:t>
      </w:r>
      <w:r w:rsidRPr="00581BE6">
        <w:rPr>
          <w:rStyle w:val="StyleUnderline"/>
          <w:szCs w:val="20"/>
        </w:rPr>
        <w:t xml:space="preserve">framed in the language of </w:t>
      </w:r>
      <w:r w:rsidRPr="00581BE6">
        <w:rPr>
          <w:rStyle w:val="Emphasis"/>
          <w:szCs w:val="20"/>
        </w:rPr>
        <w:t>policy</w:t>
      </w:r>
      <w:r w:rsidRPr="00581BE6">
        <w:rPr>
          <w:rStyle w:val="StyleUnderline"/>
          <w:szCs w:val="20"/>
        </w:rPr>
        <w:t>, rather than the language of rights</w:t>
      </w:r>
      <w:r w:rsidRPr="00581BE6">
        <w:rPr>
          <w:szCs w:val="20"/>
        </w:rPr>
        <w:t xml:space="preserve">. Section 1 detailing </w:t>
      </w:r>
      <w:r w:rsidRPr="00581BE6">
        <w:rPr>
          <w:rStyle w:val="StyleUnderline"/>
          <w:szCs w:val="20"/>
        </w:rPr>
        <w:t>principles governing the collection of signals intelligence</w:t>
      </w:r>
      <w:r w:rsidRPr="00581BE6">
        <w:rPr>
          <w:szCs w:val="20"/>
        </w:rPr>
        <w:t xml:space="preserve"> acknowledges that privacy and civil liberties will be “integral considerations in the planning of U.S. signals intelligence activities.” </w:t>
      </w:r>
      <w:r w:rsidRPr="00581BE6">
        <w:rPr>
          <w:rStyle w:val="StyleUnderline"/>
          <w:szCs w:val="20"/>
        </w:rPr>
        <w:t>Information will not be collected to suppress dissent, disadvantage people based on ethnicity, race, gender, sexual orientation or religion</w:t>
      </w:r>
      <w:r w:rsidRPr="00581BE6">
        <w:rPr>
          <w:szCs w:val="20"/>
        </w:rPr>
        <w:t xml:space="preserve">. The main premise for collection will be “to support national and departmental missions”.91 </w:t>
      </w:r>
      <w:proofErr w:type="gramStart"/>
      <w:r w:rsidRPr="00581BE6">
        <w:rPr>
          <w:szCs w:val="20"/>
        </w:rPr>
        <w:t>The</w:t>
      </w:r>
      <w:proofErr w:type="gramEnd"/>
      <w:r w:rsidRPr="00581BE6">
        <w:rPr>
          <w:szCs w:val="20"/>
        </w:rPr>
        <w:t xml:space="preserve"> language of the directive suggests modest reform. Where possible, signals intelligence activity would be avoided unless necessary. “Signals intelligence activities shall be tailored as feasible. In determining to collect signals intelligence, the United States shall consider the availability of other information, including from diplomatic and public sources. Such appropriate and feasible alternatives to signals intelligence should be prioritized.”92 </w:t>
      </w:r>
      <w:r w:rsidRPr="00581BE6">
        <w:rPr>
          <w:rStyle w:val="StyleUnderline"/>
          <w:szCs w:val="20"/>
        </w:rPr>
        <w:t xml:space="preserve">The directive also </w:t>
      </w:r>
      <w:r w:rsidRPr="00581BE6">
        <w:rPr>
          <w:rStyle w:val="Emphasis"/>
          <w:szCs w:val="20"/>
          <w:highlight w:val="yellow"/>
        </w:rPr>
        <w:t>imposes limit</w:t>
      </w:r>
      <w:r w:rsidRPr="00581BE6">
        <w:rPr>
          <w:rStyle w:val="Emphasis"/>
          <w:szCs w:val="20"/>
        </w:rPr>
        <w:t>ation</w:t>
      </w:r>
      <w:r w:rsidRPr="00581BE6">
        <w:rPr>
          <w:rStyle w:val="Emphasis"/>
          <w:szCs w:val="20"/>
          <w:highlight w:val="yellow"/>
        </w:rPr>
        <w:t>s on</w:t>
      </w:r>
      <w:r w:rsidRPr="00581BE6">
        <w:rPr>
          <w:rStyle w:val="StyleUnderline"/>
          <w:szCs w:val="20"/>
        </w:rPr>
        <w:t xml:space="preserve"> the </w:t>
      </w:r>
      <w:r w:rsidRPr="00581BE6">
        <w:rPr>
          <w:rStyle w:val="Emphasis"/>
          <w:szCs w:val="20"/>
        </w:rPr>
        <w:t>use</w:t>
      </w:r>
      <w:r w:rsidRPr="00581BE6">
        <w:rPr>
          <w:rStyle w:val="StyleUnderline"/>
          <w:szCs w:val="20"/>
        </w:rPr>
        <w:t xml:space="preserve"> of signals intelligence collected in bulk under </w:t>
      </w:r>
      <w:r w:rsidRPr="00581BE6">
        <w:rPr>
          <w:rStyle w:val="StyleUnderline"/>
          <w:szCs w:val="20"/>
          <w:highlight w:val="yellow"/>
        </w:rPr>
        <w:t>section 702</w:t>
      </w:r>
      <w:r w:rsidRPr="00581BE6">
        <w:rPr>
          <w:rStyle w:val="StyleUnderline"/>
          <w:szCs w:val="20"/>
        </w:rPr>
        <w:t xml:space="preserve"> of FISA</w:t>
      </w:r>
      <w:r w:rsidRPr="00581BE6">
        <w:rPr>
          <w:szCs w:val="20"/>
        </w:rPr>
        <w:t xml:space="preserve"> which will “protect the privacy and civil liberties of all persons, whatever their nationality </w:t>
      </w:r>
      <w:proofErr w:type="gramStart"/>
      <w:r w:rsidRPr="00581BE6">
        <w:rPr>
          <w:szCs w:val="20"/>
        </w:rPr>
        <w:t>an</w:t>
      </w:r>
      <w:proofErr w:type="gramEnd"/>
      <w:r w:rsidRPr="00581BE6">
        <w:rPr>
          <w:szCs w:val="20"/>
        </w:rPr>
        <w:t xml:space="preserve"> regardless of where they might reside.” When collected, they will only be used in traditional fashion: combating crime, illicit finance, threats to the U.S. or its allies, terrorism and espionage threats. Annual reviews on how the bulk data is collected will be done.93 The storage of such data would also be outsourced – to a third party contractor.94 </w:t>
      </w:r>
      <w:r w:rsidRPr="00581BE6">
        <w:rPr>
          <w:rStyle w:val="StyleUnderline"/>
          <w:szCs w:val="20"/>
        </w:rPr>
        <w:t xml:space="preserve">A notable feature in PPD-28 is the </w:t>
      </w:r>
      <w:r w:rsidRPr="00581BE6">
        <w:rPr>
          <w:rStyle w:val="Emphasis"/>
          <w:szCs w:val="20"/>
        </w:rPr>
        <w:t>restriction on monitoring</w:t>
      </w:r>
      <w:r w:rsidRPr="00581BE6">
        <w:rPr>
          <w:rStyle w:val="StyleUnderline"/>
          <w:szCs w:val="20"/>
        </w:rPr>
        <w:t xml:space="preserve"> foreign citizens</w:t>
      </w:r>
      <w:r w:rsidRPr="00581BE6">
        <w:rPr>
          <w:szCs w:val="20"/>
        </w:rPr>
        <w:t xml:space="preserve">, which might be termed the “Merkel” section after it was revealed the German Chancellor’s phone was being monitored by the NSA. Section 4 notes a universal, extra-territorial premise: “All persons should be treated with dignity and respect, regardless of their nationality or whether they might reside, and all persons have legitimate privacy interests in the handling of their personal information.” </w:t>
      </w:r>
      <w:r w:rsidRPr="00581BE6">
        <w:rPr>
          <w:rStyle w:val="StyleUnderline"/>
          <w:szCs w:val="20"/>
        </w:rPr>
        <w:t xml:space="preserve">U.S. signals intelligence activities would include </w:t>
      </w:r>
      <w:r w:rsidRPr="00581BE6">
        <w:rPr>
          <w:rStyle w:val="Emphasis"/>
          <w:szCs w:val="20"/>
        </w:rPr>
        <w:t>safeguards</w:t>
      </w:r>
      <w:r w:rsidRPr="00581BE6">
        <w:rPr>
          <w:rStyle w:val="StyleUnderline"/>
          <w:szCs w:val="20"/>
        </w:rPr>
        <w:t xml:space="preserve"> to ensure that </w:t>
      </w:r>
      <w:proofErr w:type="spellStart"/>
      <w:r w:rsidRPr="00581BE6">
        <w:rPr>
          <w:rStyle w:val="StyleUnderline"/>
          <w:szCs w:val="20"/>
        </w:rPr>
        <w:t>transterritorial</w:t>
      </w:r>
      <w:proofErr w:type="spellEnd"/>
      <w:r w:rsidRPr="00581BE6">
        <w:rPr>
          <w:rStyle w:val="StyleUnderline"/>
          <w:szCs w:val="20"/>
        </w:rPr>
        <w:t xml:space="preserve"> protection</w:t>
      </w:r>
      <w:r w:rsidRPr="00581BE6">
        <w:rPr>
          <w:szCs w:val="20"/>
        </w:rPr>
        <w:t xml:space="preserve">.95 Section 4 also serves to create the machinery by which the U.S. will form a “point of contact for foreign governments who wish to raise concerns regarding signals intelligence activities conducted by the United States.” In the view of executive director of Amnesty International USA Steven W. Hawkins, the proposals failed to accept “the abusive nature of mass surveillance or put international human rights standards at the </w:t>
      </w:r>
      <w:proofErr w:type="spellStart"/>
      <w:r w:rsidRPr="00581BE6">
        <w:rPr>
          <w:szCs w:val="20"/>
        </w:rPr>
        <w:t>centre</w:t>
      </w:r>
      <w:proofErr w:type="spellEnd"/>
      <w:r w:rsidRPr="00581BE6">
        <w:rPr>
          <w:szCs w:val="20"/>
        </w:rPr>
        <w:t xml:space="preserve"> of US policy”.96 </w:t>
      </w:r>
      <w:r w:rsidRPr="00581BE6">
        <w:rPr>
          <w:rStyle w:val="StyleUnderline"/>
          <w:szCs w:val="20"/>
        </w:rPr>
        <w:t xml:space="preserve">The directive </w:t>
      </w:r>
      <w:r w:rsidRPr="00581BE6">
        <w:rPr>
          <w:rStyle w:val="StyleUnderline"/>
          <w:szCs w:val="20"/>
          <w:highlight w:val="yellow"/>
        </w:rPr>
        <w:t xml:space="preserve">does </w:t>
      </w:r>
      <w:r w:rsidRPr="00581BE6">
        <w:rPr>
          <w:rStyle w:val="Emphasis"/>
          <w:szCs w:val="20"/>
          <w:highlight w:val="yellow"/>
        </w:rPr>
        <w:t>not</w:t>
      </w:r>
      <w:r w:rsidRPr="00581BE6">
        <w:rPr>
          <w:rStyle w:val="StyleUnderline"/>
          <w:szCs w:val="20"/>
        </w:rPr>
        <w:t xml:space="preserve"> so much </w:t>
      </w:r>
      <w:r w:rsidRPr="00581BE6">
        <w:rPr>
          <w:rStyle w:val="Emphasis"/>
          <w:szCs w:val="20"/>
          <w:highlight w:val="yellow"/>
        </w:rPr>
        <w:t>curtail surveillance</w:t>
      </w:r>
      <w:r w:rsidRPr="00581BE6">
        <w:rPr>
          <w:rStyle w:val="StyleUnderline"/>
          <w:szCs w:val="20"/>
        </w:rPr>
        <w:t xml:space="preserve"> as </w:t>
      </w:r>
      <w:r w:rsidRPr="00581BE6">
        <w:rPr>
          <w:rStyle w:val="StyleUnderline"/>
          <w:szCs w:val="20"/>
          <w:highlight w:val="yellow"/>
        </w:rPr>
        <w:t xml:space="preserve">simply </w:t>
      </w:r>
      <w:r w:rsidRPr="00581BE6">
        <w:rPr>
          <w:rStyle w:val="Emphasis"/>
          <w:szCs w:val="20"/>
          <w:highlight w:val="yellow"/>
        </w:rPr>
        <w:t>limit</w:t>
      </w:r>
      <w:r w:rsidRPr="00581BE6">
        <w:rPr>
          <w:rStyle w:val="Emphasis"/>
          <w:szCs w:val="20"/>
        </w:rPr>
        <w:t xml:space="preserve"> aspects of </w:t>
      </w:r>
      <w:r w:rsidRPr="00581BE6">
        <w:rPr>
          <w:rStyle w:val="Emphasis"/>
          <w:szCs w:val="20"/>
          <w:highlight w:val="yellow"/>
        </w:rPr>
        <w:t>its reach</w:t>
      </w:r>
      <w:r w:rsidRPr="00581BE6">
        <w:rPr>
          <w:rStyle w:val="StyleUnderline"/>
          <w:szCs w:val="20"/>
        </w:rPr>
        <w:t xml:space="preserve">, attempting to limit the “rogue” enterprise </w:t>
      </w:r>
      <w:r w:rsidRPr="00581BE6">
        <w:rPr>
          <w:rStyle w:val="StyleUnderline"/>
          <w:szCs w:val="20"/>
          <w:highlight w:val="yellow"/>
        </w:rPr>
        <w:t>in abusing</w:t>
      </w:r>
      <w:r w:rsidRPr="00581BE6">
        <w:rPr>
          <w:rStyle w:val="StyleUnderline"/>
          <w:szCs w:val="20"/>
        </w:rPr>
        <w:t xml:space="preserve"> the use of personal data</w:t>
      </w:r>
      <w:r w:rsidRPr="00581BE6">
        <w:rPr>
          <w:szCs w:val="20"/>
        </w:rPr>
        <w:t xml:space="preserve">. </w:t>
      </w:r>
      <w:r w:rsidRPr="00581BE6">
        <w:rPr>
          <w:rStyle w:val="Emphasis"/>
          <w:szCs w:val="20"/>
          <w:highlight w:val="yellow"/>
        </w:rPr>
        <w:t>Ex</w:t>
      </w:r>
      <w:r w:rsidRPr="00581BE6">
        <w:rPr>
          <w:rStyle w:val="StyleUnderline"/>
          <w:szCs w:val="20"/>
        </w:rPr>
        <w:t xml:space="preserve">ecutive </w:t>
      </w:r>
      <w:r w:rsidRPr="00581BE6">
        <w:rPr>
          <w:rStyle w:val="Emphasis"/>
          <w:szCs w:val="20"/>
          <w:highlight w:val="yellow"/>
        </w:rPr>
        <w:t>O</w:t>
      </w:r>
      <w:r w:rsidRPr="00581BE6">
        <w:rPr>
          <w:rStyle w:val="StyleUnderline"/>
          <w:szCs w:val="20"/>
        </w:rPr>
        <w:t xml:space="preserve">rder </w:t>
      </w:r>
      <w:r w:rsidRPr="00581BE6">
        <w:rPr>
          <w:rStyle w:val="Emphasis"/>
          <w:szCs w:val="20"/>
          <w:highlight w:val="yellow"/>
        </w:rPr>
        <w:t>12333</w:t>
      </w:r>
      <w:r w:rsidRPr="00581BE6">
        <w:rPr>
          <w:rStyle w:val="StyleUnderline"/>
          <w:szCs w:val="20"/>
        </w:rPr>
        <w:t xml:space="preserve">, which governs the use of electronic surveillance by the Intelligence community outside the U.S., still affords the President powers to </w:t>
      </w:r>
      <w:proofErr w:type="spellStart"/>
      <w:r w:rsidRPr="00581BE6">
        <w:rPr>
          <w:rStyle w:val="StyleUnderline"/>
          <w:szCs w:val="20"/>
        </w:rPr>
        <w:t>authorise</w:t>
      </w:r>
      <w:proofErr w:type="spellEnd"/>
      <w:r w:rsidRPr="00581BE6">
        <w:rPr>
          <w:rStyle w:val="StyleUnderline"/>
          <w:szCs w:val="20"/>
        </w:rPr>
        <w:t xml:space="preserve"> surveillance programs without judicial review</w:t>
      </w:r>
      <w:r w:rsidRPr="00581BE6">
        <w:rPr>
          <w:szCs w:val="20"/>
        </w:rPr>
        <w:t xml:space="preserve">.97 </w:t>
      </w:r>
      <w:r w:rsidRPr="00581BE6">
        <w:rPr>
          <w:rStyle w:val="StyleUnderline"/>
          <w:szCs w:val="20"/>
        </w:rPr>
        <w:t>The law on surveillance is still subordinate to executive discretion</w:t>
      </w:r>
      <w:r w:rsidRPr="00581BE6">
        <w:rPr>
          <w:szCs w:val="20"/>
        </w:rPr>
        <w:t xml:space="preserve">. Congressional critics of the surveillance state, Senators Mark Udall (D-Colo.), Ron Wyden (D-Ore.) and Martin Heinrich (D-N.M.) considered the move by the president to end the government’s collection of phone records a “major milestone” but did add that, “The fight to protect liberty and increase security is far from over”.98 Perhaps unsurprisingly, Congress was less interested in the extent of privacy protections for non-Americans than Americans themselves. Finally, Obama’s address revealed a vital stumbling block in surveillance reform and the issue of an internationally policed privacy right: his assumption that abuses never took place. The president, in effect, ignored what the secret FISA court charged with making </w:t>
      </w:r>
      <w:r w:rsidRPr="00581BE6">
        <w:rPr>
          <w:szCs w:val="20"/>
        </w:rPr>
        <w:lastRenderedPageBreak/>
        <w:t xml:space="preserve">orders under the Foreign Surveillance Intelligence Act had found: that the NSA had shown a “poor” record of compliance. A specific example was provided in a declassified decision concerning an unwarranted expansion of its bulk acquisition of internet metadata. According to Judge John Bates, the NSA had engaged in systematic “over collection” and “disregarded the special rules for disseminating United States person information outside of NSA”.99 </w:t>
      </w:r>
      <w:proofErr w:type="gramStart"/>
      <w:r w:rsidRPr="00581BE6">
        <w:rPr>
          <w:szCs w:val="20"/>
        </w:rPr>
        <w:t>At</w:t>
      </w:r>
      <w:proofErr w:type="gramEnd"/>
      <w:r w:rsidRPr="00581BE6">
        <w:rPr>
          <w:szCs w:val="20"/>
        </w:rPr>
        <w:t xml:space="preserve"> the very least, section 4 of PPD-28 suggests that there is a global expectation to privacy that cuts across principles of citizenship. That very acknowledgement signals a departure from traditional legal approaches from the U.S. security establishment. Its practice will, however, be something else.</w:t>
      </w:r>
    </w:p>
    <w:p w:rsidR="003977D4" w:rsidRDefault="003977D4" w:rsidP="003977D4"/>
    <w:p w:rsidR="003977D4" w:rsidRDefault="00705470" w:rsidP="003977D4">
      <w:pPr>
        <w:pStyle w:val="Heading4"/>
      </w:pPr>
      <w:r>
        <w:rPr>
          <w:u w:val="single"/>
        </w:rPr>
        <w:t>It’s a voter</w:t>
      </w:r>
      <w:r w:rsidR="003977D4" w:rsidRPr="003977D4">
        <w:t xml:space="preserve"> </w:t>
      </w:r>
      <w:r w:rsidR="003977D4">
        <w:t xml:space="preserve">– </w:t>
      </w:r>
    </w:p>
    <w:p w:rsidR="003977D4" w:rsidRDefault="003977D4" w:rsidP="00B55AD5"/>
    <w:p w:rsidR="003977D4" w:rsidRDefault="009874C8" w:rsidP="009874C8">
      <w:pPr>
        <w:pStyle w:val="Heading4"/>
      </w:pPr>
      <w:r>
        <w:t xml:space="preserve">First, </w:t>
      </w:r>
      <w:r w:rsidRPr="009874C8">
        <w:rPr>
          <w:u w:val="single"/>
        </w:rPr>
        <w:t>limits</w:t>
      </w:r>
      <w:r>
        <w:t xml:space="preserve"> – infinite AFFs reshuffle legal authority or impose slightly more stringent conditions, making effective NEG preparation impossible</w:t>
      </w:r>
    </w:p>
    <w:p w:rsidR="009874C8" w:rsidRDefault="009874C8" w:rsidP="009874C8"/>
    <w:p w:rsidR="009874C8" w:rsidRPr="009874C8" w:rsidRDefault="009874C8" w:rsidP="009874C8">
      <w:pPr>
        <w:pStyle w:val="Heading4"/>
      </w:pPr>
      <w:r>
        <w:t xml:space="preserve">Second, </w:t>
      </w:r>
      <w:r w:rsidRPr="00705470">
        <w:rPr>
          <w:u w:val="single"/>
        </w:rPr>
        <w:t>ground</w:t>
      </w:r>
      <w:r>
        <w:t xml:space="preserve"> – </w:t>
      </w:r>
      <w:r w:rsidR="00705470">
        <w:t xml:space="preserve">programmatic reductions guarantee NEG </w:t>
      </w:r>
      <w:proofErr w:type="spellStart"/>
      <w:r w:rsidR="00705470">
        <w:t>disad</w:t>
      </w:r>
      <w:proofErr w:type="spellEnd"/>
      <w:r w:rsidR="00705470">
        <w:t xml:space="preserve"> links – they make it impossible to leverage any evidence saying PRISM is good</w:t>
      </w:r>
    </w:p>
    <w:p w:rsidR="003977D4" w:rsidRDefault="003977D4" w:rsidP="00B55AD5"/>
    <w:p w:rsidR="00131909" w:rsidRDefault="00131909" w:rsidP="00B55AD5"/>
    <w:p w:rsidR="00131909" w:rsidRDefault="00131909" w:rsidP="00131909">
      <w:pPr>
        <w:pStyle w:val="Heading3"/>
      </w:pPr>
      <w:r>
        <w:lastRenderedPageBreak/>
        <w:t>--</w:t>
      </w:r>
      <w:proofErr w:type="spellStart"/>
      <w:r>
        <w:t>xt</w:t>
      </w:r>
      <w:proofErr w:type="spellEnd"/>
      <w:r>
        <w:t xml:space="preserve"> </w:t>
      </w:r>
      <w:proofErr w:type="spellStart"/>
      <w:r>
        <w:t>interp</w:t>
      </w:r>
      <w:proofErr w:type="spellEnd"/>
    </w:p>
    <w:p w:rsidR="00131909" w:rsidRDefault="00131909" w:rsidP="00131909"/>
    <w:p w:rsidR="00131909" w:rsidRDefault="00131909" w:rsidP="00131909">
      <w:pPr>
        <w:pStyle w:val="Heading4"/>
      </w:pPr>
      <w:r>
        <w:t>Curtail means eliminating or substantially cutting the funding for a particular surveillance program</w:t>
      </w:r>
    </w:p>
    <w:p w:rsidR="004E696F" w:rsidRDefault="004E696F" w:rsidP="004E696F">
      <w:pPr>
        <w:pStyle w:val="CiteSpacing"/>
      </w:pPr>
      <w:proofErr w:type="spellStart"/>
      <w:r w:rsidRPr="00131909">
        <w:rPr>
          <w:rStyle w:val="Style13ptBold"/>
        </w:rPr>
        <w:t>De</w:t>
      </w:r>
      <w:r>
        <w:rPr>
          <w:rStyle w:val="Style13ptBold"/>
        </w:rPr>
        <w:t>mbling</w:t>
      </w:r>
      <w:proofErr w:type="spellEnd"/>
      <w:r w:rsidRPr="00131909">
        <w:rPr>
          <w:rStyle w:val="Style13ptBold"/>
        </w:rPr>
        <w:t xml:space="preserve"> 78</w:t>
      </w:r>
      <w:r>
        <w:t xml:space="preserve"> – General Counsel @ GAO (Paul </w:t>
      </w:r>
      <w:proofErr w:type="spellStart"/>
      <w:r>
        <w:t>Dembling</w:t>
      </w:r>
      <w:proofErr w:type="spellEnd"/>
      <w:r>
        <w:t>, General Counsel, General Accounting Office, “Oversight Hearing on the Impoundment Control Act of 1974,” hearing before the Task Force on Budget Process, Committee on the Budget, U.S. House of Representatives, 6-29-1878, Hein Online)</w:t>
      </w:r>
    </w:p>
    <w:p w:rsidR="00131909" w:rsidRPr="00581BE6" w:rsidRDefault="00131909" w:rsidP="00131909">
      <w:pPr>
        <w:rPr>
          <w:szCs w:val="20"/>
        </w:rPr>
      </w:pPr>
      <w:r w:rsidRPr="00581BE6">
        <w:rPr>
          <w:szCs w:val="20"/>
        </w:rPr>
        <w:t xml:space="preserve">Application of curtailment procedure.-The review procedure is triggered by an executive branch decision to 'curtail" a program which has been made subject to the bill. </w:t>
      </w:r>
      <w:r w:rsidRPr="00581BE6">
        <w:rPr>
          <w:rStyle w:val="StyleUnderline"/>
          <w:szCs w:val="20"/>
        </w:rPr>
        <w:t>The definition of "</w:t>
      </w:r>
      <w:r w:rsidRPr="00581BE6">
        <w:rPr>
          <w:rStyle w:val="StyleUnderline"/>
          <w:szCs w:val="20"/>
          <w:highlight w:val="yellow"/>
        </w:rPr>
        <w:t>curtail</w:t>
      </w:r>
      <w:r w:rsidRPr="00581BE6">
        <w:rPr>
          <w:szCs w:val="20"/>
        </w:rPr>
        <w:t>" (subsection (a</w:t>
      </w:r>
      <w:proofErr w:type="gramStart"/>
      <w:r w:rsidRPr="00581BE6">
        <w:rPr>
          <w:szCs w:val="20"/>
        </w:rPr>
        <w:t>)(</w:t>
      </w:r>
      <w:proofErr w:type="gramEnd"/>
      <w:r w:rsidRPr="00581BE6">
        <w:rPr>
          <w:szCs w:val="20"/>
        </w:rPr>
        <w:t xml:space="preserve">3)) </w:t>
      </w:r>
      <w:r w:rsidRPr="00581BE6">
        <w:rPr>
          <w:rStyle w:val="StyleUnderline"/>
          <w:szCs w:val="20"/>
          <w:highlight w:val="yellow"/>
        </w:rPr>
        <w:t>requires</w:t>
      </w:r>
      <w:r w:rsidRPr="00581BE6">
        <w:rPr>
          <w:rStyle w:val="StyleUnderline"/>
          <w:szCs w:val="20"/>
        </w:rPr>
        <w:t xml:space="preserve"> that the executive branch decision result in </w:t>
      </w:r>
      <w:r w:rsidRPr="00581BE6">
        <w:rPr>
          <w:rStyle w:val="StyleUnderline"/>
          <w:szCs w:val="20"/>
          <w:highlight w:val="yellow"/>
        </w:rPr>
        <w:t xml:space="preserve">a </w:t>
      </w:r>
      <w:r w:rsidRPr="00581BE6">
        <w:rPr>
          <w:rStyle w:val="Emphasis"/>
          <w:szCs w:val="20"/>
          <w:highlight w:val="yellow"/>
        </w:rPr>
        <w:t>reduction of budget authority</w:t>
      </w:r>
      <w:r w:rsidRPr="00581BE6">
        <w:rPr>
          <w:rStyle w:val="StyleUnderline"/>
          <w:szCs w:val="20"/>
        </w:rPr>
        <w:t xml:space="preserve"> applied </w:t>
      </w:r>
      <w:r w:rsidRPr="00581BE6">
        <w:rPr>
          <w:rStyle w:val="StyleUnderline"/>
          <w:szCs w:val="20"/>
          <w:highlight w:val="yellow"/>
        </w:rPr>
        <w:t>in</w:t>
      </w:r>
      <w:r w:rsidRPr="00581BE6">
        <w:rPr>
          <w:rStyle w:val="StyleUnderline"/>
          <w:szCs w:val="20"/>
        </w:rPr>
        <w:t xml:space="preserve"> furtherance of </w:t>
      </w:r>
      <w:r w:rsidRPr="00581BE6">
        <w:rPr>
          <w:rStyle w:val="StyleUnderline"/>
          <w:szCs w:val="20"/>
          <w:highlight w:val="yellow"/>
        </w:rPr>
        <w:t>the program</w:t>
      </w:r>
      <w:r w:rsidRPr="00581BE6">
        <w:rPr>
          <w:szCs w:val="20"/>
        </w:rPr>
        <w:t xml:space="preserve">. As noted above, the level of budget authority for this purpose would be the amount so specified in an appropriation act. The reduction relates to the use of funds "in furtherance of the program." Thus, although the full amount of budget authority may be spent in some manner, e.g., to pay contract termination costs or other liabilities incident to the curtailment, such a use of funds still </w:t>
      </w:r>
      <w:r w:rsidRPr="00581BE6">
        <w:rPr>
          <w:rStyle w:val="StyleUnderline"/>
          <w:szCs w:val="20"/>
        </w:rPr>
        <w:t>involves a reduction in funding for affirmative program purposes</w:t>
      </w:r>
      <w:r w:rsidRPr="00581BE6">
        <w:rPr>
          <w:szCs w:val="20"/>
        </w:rPr>
        <w:t xml:space="preserve"> which triggers the review provisions. Curtailment review procedure.-The review procedure would generally be similar to the procedure for reviewing deferrals of budget authority under the Impoundment Control Act, except that congressional disapproval would take the form of a concurrent resolution. The President would report a proposed curtailment decision to Congress, together with appropriate information (subsection (b)), and supplementary reports would be made for any revisions (subsection (c</w:t>
      </w:r>
      <w:proofErr w:type="gramStart"/>
      <w:r w:rsidRPr="00581BE6">
        <w:rPr>
          <w:szCs w:val="20"/>
        </w:rPr>
        <w:t>)(</w:t>
      </w:r>
      <w:proofErr w:type="gramEnd"/>
      <w:r w:rsidRPr="00581BE6">
        <w:rPr>
          <w:szCs w:val="20"/>
        </w:rPr>
        <w:t>3)). The proposal, and any supplementary reports, would be printed in the Federal Register (subsection (c</w:t>
      </w:r>
      <w:proofErr w:type="gramStart"/>
      <w:r w:rsidRPr="00581BE6">
        <w:rPr>
          <w:szCs w:val="20"/>
        </w:rPr>
        <w:t>)(</w:t>
      </w:r>
      <w:proofErr w:type="gramEnd"/>
      <w:r w:rsidRPr="00581BE6">
        <w:rPr>
          <w:szCs w:val="20"/>
        </w:rPr>
        <w:t>4)).</w:t>
      </w:r>
    </w:p>
    <w:p w:rsidR="00131909" w:rsidRDefault="00131909" w:rsidP="00131909"/>
    <w:p w:rsidR="004210DA" w:rsidRDefault="004210DA" w:rsidP="00131909"/>
    <w:p w:rsidR="004210DA" w:rsidRDefault="004210DA" w:rsidP="004210DA">
      <w:pPr>
        <w:pStyle w:val="Heading3"/>
      </w:pPr>
      <w:r>
        <w:lastRenderedPageBreak/>
        <w:t>--</w:t>
      </w:r>
      <w:proofErr w:type="spellStart"/>
      <w:r>
        <w:t>xt</w:t>
      </w:r>
      <w:proofErr w:type="spellEnd"/>
      <w:r>
        <w:t xml:space="preserve"> definitional predictability</w:t>
      </w:r>
    </w:p>
    <w:p w:rsidR="004210DA" w:rsidRDefault="004210DA" w:rsidP="004210DA"/>
    <w:p w:rsidR="004210DA" w:rsidRDefault="00447576" w:rsidP="00447576">
      <w:pPr>
        <w:pStyle w:val="Heading4"/>
      </w:pPr>
      <w:r>
        <w:t xml:space="preserve">Only our interpretation is grounded in the </w:t>
      </w:r>
      <w:r w:rsidRPr="00447576">
        <w:rPr>
          <w:u w:val="single"/>
        </w:rPr>
        <w:t>federal government’s interpretation</w:t>
      </w:r>
      <w:r>
        <w:t xml:space="preserve"> of “curtail” – which references a </w:t>
      </w:r>
      <w:r w:rsidRPr="00447576">
        <w:rPr>
          <w:u w:val="single"/>
        </w:rPr>
        <w:t>specific budgetary process</w:t>
      </w:r>
      <w:r>
        <w:t xml:space="preserve"> by which particular programs are substantially reduced or eliminated – their interpretation is NOT the one </w:t>
      </w:r>
      <w:r w:rsidRPr="00447576">
        <w:rPr>
          <w:u w:val="single"/>
        </w:rPr>
        <w:t>actually used</w:t>
      </w:r>
      <w:r>
        <w:t xml:space="preserve"> by governmental and industry experts, which makes it </w:t>
      </w:r>
      <w:r w:rsidRPr="00447576">
        <w:rPr>
          <w:u w:val="single"/>
        </w:rPr>
        <w:t>unpredictable</w:t>
      </w:r>
      <w:r>
        <w:t xml:space="preserve"> even if it’s </w:t>
      </w:r>
      <w:r w:rsidRPr="00447576">
        <w:rPr>
          <w:u w:val="single"/>
        </w:rPr>
        <w:t>theoretically preferable</w:t>
      </w:r>
      <w:r>
        <w:t xml:space="preserve"> – it’s just one </w:t>
      </w:r>
      <w:r w:rsidRPr="00447576">
        <w:rPr>
          <w:u w:val="single"/>
        </w:rPr>
        <w:t>random individual’s opinion</w:t>
      </w:r>
      <w:r>
        <w:t xml:space="preserve"> – turns all their standards</w:t>
      </w:r>
    </w:p>
    <w:p w:rsidR="00447576" w:rsidRPr="00447576" w:rsidRDefault="00447576" w:rsidP="00447576"/>
    <w:p w:rsidR="004210DA" w:rsidRDefault="004210DA" w:rsidP="00131909"/>
    <w:p w:rsidR="004210DA" w:rsidRDefault="004210DA" w:rsidP="004210DA">
      <w:pPr>
        <w:pStyle w:val="Heading3"/>
      </w:pPr>
      <w:r>
        <w:lastRenderedPageBreak/>
        <w:t>--</w:t>
      </w:r>
      <w:proofErr w:type="spellStart"/>
      <w:r>
        <w:t>xt</w:t>
      </w:r>
      <w:proofErr w:type="spellEnd"/>
      <w:r>
        <w:t xml:space="preserve"> bright-line</w:t>
      </w:r>
    </w:p>
    <w:p w:rsidR="004210DA" w:rsidRDefault="004210DA" w:rsidP="00131909"/>
    <w:p w:rsidR="00131909" w:rsidRDefault="00131909" w:rsidP="00131909">
      <w:pPr>
        <w:pStyle w:val="Heading4"/>
      </w:pPr>
      <w:r>
        <w:t xml:space="preserve">Budget authority sets the only </w:t>
      </w:r>
      <w:r w:rsidRPr="00447576">
        <w:rPr>
          <w:u w:val="single"/>
        </w:rPr>
        <w:t>clear bright-line</w:t>
      </w:r>
      <w:r>
        <w:t xml:space="preserve"> – plan texts should be relatively simple – like </w:t>
      </w:r>
      <w:r w:rsidR="00447576">
        <w:t>“</w:t>
      </w:r>
      <w:r>
        <w:t>eliminate PRISM</w:t>
      </w:r>
      <w:r w:rsidR="00447576">
        <w:t>”</w:t>
      </w:r>
      <w:r>
        <w:t xml:space="preserve"> – rather than their incomprehensible legalese</w:t>
      </w:r>
    </w:p>
    <w:p w:rsidR="00131909" w:rsidRDefault="00131909" w:rsidP="00131909"/>
    <w:p w:rsidR="00447576" w:rsidRDefault="00447576" w:rsidP="00131909"/>
    <w:p w:rsidR="00447576" w:rsidRDefault="00447576" w:rsidP="00447576">
      <w:pPr>
        <w:pStyle w:val="Heading3"/>
      </w:pPr>
      <w:r>
        <w:lastRenderedPageBreak/>
        <w:t>--</w:t>
      </w:r>
      <w:proofErr w:type="spellStart"/>
      <w:r>
        <w:t>xt</w:t>
      </w:r>
      <w:proofErr w:type="spellEnd"/>
      <w:r>
        <w:t xml:space="preserve"> limits</w:t>
      </w:r>
    </w:p>
    <w:p w:rsidR="00447576" w:rsidRDefault="00447576" w:rsidP="00447576"/>
    <w:p w:rsidR="00447576" w:rsidRPr="00447576" w:rsidRDefault="00447576" w:rsidP="00447576">
      <w:r>
        <w:t>You should write this for yourself</w:t>
      </w:r>
    </w:p>
    <w:p w:rsidR="003977D4" w:rsidRDefault="003977D4" w:rsidP="00B55AD5"/>
    <w:p w:rsidR="00447576" w:rsidRDefault="00447576" w:rsidP="00B55AD5"/>
    <w:p w:rsidR="00447576" w:rsidRDefault="00447576" w:rsidP="00447576">
      <w:pPr>
        <w:pStyle w:val="Heading3"/>
      </w:pPr>
      <w:r>
        <w:lastRenderedPageBreak/>
        <w:t>--</w:t>
      </w:r>
      <w:proofErr w:type="spellStart"/>
      <w:r>
        <w:t>xt</w:t>
      </w:r>
      <w:proofErr w:type="spellEnd"/>
      <w:r>
        <w:t xml:space="preserve"> ground</w:t>
      </w:r>
    </w:p>
    <w:p w:rsidR="00447576" w:rsidRDefault="00447576" w:rsidP="00447576"/>
    <w:p w:rsidR="00447576" w:rsidRDefault="00447576" w:rsidP="00447576">
      <w:r>
        <w:t>You should write this for yourself</w:t>
      </w:r>
    </w:p>
    <w:p w:rsidR="00447576" w:rsidRDefault="00447576" w:rsidP="00447576"/>
    <w:p w:rsidR="00447576" w:rsidRDefault="00447576" w:rsidP="00447576"/>
    <w:p w:rsidR="00447576" w:rsidRDefault="00447576" w:rsidP="00447576">
      <w:pPr>
        <w:pStyle w:val="Heading3"/>
      </w:pPr>
      <w:r>
        <w:lastRenderedPageBreak/>
        <w:t>--</w:t>
      </w:r>
      <w:proofErr w:type="spellStart"/>
      <w:r>
        <w:t>xt</w:t>
      </w:r>
      <w:proofErr w:type="spellEnd"/>
      <w:r>
        <w:t xml:space="preserve"> topical version</w:t>
      </w:r>
    </w:p>
    <w:p w:rsidR="000706F9" w:rsidRDefault="000706F9" w:rsidP="000706F9"/>
    <w:p w:rsidR="000706F9" w:rsidRDefault="000706F9" w:rsidP="000706F9">
      <w:proofErr w:type="gramStart"/>
      <w:r>
        <w:t>what</w:t>
      </w:r>
      <w:proofErr w:type="gramEnd"/>
      <w:r>
        <w:t xml:space="preserve"> would their plan text have to say in order to be topical? </w:t>
      </w:r>
      <w:proofErr w:type="gramStart"/>
      <w:r>
        <w:t>which</w:t>
      </w:r>
      <w:proofErr w:type="gramEnd"/>
      <w:r>
        <w:t xml:space="preserve"> of their offense does this resolve?</w:t>
      </w:r>
    </w:p>
    <w:p w:rsidR="000706F9" w:rsidRPr="00447576" w:rsidRDefault="000706F9" w:rsidP="000706F9"/>
    <w:p w:rsidR="00447576" w:rsidRPr="00447576" w:rsidRDefault="00447576" w:rsidP="00447576"/>
    <w:p w:rsidR="003977D4" w:rsidRDefault="003977D4" w:rsidP="003977D4">
      <w:pPr>
        <w:pStyle w:val="Heading3"/>
      </w:pPr>
      <w:bookmarkStart w:id="0" w:name="_GoBack"/>
      <w:bookmarkEnd w:id="0"/>
      <w:r>
        <w:lastRenderedPageBreak/>
        <w:t>--a2 we meet</w:t>
      </w:r>
    </w:p>
    <w:p w:rsidR="003977D4" w:rsidRDefault="003977D4" w:rsidP="00B55AD5"/>
    <w:p w:rsidR="00581BE6" w:rsidRDefault="00581BE6" w:rsidP="00581BE6">
      <w:pPr>
        <w:pStyle w:val="Heading4"/>
      </w:pPr>
      <w:r>
        <w:t xml:space="preserve">They </w:t>
      </w:r>
      <w:r w:rsidRPr="00581BE6">
        <w:rPr>
          <w:u w:val="single"/>
        </w:rPr>
        <w:t>don’t meet</w:t>
      </w:r>
      <w:r>
        <w:t xml:space="preserve"> – even if the plan </w:t>
      </w:r>
      <w:r w:rsidRPr="00581BE6">
        <w:rPr>
          <w:u w:val="single"/>
        </w:rPr>
        <w:t>effects a reduction</w:t>
      </w:r>
      <w:r>
        <w:t xml:space="preserve"> in the size or scope of PRISM, it does so NOT through a programmatic reduction in funding, but through imposing legal conditions – our </w:t>
      </w:r>
      <w:proofErr w:type="spellStart"/>
      <w:r>
        <w:t>Kampmarka</w:t>
      </w:r>
      <w:proofErr w:type="spellEnd"/>
      <w:r>
        <w:t xml:space="preserve"> evidence explicitly contextualizes this distinction to both planks of their plan</w:t>
      </w:r>
    </w:p>
    <w:p w:rsidR="003977D4" w:rsidRDefault="003977D4" w:rsidP="00B55AD5"/>
    <w:p w:rsidR="003977D4" w:rsidRDefault="003977D4" w:rsidP="003977D4">
      <w:pPr>
        <w:pStyle w:val="Heading4"/>
      </w:pPr>
      <w:r>
        <w:t xml:space="preserve">Merely </w:t>
      </w:r>
      <w:r w:rsidR="00581BE6">
        <w:t xml:space="preserve">reshuffling </w:t>
      </w:r>
      <w:r>
        <w:t xml:space="preserve">legal authority is </w:t>
      </w:r>
      <w:r w:rsidR="00581BE6">
        <w:t>NOT</w:t>
      </w:r>
      <w:r>
        <w:t xml:space="preserve"> curtailment – even if they can no longer be justified under XO 12-triple-3, the very same programs merely continue under section 702</w:t>
      </w:r>
    </w:p>
    <w:p w:rsidR="003977D4" w:rsidRDefault="003977D4" w:rsidP="003977D4">
      <w:pPr>
        <w:pStyle w:val="CiteSpacing"/>
      </w:pPr>
      <w:r w:rsidRPr="00AB3862">
        <w:rPr>
          <w:rStyle w:val="Style13ptBold"/>
        </w:rPr>
        <w:t xml:space="preserve">Dean &amp; </w:t>
      </w:r>
      <w:proofErr w:type="spellStart"/>
      <w:r w:rsidRPr="00AB3862">
        <w:rPr>
          <w:rStyle w:val="Style13ptBold"/>
        </w:rPr>
        <w:t>Koger</w:t>
      </w:r>
      <w:proofErr w:type="spellEnd"/>
      <w:r w:rsidRPr="00AB3862">
        <w:rPr>
          <w:rStyle w:val="Style13ptBold"/>
        </w:rPr>
        <w:t xml:space="preserve"> 15</w:t>
      </w:r>
      <w:r>
        <w:t xml:space="preserve"> </w:t>
      </w:r>
      <w:r w:rsidR="00581BE6">
        <w:t xml:space="preserve">– Internet Fellow @ Columbia &amp; Associate Prof @ </w:t>
      </w:r>
      <w:proofErr w:type="spellStart"/>
      <w:r w:rsidR="00581BE6">
        <w:t>UMiami</w:t>
      </w:r>
      <w:proofErr w:type="spellEnd"/>
      <w:r w:rsidR="00581BE6">
        <w:t xml:space="preserve"> </w:t>
      </w:r>
      <w:r>
        <w:t xml:space="preserve">(Benjamin Dean, Fellow for Internet Governance and Cyber-security, School of International and Public Affairs at Columbia University, and Gregory </w:t>
      </w:r>
      <w:proofErr w:type="spellStart"/>
      <w:r>
        <w:t>Koger</w:t>
      </w:r>
      <w:proofErr w:type="spellEnd"/>
      <w:r>
        <w:t>, Associate Professor of Political Science at University of Miami, “Patriot Act meltdown: surveillance, politics and Rand Paul,” The Conversation, 6-1-2015, http://theconversation.com/patriot-act-meltdown-surveillance-politics-and-rand-paul-42670)</w:t>
      </w:r>
    </w:p>
    <w:p w:rsidR="003977D4" w:rsidRPr="00AB3862" w:rsidRDefault="003977D4" w:rsidP="003977D4">
      <w:r>
        <w:t xml:space="preserve">Thirdly, the </w:t>
      </w:r>
      <w:r w:rsidRPr="00581BE6">
        <w:rPr>
          <w:rStyle w:val="StyleUnderline"/>
          <w:highlight w:val="yellow"/>
        </w:rPr>
        <w:t xml:space="preserve">expiration of section 215 does </w:t>
      </w:r>
      <w:r w:rsidRPr="00581BE6">
        <w:rPr>
          <w:rStyle w:val="Emphasis"/>
          <w:highlight w:val="yellow"/>
        </w:rPr>
        <w:t>not curtail</w:t>
      </w:r>
      <w:r w:rsidRPr="000F1B69">
        <w:rPr>
          <w:rStyle w:val="StyleUnderline"/>
        </w:rPr>
        <w:t xml:space="preserve"> the </w:t>
      </w:r>
      <w:r w:rsidRPr="00581BE6">
        <w:rPr>
          <w:rStyle w:val="StyleUnderline"/>
          <w:highlight w:val="yellow"/>
        </w:rPr>
        <w:t>bulk collection</w:t>
      </w:r>
      <w:r w:rsidRPr="000F1B69">
        <w:rPr>
          <w:rStyle w:val="StyleUnderline"/>
        </w:rPr>
        <w:t xml:space="preserve"> of Internet and other online communication data and metadata</w:t>
      </w:r>
      <w:r>
        <w:t xml:space="preserve">. Moreover, for non-US persons, the expiration of section 215 will have no impact on the collection of their phone or Internet records by US agencies. </w:t>
      </w:r>
      <w:r w:rsidRPr="00581BE6">
        <w:rPr>
          <w:rStyle w:val="StyleUnderline"/>
          <w:highlight w:val="yellow"/>
        </w:rPr>
        <w:t>All these programs will continue</w:t>
      </w:r>
      <w:r w:rsidRPr="000F1B69">
        <w:rPr>
          <w:rStyle w:val="StyleUnderline"/>
        </w:rPr>
        <w:t xml:space="preserve"> given that they are justified </w:t>
      </w:r>
      <w:r w:rsidRPr="00581BE6">
        <w:rPr>
          <w:rStyle w:val="StyleUnderline"/>
          <w:highlight w:val="yellow"/>
        </w:rPr>
        <w:t>under other authorities</w:t>
      </w:r>
      <w:r w:rsidRPr="000F1B69">
        <w:rPr>
          <w:rStyle w:val="StyleUnderline"/>
        </w:rPr>
        <w:t xml:space="preserve"> including section 214 of the Patriot Act, which is still in place, </w:t>
      </w:r>
      <w:r w:rsidRPr="00581BE6">
        <w:rPr>
          <w:rStyle w:val="Emphasis"/>
          <w:highlight w:val="yellow"/>
        </w:rPr>
        <w:t>Ex</w:t>
      </w:r>
      <w:r w:rsidRPr="000F1B69">
        <w:rPr>
          <w:rStyle w:val="StyleUnderline"/>
        </w:rPr>
        <w:t xml:space="preserve">ecutive </w:t>
      </w:r>
      <w:r w:rsidRPr="00581BE6">
        <w:rPr>
          <w:rStyle w:val="Emphasis"/>
          <w:highlight w:val="yellow"/>
        </w:rPr>
        <w:t>O</w:t>
      </w:r>
      <w:r w:rsidRPr="000F1B69">
        <w:rPr>
          <w:rStyle w:val="StyleUnderline"/>
        </w:rPr>
        <w:t xml:space="preserve">rder </w:t>
      </w:r>
      <w:r w:rsidRPr="00581BE6">
        <w:rPr>
          <w:rStyle w:val="Emphasis"/>
          <w:highlight w:val="yellow"/>
        </w:rPr>
        <w:t>12333</w:t>
      </w:r>
      <w:r>
        <w:t xml:space="preserve"> (for non-US persons) </w:t>
      </w:r>
      <w:r w:rsidRPr="00581BE6">
        <w:rPr>
          <w:rStyle w:val="StyleUnderline"/>
          <w:highlight w:val="yellow"/>
        </w:rPr>
        <w:t xml:space="preserve">and </w:t>
      </w:r>
      <w:r w:rsidRPr="00581BE6">
        <w:rPr>
          <w:rStyle w:val="Emphasis"/>
          <w:highlight w:val="yellow"/>
        </w:rPr>
        <w:t>section 702</w:t>
      </w:r>
      <w:r w:rsidRPr="000F1B69">
        <w:rPr>
          <w:rStyle w:val="StyleUnderline"/>
        </w:rPr>
        <w:t xml:space="preserve"> of the FISA Amendments Act</w:t>
      </w:r>
      <w:r>
        <w:t xml:space="preserve"> (also for non-US persons).</w:t>
      </w:r>
    </w:p>
    <w:p w:rsidR="003977D4" w:rsidRDefault="003977D4" w:rsidP="003977D4"/>
    <w:p w:rsidR="003977D4" w:rsidRDefault="003977D4" w:rsidP="003977D4">
      <w:pPr>
        <w:pStyle w:val="Heading4"/>
      </w:pPr>
      <w:r>
        <w:t xml:space="preserve">At best, the plan stops some practices, but doesn’t curtail surveillance </w:t>
      </w:r>
      <w:r w:rsidR="00581BE6">
        <w:t>programs</w:t>
      </w:r>
    </w:p>
    <w:p w:rsidR="003977D4" w:rsidRDefault="003977D4" w:rsidP="003977D4">
      <w:pPr>
        <w:pStyle w:val="CiteSpacing"/>
      </w:pPr>
      <w:proofErr w:type="spellStart"/>
      <w:r w:rsidRPr="004F6679">
        <w:rPr>
          <w:rStyle w:val="Style13ptBold"/>
        </w:rPr>
        <w:t>Daileda</w:t>
      </w:r>
      <w:proofErr w:type="spellEnd"/>
      <w:r w:rsidRPr="004F6679">
        <w:rPr>
          <w:rStyle w:val="Style13ptBold"/>
        </w:rPr>
        <w:t xml:space="preserve"> 14</w:t>
      </w:r>
      <w:r>
        <w:t xml:space="preserve"> </w:t>
      </w:r>
      <w:r w:rsidR="00581BE6">
        <w:t xml:space="preserve">– tech columnist @ Mashable </w:t>
      </w:r>
      <w:r>
        <w:t xml:space="preserve">(Colin </w:t>
      </w:r>
      <w:proofErr w:type="spellStart"/>
      <w:r>
        <w:t>Daileda</w:t>
      </w:r>
      <w:proofErr w:type="spellEnd"/>
      <w:r>
        <w:t>, Mashable, “Marc Andreessen: Edward Snowden Is a 'Textbook Traitor',” 6-5-2014, http://mashable.com/2014/06/05/marc-andreessen-edward-snowden-traitor/)</w:t>
      </w:r>
    </w:p>
    <w:p w:rsidR="003977D4" w:rsidRDefault="003977D4" w:rsidP="003977D4">
      <w:r>
        <w:t>Andreessen's comments fall on the one-year anniversary of the first NSA leaks. Those leaks, provided by former NSA contractor Snowden, have revealed that the United States surveillance agency stores the phone conversations of American citizens, monitors web cam activity, collects text messages and so much more.</w:t>
      </w:r>
      <w:r w:rsidR="004210DA">
        <w:t xml:space="preserve"> </w:t>
      </w:r>
      <w:r>
        <w:t>His comments also clash with an open letter written by tech company executives from Apple, Google and others — including Facebook CEO Mark Zuckerberg — that was directed at members of the Senate and published in the New York Times and the Washington Post on Thursday.</w:t>
      </w:r>
      <w:r w:rsidR="004210DA">
        <w:t xml:space="preserve"> </w:t>
      </w:r>
      <w:r>
        <w:t xml:space="preserve">In the letter, tech giants call for the Senate to push for greater restrictions on the NSA's capability. The Senate intelligence committee will meet on Thursday to discuss </w:t>
      </w:r>
      <w:r w:rsidRPr="00581BE6">
        <w:rPr>
          <w:rStyle w:val="StyleUnderline"/>
          <w:highlight w:val="yellow"/>
        </w:rPr>
        <w:t>legislation</w:t>
      </w:r>
      <w:r>
        <w:t xml:space="preserve"> passed by the House of Representatives that </w:t>
      </w:r>
      <w:r w:rsidRPr="00581BE6">
        <w:rPr>
          <w:rStyle w:val="StyleUnderline"/>
          <w:highlight w:val="yellow"/>
        </w:rPr>
        <w:t xml:space="preserve">would stop some NSA practices but would </w:t>
      </w:r>
      <w:r w:rsidRPr="00581BE6">
        <w:rPr>
          <w:rStyle w:val="Emphasis"/>
          <w:highlight w:val="yellow"/>
        </w:rPr>
        <w:t>not curtail</w:t>
      </w:r>
      <w:r w:rsidRPr="004F6679">
        <w:rPr>
          <w:rStyle w:val="StyleUnderline"/>
        </w:rPr>
        <w:t xml:space="preserve"> the agency's </w:t>
      </w:r>
      <w:r w:rsidRPr="00581BE6">
        <w:rPr>
          <w:rStyle w:val="StyleUnderline"/>
          <w:highlight w:val="yellow"/>
        </w:rPr>
        <w:t>bulk data collection</w:t>
      </w:r>
      <w:r>
        <w:t>.</w:t>
      </w:r>
    </w:p>
    <w:p w:rsidR="003977D4" w:rsidRDefault="003977D4" w:rsidP="003977D4"/>
    <w:p w:rsidR="003977D4" w:rsidRDefault="00581BE6" w:rsidP="00581BE6">
      <w:pPr>
        <w:pStyle w:val="Heading4"/>
      </w:pPr>
      <w:r>
        <w:t xml:space="preserve">These distinctions are </w:t>
      </w:r>
      <w:r w:rsidRPr="00581BE6">
        <w:rPr>
          <w:u w:val="single"/>
        </w:rPr>
        <w:t>important</w:t>
      </w:r>
      <w:r>
        <w:t xml:space="preserve"> – it’s the reason they can argue that they make PRISM more effective on the </w:t>
      </w:r>
      <w:proofErr w:type="spellStart"/>
      <w:r>
        <w:t>disad</w:t>
      </w:r>
      <w:proofErr w:type="spellEnd"/>
      <w:r>
        <w:t xml:space="preserve"> – they shouldn’t be allowed to do that</w:t>
      </w:r>
    </w:p>
    <w:p w:rsidR="00596142" w:rsidRDefault="00596142" w:rsidP="00B55AD5"/>
    <w:p w:rsidR="00596142" w:rsidRDefault="00596142" w:rsidP="00B55AD5"/>
    <w:p w:rsidR="00596142" w:rsidRDefault="00447576" w:rsidP="00447576">
      <w:pPr>
        <w:pStyle w:val="Heading3"/>
      </w:pPr>
      <w:r>
        <w:lastRenderedPageBreak/>
        <w:t>--a2 reasonability</w:t>
      </w:r>
    </w:p>
    <w:p w:rsidR="00447576" w:rsidRDefault="00447576" w:rsidP="00447576"/>
    <w:p w:rsidR="00447576" w:rsidRDefault="00447576" w:rsidP="00447576">
      <w:pPr>
        <w:pStyle w:val="Heading4"/>
      </w:pPr>
      <w:r>
        <w:t xml:space="preserve">Reasonability flows NEG – the standards debate is </w:t>
      </w:r>
      <w:r w:rsidRPr="00953271">
        <w:rPr>
          <w:u w:val="single"/>
        </w:rPr>
        <w:t>sufficient</w:t>
      </w:r>
      <w:r>
        <w:t xml:space="preserve"> to demonstrate their AFF is </w:t>
      </w:r>
      <w:r w:rsidRPr="00831946">
        <w:rPr>
          <w:u w:val="single"/>
        </w:rPr>
        <w:t>not reasonable</w:t>
      </w:r>
    </w:p>
    <w:p w:rsidR="00447576" w:rsidRPr="00951D30" w:rsidRDefault="00447576" w:rsidP="00447576"/>
    <w:p w:rsidR="00447576" w:rsidRDefault="00447576" w:rsidP="00447576">
      <w:pPr>
        <w:pStyle w:val="Heading4"/>
      </w:pPr>
      <w:r>
        <w:t>Reasonability is otherwise impossible to judge objectively</w:t>
      </w:r>
      <w:r w:rsidR="00F71DDE">
        <w:t xml:space="preserve"> – t</w:t>
      </w:r>
      <w:r>
        <w:t>his forces judge intervention – trumps any other scenario for loss of education and proves a reason to prefer our objective criteria for competing interpretations</w:t>
      </w:r>
    </w:p>
    <w:p w:rsidR="003338A6" w:rsidRDefault="003338A6" w:rsidP="00B55AD5"/>
    <w:p w:rsidR="007B2F75" w:rsidRDefault="007B2F75" w:rsidP="00B55AD5"/>
    <w:p w:rsidR="007B2F75" w:rsidRDefault="007B2F75" w:rsidP="007B2F75">
      <w:pPr>
        <w:pStyle w:val="Heading1"/>
      </w:pPr>
      <w:r>
        <w:lastRenderedPageBreak/>
        <w:t>AFF A2 T</w:t>
      </w:r>
      <w:r w:rsidR="008F0F18">
        <w:t xml:space="preserve"> – Curtail</w:t>
      </w:r>
    </w:p>
    <w:p w:rsidR="007B2F75" w:rsidRDefault="007B2F75" w:rsidP="007B2F75"/>
    <w:p w:rsidR="007B2F75" w:rsidRDefault="007B2F75" w:rsidP="007B2F75">
      <w:pPr>
        <w:pStyle w:val="Heading3"/>
      </w:pPr>
      <w:r>
        <w:lastRenderedPageBreak/>
        <w:t>2ac t – curtail</w:t>
      </w:r>
    </w:p>
    <w:p w:rsidR="007B2F75" w:rsidRPr="007B2F75" w:rsidRDefault="007B2F75" w:rsidP="007B2F75"/>
    <w:p w:rsidR="007B2F75" w:rsidRPr="00D2118D" w:rsidRDefault="007B2F75" w:rsidP="007B2F75">
      <w:pPr>
        <w:pStyle w:val="Heading4"/>
        <w:numPr>
          <w:ilvl w:val="0"/>
          <w:numId w:val="11"/>
        </w:numPr>
      </w:pPr>
      <w:r>
        <w:t xml:space="preserve">We meet- we discontinue all non-702 surveillance, which includes specific programs as outlined by our Wheeler evidence. Their violation assumes we’re only applying PPD-28 but our plan also has us limit domestic surveillance to only 702 authorized programs. </w:t>
      </w:r>
    </w:p>
    <w:p w:rsidR="007B2F75" w:rsidRDefault="007B2F75" w:rsidP="007B2F75"/>
    <w:p w:rsidR="007B2F75" w:rsidRDefault="007B2F75" w:rsidP="007B2F75">
      <w:pPr>
        <w:pStyle w:val="Heading4"/>
        <w:numPr>
          <w:ilvl w:val="0"/>
          <w:numId w:val="11"/>
        </w:numPr>
      </w:pPr>
      <w:r>
        <w:t xml:space="preserve">Counter-interpretation- </w:t>
      </w:r>
    </w:p>
    <w:p w:rsidR="007B2F75" w:rsidRPr="00D2118D" w:rsidRDefault="007B2F75" w:rsidP="007B2F75">
      <w:pPr>
        <w:ind w:firstLine="720"/>
      </w:pPr>
      <w:proofErr w:type="gramStart"/>
      <w:r w:rsidRPr="00D2118D">
        <w:rPr>
          <w:rStyle w:val="StyleUnderline"/>
          <w:highlight w:val="yellow"/>
        </w:rPr>
        <w:t>curtail</w:t>
      </w:r>
      <w:proofErr w:type="gramEnd"/>
      <w:r w:rsidRPr="00D2118D">
        <w:rPr>
          <w:rStyle w:val="StyleUnderline"/>
          <w:highlight w:val="yellow"/>
        </w:rPr>
        <w:t xml:space="preserve"> is to</w:t>
      </w:r>
      <w:r w:rsidRPr="00D2118D">
        <w:rPr>
          <w:rStyle w:val="StyleUnderline"/>
        </w:rPr>
        <w:t xml:space="preserve"> “</w:t>
      </w:r>
      <w:r w:rsidRPr="00D2118D">
        <w:t>Reduce in extent or quantity; </w:t>
      </w:r>
      <w:hyperlink r:id="rId7" w:anchor="impose__2" w:tooltip="Meaning of impose" w:history="1">
        <w:r w:rsidRPr="00D2118D">
          <w:rPr>
            <w:rStyle w:val="StyleUnderline"/>
            <w:highlight w:val="yellow"/>
          </w:rPr>
          <w:t>impose</w:t>
        </w:r>
      </w:hyperlink>
      <w:r w:rsidRPr="00D2118D">
        <w:rPr>
          <w:rStyle w:val="StyleUnderline"/>
          <w:highlight w:val="yellow"/>
        </w:rPr>
        <w:t> a </w:t>
      </w:r>
      <w:hyperlink r:id="rId8" w:anchor="restriction__2" w:tooltip="Meaning of restriction" w:history="1">
        <w:r w:rsidRPr="00D2118D">
          <w:rPr>
            <w:rStyle w:val="StyleUnderline"/>
            <w:highlight w:val="yellow"/>
          </w:rPr>
          <w:t>restriction</w:t>
        </w:r>
      </w:hyperlink>
      <w:r w:rsidRPr="00D2118D">
        <w:rPr>
          <w:rStyle w:val="StyleUnderline"/>
          <w:highlight w:val="yellow"/>
        </w:rPr>
        <w:t> on</w:t>
      </w:r>
      <w:r w:rsidRPr="00D2118D">
        <w:t>”</w:t>
      </w:r>
    </w:p>
    <w:p w:rsidR="007B2F75" w:rsidRDefault="007B2F75" w:rsidP="007B2F75">
      <w:pPr>
        <w:pStyle w:val="ListParagraph"/>
      </w:pPr>
      <w:r w:rsidRPr="000E6B57">
        <w:rPr>
          <w:rStyle w:val="Style13ptBold"/>
        </w:rPr>
        <w:t>Oxford Dictionary No Date</w:t>
      </w:r>
      <w:r w:rsidRPr="000E6B57">
        <w:t xml:space="preserve"> (</w:t>
      </w:r>
      <w:hyperlink r:id="rId9" w:history="1">
        <w:r w:rsidRPr="00C14B97">
          <w:rPr>
            <w:rStyle w:val="Hyperlink"/>
          </w:rPr>
          <w:t>www.oxforddictionaries.com/us/definition/american_english/curtail</w:t>
        </w:r>
      </w:hyperlink>
      <w:r w:rsidRPr="000E6B57">
        <w:t>)</w:t>
      </w:r>
    </w:p>
    <w:p w:rsidR="007B2F75" w:rsidRDefault="007B2F75" w:rsidP="007B2F75">
      <w:pPr>
        <w:pStyle w:val="ListParagraph"/>
      </w:pPr>
    </w:p>
    <w:p w:rsidR="007B2F75" w:rsidRDefault="007B2F75" w:rsidP="007B2F75">
      <w:pPr>
        <w:pStyle w:val="Heading4"/>
        <w:numPr>
          <w:ilvl w:val="0"/>
          <w:numId w:val="11"/>
        </w:numPr>
      </w:pPr>
      <w:r>
        <w:t>We meet the counter interpretation- both parts of the plan impose restrictions on domestic surveillance</w:t>
      </w:r>
    </w:p>
    <w:p w:rsidR="007B2F75" w:rsidRDefault="007B2F75" w:rsidP="007B2F75"/>
    <w:p w:rsidR="007B2F75" w:rsidRDefault="007B2F75" w:rsidP="007B2F75">
      <w:pPr>
        <w:pStyle w:val="Heading4"/>
        <w:numPr>
          <w:ilvl w:val="0"/>
          <w:numId w:val="11"/>
        </w:numPr>
      </w:pPr>
      <w:r>
        <w:t>Our interpretation is better than theirs-</w:t>
      </w:r>
    </w:p>
    <w:p w:rsidR="007B2F75" w:rsidRDefault="007B2F75" w:rsidP="007B2F75">
      <w:pPr>
        <w:pStyle w:val="ListParagraph"/>
      </w:pPr>
    </w:p>
    <w:p w:rsidR="007B2F75" w:rsidRDefault="007B2F75" w:rsidP="007B2F75">
      <w:pPr>
        <w:pStyle w:val="ListParagraph"/>
        <w:numPr>
          <w:ilvl w:val="1"/>
          <w:numId w:val="11"/>
        </w:numPr>
      </w:pPr>
      <w:r>
        <w:t xml:space="preserve">Limits- If ending XO 12tripe3 surveillance isn’t topical, then no </w:t>
      </w:r>
      <w:proofErr w:type="spellStart"/>
      <w:r>
        <w:t>aff</w:t>
      </w:r>
      <w:proofErr w:type="spellEnd"/>
      <w:r>
        <w:t xml:space="preserve"> would ever meet their interp. The only </w:t>
      </w:r>
      <w:proofErr w:type="spellStart"/>
      <w:r>
        <w:t>aff</w:t>
      </w:r>
      <w:proofErr w:type="spellEnd"/>
      <w:r>
        <w:t xml:space="preserve"> they allow for is one that eliminates ALL surveillance because any elimination of specific programs could be seen as just a limitation of other programs</w:t>
      </w:r>
    </w:p>
    <w:p w:rsidR="007B2F75" w:rsidRDefault="007B2F75" w:rsidP="007B2F75">
      <w:pPr>
        <w:pStyle w:val="ListParagraph"/>
        <w:numPr>
          <w:ilvl w:val="1"/>
          <w:numId w:val="11"/>
        </w:numPr>
      </w:pPr>
      <w:r>
        <w:t xml:space="preserve">Ground- The </w:t>
      </w:r>
      <w:r w:rsidR="00066271">
        <w:t>negative</w:t>
      </w:r>
      <w:r>
        <w:t xml:space="preserve"> obviously gets to say status quo PRISM is good which is why we’re having a debate on the terrorism </w:t>
      </w:r>
      <w:proofErr w:type="spellStart"/>
      <w:r>
        <w:t>disad</w:t>
      </w:r>
      <w:proofErr w:type="spellEnd"/>
      <w:r>
        <w:t xml:space="preserve">. But the </w:t>
      </w:r>
      <w:proofErr w:type="spellStart"/>
      <w:r>
        <w:t>aff</w:t>
      </w:r>
      <w:proofErr w:type="spellEnd"/>
      <w:r>
        <w:t xml:space="preserve"> also obviously gets to say we can place limits on the program without wrecking it. The </w:t>
      </w:r>
      <w:proofErr w:type="spellStart"/>
      <w:r>
        <w:t>negs</w:t>
      </w:r>
      <w:proofErr w:type="spellEnd"/>
      <w:r>
        <w:t xml:space="preserve"> standard would require we concede links to </w:t>
      </w:r>
      <w:proofErr w:type="spellStart"/>
      <w:r>
        <w:t>disads</w:t>
      </w:r>
      <w:proofErr w:type="spellEnd"/>
      <w:r>
        <w:t>, which is an unfair burden.</w:t>
      </w:r>
    </w:p>
    <w:p w:rsidR="007B2F75" w:rsidRDefault="00066271" w:rsidP="007B2F75">
      <w:pPr>
        <w:pStyle w:val="ListParagraph"/>
        <w:numPr>
          <w:ilvl w:val="1"/>
          <w:numId w:val="11"/>
        </w:numPr>
      </w:pPr>
      <w:r>
        <w:t>Bright-</w:t>
      </w:r>
      <w:r w:rsidR="007B2F75">
        <w:t xml:space="preserve">line- there’s no clear distinction between limiting the use of a program and curtailing it. It’s a made up standard which hurts the </w:t>
      </w:r>
      <w:proofErr w:type="spellStart"/>
      <w:r w:rsidR="007B2F75">
        <w:t>aff</w:t>
      </w:r>
      <w:proofErr w:type="spellEnd"/>
      <w:r w:rsidR="007B2F75">
        <w:t xml:space="preserve"> because without a clear distinction on what is and isn’t topical, the </w:t>
      </w:r>
      <w:proofErr w:type="spellStart"/>
      <w:r w:rsidR="007B2F75">
        <w:t>neg</w:t>
      </w:r>
      <w:proofErr w:type="spellEnd"/>
      <w:r w:rsidR="007B2F75">
        <w:t xml:space="preserve"> can say any </w:t>
      </w:r>
      <w:proofErr w:type="spellStart"/>
      <w:r w:rsidR="007B2F75">
        <w:t>aff</w:t>
      </w:r>
      <w:proofErr w:type="spellEnd"/>
      <w:r w:rsidR="007B2F75">
        <w:t xml:space="preserve"> is </w:t>
      </w:r>
      <w:proofErr w:type="spellStart"/>
      <w:r w:rsidR="007B2F75">
        <w:t>untopical</w:t>
      </w:r>
      <w:proofErr w:type="spellEnd"/>
      <w:r w:rsidR="007B2F75">
        <w:t xml:space="preserve">. Our </w:t>
      </w:r>
      <w:proofErr w:type="spellStart"/>
      <w:r w:rsidR="007B2F75">
        <w:t>interp</w:t>
      </w:r>
      <w:proofErr w:type="spellEnd"/>
      <w:r w:rsidR="007B2F75">
        <w:t xml:space="preserve"> sets a better </w:t>
      </w:r>
      <w:r>
        <w:t>bright-</w:t>
      </w:r>
      <w:r w:rsidR="007B2F75">
        <w:t xml:space="preserve">line because it’s easy to see if the </w:t>
      </w:r>
      <w:proofErr w:type="spellStart"/>
      <w:r w:rsidR="007B2F75">
        <w:t>aff</w:t>
      </w:r>
      <w:proofErr w:type="spellEnd"/>
      <w:r w:rsidR="007B2F75">
        <w:t xml:space="preserve"> is a restriction.</w:t>
      </w:r>
    </w:p>
    <w:p w:rsidR="007B2F75" w:rsidRDefault="007B2F75" w:rsidP="007B2F75"/>
    <w:p w:rsidR="007B2F75" w:rsidRPr="00D2118D" w:rsidRDefault="007B2F75" w:rsidP="007B2F75">
      <w:pPr>
        <w:pStyle w:val="Heading4"/>
        <w:numPr>
          <w:ilvl w:val="0"/>
          <w:numId w:val="11"/>
        </w:numPr>
      </w:pPr>
      <w:r>
        <w:t>You should evaluate Topicality under a framework of reasonability- the question shouldn’t be which interpretation is better, but whether our interpretation is so unreasonable that it makes debate impossible.</w:t>
      </w:r>
    </w:p>
    <w:p w:rsidR="007B2F75" w:rsidRPr="007B2F75" w:rsidRDefault="007B2F75" w:rsidP="007B2F75"/>
    <w:sectPr w:rsidR="007B2F75" w:rsidRPr="007B2F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8306782"/>
    <w:multiLevelType w:val="hybridMultilevel"/>
    <w:tmpl w:val="26F4C8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9217284"/>
    <w:docVar w:name="VerbatimVersion" w:val="5.1"/>
  </w:docVars>
  <w:rsids>
    <w:rsidRoot w:val="003338A6"/>
    <w:rsid w:val="000139A3"/>
    <w:rsid w:val="000364A5"/>
    <w:rsid w:val="00066271"/>
    <w:rsid w:val="000706F9"/>
    <w:rsid w:val="00072BC1"/>
    <w:rsid w:val="00100833"/>
    <w:rsid w:val="00104529"/>
    <w:rsid w:val="00105942"/>
    <w:rsid w:val="00107396"/>
    <w:rsid w:val="00131909"/>
    <w:rsid w:val="00144A4C"/>
    <w:rsid w:val="00176AB0"/>
    <w:rsid w:val="00177B7D"/>
    <w:rsid w:val="0018322D"/>
    <w:rsid w:val="001B5776"/>
    <w:rsid w:val="001B7F14"/>
    <w:rsid w:val="001E527A"/>
    <w:rsid w:val="001F78CE"/>
    <w:rsid w:val="00251FC7"/>
    <w:rsid w:val="002855A7"/>
    <w:rsid w:val="002B146A"/>
    <w:rsid w:val="002B5E17"/>
    <w:rsid w:val="00315690"/>
    <w:rsid w:val="00316B75"/>
    <w:rsid w:val="00325646"/>
    <w:rsid w:val="003338A6"/>
    <w:rsid w:val="003460F2"/>
    <w:rsid w:val="0038158C"/>
    <w:rsid w:val="003902BA"/>
    <w:rsid w:val="003977D4"/>
    <w:rsid w:val="003A09E2"/>
    <w:rsid w:val="00407037"/>
    <w:rsid w:val="004204DB"/>
    <w:rsid w:val="004210DA"/>
    <w:rsid w:val="00447576"/>
    <w:rsid w:val="004605D6"/>
    <w:rsid w:val="004C60E8"/>
    <w:rsid w:val="004E3579"/>
    <w:rsid w:val="004E696F"/>
    <w:rsid w:val="004E728B"/>
    <w:rsid w:val="004F39E0"/>
    <w:rsid w:val="00537BD5"/>
    <w:rsid w:val="0057268A"/>
    <w:rsid w:val="00581BE6"/>
    <w:rsid w:val="00596142"/>
    <w:rsid w:val="005D2912"/>
    <w:rsid w:val="005F46AB"/>
    <w:rsid w:val="006065BD"/>
    <w:rsid w:val="00645FA9"/>
    <w:rsid w:val="00647866"/>
    <w:rsid w:val="00665003"/>
    <w:rsid w:val="006A2AD0"/>
    <w:rsid w:val="006C2375"/>
    <w:rsid w:val="006D4ECC"/>
    <w:rsid w:val="00705470"/>
    <w:rsid w:val="00722258"/>
    <w:rsid w:val="007243E5"/>
    <w:rsid w:val="00766EA0"/>
    <w:rsid w:val="007A2226"/>
    <w:rsid w:val="007B2F75"/>
    <w:rsid w:val="007F5B66"/>
    <w:rsid w:val="00823A1C"/>
    <w:rsid w:val="00845B9D"/>
    <w:rsid w:val="00860984"/>
    <w:rsid w:val="008B3ECB"/>
    <w:rsid w:val="008B4E85"/>
    <w:rsid w:val="008C1B2E"/>
    <w:rsid w:val="008F0F18"/>
    <w:rsid w:val="008F7C04"/>
    <w:rsid w:val="0091627E"/>
    <w:rsid w:val="00931DE6"/>
    <w:rsid w:val="0097032B"/>
    <w:rsid w:val="009874C8"/>
    <w:rsid w:val="009D2EAD"/>
    <w:rsid w:val="009D54B2"/>
    <w:rsid w:val="009E1922"/>
    <w:rsid w:val="009F7ED2"/>
    <w:rsid w:val="00A93661"/>
    <w:rsid w:val="00A95652"/>
    <w:rsid w:val="00AC0AB8"/>
    <w:rsid w:val="00B33C6D"/>
    <w:rsid w:val="00B422DA"/>
    <w:rsid w:val="00B4508F"/>
    <w:rsid w:val="00B55AD5"/>
    <w:rsid w:val="00B5661C"/>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15F39"/>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71DDE"/>
    <w:rsid w:val="00F75A25"/>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D4E208-D1B3-4034-8109-83DB23F5F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706F9"/>
    <w:pPr>
      <w:spacing w:after="0" w:line="240" w:lineRule="auto"/>
      <w:contextualSpacing/>
    </w:pPr>
    <w:rPr>
      <w:rFonts w:ascii="Arial Narrow" w:hAnsi="Arial Narrow"/>
      <w:sz w:val="20"/>
    </w:rPr>
  </w:style>
  <w:style w:type="paragraph" w:styleId="Heading1">
    <w:name w:val="heading 1"/>
    <w:aliases w:val="Pocket"/>
    <w:basedOn w:val="Normal"/>
    <w:next w:val="Normal"/>
    <w:link w:val="Heading1Char"/>
    <w:qFormat/>
    <w:rsid w:val="000706F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706F9"/>
    <w:pPr>
      <w:keepNext/>
      <w:keepLines/>
      <w:pageBreakBefore/>
      <w:spacing w:before="40"/>
      <w:jc w:val="center"/>
      <w:outlineLvl w:val="1"/>
    </w:pPr>
    <w:rPr>
      <w:rFonts w:eastAsiaTheme="majorEastAsia" w:cstheme="majorBidi"/>
      <w:b/>
      <w:smallCaps/>
      <w:sz w:val="44"/>
      <w:szCs w:val="26"/>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
    <w:basedOn w:val="Normal"/>
    <w:next w:val="Normal"/>
    <w:link w:val="Heading3Char"/>
    <w:uiPriority w:val="2"/>
    <w:unhideWhenUsed/>
    <w:qFormat/>
    <w:rsid w:val="000706F9"/>
    <w:pPr>
      <w:keepNext/>
      <w:keepLines/>
      <w:pageBreakBefore/>
      <w:pBdr>
        <w:bottom w:val="single" w:sz="12" w:space="1" w:color="auto"/>
      </w:pBdr>
      <w:spacing w:before="40"/>
      <w:jc w:val="center"/>
      <w:outlineLvl w:val="2"/>
    </w:pPr>
    <w:rPr>
      <w:rFonts w:eastAsiaTheme="majorEastAsia" w:cstheme="majorBidi"/>
      <w:b/>
      <w:sz w:val="44"/>
      <w:szCs w:val="24"/>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0706F9"/>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0706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06F9"/>
  </w:style>
  <w:style w:type="character" w:customStyle="1" w:styleId="Heading1Char">
    <w:name w:val="Heading 1 Char"/>
    <w:aliases w:val="Pocket Char"/>
    <w:basedOn w:val="DefaultParagraphFont"/>
    <w:link w:val="Heading1"/>
    <w:rsid w:val="000706F9"/>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0706F9"/>
    <w:rPr>
      <w:rFonts w:ascii="Arial Narrow" w:eastAsiaTheme="majorEastAsia" w:hAnsi="Arial Narrow" w:cstheme="majorBidi"/>
      <w:b/>
      <w:smallCaps/>
      <w:sz w:val="44"/>
      <w:szCs w:val="26"/>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
    <w:basedOn w:val="DefaultParagraphFont"/>
    <w:link w:val="Heading3"/>
    <w:uiPriority w:val="2"/>
    <w:rsid w:val="000706F9"/>
    <w:rPr>
      <w:rFonts w:ascii="Arial Narrow" w:eastAsiaTheme="majorEastAsia" w:hAnsi="Arial Narrow" w:cstheme="majorBidi"/>
      <w:b/>
      <w:sz w:val="44"/>
      <w:szCs w:val="24"/>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0706F9"/>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0706F9"/>
    <w:rPr>
      <w:rFonts w:ascii="Arial Narrow" w:hAnsi="Arial Narrow"/>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706F9"/>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0706F9"/>
    <w:rPr>
      <w:rFonts w:ascii="Arial Narrow" w:hAnsi="Arial Narrow"/>
      <w:b w:val="0"/>
      <w:sz w:val="20"/>
      <w:u w:val="single"/>
    </w:rPr>
  </w:style>
  <w:style w:type="character" w:styleId="Hyperlink">
    <w:name w:val="Hyperlink"/>
    <w:aliases w:val="heading 1 (block title),Important,Read,Card Text,Internet Link,Analytic Text"/>
    <w:basedOn w:val="DefaultParagraphFont"/>
    <w:uiPriority w:val="99"/>
    <w:unhideWhenUsed/>
    <w:rsid w:val="000706F9"/>
    <w:rPr>
      <w:color w:val="auto"/>
      <w:u w:val="none"/>
    </w:rPr>
  </w:style>
  <w:style w:type="character" w:styleId="FollowedHyperlink">
    <w:name w:val="FollowedHyperlink"/>
    <w:basedOn w:val="DefaultParagraphFont"/>
    <w:uiPriority w:val="99"/>
    <w:semiHidden/>
    <w:unhideWhenUsed/>
    <w:rsid w:val="000706F9"/>
    <w:rPr>
      <w:color w:val="auto"/>
      <w:u w:val="none"/>
    </w:rPr>
  </w:style>
  <w:style w:type="paragraph" w:customStyle="1" w:styleId="CiteSpacing">
    <w:name w:val="Cite Spacing"/>
    <w:basedOn w:val="Normal"/>
    <w:uiPriority w:val="4"/>
    <w:qFormat/>
    <w:rsid w:val="000706F9"/>
    <w:pPr>
      <w:spacing w:before="60" w:after="60"/>
    </w:pPr>
  </w:style>
  <w:style w:type="paragraph" w:customStyle="1" w:styleId="Emphasis1">
    <w:name w:val="Emphasis1"/>
    <w:basedOn w:val="Normal"/>
    <w:link w:val="Emphasis"/>
    <w:autoRedefine/>
    <w:uiPriority w:val="7"/>
    <w:qFormat/>
    <w:rsid w:val="003338A6"/>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TitleChar">
    <w:name w:val="Title Char"/>
    <w:basedOn w:val="DefaultParagraphFont"/>
    <w:link w:val="Title"/>
    <w:uiPriority w:val="6"/>
    <w:qFormat/>
    <w:rsid w:val="00447576"/>
    <w:rPr>
      <w:bCs/>
      <w:sz w:val="20"/>
      <w:u w:val="single"/>
    </w:rPr>
  </w:style>
  <w:style w:type="paragraph" w:styleId="Title">
    <w:name w:val="Title"/>
    <w:basedOn w:val="Normal"/>
    <w:next w:val="Normal"/>
    <w:link w:val="TitleChar"/>
    <w:uiPriority w:val="6"/>
    <w:qFormat/>
    <w:rsid w:val="00447576"/>
    <w:pPr>
      <w:pBdr>
        <w:bottom w:val="single" w:sz="8" w:space="4" w:color="4F81BD"/>
      </w:pBdr>
      <w:spacing w:after="300"/>
    </w:pPr>
    <w:rPr>
      <w:rFonts w:asciiTheme="minorHAnsi" w:hAnsiTheme="minorHAnsi"/>
      <w:bCs/>
      <w:u w:val="single"/>
    </w:rPr>
  </w:style>
  <w:style w:type="character" w:customStyle="1" w:styleId="TitleChar1">
    <w:name w:val="Title Char1"/>
    <w:basedOn w:val="DefaultParagraphFont"/>
    <w:uiPriority w:val="99"/>
    <w:semiHidden/>
    <w:rsid w:val="00447576"/>
    <w:rPr>
      <w:rFonts w:asciiTheme="majorHAnsi" w:eastAsiaTheme="majorEastAsia" w:hAnsiTheme="majorHAnsi" w:cstheme="majorBidi"/>
      <w:spacing w:val="-10"/>
      <w:kern w:val="28"/>
      <w:sz w:val="56"/>
      <w:szCs w:val="56"/>
    </w:rPr>
  </w:style>
  <w:style w:type="paragraph" w:styleId="ListParagraph">
    <w:name w:val="List Paragraph"/>
    <w:basedOn w:val="Normal"/>
    <w:uiPriority w:val="99"/>
    <w:unhideWhenUsed/>
    <w:qFormat/>
    <w:rsid w:val="007B2F7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xforddictionaries.com/us/definition/american_english/restriction" TargetMode="External"/><Relationship Id="rId3" Type="http://schemas.openxmlformats.org/officeDocument/2006/relationships/styles" Target="styles.xml"/><Relationship Id="rId7" Type="http://schemas.openxmlformats.org/officeDocument/2006/relationships/hyperlink" Target="http://www.oxforddictionaries.com/us/definition/american_english/impo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keele.ac.uk/media/keeleuniversity/fachumsocsci/spire/docs/globalfaultlines/volume2/Restraining%20the%20Surveillance%20State%20-A%20Global%20Right%20to%20Privacy.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oxforddictionaries.com/us/definition/american_english/curtai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ff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836FF-15DB-49DB-9704-4D7366389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13</Pages>
  <Words>2213</Words>
  <Characters>12617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dc:creator>
  <cp:keywords>5.1.1</cp:keywords>
  <dc:description/>
  <cp:lastModifiedBy>Kevin McCaffrey</cp:lastModifiedBy>
  <cp:revision>2</cp:revision>
  <dcterms:created xsi:type="dcterms:W3CDTF">2015-07-01T01:00:00Z</dcterms:created>
  <dcterms:modified xsi:type="dcterms:W3CDTF">2015-07-01T01:00:00Z</dcterms:modified>
</cp:coreProperties>
</file>