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5E3" w:rsidRPr="00A17106" w:rsidRDefault="006645AC" w:rsidP="003B35E3">
      <w:pPr>
        <w:pStyle w:val="Heading1"/>
        <w:rPr>
          <w:rFonts w:cs="Times New Roman"/>
        </w:rPr>
      </w:pPr>
      <w:r>
        <w:rPr>
          <w:rFonts w:cs="Times New Roman"/>
        </w:rPr>
        <w:t xml:space="preserve">2015 NDI 6WS – </w:t>
      </w:r>
      <w:r w:rsidR="003B35E3" w:rsidRPr="00A17106">
        <w:rPr>
          <w:rFonts w:cs="Times New Roman"/>
        </w:rPr>
        <w:t>Privacy Neg</w:t>
      </w:r>
      <w:r>
        <w:rPr>
          <w:rFonts w:cs="Times New Roman"/>
        </w:rPr>
        <w:t xml:space="preserve"> – W</w:t>
      </w:r>
      <w:r w:rsidR="00A17106" w:rsidRPr="00A17106">
        <w:rPr>
          <w:rFonts w:cs="Times New Roman"/>
        </w:rPr>
        <w:t>ave 1</w:t>
      </w:r>
      <w:r w:rsidR="00163441">
        <w:rPr>
          <w:rFonts w:cs="Times New Roman"/>
        </w:rPr>
        <w:t xml:space="preserve"> Version 2</w:t>
      </w:r>
      <w:bookmarkStart w:id="0" w:name="_GoBack"/>
      <w:bookmarkEnd w:id="0"/>
    </w:p>
    <w:p w:rsidR="00A17106" w:rsidRPr="00A17106" w:rsidRDefault="00A17106" w:rsidP="00A17106">
      <w:pPr>
        <w:rPr>
          <w:rStyle w:val="StyleStyleBold12pt"/>
          <w:highlight w:val="red"/>
        </w:rPr>
      </w:pPr>
      <w:r w:rsidRPr="00A17106">
        <w:rPr>
          <w:rStyle w:val="StyleStyleBold12pt"/>
          <w:highlight w:val="red"/>
        </w:rPr>
        <w:t xml:space="preserve">Presented to you by: Alex, Alice, Hannah, Mary, and Shannon </w:t>
      </w:r>
      <w:r w:rsidRPr="00A17106">
        <w:rPr>
          <w:rStyle w:val="StyleStyleBold12pt"/>
        </w:rPr>
        <w:t xml:space="preserve"> </w:t>
      </w:r>
    </w:p>
    <w:p w:rsidR="00A17106" w:rsidRPr="00A17106" w:rsidRDefault="006F4162" w:rsidP="006F4162">
      <w:pPr>
        <w:pStyle w:val="Heading1"/>
      </w:pPr>
      <w:r>
        <w:t>CPs</w:t>
      </w:r>
    </w:p>
    <w:p w:rsidR="003B35E3" w:rsidRPr="00A17106" w:rsidRDefault="003B35E3" w:rsidP="003B35E3">
      <w:pPr>
        <w:pStyle w:val="Heading2"/>
        <w:rPr>
          <w:rFonts w:cs="Times New Roman"/>
        </w:rPr>
      </w:pPr>
      <w:r w:rsidRPr="00A17106">
        <w:rPr>
          <w:rFonts w:cs="Times New Roman"/>
        </w:rPr>
        <w:t xml:space="preserve">Congress Legislation CP </w:t>
      </w:r>
    </w:p>
    <w:p w:rsidR="00776E91" w:rsidRDefault="00776E91" w:rsidP="00776E91">
      <w:pPr>
        <w:pStyle w:val="Heading3"/>
      </w:pPr>
      <w:r w:rsidRPr="00776E91">
        <w:t>1NC</w:t>
      </w:r>
    </w:p>
    <w:p w:rsidR="003B35E3" w:rsidRDefault="00962722" w:rsidP="003B35E3">
      <w:pPr>
        <w:pStyle w:val="Heading4"/>
        <w:rPr>
          <w:shd w:val="clear" w:color="auto" w:fill="FFFFFF"/>
        </w:rPr>
      </w:pPr>
      <w:r>
        <w:rPr>
          <w:shd w:val="clear" w:color="auto" w:fill="FFFFFF"/>
        </w:rPr>
        <w:t>CP text: The United States federal government should increase the evidentiary threshold under Section 3123 to a reasonable suspicion standard.</w:t>
      </w:r>
    </w:p>
    <w:p w:rsidR="00296EC0" w:rsidRDefault="00296EC0" w:rsidP="00296EC0"/>
    <w:p w:rsidR="00296EC0" w:rsidRPr="00296EC0" w:rsidRDefault="00296EC0" w:rsidP="00296EC0">
      <w:pPr>
        <w:pStyle w:val="Heading4"/>
      </w:pPr>
      <w:r>
        <w:t xml:space="preserve">This solves privacy – provides clear limitations on surveillance </w:t>
      </w:r>
    </w:p>
    <w:p w:rsidR="003B35E3" w:rsidRPr="00A17106" w:rsidRDefault="003B35E3" w:rsidP="003B35E3">
      <w:r w:rsidRPr="00A17106">
        <w:t xml:space="preserve">Richard M. </w:t>
      </w:r>
      <w:r w:rsidRPr="00A17106">
        <w:rPr>
          <w:rStyle w:val="StyleStyleBold12pt"/>
        </w:rPr>
        <w:t>Thompson 14</w:t>
      </w:r>
      <w:r w:rsidRPr="00A17106">
        <w:t xml:space="preserve"> – (Legislative Attorney at Congressional Research Service, “The Fourth Amendment Third-Party Doctrine”, 6/5/14, Congressional Research Service, </w:t>
      </w:r>
      <w:hyperlink r:id="rId6" w:history="1">
        <w:r w:rsidRPr="00A17106">
          <w:rPr>
            <w:rStyle w:val="Hyperlink"/>
          </w:rPr>
          <w:t>http://fas.org/sgp/crs/misc/R43586.pdf</w:t>
        </w:r>
      </w:hyperlink>
      <w:r w:rsidRPr="00A17106">
        <w:t>, AB)</w:t>
      </w:r>
    </w:p>
    <w:p w:rsidR="003B35E3" w:rsidRPr="00A17106" w:rsidRDefault="003B35E3" w:rsidP="003B35E3">
      <w:pPr>
        <w:rPr>
          <w:rStyle w:val="StyleBoldUnderline"/>
        </w:rPr>
      </w:pPr>
      <w:r w:rsidRPr="00A17106">
        <w:rPr>
          <w:sz w:val="16"/>
        </w:rPr>
        <w:t>Notwithstanding the concurring opinions in Jones</w:t>
      </w:r>
      <w:r w:rsidRPr="00A17106">
        <w:rPr>
          <w:rStyle w:val="StyleBoldUnderline"/>
        </w:rPr>
        <w:t xml:space="preserve">, </w:t>
      </w:r>
      <w:r w:rsidRPr="00A17106">
        <w:rPr>
          <w:rStyle w:val="StyleBoldUnderline"/>
          <w:highlight w:val="cyan"/>
        </w:rPr>
        <w:t>the bulk of Supreme Court and lower federal court precedent have left most non-content information unprotected by the Fourth Amendment.</w:t>
      </w:r>
      <w:r w:rsidRPr="00A17106">
        <w:rPr>
          <w:sz w:val="16"/>
        </w:rPr>
        <w:t xml:space="preserve"> In some instances</w:t>
      </w:r>
      <w:r w:rsidRPr="00A17106">
        <w:rPr>
          <w:rStyle w:val="StyleBoldUnderline"/>
        </w:rPr>
        <w:t xml:space="preserve">, </w:t>
      </w:r>
      <w:r w:rsidRPr="00A17106">
        <w:rPr>
          <w:rStyle w:val="StyleBoldUnderline"/>
          <w:highlight w:val="cyan"/>
        </w:rPr>
        <w:t>Congress filled this void by creating varying levels of privacy protection for this type of non-content information</w:t>
      </w:r>
      <w:r w:rsidRPr="00A17106">
        <w:rPr>
          <w:sz w:val="16"/>
        </w:rPr>
        <w:t xml:space="preserve">. However, these protections are in the main not as robust as the warrant requirement, and in some instances, searches may be justified by little more than “official curiosity.”171 Seven years </w:t>
      </w:r>
      <w:r w:rsidRPr="00A17106">
        <w:rPr>
          <w:rStyle w:val="StyleBoldUnderline"/>
        </w:rPr>
        <w:t>after the Court handed down Smith and ruled that government access to telephone toll records was not covered by the Fourth Amendment, Congress enacted as part of the</w:t>
      </w:r>
      <w:r w:rsidRPr="00A17106">
        <w:rPr>
          <w:sz w:val="16"/>
        </w:rPr>
        <w:t xml:space="preserve"> Electronic Communications Privacy Act of 1986 (</w:t>
      </w:r>
      <w:r w:rsidRPr="00A17106">
        <w:rPr>
          <w:rStyle w:val="StyleBoldUnderline"/>
        </w:rPr>
        <w:t xml:space="preserve">ECPA) several provisions requiring the government to seek a court order </w:t>
      </w:r>
      <w:r w:rsidRPr="00A17106">
        <w:rPr>
          <w:sz w:val="16"/>
        </w:rPr>
        <w:t xml:space="preserve">before using a pen register or trap and trace device.172 Again, these devices allow the government to gather dialed telephone numbers and email addressing information, among other non-content information.173 Under 18 U.S.C. § 3123, a court “shall issue an ex parte order authorizing the installation and use of a pen register or trap and trace device ... if the court finds that the attorney for the Government has certified that the information likely to be obtained by such installation and use is relevant to an ongoing criminal investigation.”174 A few things should be noted about this provision. First, the “shall” language removes discretion from the judge; if the judge finds the government has made the required certification, he must issue the order.175 Second, </w:t>
      </w:r>
      <w:r w:rsidRPr="00A17106">
        <w:rPr>
          <w:rStyle w:val="StyleBoldUnderline"/>
        </w:rPr>
        <w:t>while the court must ensure that the government has made the proper certification, ECPA does not require an “independent judicial inquiry into the veracity of the attested facts.</w:t>
      </w:r>
      <w:r w:rsidRPr="00A17106">
        <w:rPr>
          <w:sz w:val="16"/>
        </w:rPr>
        <w:t xml:space="preserve">”176 </w:t>
      </w:r>
      <w:r w:rsidRPr="00A17106">
        <w:rPr>
          <w:rStyle w:val="StyleBoldUnderline"/>
        </w:rPr>
        <w:t>This means that the judge will not make an independent assessment whether the relevancy standard has been met, but only that the government has made the proper certification</w:t>
      </w:r>
      <w:r w:rsidRPr="00A17106">
        <w:rPr>
          <w:sz w:val="16"/>
        </w:rPr>
        <w:t xml:space="preserve">. One district court has noted that “the extremely limited judicial review required by [the pen register statute] is intended merely to safeguard against purely random use of this device.”177 One magistrate judge went so far as to describe his role under the pen register statute as a “rubber stamp” limited to “proofreading errors,” and that “without independent judicial review, the authorization of pen registers is subject to misuse and abuse.”178 Third, the relevancy standard, which again the government, and not the court, determines if it has been met, is a “far from burdensome” legal standard.179 </w:t>
      </w:r>
      <w:r w:rsidRPr="00A17106">
        <w:rPr>
          <w:rStyle w:val="StyleBoldUnderline"/>
        </w:rPr>
        <w:t>The Supreme Court</w:t>
      </w:r>
      <w:r w:rsidRPr="00A17106">
        <w:rPr>
          <w:sz w:val="16"/>
        </w:rPr>
        <w:t xml:space="preserve"> has </w:t>
      </w:r>
      <w:r w:rsidRPr="00A17106">
        <w:rPr>
          <w:rStyle w:val="StyleBoldUnderline"/>
        </w:rPr>
        <w:t>held</w:t>
      </w:r>
      <w:r w:rsidRPr="00A17106">
        <w:rPr>
          <w:sz w:val="16"/>
        </w:rPr>
        <w:t xml:space="preserve">, at least in the subpoena context, that </w:t>
      </w:r>
      <w:r w:rsidRPr="00A17106">
        <w:rPr>
          <w:rStyle w:val="StyleBoldUnderline"/>
        </w:rPr>
        <w:t>information sought is not relevant only if “there is no reasonable possibility that the category of materials the Government seeks will produce information relevant to the general subject</w:t>
      </w:r>
      <w:r w:rsidRPr="00A17106">
        <w:rPr>
          <w:sz w:val="16"/>
        </w:rPr>
        <w:t xml:space="preserve">” of the investigation.180 In light of this relatively lax standard, </w:t>
      </w:r>
      <w:r w:rsidRPr="00A17106">
        <w:rPr>
          <w:rStyle w:val="StyleBoldUnderline"/>
          <w:highlight w:val="cyan"/>
        </w:rPr>
        <w:t>several prominent commentators on privacy and technology have suggested that Congress should increase the evidentiary threshold</w:t>
      </w:r>
      <w:r w:rsidRPr="00A17106">
        <w:rPr>
          <w:sz w:val="16"/>
        </w:rPr>
        <w:t xml:space="preserve"> under Section 3123 </w:t>
      </w:r>
      <w:r w:rsidRPr="00A17106">
        <w:rPr>
          <w:rStyle w:val="StyleBoldUnderline"/>
        </w:rPr>
        <w:t xml:space="preserve">from mere relevance to at least a reasonable suspicion standard similar to that used for accessing certain stored communications.1 Also included </w:t>
      </w:r>
      <w:r w:rsidRPr="00A17106">
        <w:rPr>
          <w:sz w:val="16"/>
        </w:rPr>
        <w:t>in ECPA</w:t>
      </w:r>
      <w:r w:rsidRPr="00A17106">
        <w:rPr>
          <w:rStyle w:val="StyleBoldUnderline"/>
        </w:rPr>
        <w:t xml:space="preserve"> is the Stored Communications Act </w:t>
      </w:r>
      <w:r w:rsidRPr="00A17106">
        <w:rPr>
          <w:sz w:val="16"/>
        </w:rPr>
        <w:t xml:space="preserve">(SCA), </w:t>
      </w:r>
      <w:r w:rsidRPr="00A17106">
        <w:rPr>
          <w:rStyle w:val="StyleBoldUnderline"/>
        </w:rPr>
        <w:t>in which Congress provided varying degrees of protection to information historically subject to the third-party doctrine</w:t>
      </w:r>
      <w:r w:rsidRPr="00A17106">
        <w:rPr>
          <w:sz w:val="16"/>
        </w:rPr>
        <w:t xml:space="preserve"> and, thus, </w:t>
      </w:r>
      <w:r w:rsidRPr="00A17106">
        <w:rPr>
          <w:rStyle w:val="StyleBoldUnderline"/>
        </w:rPr>
        <w:t>outside the reach of the Fourth Amendment.</w:t>
      </w:r>
      <w:r w:rsidRPr="00A17106">
        <w:rPr>
          <w:sz w:val="16"/>
        </w:rPr>
        <w:t xml:space="preserve"> Under 18 U.S.C. § 2703(c), service providers must hand over “records or other information pertaining to a subscriber” so long as the government can establish “specific and articulable facts” that the records are “relevant and material” to an ongoing criminal investigation.182 This is akin to the Terry reasonable suspicion standard—it is lower than probable cause but does require the government to articulate its basis to believe that the information is connected to criminal activity.183 This standard has been applied to data such as the to/from address line in an email or the IP addresses of websites a person has visited. Some courts have construed Section 2703(d) in conjunction with the pen register statute to allow the government access to cell site location information.184 Section 2703(c)(2) requires the providers to hand over other customer information such as their name, address, telephone calling records, length of service, telephone number, and means and source of payments, including credit card or bank account numbers with either an administrative, grand jury, or trial subpoena.185</w:t>
      </w:r>
      <w:r w:rsidRPr="00A17106">
        <w:rPr>
          <w:rStyle w:val="StyleBoldUnderline"/>
        </w:rPr>
        <w:t xml:space="preserve"> Additionally, </w:t>
      </w:r>
      <w:r w:rsidRPr="00A17106">
        <w:rPr>
          <w:rStyle w:val="StyleBoldUnderline"/>
          <w:highlight w:val="cyan"/>
        </w:rPr>
        <w:t>Congress has passed more targeted privacy protection laws</w:t>
      </w:r>
      <w:r w:rsidRPr="00A17106">
        <w:rPr>
          <w:sz w:val="16"/>
        </w:rPr>
        <w:t xml:space="preserve">. For instance, the privacy of cable subscribers is safeguarded under the Cable Communications Privacy Act of 1984,186 and the privacy of video store customers under the Video Privacy Protection Act.187 </w:t>
      </w:r>
      <w:r w:rsidRPr="00A17106">
        <w:rPr>
          <w:rStyle w:val="StyleBoldUnderline"/>
        </w:rPr>
        <w:t>More recently</w:t>
      </w:r>
      <w:r w:rsidRPr="00A17106">
        <w:rPr>
          <w:rStyle w:val="StyleBoldUnderline"/>
          <w:highlight w:val="cyan"/>
        </w:rPr>
        <w:t>, various Members of Congress have sought to temper the reach of the third-party doctrine with respect to transactional data</w:t>
      </w:r>
      <w:r w:rsidRPr="00A17106">
        <w:rPr>
          <w:rStyle w:val="StyleBoldUnderline"/>
        </w:rPr>
        <w:t>.</w:t>
      </w:r>
      <w:r w:rsidRPr="00A17106">
        <w:rPr>
          <w:sz w:val="16"/>
        </w:rPr>
        <w:t xml:space="preserve"> </w:t>
      </w:r>
      <w:r w:rsidRPr="00A17106">
        <w:rPr>
          <w:rStyle w:val="StyleBoldUnderline"/>
        </w:rPr>
        <w:t>Several days after</w:t>
      </w:r>
      <w:r w:rsidRPr="00A17106">
        <w:rPr>
          <w:sz w:val="16"/>
        </w:rPr>
        <w:t xml:space="preserve"> the Edward </w:t>
      </w:r>
      <w:r w:rsidRPr="00A17106">
        <w:rPr>
          <w:rStyle w:val="StyleBoldUnderline"/>
        </w:rPr>
        <w:t>Snowden leaks</w:t>
      </w:r>
      <w:r w:rsidRPr="00A17106">
        <w:rPr>
          <w:sz w:val="16"/>
        </w:rPr>
        <w:t xml:space="preserve"> became public, Senator Paul filed the </w:t>
      </w:r>
      <w:r w:rsidRPr="00A17106">
        <w:rPr>
          <w:rStyle w:val="StyleBoldUnderline"/>
        </w:rPr>
        <w:t>“Fourth Amendment Restoration Act of 2013</w:t>
      </w:r>
      <w:r w:rsidRPr="00A17106">
        <w:rPr>
          <w:sz w:val="16"/>
        </w:rPr>
        <w:t xml:space="preserve">” (S. 1121) in an effort to “stop the National Security Agency from spying on citizens of the United States[.]”188 This bill </w:t>
      </w:r>
      <w:r w:rsidRPr="00A17106">
        <w:rPr>
          <w:rStyle w:val="StyleBoldUnderline"/>
        </w:rPr>
        <w:t>would require that “[t]he Fourth Amendment to the Constitution shall not be construed to allow any agency of the United States Government to search the phone records of Americans without a warrant based upon probable cause.</w:t>
      </w:r>
      <w:r w:rsidRPr="00A17106">
        <w:rPr>
          <w:sz w:val="16"/>
        </w:rPr>
        <w:t>”189 While dictating to the judiciary what the Fourth Amendment should and should not protect may be beyond Congress’s constitutional power,</w:t>
      </w:r>
      <w:r w:rsidRPr="00A17106">
        <w:rPr>
          <w:rStyle w:val="StyleBoldUnderline"/>
        </w:rPr>
        <w:t xml:space="preserve">190 </w:t>
      </w:r>
      <w:r w:rsidRPr="00A17106">
        <w:rPr>
          <w:rStyle w:val="Emphasis"/>
          <w:highlight w:val="cyan"/>
        </w:rPr>
        <w:t>Congress clearly can play a role in setting substantive and procedural limitations on government surveillance authorities</w:t>
      </w:r>
      <w:r w:rsidRPr="00A17106">
        <w:rPr>
          <w:rStyle w:val="StyleBoldUnderline"/>
        </w:rPr>
        <w:t xml:space="preserve">. </w:t>
      </w:r>
      <w:r w:rsidRPr="00A17106">
        <w:rPr>
          <w:sz w:val="16"/>
        </w:rPr>
        <w:t xml:space="preserve">For instance, Senator Paul has introduced a similar bill, the “Fourth Amendment Preservation and Protection Act of 2013” (S. 1037), which would prohibit federal, state, and local government officials from accessing information relating to an individual held by a third party in a “system of records.”191 </w:t>
      </w:r>
      <w:r w:rsidRPr="00A17106">
        <w:rPr>
          <w:rStyle w:val="StyleBoldUnderline"/>
          <w:highlight w:val="cyan"/>
        </w:rPr>
        <w:t>Other congressional measures would alter the third-party doctrine in a more targeted way.</w:t>
      </w:r>
      <w:r w:rsidRPr="00A17106">
        <w:rPr>
          <w:sz w:val="16"/>
        </w:rPr>
        <w:t xml:space="preserve"> Several location monitoring bills would, for instance, prohibit companies from sharing their customers’ location information unless the government obtained a warrant or one of several limited exceptions applied.192 </w:t>
      </w:r>
      <w:r w:rsidRPr="00A17106">
        <w:rPr>
          <w:rStyle w:val="StyleBoldUnderline"/>
        </w:rPr>
        <w:t xml:space="preserve">So what does the future have in store for the third-party doctrine and the government’s collection of non-content, transactional data? </w:t>
      </w:r>
      <w:r w:rsidRPr="00A17106">
        <w:rPr>
          <w:sz w:val="16"/>
        </w:rPr>
        <w:t xml:space="preserve">At this point, </w:t>
      </w:r>
      <w:r w:rsidRPr="00A17106">
        <w:rPr>
          <w:rStyle w:val="StyleBoldUnderline"/>
        </w:rPr>
        <w:t>there appears to be only one solid vote on the Court</w:t>
      </w:r>
      <w:r w:rsidRPr="00A17106">
        <w:rPr>
          <w:sz w:val="16"/>
        </w:rPr>
        <w:t xml:space="preserve"> in Justice Sotomayor </w:t>
      </w:r>
      <w:r w:rsidRPr="00A17106">
        <w:rPr>
          <w:rStyle w:val="StyleBoldUnderline"/>
        </w:rPr>
        <w:t>for</w:t>
      </w:r>
      <w:r w:rsidRPr="00A17106">
        <w:rPr>
          <w:sz w:val="16"/>
        </w:rPr>
        <w:t xml:space="preserve"> eliminating or significantly </w:t>
      </w:r>
      <w:r w:rsidRPr="00A17106">
        <w:rPr>
          <w:rStyle w:val="StyleBoldUnderline"/>
        </w:rPr>
        <w:t>reducing the scope</w:t>
      </w:r>
      <w:r w:rsidRPr="00A17106">
        <w:rPr>
          <w:sz w:val="16"/>
        </w:rPr>
        <w:t xml:space="preserve"> of this doctrine. Although there are hints in Justice Alito’s Jones opinion that he and the three members of his concurrence are ready to reconsider this rule when it comes to pervasive government surveillance, his </w:t>
      </w:r>
      <w:r w:rsidRPr="00A17106">
        <w:rPr>
          <w:rStyle w:val="StyleBoldUnderline"/>
        </w:rPr>
        <w:t>rationale</w:t>
      </w:r>
      <w:r w:rsidRPr="00A17106">
        <w:rPr>
          <w:sz w:val="16"/>
        </w:rPr>
        <w:t xml:space="preserve"> </w:t>
      </w:r>
      <w:r w:rsidRPr="00A17106">
        <w:rPr>
          <w:rStyle w:val="StyleBoldUnderline"/>
        </w:rPr>
        <w:t>was</w:t>
      </w:r>
      <w:r w:rsidRPr="00A17106">
        <w:rPr>
          <w:sz w:val="16"/>
        </w:rPr>
        <w:t xml:space="preserve"> </w:t>
      </w:r>
      <w:r w:rsidRPr="00A17106">
        <w:rPr>
          <w:rStyle w:val="StyleBoldUnderline"/>
        </w:rPr>
        <w:t>left</w:t>
      </w:r>
      <w:r w:rsidRPr="00A17106">
        <w:rPr>
          <w:sz w:val="16"/>
        </w:rPr>
        <w:t xml:space="preserve"> somewhat </w:t>
      </w:r>
      <w:r w:rsidRPr="00A17106">
        <w:rPr>
          <w:rStyle w:val="StyleBoldUnderline"/>
        </w:rPr>
        <w:t>underdeveloped</w:t>
      </w:r>
      <w:r w:rsidRPr="00A17106">
        <w:rPr>
          <w:sz w:val="16"/>
        </w:rPr>
        <w:t xml:space="preserve">. It will take future opinions to get a better sense of whether or how far these Justices are willing to go to limit government access to non-content information held in the hands of third parties. In the meantime, </w:t>
      </w:r>
      <w:r w:rsidRPr="00A17106">
        <w:rPr>
          <w:rStyle w:val="StyleBoldUnderline"/>
        </w:rPr>
        <w:t>the lower federal courts</w:t>
      </w:r>
      <w:r w:rsidRPr="00A17106">
        <w:rPr>
          <w:sz w:val="16"/>
        </w:rPr>
        <w:t xml:space="preserve"> might continue to limit or </w:t>
      </w:r>
      <w:r w:rsidRPr="00A17106">
        <w:rPr>
          <w:rStyle w:val="StyleBoldUnderline"/>
        </w:rPr>
        <w:t>distinguish</w:t>
      </w:r>
      <w:r w:rsidRPr="00A17106">
        <w:rPr>
          <w:sz w:val="16"/>
        </w:rPr>
        <w:t xml:space="preserve"> the third-party </w:t>
      </w:r>
      <w:r w:rsidRPr="00A17106">
        <w:rPr>
          <w:rStyle w:val="StyleBoldUnderline"/>
        </w:rPr>
        <w:t>doctrine in specific and narrow instances.</w:t>
      </w:r>
      <w:r w:rsidRPr="00A17106">
        <w:rPr>
          <w:sz w:val="16"/>
        </w:rPr>
        <w:t xml:space="preserve"> For instance, in the NSA telephone metadata case, Judge Leon limited Smith to its facts and held that it did not apply to this more comprehensive data collection program.193 Likewise</w:t>
      </w:r>
      <w:r w:rsidRPr="00A17106">
        <w:rPr>
          <w:rStyle w:val="Emphasis"/>
          <w:highlight w:val="cyan"/>
        </w:rPr>
        <w:t>, if and when the Supreme Court is asked to reconsider the scope of the third-party doctrine, it is more likely to carve out specific exceptions than to overturn it in its entirety</w:t>
      </w:r>
      <w:r w:rsidRPr="00A17106">
        <w:rPr>
          <w:rStyle w:val="StyleBoldUnderline"/>
        </w:rPr>
        <w:t>.</w:t>
      </w:r>
      <w:r w:rsidRPr="00A17106">
        <w:rPr>
          <w:sz w:val="16"/>
        </w:rPr>
        <w:t xml:space="preserve"> </w:t>
      </w:r>
      <w:r w:rsidRPr="00A17106">
        <w:rPr>
          <w:rStyle w:val="StyleBoldUnderline"/>
        </w:rPr>
        <w:t xml:space="preserve">This approach would permit the courts to engage in a more nuanced, normative approach to analyzing the privacy interests </w:t>
      </w:r>
      <w:r w:rsidRPr="00A17106">
        <w:rPr>
          <w:sz w:val="16"/>
        </w:rPr>
        <w:t xml:space="preserve">implicated by accessing records derived from transactions between people and other various entities. </w:t>
      </w:r>
      <w:r w:rsidRPr="00A17106">
        <w:rPr>
          <w:rStyle w:val="StyleBoldUnderline"/>
        </w:rPr>
        <w:t>Another possibility is for Congress to act</w:t>
      </w:r>
      <w:r w:rsidRPr="00A17106">
        <w:rPr>
          <w:sz w:val="16"/>
        </w:rPr>
        <w:t>. Justice Alito observed in Jones that “[i]</w:t>
      </w:r>
      <w:r w:rsidRPr="00A17106">
        <w:rPr>
          <w:rStyle w:val="StyleBoldUnderline"/>
        </w:rPr>
        <w:t>in circumstances involving dramatic technological change, the best solution to privacy concerns may be legislative</w:t>
      </w:r>
      <w:r w:rsidRPr="00A17106">
        <w:rPr>
          <w:sz w:val="16"/>
        </w:rPr>
        <w:t xml:space="preserve">” as </w:t>
      </w:r>
      <w:r w:rsidRPr="00A17106">
        <w:rPr>
          <w:sz w:val="16"/>
          <w:highlight w:val="cyan"/>
        </w:rPr>
        <w:t>“</w:t>
      </w:r>
      <w:r w:rsidRPr="00A17106">
        <w:rPr>
          <w:rStyle w:val="StyleBoldUnderline"/>
          <w:highlight w:val="cyan"/>
        </w:rPr>
        <w:t>a legislative body is well situated to gauge changing public attitudes, to draw detailed lines, and to balance privacy and public safety in a comprehensive wa</w:t>
      </w:r>
      <w:r w:rsidRPr="00A17106">
        <w:rPr>
          <w:rStyle w:val="StyleBoldUnderline"/>
        </w:rPr>
        <w:t>y</w:t>
      </w:r>
      <w:r w:rsidRPr="00A17106">
        <w:rPr>
          <w:sz w:val="16"/>
        </w:rPr>
        <w:t xml:space="preserve">.”194 </w:t>
      </w:r>
      <w:r w:rsidRPr="00A17106">
        <w:rPr>
          <w:rStyle w:val="StyleBoldUnderline"/>
          <w:highlight w:val="cyan"/>
        </w:rPr>
        <w:t>This argument that Congress is best suited to address the nuanced policy questions that privacy and security entails has been expressed by commentators as well</w:t>
      </w:r>
      <w:r w:rsidRPr="00A17106">
        <w:rPr>
          <w:sz w:val="16"/>
          <w:highlight w:val="cyan"/>
        </w:rPr>
        <w:t>.</w:t>
      </w:r>
      <w:r w:rsidRPr="00A17106">
        <w:rPr>
          <w:sz w:val="16"/>
        </w:rPr>
        <w:t xml:space="preserve">195 Like the courts, it appears unlikely that Congress would be willing to completely eliminate the third-party doctrine. On the other hand, </w:t>
      </w:r>
      <w:r w:rsidRPr="00A17106">
        <w:rPr>
          <w:rStyle w:val="StyleBoldUnderline"/>
        </w:rPr>
        <w:t>Congress may be more inclined to engage in a subject-by-subject approach</w:t>
      </w:r>
      <w:r w:rsidRPr="00A17106">
        <w:rPr>
          <w:sz w:val="16"/>
        </w:rPr>
        <w:t xml:space="preserve">, in which Congress limits the third-party doctrine in certain areas. </w:t>
      </w:r>
      <w:r w:rsidRPr="00A17106">
        <w:rPr>
          <w:rStyle w:val="StyleBoldUnderline"/>
        </w:rPr>
        <w:t>Congress provided statutory protection for telephone toll records</w:t>
      </w:r>
      <w:r w:rsidRPr="00A17106">
        <w:rPr>
          <w:sz w:val="16"/>
        </w:rPr>
        <w:t xml:space="preserve"> in the pen register/trap and trace statute</w:t>
      </w:r>
      <w:r w:rsidRPr="00A17106">
        <w:rPr>
          <w:rStyle w:val="StyleBoldUnderline"/>
        </w:rPr>
        <w:t>; for Internet metadata</w:t>
      </w:r>
      <w:r w:rsidRPr="00A17106">
        <w:rPr>
          <w:sz w:val="16"/>
        </w:rPr>
        <w:t xml:space="preserve"> in the Stored Communications Act; </w:t>
      </w:r>
      <w:r w:rsidRPr="00A17106">
        <w:rPr>
          <w:rStyle w:val="StyleBoldUnderline"/>
        </w:rPr>
        <w:t>and for video customer records</w:t>
      </w:r>
      <w:r w:rsidRPr="00A17106">
        <w:rPr>
          <w:sz w:val="16"/>
        </w:rPr>
        <w:t xml:space="preserve"> in the Video Privacy Protection Act. It </w:t>
      </w:r>
      <w:r w:rsidRPr="00A17106">
        <w:rPr>
          <w:rStyle w:val="StyleBoldUnderline"/>
        </w:rPr>
        <w:t xml:space="preserve">could enact similar protection for other subject areas where non-content information is shared with companies as a necessary part of doing business. </w:t>
      </w:r>
    </w:p>
    <w:p w:rsidR="003B35E3" w:rsidRPr="00776E91" w:rsidRDefault="00776E91" w:rsidP="00776E91">
      <w:pPr>
        <w:pStyle w:val="Heading3"/>
      </w:pPr>
      <w:r w:rsidRPr="00776E91">
        <w:t>2NC</w:t>
      </w:r>
    </w:p>
    <w:p w:rsidR="000B1BA4" w:rsidRPr="00A17106" w:rsidRDefault="000B1BA4" w:rsidP="000B1BA4">
      <w:pPr>
        <w:pStyle w:val="Heading4"/>
      </w:pPr>
      <w:r w:rsidRPr="00A17106">
        <w:t xml:space="preserve">Congress </w:t>
      </w:r>
      <w:r w:rsidR="00CB08B3">
        <w:t xml:space="preserve">can </w:t>
      </w:r>
      <w:r w:rsidRPr="00A17106">
        <w:t>modify the 4</w:t>
      </w:r>
      <w:r w:rsidRPr="00A17106">
        <w:rPr>
          <w:vertAlign w:val="superscript"/>
        </w:rPr>
        <w:t>th</w:t>
      </w:r>
      <w:r w:rsidRPr="00A17106">
        <w:t xml:space="preserve"> amendment- </w:t>
      </w:r>
      <w:r w:rsidR="00CB08B3">
        <w:t xml:space="preserve">this solves </w:t>
      </w:r>
    </w:p>
    <w:p w:rsidR="000B1BA4" w:rsidRPr="00A17106" w:rsidRDefault="000B1BA4" w:rsidP="000B1BA4">
      <w:r w:rsidRPr="00A17106">
        <w:rPr>
          <w:rStyle w:val="StyleStyleBold12pt"/>
        </w:rPr>
        <w:t>Rosen and Wittes 11,</w:t>
      </w:r>
      <w:r w:rsidRPr="00A17106">
        <w:t xml:space="preserve"> Jeffrey and Benjamin, professor of law at The George Washington University and senior fellow in Governance Studies at The Brookings Institution, “Constitution 3. 0 : Freedom and Technological Change,” Brookings Institution Press, 2011. ProQuest ebrary. Web. 30 June 2015.</w:t>
      </w:r>
    </w:p>
    <w:p w:rsidR="000B1BA4" w:rsidRPr="00A17106" w:rsidRDefault="000B1BA4" w:rsidP="000B1BA4">
      <w:pPr>
        <w:rPr>
          <w:rStyle w:val="StyleBoldUnderline"/>
        </w:rPr>
      </w:pPr>
      <w:r w:rsidRPr="00A17106">
        <w:rPr>
          <w:sz w:val="16"/>
        </w:rPr>
        <w:t xml:space="preserve">The final question is what branch of government will create the use restrictions I have in mind. Can courts do this in the name of the Fourth Amendment, or is it up to Congress? In my view, </w:t>
      </w:r>
      <w:r w:rsidRPr="002659FF">
        <w:rPr>
          <w:rStyle w:val="StyleBoldUnderline"/>
          <w:highlight w:val="cyan"/>
        </w:rPr>
        <w:t>Congress is the most likely regulator</w:t>
      </w:r>
      <w:r w:rsidRPr="00A17106">
        <w:rPr>
          <w:rStyle w:val="StyleBoldUnderline"/>
        </w:rPr>
        <w:t xml:space="preserve">. The Fourth Amendment prohibits unreasonable searches and seizures. Use limitations are neither searches nor seizures, however. They are restrictions on what the government can do with information after it has searched for and seized it. </w:t>
      </w:r>
      <w:r w:rsidRPr="002659FF">
        <w:rPr>
          <w:rStyle w:val="StyleBoldUnderline"/>
          <w:highlight w:val="cyan"/>
        </w:rPr>
        <w:t>There is little in the way of constitutional text</w:t>
      </w:r>
      <w:r w:rsidRPr="00A17106">
        <w:rPr>
          <w:rStyle w:val="StyleBoldUnderline"/>
        </w:rPr>
        <w:t xml:space="preserve">, history, or precedent </w:t>
      </w:r>
      <w:r w:rsidRPr="002659FF">
        <w:rPr>
          <w:rStyle w:val="StyleBoldUnderline"/>
          <w:highlight w:val="cyan"/>
        </w:rPr>
        <w:t>that supports recognizing use restrictions as part of Fourth Amendment protections</w:t>
      </w:r>
      <w:r w:rsidRPr="002659FF">
        <w:rPr>
          <w:sz w:val="16"/>
          <w:highlight w:val="cyan"/>
        </w:rPr>
        <w:t>.</w:t>
      </w:r>
      <w:r w:rsidRPr="00A17106">
        <w:rPr>
          <w:sz w:val="16"/>
        </w:rPr>
        <w:t xml:space="preserve"> Granted, it is possible to creatively reimagine Fourth Amendment law in ways that recognize use restrictions. As far back as 1995, Harold Krent made such an argument. 1 Krent reasoned that obtaining information is a seizure and that the subsequent use of the information— including downstream disclosures of it— could make the seizure “unreasonable.” In other words, instead of saying that searches and seizures occur at a specific time, they could be deemed to occur over a period of time. All uses of information would be required to be reasonable, and courts could distinguish between acceptable and unacceptable uses of information according to their reasonableness. The argument is creative, but I think it is too far a stretch from existing doctrine to expect courts to adopt it. In my view, there are two basic problems. First, </w:t>
      </w:r>
      <w:r w:rsidRPr="00A17106">
        <w:rPr>
          <w:rStyle w:val="StyleBoldUnderline"/>
        </w:rPr>
        <w:t xml:space="preserve">most of the information collected by the government is not protected under current Fourth Amendment law. </w:t>
      </w:r>
      <w:r w:rsidRPr="002659FF">
        <w:rPr>
          <w:rStyle w:val="StyleBoldUnderline"/>
          <w:highlight w:val="cyan"/>
        </w:rPr>
        <w:t>Collecting third-party records is neither a search nor a seizure</w:t>
      </w:r>
      <w:r w:rsidRPr="00A17106">
        <w:rPr>
          <w:rStyle w:val="StyleBoldUnderline"/>
        </w:rPr>
        <w:t xml:space="preserve"> </w:t>
      </w:r>
      <w:r w:rsidRPr="00A17106">
        <w:rPr>
          <w:sz w:val="16"/>
        </w:rPr>
        <w:t xml:space="preserve">(which is why they are frequently collected; information that is protected by the Fourth Amendment is collected only rarely). Under Krent’s proposal, however, presumably </w:t>
      </w:r>
      <w:r w:rsidRPr="00A17106">
        <w:rPr>
          <w:rStyle w:val="StyleBoldUnderline"/>
        </w:rPr>
        <w:t>we would need to overhaul that doctrine to make all evidence collection a seizure to enable courts to then pass on the reasonableness of the seizure</w:t>
      </w:r>
      <w:r w:rsidRPr="00A17106">
        <w:rPr>
          <w:sz w:val="16"/>
        </w:rPr>
        <w:t xml:space="preserve">. If we took that step, however, </w:t>
      </w:r>
      <w:r w:rsidRPr="002659FF">
        <w:rPr>
          <w:rStyle w:val="StyleBoldUnderline"/>
          <w:highlight w:val="cyan"/>
        </w:rPr>
        <w:t>we would need an entirely new doctrine on what seizures are reasonable,</w:t>
      </w:r>
      <w:r w:rsidRPr="00A17106">
        <w:rPr>
          <w:rStyle w:val="StyleBoldUnderline"/>
        </w:rPr>
        <w:t xml:space="preserve"> quite apart from downstream uses. This would require a fairly dramatic overhaul of existing Fourth Amendment law, all to enable use restrictions</w:t>
      </w:r>
      <w:r w:rsidRPr="00A17106">
        <w:rPr>
          <w:sz w:val="16"/>
        </w:rPr>
        <w:t xml:space="preserve">. Second, disclosures of information come in so many shapes and sizes that </w:t>
      </w:r>
      <w:r w:rsidRPr="00A17106">
        <w:rPr>
          <w:rStyle w:val="StyleBoldUnderline"/>
        </w:rPr>
        <w:t>courts would have little basis on which to distinguish reasonable from unreasonable uses. Every database is different, every data point is different, and every disclosure is different</w:t>
      </w:r>
      <w:r w:rsidRPr="00A17106">
        <w:rPr>
          <w:sz w:val="16"/>
        </w:rPr>
        <w:t xml:space="preserve">. The kind of fine-grained </w:t>
      </w:r>
      <w:r w:rsidRPr="00A17106">
        <w:rPr>
          <w:rStyle w:val="StyleBoldUnderline"/>
        </w:rPr>
        <w:t xml:space="preserve">reasonableness inquiry called for by </w:t>
      </w:r>
      <w:r w:rsidRPr="002659FF">
        <w:rPr>
          <w:rStyle w:val="StyleBoldUnderline"/>
          <w:highlight w:val="cyan"/>
        </w:rPr>
        <w:t>Fourth Amendment law would leave judges with few clear guideposts or historical precedents on which to distinguish uses that violate the Fourth Amendment from those that do not</w:t>
      </w:r>
      <w:r w:rsidRPr="00A17106">
        <w:rPr>
          <w:rStyle w:val="StyleBoldUnderline"/>
        </w:rPr>
        <w:t xml:space="preserve">. </w:t>
      </w:r>
      <w:r w:rsidRPr="00A17106">
        <w:rPr>
          <w:sz w:val="16"/>
        </w:rPr>
        <w:t>For both of these reasons</w:t>
      </w:r>
      <w:r w:rsidRPr="00A17106">
        <w:rPr>
          <w:rStyle w:val="StyleBoldUnderline"/>
        </w:rPr>
        <w:t>, recognizing use restrictions in Fourth Amendment law may create more problems than it solves</w:t>
      </w:r>
      <w:r w:rsidRPr="00A17106">
        <w:rPr>
          <w:sz w:val="16"/>
        </w:rPr>
        <w:t>. At the very least, we should not expect courts to take such a leap any time soon. In contrast</w:t>
      </w:r>
      <w:r w:rsidRPr="00A17106">
        <w:rPr>
          <w:rStyle w:val="StyleBoldUnderline"/>
        </w:rPr>
        <w:t xml:space="preserve">, </w:t>
      </w:r>
      <w:r w:rsidRPr="002659FF">
        <w:rPr>
          <w:rStyle w:val="StyleBoldUnderline"/>
          <w:highlight w:val="cyan"/>
        </w:rPr>
        <w:t>legislatures are well equipped to enact use restrictions.</w:t>
      </w:r>
      <w:r w:rsidRPr="00A17106">
        <w:rPr>
          <w:rStyle w:val="StyleBoldUnderline"/>
        </w:rPr>
        <w:t xml:space="preserve"> They can p</w:t>
      </w:r>
      <w:r w:rsidRPr="002659FF">
        <w:rPr>
          <w:rStyle w:val="StyleBoldUnderline"/>
          <w:highlight w:val="cyan"/>
        </w:rPr>
        <w:t xml:space="preserve">romulgate bright-line rules concerning information collected under specific government powers, </w:t>
      </w:r>
      <w:r w:rsidRPr="002659FF">
        <w:rPr>
          <w:rStyle w:val="StyleBoldUnderline"/>
        </w:rPr>
        <w:t>and</w:t>
      </w:r>
      <w:r w:rsidRPr="00A17106">
        <w:rPr>
          <w:rStyle w:val="StyleBoldUnderline"/>
        </w:rPr>
        <w:t xml:space="preserve"> they </w:t>
      </w:r>
      <w:r w:rsidRPr="002659FF">
        <w:rPr>
          <w:rStyle w:val="StyleBoldUnderline"/>
          <w:highlight w:val="cyan"/>
        </w:rPr>
        <w:t>can explain the scope of the limitation and the contexts in which it is triggered</w:t>
      </w:r>
      <w:r w:rsidRPr="00A17106">
        <w:rPr>
          <w:sz w:val="16"/>
        </w:rPr>
        <w:t xml:space="preserve">. Furthermore, </w:t>
      </w:r>
      <w:r w:rsidRPr="00A17106">
        <w:rPr>
          <w:rStyle w:val="StyleBoldUnderline"/>
        </w:rPr>
        <w:t xml:space="preserve">they </w:t>
      </w:r>
      <w:r w:rsidRPr="002659FF">
        <w:rPr>
          <w:rStyle w:val="StyleBoldUnderline"/>
          <w:highlight w:val="cyan"/>
        </w:rPr>
        <w:t>can legislate use restrictions at the same time as they enact the statutes authorizing the evidence collection.</w:t>
      </w:r>
      <w:r w:rsidRPr="00A17106">
        <w:rPr>
          <w:rStyle w:val="StyleBoldUnderline"/>
        </w:rPr>
        <w:t xml:space="preserve"> That way, use restrictions can be a part of the original statutory design, rather than something imposed years later by the</w:t>
      </w:r>
    </w:p>
    <w:p w:rsidR="003B35E3" w:rsidRPr="00A17106" w:rsidRDefault="003B35E3" w:rsidP="003B35E3"/>
    <w:p w:rsidR="003B35E3" w:rsidRPr="00A17106" w:rsidRDefault="003B35E3" w:rsidP="003B35E3">
      <w:pPr>
        <w:pStyle w:val="Heading2"/>
        <w:rPr>
          <w:rFonts w:cs="Times New Roman"/>
        </w:rPr>
      </w:pPr>
      <w:r w:rsidRPr="00A17106">
        <w:rPr>
          <w:rFonts w:cs="Times New Roman"/>
        </w:rPr>
        <w:t xml:space="preserve">State Drafting CP </w:t>
      </w:r>
    </w:p>
    <w:p w:rsidR="003B35E3" w:rsidRPr="00A17106" w:rsidRDefault="003B35E3" w:rsidP="003B35E3">
      <w:pPr>
        <w:pStyle w:val="Heading3"/>
        <w:rPr>
          <w:rFonts w:cs="Times New Roman"/>
        </w:rPr>
      </w:pPr>
      <w:r w:rsidRPr="00A17106">
        <w:rPr>
          <w:rFonts w:cs="Times New Roman"/>
        </w:rPr>
        <w:t>1NC Shell: State Drafting CP</w:t>
      </w:r>
    </w:p>
    <w:p w:rsidR="003B35E3" w:rsidRPr="00A17106" w:rsidRDefault="00A23DBB" w:rsidP="003B35E3">
      <w:pPr>
        <w:pStyle w:val="Heading4"/>
        <w:rPr>
          <w:rFonts w:cs="Times New Roman"/>
        </w:rPr>
      </w:pPr>
      <w:r>
        <w:rPr>
          <w:rFonts w:cs="Times New Roman"/>
        </w:rPr>
        <w:t xml:space="preserve">CP Text: </w:t>
      </w:r>
      <w:r w:rsidR="003B35E3" w:rsidRPr="00A17106">
        <w:rPr>
          <w:rFonts w:cs="Times New Roman"/>
        </w:rPr>
        <w:t>The fifty states and all relevan</w:t>
      </w:r>
      <w:r>
        <w:rPr>
          <w:rFonts w:cs="Times New Roman"/>
        </w:rPr>
        <w:t xml:space="preserve">t territories should draft an amendment </w:t>
      </w:r>
      <w:r w:rsidR="00963B46">
        <w:rPr>
          <w:rFonts w:cs="Times New Roman"/>
        </w:rPr>
        <w:t xml:space="preserve">expressly guaranteeing a </w:t>
      </w:r>
      <w:r>
        <w:rPr>
          <w:rFonts w:cs="Times New Roman"/>
        </w:rPr>
        <w:t>right to informational privacy</w:t>
      </w:r>
      <w:r w:rsidR="003B35E3" w:rsidRPr="00A17106">
        <w:rPr>
          <w:rFonts w:cs="Times New Roman"/>
        </w:rPr>
        <w:t>, then advocate and hold a voluntary convention to engage in a non-</w:t>
      </w:r>
      <w:r w:rsidR="008B0D67">
        <w:rPr>
          <w:rFonts w:cs="Times New Roman"/>
        </w:rPr>
        <w:t xml:space="preserve">binding amendment proposal for this amendment </w:t>
      </w:r>
      <w:r w:rsidR="003B35E3" w:rsidRPr="00A17106">
        <w:rPr>
          <w:rFonts w:cs="Times New Roman"/>
        </w:rPr>
        <w:t xml:space="preserve"> </w:t>
      </w:r>
    </w:p>
    <w:p w:rsidR="003B35E3" w:rsidRPr="00A17106" w:rsidRDefault="003B35E3" w:rsidP="003B35E3"/>
    <w:p w:rsidR="000B1BA4" w:rsidRPr="00A17106" w:rsidRDefault="000B1BA4" w:rsidP="000B1BA4">
      <w:pPr>
        <w:pStyle w:val="Heading4"/>
      </w:pPr>
      <w:r w:rsidRPr="00A17106">
        <w:t>It solves and competes – it’s distinct from regular procedure which shields the link to PTX since Congress isn’t involved</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7" w:history="1">
        <w:r w:rsidRPr="00A17106">
          <w:rPr>
            <w:rStyle w:val="Hyperlink"/>
          </w:rPr>
          <w:t>http://www.virginialawreview.org/sites/virginialawreview.org/files/1509_1.pdf</w:t>
        </w:r>
      </w:hyperlink>
      <w:r w:rsidRPr="00A17106">
        <w:t>, AB)</w:t>
      </w:r>
    </w:p>
    <w:p w:rsidR="000B1BA4" w:rsidRPr="00A17106" w:rsidRDefault="000B1BA4" w:rsidP="000B1BA4">
      <w:pPr>
        <w:rPr>
          <w:sz w:val="16"/>
        </w:rPr>
      </w:pPr>
      <w:r w:rsidRPr="00A17106">
        <w:rPr>
          <w:rStyle w:val="StyleBoldUnderline"/>
        </w:rPr>
        <w:t xml:space="preserve">There is a way to address the defects of the national convention approach. </w:t>
      </w:r>
      <w:r w:rsidRPr="002941C9">
        <w:rPr>
          <w:rStyle w:val="StyleBoldUnderline"/>
          <w:highlight w:val="cyan"/>
        </w:rPr>
        <w:t xml:space="preserve">The nation could adopt an amendment process that avoids the problems of a runaway convention </w:t>
      </w:r>
      <w:r w:rsidRPr="002941C9">
        <w:rPr>
          <w:rStyle w:val="StyleBoldUnderline"/>
        </w:rPr>
        <w:t xml:space="preserve">and most of the other uncertainties </w:t>
      </w:r>
      <w:r w:rsidRPr="002941C9">
        <w:rPr>
          <w:rStyle w:val="StyleBoldUnderline"/>
          <w:highlight w:val="cyan"/>
        </w:rPr>
        <w:t>while also depriving Congress of the ability to block amendments</w:t>
      </w:r>
      <w:r w:rsidRPr="00A17106">
        <w:rPr>
          <w:rStyle w:val="StyleBoldUnderline"/>
        </w:rPr>
        <w:t xml:space="preserve">. </w:t>
      </w:r>
      <w:r w:rsidRPr="00A17106">
        <w:rPr>
          <w:sz w:val="16"/>
        </w:rPr>
        <w:t xml:space="preserve">Under this reformed amendment process, the </w:t>
      </w:r>
      <w:r w:rsidRPr="002941C9">
        <w:rPr>
          <w:rStyle w:val="StyleBoldUnderline"/>
          <w:highlight w:val="cyan"/>
        </w:rPr>
        <w:t>state legislatures would draft the amendment themselves</w:t>
      </w:r>
      <w:r w:rsidRPr="00A17106">
        <w:rPr>
          <w:rStyle w:val="StyleBoldUnderline"/>
        </w:rPr>
        <w:t xml:space="preserve"> rather than have a convention draft it. Once </w:t>
      </w:r>
      <w:r w:rsidRPr="002941C9">
        <w:rPr>
          <w:rStyle w:val="StyleBoldUnderline"/>
          <w:highlight w:val="cyan"/>
        </w:rPr>
        <w:t>two-thirds of the state legislatures</w:t>
      </w:r>
      <w:r w:rsidRPr="00A17106">
        <w:rPr>
          <w:rStyle w:val="StyleBoldUnderline"/>
        </w:rPr>
        <w:t xml:space="preserve"> had </w:t>
      </w:r>
      <w:r w:rsidRPr="002941C9">
        <w:rPr>
          <w:rStyle w:val="StyleBoldUnderline"/>
          <w:highlight w:val="cyan"/>
        </w:rPr>
        <w:t>approve</w:t>
      </w:r>
      <w:r w:rsidRPr="00A17106">
        <w:rPr>
          <w:rStyle w:val="StyleBoldUnderline"/>
        </w:rPr>
        <w:t xml:space="preserve">d </w:t>
      </w:r>
      <w:r w:rsidRPr="002941C9">
        <w:rPr>
          <w:rStyle w:val="StyleBoldUnderline"/>
          <w:highlight w:val="cyan"/>
        </w:rPr>
        <w:t>the same specific language for an amendment</w:t>
      </w:r>
      <w:r w:rsidRPr="00A17106">
        <w:rPr>
          <w:rStyle w:val="StyleBoldUnderline"/>
        </w:rPr>
        <w:t xml:space="preserve">, that amendment would thereby be formally proposed. </w:t>
      </w:r>
      <w:r w:rsidRPr="002941C9">
        <w:rPr>
          <w:rStyle w:val="StyleBoldUnderline"/>
          <w:highlight w:val="cyan"/>
        </w:rPr>
        <w:t>This would trigger the ratification stage</w:t>
      </w:r>
      <w:r w:rsidRPr="00A17106">
        <w:rPr>
          <w:sz w:val="16"/>
        </w:rPr>
        <w:t xml:space="preserve">, which would require, as it does now, three-quarters of the states to ratify a constitutional amendment. This simple version of the reform could be improved in three ways. First, </w:t>
      </w:r>
      <w:r w:rsidRPr="00A17106">
        <w:rPr>
          <w:rStyle w:val="StyleBoldUnderline"/>
        </w:rPr>
        <w:t>to facilitate deliberation and coordination, the amendment process would specifically authorize an advisory convention among the states so that they could discuss, in a nonbinding way, possible amendments to propose</w:t>
      </w:r>
      <w:r w:rsidRPr="00A17106">
        <w:rPr>
          <w:sz w:val="16"/>
        </w:rPr>
        <w:t xml:space="preserve">. Second, to prevent the small states from having excessive power relative to their populations, </w:t>
      </w:r>
      <w:r w:rsidRPr="00A17106">
        <w:rPr>
          <w:rStyle w:val="StyleBoldUnderline"/>
        </w:rPr>
        <w:t xml:space="preserve">the voting rule for ratification should be changed so that </w:t>
      </w:r>
      <w:r w:rsidRPr="002941C9">
        <w:rPr>
          <w:rStyle w:val="StyleBoldUnderline"/>
          <w:highlight w:val="cyan"/>
        </w:rPr>
        <w:t xml:space="preserve">each state’s ratification </w:t>
      </w:r>
      <w:r w:rsidRPr="002941C9">
        <w:rPr>
          <w:rStyle w:val="StyleBoldUnderline"/>
        </w:rPr>
        <w:t xml:space="preserve">does not count equally, but instead is </w:t>
      </w:r>
      <w:r w:rsidRPr="002941C9">
        <w:rPr>
          <w:rStyle w:val="StyleBoldUnderline"/>
          <w:highlight w:val="cyan"/>
        </w:rPr>
        <w:t>measured based on its electoral votes</w:t>
      </w:r>
      <w:r w:rsidRPr="00A17106">
        <w:rPr>
          <w:sz w:val="16"/>
        </w:rPr>
        <w:t xml:space="preserve">. Third, to ensure that the ratification decision is made by a different entity than the state legislatures that propose the amendment, </w:t>
      </w:r>
      <w:r w:rsidRPr="00A17106">
        <w:rPr>
          <w:rStyle w:val="StyleBoldUnderline"/>
        </w:rPr>
        <w:t>ratification would be decided by either state conventions or the people of the states through ballot measures.</w:t>
      </w:r>
      <w:r w:rsidRPr="00A17106">
        <w:rPr>
          <w:sz w:val="16"/>
        </w:rPr>
        <w:t xml:space="preserve"> </w:t>
      </w:r>
    </w:p>
    <w:p w:rsidR="003B35E3" w:rsidRPr="00A17106" w:rsidRDefault="003B35E3" w:rsidP="003B35E3">
      <w:pPr>
        <w:pStyle w:val="Heading3"/>
        <w:rPr>
          <w:rFonts w:cs="Times New Roman"/>
        </w:rPr>
      </w:pPr>
      <w:r w:rsidRPr="00A17106">
        <w:rPr>
          <w:rFonts w:cs="Times New Roman"/>
        </w:rPr>
        <w:t>2NC Solvency: States</w:t>
      </w:r>
    </w:p>
    <w:p w:rsidR="000B1BA4" w:rsidRPr="00A17106" w:rsidRDefault="000B1BA4" w:rsidP="000B1BA4">
      <w:pPr>
        <w:pStyle w:val="Heading4"/>
      </w:pPr>
      <w:r w:rsidRPr="00A17106">
        <w:t xml:space="preserve">Solves from the </w:t>
      </w:r>
      <w:r w:rsidRPr="00C9480C">
        <w:t>states</w:t>
      </w:r>
      <w:r w:rsidRPr="00A17106">
        <w:t xml:space="preserve"> alone</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8"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rPr>
          <w:sz w:val="16"/>
        </w:rPr>
        <w:t xml:space="preserve">In proposing this reform, </w:t>
      </w:r>
      <w:r w:rsidRPr="00A17106">
        <w:rPr>
          <w:rStyle w:val="StyleBoldUnderline"/>
        </w:rPr>
        <w:t>I will rely on the normative approach that I outlined earlier</w:t>
      </w:r>
      <w:r w:rsidRPr="00A17106">
        <w:rPr>
          <w:sz w:val="16"/>
        </w:rPr>
        <w:t xml:space="preserve">. In particular, </w:t>
      </w:r>
      <w:r w:rsidRPr="00A17106">
        <w:rPr>
          <w:rStyle w:val="StyleBoldUnderline"/>
        </w:rPr>
        <w:t>I will assume that the best way to pass constitutional provisions is through a strict supermajority process</w:t>
      </w:r>
      <w:r w:rsidRPr="00A17106">
        <w:rPr>
          <w:sz w:val="16"/>
        </w:rPr>
        <w:t xml:space="preserve"> that uses one entity to propose the amendment and another to ratify it. Yet, I will make one significant adjustment to this normative approach––limiting my proposals to those that are likely to be attractive to state legislatures. As I discuss in the next section, Congress is not likely to amend the Constitution to eliminate its veto, but the </w:t>
      </w:r>
      <w:r w:rsidRPr="005F09E3">
        <w:rPr>
          <w:rStyle w:val="StyleBoldUnderline"/>
          <w:highlight w:val="cyan"/>
        </w:rPr>
        <w:t>state legislatures</w:t>
      </w:r>
      <w:r w:rsidRPr="00A17106">
        <w:rPr>
          <w:rStyle w:val="StyleBoldUnderline"/>
        </w:rPr>
        <w:t xml:space="preserve"> might </w:t>
      </w:r>
      <w:r w:rsidRPr="005F09E3">
        <w:rPr>
          <w:rStyle w:val="StyleBoldUnderline"/>
          <w:highlight w:val="cyan"/>
        </w:rPr>
        <w:t>call a convention to increase their power.</w:t>
      </w:r>
      <w:r w:rsidRPr="00A17106">
        <w:rPr>
          <w:rStyle w:val="StyleBoldUnderline"/>
        </w:rPr>
        <w:t xml:space="preserve"> For state legislatures to do this, however, </w:t>
      </w:r>
      <w:r w:rsidRPr="005F09E3">
        <w:rPr>
          <w:rStyle w:val="StyleBoldUnderline"/>
          <w:highlight w:val="cyan"/>
        </w:rPr>
        <w:t>the amendment procedure</w:t>
      </w:r>
      <w:r w:rsidRPr="00A17106">
        <w:rPr>
          <w:rStyle w:val="StyleBoldUnderline"/>
        </w:rPr>
        <w:t xml:space="preserve"> has to be attractive to them.</w:t>
      </w:r>
      <w:r w:rsidRPr="00A17106">
        <w:rPr>
          <w:sz w:val="16"/>
        </w:rPr>
        <w:t>116 My goal in this Article is not merely to explore the normative defects of the broken convention process</w:t>
      </w:r>
      <w:r w:rsidRPr="00A17106">
        <w:rPr>
          <w:rStyle w:val="StyleBoldUnderline"/>
        </w:rPr>
        <w:t xml:space="preserve">. It is also to </w:t>
      </w:r>
      <w:r w:rsidRPr="005F09E3">
        <w:rPr>
          <w:rStyle w:val="StyleBoldUnderline"/>
          <w:highlight w:val="cyan"/>
        </w:rPr>
        <w:t>show that a reform is available that would solve the problem</w:t>
      </w:r>
      <w:r w:rsidRPr="00A17106">
        <w:rPr>
          <w:rStyle w:val="StyleBoldUnderline"/>
        </w:rPr>
        <w:t xml:space="preserve"> </w:t>
      </w:r>
      <w:r w:rsidRPr="005F09E3">
        <w:rPr>
          <w:rStyle w:val="StyleBoldUnderline"/>
          <w:highlight w:val="cyan"/>
        </w:rPr>
        <w:t>and</w:t>
      </w:r>
      <w:r w:rsidRPr="00A17106">
        <w:rPr>
          <w:rStyle w:val="StyleBoldUnderline"/>
        </w:rPr>
        <w:t xml:space="preserve"> that could conceivably </w:t>
      </w:r>
      <w:r w:rsidRPr="005F09E3">
        <w:rPr>
          <w:rStyle w:val="StyleBoldUnderline"/>
          <w:highlight w:val="cyan"/>
        </w:rPr>
        <w:t>be enacted under the existing system</w:t>
      </w:r>
      <w:r w:rsidRPr="00A17106">
        <w:rPr>
          <w:sz w:val="16"/>
        </w:rPr>
        <w:t xml:space="preserve">. Thus, </w:t>
      </w:r>
      <w:r w:rsidRPr="00A17106">
        <w:rPr>
          <w:rStyle w:val="StyleBoldUnderline"/>
        </w:rPr>
        <w:t xml:space="preserve">focusing on reforms that might be adopted is not an arbitrary limitation, but one that is essential to my purposes. </w:t>
      </w:r>
    </w:p>
    <w:p w:rsidR="000B1BA4" w:rsidRPr="00A17106" w:rsidRDefault="000B1BA4" w:rsidP="000B1BA4">
      <w:pPr>
        <w:pStyle w:val="Heading4"/>
      </w:pPr>
      <w:r w:rsidRPr="00A17106">
        <w:t xml:space="preserve">It solves and </w:t>
      </w:r>
      <w:r w:rsidRPr="00C9480C">
        <w:t>ensures</w:t>
      </w:r>
      <w:r w:rsidRPr="00A17106">
        <w:t xml:space="preserve"> passage</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9" w:history="1">
        <w:r w:rsidRPr="00A17106">
          <w:rPr>
            <w:rStyle w:val="Hyperlink"/>
          </w:rPr>
          <w:t>http://www.virginialawreview.org/sites/virginialawreview.org/files/1509_1.pdf</w:t>
        </w:r>
      </w:hyperlink>
      <w:r w:rsidRPr="00A17106">
        <w:t>, AB)</w:t>
      </w:r>
    </w:p>
    <w:p w:rsidR="000B1BA4" w:rsidRPr="00A17106" w:rsidRDefault="000B1BA4" w:rsidP="000B1BA4">
      <w:r w:rsidRPr="00A17106">
        <w:rPr>
          <w:rStyle w:val="StyleBoldUnderline"/>
        </w:rPr>
        <w:t xml:space="preserve">The overall effect of the </w:t>
      </w:r>
      <w:r w:rsidRPr="005F09E3">
        <w:rPr>
          <w:rStyle w:val="StyleBoldUnderline"/>
          <w:highlight w:val="cyan"/>
        </w:rPr>
        <w:t>political controls</w:t>
      </w:r>
      <w:r w:rsidRPr="00A17106">
        <w:rPr>
          <w:rStyle w:val="StyleBoldUnderline"/>
        </w:rPr>
        <w:t xml:space="preserve"> would be significan</w:t>
      </w:r>
      <w:r w:rsidRPr="00A17106">
        <w:t xml:space="preserve">t. In my view, </w:t>
      </w:r>
      <w:r w:rsidRPr="00A17106">
        <w:rPr>
          <w:rStyle w:val="StyleBoldUnderline"/>
        </w:rPr>
        <w:t xml:space="preserve">they </w:t>
      </w:r>
      <w:r w:rsidRPr="005F09E3">
        <w:rPr>
          <w:rStyle w:val="StyleBoldUnderline"/>
          <w:highlight w:val="cyan"/>
        </w:rPr>
        <w:t xml:space="preserve">would operate to </w:t>
      </w:r>
      <w:r w:rsidRPr="005F09E3">
        <w:rPr>
          <w:rStyle w:val="StyleBoldUnderline"/>
        </w:rPr>
        <w:t>strongly discourage the passage of nonconforming amendments and</w:t>
      </w:r>
      <w:r w:rsidRPr="00A17106">
        <w:rPr>
          <w:rStyle w:val="StyleBoldUnderline"/>
        </w:rPr>
        <w:t xml:space="preserve"> to </w:t>
      </w:r>
      <w:r w:rsidRPr="005F09E3">
        <w:rPr>
          <w:rStyle w:val="StyleBoldUnderline"/>
          <w:highlight w:val="cyan"/>
        </w:rPr>
        <w:t>provide a reasonably strong chance that a state drafting amendment</w:t>
      </w:r>
      <w:r w:rsidRPr="00A17106">
        <w:rPr>
          <w:rStyle w:val="StyleBoldUnderline"/>
        </w:rPr>
        <w:t xml:space="preserve"> would</w:t>
      </w:r>
      <w:r w:rsidRPr="00A17106">
        <w:t>, if it were actually popular</w:t>
      </w:r>
      <w:r w:rsidRPr="00A17106">
        <w:rPr>
          <w:rStyle w:val="StyleBoldUnderline"/>
        </w:rPr>
        <w:t xml:space="preserve">, </w:t>
      </w:r>
      <w:r w:rsidRPr="005F09E3">
        <w:rPr>
          <w:rStyle w:val="StyleBoldUnderline"/>
          <w:highlight w:val="cyan"/>
        </w:rPr>
        <w:t>be enacted</w:t>
      </w:r>
      <w:r w:rsidRPr="00A17106">
        <w:t xml:space="preserve">. While there is no single aspect of the process that guarantees these results, the </w:t>
      </w:r>
      <w:r w:rsidRPr="00A17106">
        <w:rPr>
          <w:rStyle w:val="StyleBoldUnderline"/>
        </w:rPr>
        <w:t>combination of effects is likely to be powerful.</w:t>
      </w:r>
      <w:r w:rsidRPr="00A17106">
        <w:t xml:space="preserve"> First, </w:t>
      </w:r>
      <w:r w:rsidRPr="005F09E3">
        <w:rPr>
          <w:rStyle w:val="StyleBoldUnderline"/>
          <w:highlight w:val="cyan"/>
        </w:rPr>
        <w:t>the state agreement largely eliminates the coordination problems</w:t>
      </w:r>
      <w:r w:rsidRPr="00A17106">
        <w:t xml:space="preserve"> and therefore assures that if two-thirds of the states apply, a convention will be called. Second, </w:t>
      </w:r>
      <w:r w:rsidRPr="00A17106">
        <w:rPr>
          <w:rStyle w:val="StyleBoldUnderline"/>
        </w:rPr>
        <w:t>the joint strategy of the states to write a specific amendment</w:t>
      </w:r>
      <w:r w:rsidRPr="00A17106">
        <w:t xml:space="preserve">, </w:t>
      </w:r>
      <w:r w:rsidRPr="00A17106">
        <w:rPr>
          <w:rStyle w:val="StyleBoldUnderline"/>
        </w:rPr>
        <w:t>to announce that a runaway convention would be illegal</w:t>
      </w:r>
      <w:r w:rsidRPr="00A17106">
        <w:t xml:space="preserve"> and improper</w:t>
      </w:r>
      <w:r w:rsidRPr="00A17106">
        <w:rPr>
          <w:rStyle w:val="StyleBoldUnderline"/>
        </w:rPr>
        <w:t xml:space="preserve">, </w:t>
      </w:r>
      <w:r w:rsidRPr="005F09E3">
        <w:rPr>
          <w:rStyle w:val="StyleBoldUnderline"/>
          <w:highlight w:val="cyan"/>
        </w:rPr>
        <w:t>to select sympathetic convention delegates</w:t>
      </w:r>
      <w:r w:rsidRPr="00A17106">
        <w:t xml:space="preserve">, </w:t>
      </w:r>
      <w:r w:rsidRPr="005F09E3">
        <w:rPr>
          <w:rStyle w:val="StyleBoldUnderline"/>
          <w:highlight w:val="cyan"/>
        </w:rPr>
        <w:t>and</w:t>
      </w:r>
      <w:r w:rsidRPr="00A17106">
        <w:rPr>
          <w:rStyle w:val="StyleBoldUnderline"/>
        </w:rPr>
        <w:t xml:space="preserve"> to </w:t>
      </w:r>
      <w:r w:rsidRPr="005F09E3">
        <w:rPr>
          <w:rStyle w:val="StyleBoldUnderline"/>
          <w:highlight w:val="cyan"/>
        </w:rPr>
        <w:t>attempt to block any nonconforming amendment</w:t>
      </w:r>
      <w:r w:rsidRPr="00A17106">
        <w:t xml:space="preserve"> at the ratification stage </w:t>
      </w:r>
      <w:r w:rsidRPr="005F09E3">
        <w:rPr>
          <w:rStyle w:val="StyleBoldUnderline"/>
          <w:highlight w:val="cyan"/>
        </w:rPr>
        <w:t>should have a</w:t>
      </w:r>
      <w:r w:rsidRPr="00A17106">
        <w:rPr>
          <w:rStyle w:val="StyleBoldUnderline"/>
        </w:rPr>
        <w:t xml:space="preserve"> </w:t>
      </w:r>
      <w:r w:rsidRPr="005F09E3">
        <w:rPr>
          <w:rStyle w:val="StyleBoldUnderline"/>
          <w:highlight w:val="cyan"/>
        </w:rPr>
        <w:t>significant effect in</w:t>
      </w:r>
      <w:r w:rsidRPr="00A17106">
        <w:rPr>
          <w:rStyle w:val="StyleBoldUnderline"/>
        </w:rPr>
        <w:t xml:space="preserve"> both </w:t>
      </w:r>
      <w:r w:rsidRPr="005F09E3">
        <w:rPr>
          <w:rStyle w:val="StyleBoldUnderline"/>
          <w:highlight w:val="cyan"/>
        </w:rPr>
        <w:t>blocking</w:t>
      </w:r>
      <w:r w:rsidRPr="00A17106">
        <w:rPr>
          <w:rStyle w:val="StyleBoldUnderline"/>
        </w:rPr>
        <w:t xml:space="preserve"> a </w:t>
      </w:r>
      <w:r w:rsidRPr="005F09E3">
        <w:rPr>
          <w:rStyle w:val="StyleBoldUnderline"/>
          <w:highlight w:val="cyan"/>
        </w:rPr>
        <w:t>runaway convention and</w:t>
      </w:r>
      <w:r w:rsidRPr="00A17106">
        <w:rPr>
          <w:rStyle w:val="StyleBoldUnderline"/>
        </w:rPr>
        <w:t xml:space="preserve"> in </w:t>
      </w:r>
      <w:r w:rsidRPr="005F09E3">
        <w:rPr>
          <w:rStyle w:val="StyleBoldUnderline"/>
          <w:highlight w:val="cyan"/>
        </w:rPr>
        <w:t>promot</w:t>
      </w:r>
      <w:r w:rsidRPr="00A17106">
        <w:rPr>
          <w:rStyle w:val="StyleBoldUnderline"/>
        </w:rPr>
        <w:t>ing passage of t</w:t>
      </w:r>
      <w:r w:rsidRPr="005F09E3">
        <w:rPr>
          <w:rStyle w:val="StyleBoldUnderline"/>
          <w:highlight w:val="cyan"/>
        </w:rPr>
        <w:t>he state drafting amendment</w:t>
      </w:r>
      <w:r w:rsidRPr="005F09E3">
        <w:rPr>
          <w:highlight w:val="cyan"/>
        </w:rPr>
        <w:t>.</w:t>
      </w:r>
      <w:r w:rsidRPr="00A17106">
        <w:t xml:space="preserve"> </w:t>
      </w:r>
    </w:p>
    <w:p w:rsidR="003B35E3" w:rsidRPr="00A17106" w:rsidRDefault="003B35E3" w:rsidP="003B35E3">
      <w:pPr>
        <w:pStyle w:val="Heading3"/>
        <w:rPr>
          <w:rFonts w:cs="Times New Roman"/>
        </w:rPr>
      </w:pPr>
      <w:r w:rsidRPr="00A17106">
        <w:rPr>
          <w:rFonts w:cs="Times New Roman"/>
        </w:rPr>
        <w:t>2NC Solvency: Coordination</w:t>
      </w:r>
    </w:p>
    <w:p w:rsidR="000B1BA4" w:rsidRPr="00A17106" w:rsidRDefault="000B1BA4" w:rsidP="000B1BA4">
      <w:pPr>
        <w:pStyle w:val="Heading4"/>
      </w:pPr>
      <w:r>
        <w:t>The CP solves coordination problems</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0"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t xml:space="preserve">The </w:t>
      </w:r>
      <w:r w:rsidRPr="00156B81">
        <w:rPr>
          <w:rStyle w:val="StyleBoldUnderline"/>
          <w:highlight w:val="cyan"/>
        </w:rPr>
        <w:t>state legislatures</w:t>
      </w:r>
      <w:r w:rsidRPr="00A17106">
        <w:rPr>
          <w:rStyle w:val="StyleBoldUnderline"/>
        </w:rPr>
        <w:t xml:space="preserve"> could </w:t>
      </w:r>
      <w:r w:rsidRPr="00156B81">
        <w:rPr>
          <w:rStyle w:val="StyleBoldUnderline"/>
        </w:rPr>
        <w:t>address</w:t>
      </w:r>
      <w:r w:rsidRPr="00A17106">
        <w:rPr>
          <w:rStyle w:val="StyleBoldUnderline"/>
        </w:rPr>
        <w:t xml:space="preserve"> these difficulties by combining elements of the state drafting procedure with the existing national convention approac</w:t>
      </w:r>
      <w:r w:rsidRPr="00A17106">
        <w:t xml:space="preserve">h. First, the </w:t>
      </w:r>
      <w:r w:rsidRPr="00A17106">
        <w:rPr>
          <w:rStyle w:val="StyleBoldUnderline"/>
        </w:rPr>
        <w:t xml:space="preserve">states </w:t>
      </w:r>
      <w:r w:rsidRPr="00156B81">
        <w:rPr>
          <w:rStyle w:val="StyleBoldUnderline"/>
          <w:highlight w:val="cyan"/>
        </w:rPr>
        <w:t>should hold a</w:t>
      </w:r>
      <w:r w:rsidRPr="00A17106">
        <w:rPr>
          <w:rStyle w:val="StyleBoldUnderline"/>
        </w:rPr>
        <w:t xml:space="preserve"> </w:t>
      </w:r>
      <w:r w:rsidRPr="00156B81">
        <w:rPr>
          <w:rStyle w:val="StyleBoldUnderline"/>
          <w:highlight w:val="cyan"/>
        </w:rPr>
        <w:t>voluntary convention</w:t>
      </w:r>
      <w:r w:rsidRPr="00A17106">
        <w:rPr>
          <w:rStyle w:val="StyleBoldUnderline"/>
        </w:rPr>
        <w:t xml:space="preserve"> in order </w:t>
      </w:r>
      <w:r w:rsidRPr="00156B81">
        <w:rPr>
          <w:rStyle w:val="StyleBoldUnderline"/>
          <w:highlight w:val="cyan"/>
        </w:rPr>
        <w:t>to agree on a</w:t>
      </w:r>
      <w:r w:rsidRPr="00A17106">
        <w:rPr>
          <w:rStyle w:val="StyleBoldUnderline"/>
        </w:rPr>
        <w:t xml:space="preserve"> single </w:t>
      </w:r>
      <w:r w:rsidRPr="00156B81">
        <w:rPr>
          <w:rStyle w:val="StyleBoldUnderline"/>
          <w:highlight w:val="cyan"/>
        </w:rPr>
        <w:t>specific amendment and</w:t>
      </w:r>
      <w:r w:rsidRPr="00A17106">
        <w:rPr>
          <w:rStyle w:val="StyleBoldUnderline"/>
        </w:rPr>
        <w:t xml:space="preserve"> a </w:t>
      </w:r>
      <w:r w:rsidRPr="00156B81">
        <w:rPr>
          <w:rStyle w:val="StyleBoldUnderline"/>
          <w:highlight w:val="cyan"/>
        </w:rPr>
        <w:t>strategy for adopting it</w:t>
      </w:r>
      <w:r w:rsidRPr="00156B81">
        <w:rPr>
          <w:highlight w:val="cyan"/>
        </w:rPr>
        <w:t>.</w:t>
      </w:r>
      <w:r w:rsidRPr="00A17106">
        <w:t xml:space="preserve"> By proposing a single specific amendment, </w:t>
      </w:r>
      <w:r w:rsidRPr="00A17106">
        <w:rPr>
          <w:rStyle w:val="StyleBoldUnderline"/>
        </w:rPr>
        <w:t xml:space="preserve">the states would significantly </w:t>
      </w:r>
      <w:r w:rsidRPr="00156B81">
        <w:rPr>
          <w:rStyle w:val="StyleBoldUnderline"/>
          <w:highlight w:val="cyan"/>
        </w:rPr>
        <w:t>reduce the coordination problems among the states and between the states and Congress</w:t>
      </w:r>
      <w:r w:rsidRPr="00A17106">
        <w:t xml:space="preserve">. With two-thirds of the state legislatures calling for the exact same amendment, </w:t>
      </w:r>
      <w:r w:rsidRPr="00156B81">
        <w:rPr>
          <w:rStyle w:val="StyleBoldUnderline"/>
        </w:rPr>
        <w:t>Congress would have no discretion to argue that the applications were not for the same subject.</w:t>
      </w:r>
    </w:p>
    <w:p w:rsidR="003B35E3" w:rsidRPr="00A17106" w:rsidRDefault="003B35E3" w:rsidP="003B35E3"/>
    <w:p w:rsidR="003B35E3" w:rsidRPr="00A17106" w:rsidRDefault="003B35E3" w:rsidP="003B35E3">
      <w:pPr>
        <w:pStyle w:val="Heading3"/>
        <w:rPr>
          <w:rFonts w:cs="Times New Roman"/>
        </w:rPr>
      </w:pPr>
      <w:r w:rsidRPr="00A17106">
        <w:rPr>
          <w:rFonts w:cs="Times New Roman"/>
        </w:rPr>
        <w:t>AT: CP = Watered Down</w:t>
      </w:r>
    </w:p>
    <w:p w:rsidR="000B1BA4" w:rsidRPr="00A17106" w:rsidRDefault="000B1BA4" w:rsidP="000B1BA4">
      <w:pPr>
        <w:pStyle w:val="Heading4"/>
      </w:pPr>
      <w:r w:rsidRPr="00A17106">
        <w:t xml:space="preserve">No deficits, reforms are </w:t>
      </w:r>
      <w:r w:rsidRPr="00C9480C">
        <w:t>just</w:t>
      </w:r>
      <w:r w:rsidRPr="00A17106">
        <w:t xml:space="preserve"> as successful and any issues are insignificant</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1" w:history="1">
        <w:r w:rsidRPr="00A17106">
          <w:rPr>
            <w:rStyle w:val="Hyperlink"/>
          </w:rPr>
          <w:t>http://www.virginialawreview.org/sites/virginialawreview.org/files/1509_1.pdf</w:t>
        </w:r>
      </w:hyperlink>
      <w:r w:rsidRPr="00A17106">
        <w:t>, AB)</w:t>
      </w:r>
    </w:p>
    <w:p w:rsidR="000B1BA4" w:rsidRPr="00A17106" w:rsidRDefault="000B1BA4" w:rsidP="000B1BA4">
      <w:pPr>
        <w:rPr>
          <w:sz w:val="16"/>
        </w:rPr>
      </w:pPr>
      <w:r w:rsidRPr="00A17106">
        <w:rPr>
          <w:sz w:val="16"/>
        </w:rPr>
        <w:t xml:space="preserve">Obviously, </w:t>
      </w:r>
      <w:r w:rsidRPr="00A17106">
        <w:rPr>
          <w:rStyle w:val="StyleBoldUnderline"/>
        </w:rPr>
        <w:t xml:space="preserve">this </w:t>
      </w:r>
      <w:r w:rsidRPr="007A565F">
        <w:rPr>
          <w:rStyle w:val="StyleBoldUnderline"/>
          <w:highlight w:val="cyan"/>
        </w:rPr>
        <w:t>focus places limits on the normative attractiveness</w:t>
      </w:r>
      <w:r w:rsidRPr="007A565F">
        <w:rPr>
          <w:sz w:val="16"/>
          <w:highlight w:val="cyan"/>
        </w:rPr>
        <w:t xml:space="preserve"> </w:t>
      </w:r>
      <w:r w:rsidRPr="007A565F">
        <w:rPr>
          <w:rStyle w:val="StyleBoldUnderline"/>
          <w:highlight w:val="cyan"/>
        </w:rPr>
        <w:t>of the reforms</w:t>
      </w:r>
      <w:r w:rsidRPr="00A17106">
        <w:rPr>
          <w:rStyle w:val="StyleBoldUnderline"/>
        </w:rPr>
        <w:t xml:space="preserve"> that are available</w:t>
      </w:r>
      <w:r w:rsidRPr="00A17106">
        <w:rPr>
          <w:sz w:val="16"/>
        </w:rPr>
        <w:t>. If the state legislatures would be unwilling to enact good reforms, then no good reform could occur. Fortunately</w:t>
      </w:r>
      <w:r w:rsidRPr="00A17106">
        <w:rPr>
          <w:rStyle w:val="StyleBoldUnderline"/>
        </w:rPr>
        <w:t>, I do not believe this is a significant problem</w:t>
      </w:r>
      <w:r w:rsidRPr="00A17106">
        <w:rPr>
          <w:sz w:val="16"/>
        </w:rPr>
        <w:t>. Given my assumption that a strict supermajoritarian process that uses two entities is desirable</w:t>
      </w:r>
      <w:r w:rsidRPr="00A17106">
        <w:rPr>
          <w:rStyle w:val="StyleBoldUnderline"/>
        </w:rPr>
        <w:t xml:space="preserve">, </w:t>
      </w:r>
      <w:r w:rsidRPr="007A565F">
        <w:rPr>
          <w:rStyle w:val="StyleBoldUnderline"/>
          <w:highlight w:val="cyan"/>
        </w:rPr>
        <w:t>the reform</w:t>
      </w:r>
      <w:r w:rsidRPr="00A17106">
        <w:rPr>
          <w:rStyle w:val="StyleBoldUnderline"/>
        </w:rPr>
        <w:t xml:space="preserve"> I propose here </w:t>
      </w:r>
      <w:r w:rsidRPr="007A565F">
        <w:rPr>
          <w:rStyle w:val="StyleBoldUnderline"/>
          <w:highlight w:val="cyan"/>
        </w:rPr>
        <w:t>is</w:t>
      </w:r>
      <w:r w:rsidRPr="00A17106">
        <w:rPr>
          <w:rStyle w:val="StyleBoldUnderline"/>
        </w:rPr>
        <w:t xml:space="preserve"> </w:t>
      </w:r>
      <w:r w:rsidRPr="00A17106">
        <w:rPr>
          <w:sz w:val="16"/>
        </w:rPr>
        <w:t xml:space="preserve">close to what one might regard as the </w:t>
      </w:r>
      <w:r w:rsidRPr="007A565F">
        <w:rPr>
          <w:rStyle w:val="StyleBoldUnderline"/>
          <w:highlight w:val="cyan"/>
        </w:rPr>
        <w:t>ideal</w:t>
      </w:r>
      <w:r w:rsidRPr="00A17106">
        <w:rPr>
          <w:sz w:val="16"/>
        </w:rPr>
        <w:t xml:space="preserve">. While the need for state legislative enthusiasm does require adopting a less than ideal approach, </w:t>
      </w:r>
      <w:r w:rsidRPr="007A565F">
        <w:rPr>
          <w:rStyle w:val="StyleBoldUnderline"/>
          <w:highlight w:val="cyan"/>
        </w:rPr>
        <w:t>the defects are not so large as to make the proposal unattractive</w:t>
      </w:r>
      <w:r w:rsidRPr="007A565F">
        <w:rPr>
          <w:sz w:val="16"/>
          <w:highlight w:val="cyan"/>
        </w:rPr>
        <w:t>.</w:t>
      </w:r>
      <w:r w:rsidRPr="00A17106">
        <w:rPr>
          <w:sz w:val="16"/>
        </w:rPr>
        <w:t xml:space="preserve"> The best is sometimes the enemy of the good. It makes sense, however, to address these possibly superior alternatives, which state legislatures are unlikely to adopt, after discussing the reform proposal. </w:t>
      </w:r>
    </w:p>
    <w:p w:rsidR="003B35E3" w:rsidRPr="00A17106" w:rsidRDefault="003B35E3" w:rsidP="003B35E3">
      <w:pPr>
        <w:pStyle w:val="Heading3"/>
        <w:rPr>
          <w:rFonts w:cs="Times New Roman"/>
        </w:rPr>
      </w:pPr>
      <w:r w:rsidRPr="00A17106">
        <w:rPr>
          <w:rFonts w:cs="Times New Roman"/>
        </w:rPr>
        <w:t>AT: Runaways bad / Links to PTX</w:t>
      </w:r>
    </w:p>
    <w:p w:rsidR="000B1BA4" w:rsidRPr="00A17106" w:rsidRDefault="000B1BA4" w:rsidP="000B1BA4">
      <w:pPr>
        <w:pStyle w:val="Heading4"/>
      </w:pPr>
      <w:r w:rsidRPr="00A17106">
        <w:t xml:space="preserve">Solves and </w:t>
      </w:r>
      <w:r w:rsidRPr="00C9480C">
        <w:t>ensures</w:t>
      </w:r>
      <w:r w:rsidRPr="00A17106">
        <w:t xml:space="preserve"> no runaway failure or Congressional backlash</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2"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rPr>
          <w:sz w:val="16"/>
        </w:rPr>
        <w:t xml:space="preserve">To address this problem, </w:t>
      </w:r>
      <w:r w:rsidRPr="00A17106">
        <w:rPr>
          <w:rStyle w:val="StyleBoldUnderline"/>
        </w:rPr>
        <w:t xml:space="preserve">it would be useful for </w:t>
      </w:r>
      <w:r w:rsidRPr="007A565F">
        <w:rPr>
          <w:rStyle w:val="StyleBoldUnderline"/>
          <w:highlight w:val="cyan"/>
        </w:rPr>
        <w:t>the states to hold a convention</w:t>
      </w:r>
      <w:r w:rsidRPr="00A17106">
        <w:rPr>
          <w:rStyle w:val="StyleBoldUnderline"/>
        </w:rPr>
        <w:t>,</w:t>
      </w:r>
      <w:r w:rsidRPr="00A17106">
        <w:rPr>
          <w:sz w:val="16"/>
        </w:rPr>
        <w:t xml:space="preserve"> but to do </w:t>
      </w:r>
      <w:r w:rsidRPr="00A17106">
        <w:rPr>
          <w:rStyle w:val="StyleBoldUnderline"/>
        </w:rPr>
        <w:t xml:space="preserve">so in a way that </w:t>
      </w:r>
      <w:r w:rsidRPr="007A565F">
        <w:rPr>
          <w:rStyle w:val="StyleBoldUnderline"/>
          <w:highlight w:val="cyan"/>
        </w:rPr>
        <w:t>avoids the pitfalls of the existing convention method</w:t>
      </w:r>
      <w:r w:rsidRPr="00A17106">
        <w:rPr>
          <w:sz w:val="16"/>
        </w:rPr>
        <w:t xml:space="preserve">. The </w:t>
      </w:r>
      <w:r w:rsidRPr="00A17106">
        <w:rPr>
          <w:rStyle w:val="StyleBoldUnderline"/>
        </w:rPr>
        <w:t>Constitution ought to authorize conventions that are both voluntary and advisory. A group of states could choose to hold a convention whenever they deemed it advisable</w:t>
      </w:r>
      <w:r w:rsidRPr="00A17106">
        <w:rPr>
          <w:sz w:val="16"/>
        </w:rPr>
        <w:t xml:space="preserve">, but no state would be required to attend. </w:t>
      </w:r>
      <w:r w:rsidRPr="007A565F">
        <w:rPr>
          <w:rStyle w:val="StyleBoldUnderline"/>
          <w:highlight w:val="cyan"/>
        </w:rPr>
        <w:t>The convention would not have any binding powers</w:t>
      </w:r>
      <w:r w:rsidRPr="00A17106">
        <w:rPr>
          <w:sz w:val="16"/>
        </w:rPr>
        <w:t xml:space="preserve">. Instead, it would allow the states to debate the merits of different proposals. It would also allow them to assess the popularity of different proposals and to compromise on a single amendment to be considered by each state legislature. </w:t>
      </w:r>
      <w:r w:rsidRPr="007A565F">
        <w:rPr>
          <w:rStyle w:val="StyleBoldUnderline"/>
          <w:highlight w:val="cyan"/>
        </w:rPr>
        <w:t xml:space="preserve">A successful convention would endorse a single proposal that each state legislature could </w:t>
      </w:r>
      <w:r w:rsidRPr="007A565F">
        <w:rPr>
          <w:rStyle w:val="StyleBoldUnderline"/>
        </w:rPr>
        <w:t>then</w:t>
      </w:r>
      <w:r w:rsidRPr="007A565F">
        <w:rPr>
          <w:rStyle w:val="StyleBoldUnderline"/>
          <w:highlight w:val="cyan"/>
        </w:rPr>
        <w:t xml:space="preserve"> approve.</w:t>
      </w:r>
      <w:r w:rsidRPr="00A17106">
        <w:rPr>
          <w:rStyle w:val="StyleBoldUnderline"/>
        </w:rPr>
        <w:t xml:space="preserve"> This type of convention would avoid the problems that afflict national conventions under the existing convention approach. First, </w:t>
      </w:r>
      <w:r w:rsidRPr="007A565F">
        <w:rPr>
          <w:rStyle w:val="StyleBoldUnderline"/>
          <w:highlight w:val="cyan"/>
        </w:rPr>
        <w:t>it could not result in a runaway convention</w:t>
      </w:r>
      <w:r w:rsidRPr="00A17106">
        <w:rPr>
          <w:sz w:val="16"/>
        </w:rPr>
        <w:t>. The convention itself would have no power and its endorsement therefore could not allow a proposal to avoid state scrutiny. There also could be no runaway convention because</w:t>
      </w:r>
      <w:r w:rsidRPr="00A17106">
        <w:rPr>
          <w:rStyle w:val="StyleBoldUnderline"/>
        </w:rPr>
        <w:t xml:space="preserve"> proposals would result only from the actions of the state legislatures. </w:t>
      </w:r>
      <w:r w:rsidRPr="00A17106">
        <w:rPr>
          <w:sz w:val="16"/>
        </w:rPr>
        <w:t xml:space="preserve">Second, calling a convention </w:t>
      </w:r>
      <w:r w:rsidRPr="007A565F">
        <w:rPr>
          <w:rStyle w:val="StyleBoldUnderline"/>
          <w:highlight w:val="cyan"/>
        </w:rPr>
        <w:t>would not require the states to agree on a single subject</w:t>
      </w:r>
      <w:r w:rsidRPr="00A17106">
        <w:rPr>
          <w:sz w:val="16"/>
        </w:rPr>
        <w:t>. A convention would not require specification of a subject and the delegates could discuss whatever they deemed important. But be</w:t>
      </w:r>
      <w:r w:rsidRPr="00A17106">
        <w:rPr>
          <w:rStyle w:val="StyleBoldUnderline"/>
        </w:rPr>
        <w:t xml:space="preserve">cause the convention would have no power, </w:t>
      </w:r>
      <w:r w:rsidRPr="007A565F">
        <w:rPr>
          <w:rStyle w:val="StyleBoldUnderline"/>
          <w:highlight w:val="cyan"/>
        </w:rPr>
        <w:t>it would have an incentive to discuss subjects that the state legislatures were interested in.</w:t>
      </w:r>
      <w:r w:rsidRPr="00A17106">
        <w:rPr>
          <w:rStyle w:val="StyleBoldUnderline"/>
        </w:rPr>
        <w:t xml:space="preserve"> Third, </w:t>
      </w:r>
      <w:r w:rsidRPr="007A565F">
        <w:rPr>
          <w:rStyle w:val="StyleBoldUnderline"/>
          <w:highlight w:val="cyan"/>
        </w:rPr>
        <w:t>there would be no need for the convention to agree on specific voting rules or voting rights</w:t>
      </w:r>
      <w:r w:rsidRPr="007A565F">
        <w:rPr>
          <w:sz w:val="16"/>
          <w:highlight w:val="cyan"/>
        </w:rPr>
        <w:t>.</w:t>
      </w:r>
      <w:r w:rsidRPr="00A17106">
        <w:rPr>
          <w:sz w:val="16"/>
        </w:rPr>
        <w:t xml:space="preserve"> While the convention might want to do so, nothing significant would turn on it since it would be an advisory body. The convention could report its votes in a variety ways, tabulating them based on state population, state equality, or some combination. With this information, the </w:t>
      </w:r>
      <w:r w:rsidRPr="00A17106">
        <w:rPr>
          <w:rStyle w:val="StyleBoldUnderline"/>
        </w:rPr>
        <w:t>state legislatures would then be in a position to determine which proposals had significant support and to decide whether to formally endorse those proposals.</w:t>
      </w:r>
      <w:r w:rsidRPr="00A17106">
        <w:rPr>
          <w:sz w:val="16"/>
        </w:rPr>
        <w:t xml:space="preserve"> Finally, </w:t>
      </w:r>
      <w:r w:rsidRPr="007A565F">
        <w:rPr>
          <w:rStyle w:val="StyleBoldUnderline"/>
          <w:highlight w:val="cyan"/>
        </w:rPr>
        <w:t>there would be no problem of congressional sabotage of the convention because Congress would have no authority over it</w:t>
      </w:r>
      <w:r w:rsidRPr="00A17106">
        <w:rPr>
          <w:rStyle w:val="StyleBoldUnderline"/>
        </w:rPr>
        <w:t xml:space="preserve">. </w:t>
      </w:r>
    </w:p>
    <w:p w:rsidR="003B35E3" w:rsidRPr="00A17106" w:rsidRDefault="003B35E3" w:rsidP="003B35E3">
      <w:pPr>
        <w:pStyle w:val="Heading3"/>
        <w:rPr>
          <w:rFonts w:cs="Times New Roman"/>
        </w:rPr>
      </w:pPr>
      <w:r w:rsidRPr="00A17106">
        <w:rPr>
          <w:rFonts w:cs="Times New Roman"/>
        </w:rPr>
        <w:t>AT: Links to PTX</w:t>
      </w:r>
    </w:p>
    <w:p w:rsidR="000B1BA4" w:rsidRPr="00A17106" w:rsidRDefault="000B1BA4" w:rsidP="000B1BA4">
      <w:pPr>
        <w:pStyle w:val="Heading4"/>
      </w:pPr>
      <w:r w:rsidRPr="00A17106">
        <w:t xml:space="preserve">Congress doesn’t </w:t>
      </w:r>
      <w:r w:rsidRPr="00C9480C">
        <w:t>even</w:t>
      </w:r>
      <w:r w:rsidRPr="00A17106">
        <w:t xml:space="preserve"> need to authorize them if the states agree to it</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3" w:history="1">
        <w:r w:rsidRPr="00A17106">
          <w:rPr>
            <w:rStyle w:val="Hyperlink"/>
          </w:rPr>
          <w:t>http://www.virginialawreview.org/sites/virginialawreview.org/files/1509_1.pdf</w:t>
        </w:r>
      </w:hyperlink>
      <w:r w:rsidRPr="00A17106">
        <w:t>, AB)</w:t>
      </w:r>
    </w:p>
    <w:p w:rsidR="000B1BA4" w:rsidRPr="00A17106" w:rsidRDefault="000B1BA4" w:rsidP="000B1BA4">
      <w:r w:rsidRPr="007A565F">
        <w:rPr>
          <w:rStyle w:val="StyleBoldUnderline"/>
          <w:highlight w:val="cyan"/>
        </w:rPr>
        <w:t>If</w:t>
      </w:r>
      <w:r w:rsidRPr="00A17106">
        <w:rPr>
          <w:rStyle w:val="StyleBoldUnderline"/>
        </w:rPr>
        <w:t xml:space="preserve"> at least </w:t>
      </w:r>
      <w:r w:rsidRPr="007A565F">
        <w:rPr>
          <w:rStyle w:val="StyleBoldUnderline"/>
          <w:highlight w:val="cyan"/>
        </w:rPr>
        <w:t>two-thirds of the states agreed to the application</w:t>
      </w:r>
      <w:r w:rsidRPr="00A17106">
        <w:rPr>
          <w:rStyle w:val="StyleBoldUnderline"/>
        </w:rPr>
        <w:t xml:space="preserve">, </w:t>
      </w:r>
      <w:r w:rsidRPr="007A565F">
        <w:rPr>
          <w:rStyle w:val="StyleBoldUnderline"/>
          <w:highlight w:val="cyan"/>
        </w:rPr>
        <w:t>this would eliminate</w:t>
      </w:r>
      <w:r w:rsidRPr="00A17106">
        <w:rPr>
          <w:rStyle w:val="StyleBoldUnderline"/>
        </w:rPr>
        <w:t xml:space="preserve"> most of the </w:t>
      </w:r>
      <w:r w:rsidRPr="007A565F">
        <w:rPr>
          <w:rStyle w:val="StyleBoldUnderline"/>
          <w:highlight w:val="cyan"/>
        </w:rPr>
        <w:t>discretion that Congress ordinarily exercises</w:t>
      </w:r>
      <w:r w:rsidRPr="00A17106">
        <w:rPr>
          <w:rStyle w:val="StyleBoldUnderline"/>
        </w:rPr>
        <w:t xml:space="preserve"> when there are calls for a limited convention</w:t>
      </w:r>
      <w:r w:rsidRPr="00A17106">
        <w:t xml:space="preserve">. First, </w:t>
      </w:r>
      <w:r w:rsidRPr="00A17106">
        <w:rPr>
          <w:rStyle w:val="StyleBoldUnderline"/>
        </w:rPr>
        <w:t xml:space="preserve">with two-thirds of the states calling for the same convention, </w:t>
      </w:r>
      <w:r w:rsidRPr="007A565F">
        <w:rPr>
          <w:rStyle w:val="StyleBoldUnderline"/>
          <w:highlight w:val="cyan"/>
        </w:rPr>
        <w:t>Congress would not have to decide whether state applications that differed from one another should be interpreted as calling for a single limited convention.</w:t>
      </w:r>
      <w:r w:rsidRPr="00A17106">
        <w:t xml:space="preserve"> Second, </w:t>
      </w:r>
      <w:r w:rsidRPr="007A565F">
        <w:rPr>
          <w:rStyle w:val="StyleBoldUnderline"/>
          <w:highlight w:val="cyan"/>
        </w:rPr>
        <w:t>this proposal would also address the situation where Congress holds that there are no limited conventions</w:t>
      </w:r>
      <w:r w:rsidRPr="00A17106">
        <w:t xml:space="preserve">.132 </w:t>
      </w:r>
      <w:r w:rsidRPr="00A17106">
        <w:rPr>
          <w:rStyle w:val="StyleBoldUnderline"/>
        </w:rPr>
        <w:t>The contingency portion</w:t>
      </w:r>
      <w:r w:rsidRPr="00A17106">
        <w:t xml:space="preserve"> of this application </w:t>
      </w:r>
      <w:r w:rsidRPr="00A17106">
        <w:rPr>
          <w:rStyle w:val="StyleBoldUnderline"/>
        </w:rPr>
        <w:t>would address that possibility and require Congress</w:t>
      </w:r>
      <w:r w:rsidRPr="00A17106">
        <w:t xml:space="preserve">, in those circumstances, </w:t>
      </w:r>
      <w:r w:rsidRPr="00A17106">
        <w:rPr>
          <w:rStyle w:val="StyleBoldUnderline"/>
        </w:rPr>
        <w:t>to call an unlimited convention. Thus, this proposed application would largely eliminate the two main ways that Congress might hold that applications for a limited convention did not actually require such a convention to be called</w:t>
      </w:r>
      <w:r w:rsidRPr="00A17106">
        <w:t xml:space="preserve">. </w:t>
      </w:r>
    </w:p>
    <w:p w:rsidR="003B35E3" w:rsidRPr="00A17106" w:rsidRDefault="003B35E3" w:rsidP="003B35E3"/>
    <w:p w:rsidR="002E512E" w:rsidRDefault="002E512E" w:rsidP="002E512E">
      <w:pPr>
        <w:pStyle w:val="Heading3"/>
      </w:pPr>
      <w:r>
        <w:t xml:space="preserve">AT: Say No </w:t>
      </w:r>
    </w:p>
    <w:p w:rsidR="002E512E" w:rsidRDefault="002E512E" w:rsidP="002E512E">
      <w:pPr>
        <w:pStyle w:val="Heading4"/>
      </w:pPr>
      <w:r>
        <w:t>We don’t need all states to say yes to win – a substantial number is sufficient to pass the plan – empirics prove controversy doesn’t prevent passage</w:t>
      </w:r>
    </w:p>
    <w:p w:rsidR="002E512E" w:rsidRPr="002376AE" w:rsidRDefault="002E512E" w:rsidP="002E512E">
      <w:r>
        <w:t xml:space="preserve">Alan </w:t>
      </w:r>
      <w:r w:rsidRPr="002376AE">
        <w:rPr>
          <w:rStyle w:val="StyleStyleBold12pt"/>
        </w:rPr>
        <w:t>Greenblatt 13</w:t>
      </w:r>
      <w:r>
        <w:t xml:space="preserve">, governmental and political reporter at NPR and won the National Press Club's Sandy Hume award for political journalism while reporting for Congressional Quarterly, “Failure To Ratify: During Amendment Battles, Some States Opt To Watch,” 2/21/13, </w:t>
      </w:r>
      <w:hyperlink r:id="rId14" w:history="1">
        <w:r w:rsidRPr="000123EB">
          <w:rPr>
            <w:rStyle w:val="Hyperlink"/>
          </w:rPr>
          <w:t>http://www.npr.org/sections/itsallpolitics/2013/02/20/172495803/failure-to-ratify-during-amendment-battles-some-states-opt-to-watch</w:t>
        </w:r>
      </w:hyperlink>
      <w:r>
        <w:t>, az</w:t>
      </w:r>
    </w:p>
    <w:p w:rsidR="002E512E" w:rsidRDefault="002E512E" w:rsidP="002E512E">
      <w:pPr>
        <w:rPr>
          <w:rStyle w:val="StyleBoldUnderline"/>
        </w:rPr>
      </w:pPr>
      <w:r w:rsidRPr="002376AE">
        <w:rPr>
          <w:rStyle w:val="StyleBoldUnderline"/>
        </w:rPr>
        <w:t>Mississippi has received lots of attention this week for finally having ratified the 13th Amendment</w:t>
      </w:r>
      <w:r w:rsidRPr="002376AE">
        <w:rPr>
          <w:sz w:val="14"/>
        </w:rPr>
        <w:t xml:space="preserve">, which abolished slavery. But </w:t>
      </w:r>
      <w:r w:rsidRPr="00AB225F">
        <w:rPr>
          <w:rStyle w:val="Emphasis"/>
          <w:highlight w:val="cyan"/>
        </w:rPr>
        <w:t>the state is hardly alone in being slow about blessing some long-established national principle</w:t>
      </w:r>
      <w:r w:rsidRPr="00AB225F">
        <w:rPr>
          <w:sz w:val="14"/>
          <w:highlight w:val="cyan"/>
        </w:rPr>
        <w:t xml:space="preserve">. </w:t>
      </w:r>
      <w:r w:rsidRPr="00AB225F">
        <w:rPr>
          <w:rStyle w:val="Emphasis"/>
          <w:highlight w:val="cyan"/>
        </w:rPr>
        <w:t>After a sufficient number of states have ratified an amendment, it can feel like a moot point for legislatures to give belated approval to laws that are already in effect</w:t>
      </w:r>
      <w:r w:rsidRPr="002376AE">
        <w:rPr>
          <w:sz w:val="14"/>
        </w:rPr>
        <w:t xml:space="preserve">. "Legislative calendars are crowded, and </w:t>
      </w:r>
      <w:r w:rsidRPr="002376AE">
        <w:rPr>
          <w:rStyle w:val="StyleBoldUnderline"/>
        </w:rPr>
        <w:t>arguing over settled matters isn't a good use of time,"</w:t>
      </w:r>
      <w:r w:rsidRPr="002376AE">
        <w:rPr>
          <w:sz w:val="14"/>
        </w:rPr>
        <w:t xml:space="preserve"> says Larry Sabato, director of the University of Virginia Center for Politics. Remember from civics class how constitutional amendments are ratified? </w:t>
      </w:r>
      <w:r w:rsidRPr="002376AE">
        <w:rPr>
          <w:rStyle w:val="StyleBoldUnderline"/>
        </w:rPr>
        <w:t>Two-thirds of both chambers of Congress approve a resolution, which is then sent to the states. If three-quarters of them pass the amendment within a set period of time, it's enshrined into the Constitution</w:t>
      </w:r>
      <w:r w:rsidRPr="002376AE">
        <w:rPr>
          <w:sz w:val="14"/>
        </w:rPr>
        <w:t xml:space="preserve">. 'They Missed The Boat' This has happened on 27 of the 33 occasions that Congress has sent amendments out to the states. Of the six amendments submitted to the states that failed to attract the needed support, the most recent came in 1985, when time ran out for states to ratify an amendment giving full congressional representation to the District of </w:t>
      </w:r>
      <w:r w:rsidRPr="002376AE">
        <w:rPr>
          <w:rStyle w:val="Emphasis"/>
        </w:rPr>
        <w:t xml:space="preserve">Columbia. </w:t>
      </w:r>
      <w:r w:rsidRPr="00AB225F">
        <w:rPr>
          <w:rStyle w:val="Emphasis"/>
          <w:highlight w:val="cyan"/>
        </w:rPr>
        <w:t>Once an amendment has been passed by three-quarters of the states, the others need not bother; it's settled law</w:t>
      </w:r>
      <w:r w:rsidRPr="002376AE">
        <w:rPr>
          <w:rStyle w:val="Emphasis"/>
        </w:rPr>
        <w:t>.</w:t>
      </w:r>
      <w:r w:rsidRPr="002376AE">
        <w:rPr>
          <w:sz w:val="14"/>
        </w:rPr>
        <w:t xml:space="preserve"> </w:t>
      </w:r>
      <w:r w:rsidRPr="002376AE">
        <w:rPr>
          <w:rStyle w:val="StyleBoldUnderline"/>
        </w:rPr>
        <w:t>Lots of states have withheld approval of amendments that have already achieved the support needed for ratification</w:t>
      </w:r>
      <w:r w:rsidRPr="002376AE">
        <w:rPr>
          <w:sz w:val="14"/>
        </w:rPr>
        <w:t>. For example, four states — Connecticut, Rhode Island, Vermont and Utah — have never ratified the 16th Amendment, allowing the imposition of the federal income tax. Their residents still pay up come April 15, though. "Massachusetts, Georgia and Connecticut didn't ratify the first 10 amendments until the late 1930s" — actually, 1939 — "about the time that the Bill of Rights became a big deal in the United States," says Pauline Maier, an MIT historian and author of Ratification. "They missed the boat in 1789-91." After the amendment to repeal Prohibition was rapidly passed by the necessary 36 states in 1933, only a couple of the states that had missed the boat ever bothered with it. "</w:t>
      </w:r>
      <w:r w:rsidRPr="002376AE">
        <w:rPr>
          <w:rStyle w:val="StyleBoldUnderline"/>
        </w:rPr>
        <w:t>Maybe they felt they didn't need to, because other states had already repealed it,</w:t>
      </w:r>
      <w:r w:rsidRPr="002376AE">
        <w:rPr>
          <w:sz w:val="14"/>
        </w:rPr>
        <w:t xml:space="preserve">" says Florence M. Jumonville, a historian and librarian at the University of New Orleans. Reluctant Rhode Island But no state, it seems, has been as reluctant to sign off on constitutional provisions as Rhode Island. </w:t>
      </w:r>
      <w:r w:rsidRPr="00AB225F">
        <w:rPr>
          <w:rStyle w:val="Emphasis"/>
          <w:highlight w:val="cyan"/>
        </w:rPr>
        <w:t>Some</w:t>
      </w:r>
      <w:r w:rsidRPr="002376AE">
        <w:rPr>
          <w:rStyle w:val="Emphasis"/>
        </w:rPr>
        <w:t xml:space="preserve"> </w:t>
      </w:r>
      <w:r w:rsidRPr="00AB225F">
        <w:rPr>
          <w:rStyle w:val="Emphasis"/>
          <w:highlight w:val="cyan"/>
        </w:rPr>
        <w:t>appear to be cases where the state's vote wasn't needed</w:t>
      </w:r>
      <w:r w:rsidRPr="002376AE">
        <w:rPr>
          <w:rStyle w:val="Emphasis"/>
        </w:rPr>
        <w:t>, such as the 16th Amendment and the 22nd Amendment (two-term limits for presidents).</w:t>
      </w:r>
      <w:r w:rsidRPr="002376AE">
        <w:rPr>
          <w:sz w:val="14"/>
        </w:rPr>
        <w:t xml:space="preserve"> Rhode Island, though, had boycotted the Constitutional Convention and originally rejected the Constitution itself. It was the last of the 13 original colonies to approve the founding document, in part because of a long-forgotten argument over paper money. "They already felt they had just fought a war to get out from one distant government, and they didn't want to be under another one," says Al Klyberg, former director of the Rhode Island Historical Society. </w:t>
      </w:r>
      <w:r w:rsidRPr="002376AE">
        <w:rPr>
          <w:rStyle w:val="StyleBoldUnderline"/>
        </w:rPr>
        <w:t>Rhode Island later pushed hard against the 17th Amendment, which created direct election of U.S. senators</w:t>
      </w:r>
      <w:r w:rsidRPr="002376AE">
        <w:rPr>
          <w:sz w:val="14"/>
        </w:rPr>
        <w:t xml:space="preserve">. Prior to its adoption in 1913, senators were chosen by state legislatures. The old system suited Rhode Island. Thanks to the clubby atmosphere it created in the Senate, Rhode Island Republican Nelson Aldrich so dominated the body that he was often referred to as the "general manager of the United States." Also, letting the Legislature pick senators ensured GOP dominance within the state. Rural towns dominated by the GOP had disproportionate representation in the state Legislature and hadn't selected a Democratic senator since 1850 (prior to the Republican Party's founding). "It was very clear why the General Assembly would fail to ratify that amendment," says Patrick T. Conley, historian laureate of the state. "It would be relinquishing power." Rhode Island also initially resisted the 15th Amendment, which (in theory, upon ratification in 1870) guaranteed voting rights for African-American men. One of its senators had already helped water down its language during congressional consideration, so that it didn't address discrimination based on nationality or ethnicity. Still, Rhode Island officials worried that it might interfere with the state's practice of requiring naturalized citizens to own property before they could vote. "There was a big anti-Irish sentiment to Rhode Island's reticence to amending," Conley says. 'Feel-Good Ratification' </w:t>
      </w:r>
      <w:r w:rsidRPr="002376AE">
        <w:rPr>
          <w:rStyle w:val="StyleBoldUnderline"/>
        </w:rPr>
        <w:t>Ultimately, pressure was put on the state because its approval was needed for ratification, due to opposition from Southern states</w:t>
      </w:r>
      <w:r w:rsidRPr="002376AE">
        <w:rPr>
          <w:sz w:val="14"/>
        </w:rPr>
        <w:t xml:space="preserve"> as well as Oregon and California. Those states were reluctant to ratify for fear the franchise might be extended to citizens of Chinese ancestry; they didn't get around to ratifying the amendment until 1959 and 1962, respectively. A </w:t>
      </w:r>
      <w:r w:rsidRPr="00AB225F">
        <w:rPr>
          <w:rStyle w:val="StyleBoldUnderline"/>
          <w:highlight w:val="cyan"/>
        </w:rPr>
        <w:t>number of states have played catch-up in this way, approving amendments decades after they had become part of the Constitution</w:t>
      </w:r>
      <w:r w:rsidRPr="002376AE">
        <w:rPr>
          <w:sz w:val="14"/>
        </w:rPr>
        <w:t xml:space="preserve">. Tennessee, for example, didn't approve the 15th Amendment until 1997, while Maryland ratified the 17th Amendment just last year. "This is what you might call a feel-good ratification," says Richard Bernstein, the author of Amending America. "They're trying to make amends for having missed making it part of the Constitution the first time." But </w:t>
      </w:r>
      <w:r w:rsidRPr="00AB225F">
        <w:rPr>
          <w:rStyle w:val="Emphasis"/>
          <w:highlight w:val="cyan"/>
        </w:rPr>
        <w:t>it's also a reminder that constitutional amendments — even though they must achieve some sort of consensus</w:t>
      </w:r>
      <w:r w:rsidRPr="002376AE">
        <w:rPr>
          <w:rStyle w:val="Emphasis"/>
        </w:rPr>
        <w:t xml:space="preserve"> because of the supermajority vote requirements for passage — </w:t>
      </w:r>
      <w:r w:rsidRPr="00AB225F">
        <w:rPr>
          <w:rStyle w:val="Emphasis"/>
          <w:highlight w:val="cyan"/>
        </w:rPr>
        <w:t>were often highly controversial in their day</w:t>
      </w:r>
      <w:r w:rsidRPr="002376AE">
        <w:rPr>
          <w:rStyle w:val="Emphasis"/>
        </w:rPr>
        <w:t xml:space="preserve">. </w:t>
      </w:r>
      <w:r w:rsidRPr="002376AE">
        <w:rPr>
          <w:sz w:val="14"/>
        </w:rPr>
        <w:t>There were reasons Rhode Island didn't want to approve direct election of senators, or Mississippi didn't vote to abolish slavery back in the 1860s. "</w:t>
      </w:r>
      <w:r w:rsidRPr="00AB225F">
        <w:rPr>
          <w:rStyle w:val="StyleBoldUnderline"/>
          <w:highlight w:val="cyan"/>
        </w:rPr>
        <w:t>Virtually all of the amendments were controversial</w:t>
      </w:r>
      <w:r w:rsidRPr="002376AE">
        <w:rPr>
          <w:rStyle w:val="StyleBoldUnderline"/>
        </w:rPr>
        <w:t xml:space="preserve"> in some way</w:t>
      </w:r>
      <w:r w:rsidRPr="002376AE">
        <w:rPr>
          <w:sz w:val="14"/>
        </w:rPr>
        <w:t>," says Bernstein, who teaches history and political science at City College of New York, "</w:t>
      </w:r>
      <w:r w:rsidRPr="002376AE">
        <w:rPr>
          <w:rStyle w:val="StyleBoldUnderline"/>
        </w:rPr>
        <w:t>even the Bill of Rights itself."</w:t>
      </w:r>
    </w:p>
    <w:p w:rsidR="002E512E" w:rsidRPr="00CC0472" w:rsidRDefault="002E512E" w:rsidP="002E512E"/>
    <w:p w:rsidR="002E512E" w:rsidRPr="002E512E" w:rsidRDefault="002E512E" w:rsidP="002E512E"/>
    <w:p w:rsidR="003B35E3" w:rsidRPr="00776E91" w:rsidRDefault="003B35E3" w:rsidP="00776E91">
      <w:pPr>
        <w:pStyle w:val="Heading2"/>
      </w:pPr>
      <w:r w:rsidRPr="00776E91">
        <w:t>States CP</w:t>
      </w:r>
    </w:p>
    <w:p w:rsidR="003B35E3" w:rsidRPr="00A17106" w:rsidRDefault="00776E91" w:rsidP="002E512E">
      <w:pPr>
        <w:pStyle w:val="Heading3"/>
      </w:pPr>
      <w:r w:rsidRPr="00776E91">
        <w:t>Solvency</w:t>
      </w:r>
    </w:p>
    <w:p w:rsidR="003B35E3" w:rsidRPr="00A17106" w:rsidRDefault="003B35E3" w:rsidP="003B35E3">
      <w:pPr>
        <w:pStyle w:val="Heading4"/>
        <w:rPr>
          <w:rFonts w:cs="Times New Roman"/>
        </w:rPr>
      </w:pPr>
      <w:r w:rsidRPr="00A17106">
        <w:rPr>
          <w:rFonts w:cs="Times New Roman"/>
        </w:rPr>
        <w:t>State constitutions sufficient to protect from infringing surveillance - Florida’s 100 new laws prove</w:t>
      </w:r>
    </w:p>
    <w:p w:rsidR="003B35E3" w:rsidRPr="00A17106" w:rsidRDefault="003B35E3" w:rsidP="003B35E3">
      <w:pPr>
        <w:rPr>
          <w:sz w:val="14"/>
        </w:rPr>
      </w:pPr>
      <w:r w:rsidRPr="00A17106">
        <w:rPr>
          <w:sz w:val="14"/>
        </w:rPr>
        <w:t xml:space="preserve">Jenna </w:t>
      </w:r>
      <w:r w:rsidRPr="00A17106">
        <w:rPr>
          <w:rStyle w:val="StyleStyleBold12pt"/>
        </w:rPr>
        <w:t>Buzzacco-Foerster 6/30</w:t>
      </w:r>
      <w:r w:rsidRPr="00A17106">
        <w:rPr>
          <w:sz w:val="14"/>
        </w:rPr>
        <w:t>, “More than 100 new state laws take effect Wednesday,” 6/30/15, http://www.tcpalm.com/news/politics/legislative-session-2015/more-than-100-new-state-laws-take-effect-wednesday_04854714, AZ</w:t>
      </w:r>
    </w:p>
    <w:p w:rsidR="003B35E3" w:rsidRPr="00A17106" w:rsidRDefault="003B35E3" w:rsidP="003B35E3">
      <w:pPr>
        <w:rPr>
          <w:sz w:val="14"/>
        </w:rPr>
      </w:pPr>
      <w:r w:rsidRPr="00A17106">
        <w:rPr>
          <w:rStyle w:val="StyleBoldUnderline"/>
          <w:highlight w:val="cyan"/>
        </w:rPr>
        <w:t>A law aimed at protecting Floridians from unwanted surveillance is one of more than 100 that take effect Wednesday.</w:t>
      </w:r>
      <w:r w:rsidRPr="00A17106">
        <w:rPr>
          <w:sz w:val="14"/>
        </w:rPr>
        <w:t xml:space="preserve">  </w:t>
      </w:r>
      <w:r w:rsidRPr="00A17106">
        <w:rPr>
          <w:rStyle w:val="StyleBoldUnderline"/>
        </w:rPr>
        <w:t>The law</w:t>
      </w:r>
      <w:r w:rsidRPr="00A17106">
        <w:rPr>
          <w:sz w:val="14"/>
        </w:rPr>
        <w:t xml:space="preserve"> — dubbed the Freedom from Unwarranted Surveillance Act — </w:t>
      </w:r>
      <w:r w:rsidRPr="00A17106">
        <w:rPr>
          <w:rStyle w:val="StyleBoldUnderline"/>
        </w:rPr>
        <w:t xml:space="preserve">spells out that </w:t>
      </w:r>
      <w:r w:rsidRPr="00A17106">
        <w:rPr>
          <w:rStyle w:val="StyleBoldUnderline"/>
          <w:highlight w:val="cyan"/>
        </w:rPr>
        <w:t>unmanned aerial drones can’t be used for surveillance</w:t>
      </w:r>
      <w:r w:rsidRPr="00A17106">
        <w:rPr>
          <w:sz w:val="14"/>
        </w:rPr>
        <w:t xml:space="preserve">. It also says when devices can be used. </w:t>
      </w:r>
      <w:r w:rsidRPr="00A17106">
        <w:rPr>
          <w:sz w:val="14"/>
        </w:rPr>
        <w:br/>
        <w:t xml:space="preserve">“From my standpoint, I think </w:t>
      </w:r>
      <w:r w:rsidRPr="00A17106">
        <w:rPr>
          <w:rStyle w:val="StyleBoldUnderline"/>
          <w:highlight w:val="cyan"/>
        </w:rPr>
        <w:t>it’s a good start</w:t>
      </w:r>
      <w:r w:rsidRPr="00A17106">
        <w:rPr>
          <w:sz w:val="14"/>
        </w:rPr>
        <w:t>,” said Stephen Myers, owner of Angel Eyes UAV in Naples. “</w:t>
      </w:r>
      <w:r w:rsidRPr="00A17106">
        <w:rPr>
          <w:rStyle w:val="StyleBoldUnderline"/>
        </w:rPr>
        <w:t xml:space="preserve">It’s a good beginning.” </w:t>
      </w:r>
      <w:r w:rsidRPr="00A17106">
        <w:rPr>
          <w:rStyle w:val="StyleBoldUnderline"/>
        </w:rPr>
        <w:br/>
      </w:r>
      <w:r w:rsidRPr="00A17106">
        <w:rPr>
          <w:sz w:val="14"/>
        </w:rPr>
        <w:t xml:space="preserve">Drones can be used to assess property taxes, for aerial mapping, and to conduct environmental monitoring. The law also says that drones can be used by a person licensed by the state to perform “reasonable tasks within the scope” of the person’s job. Myers said that could mean insurance companies can use drones for roof inspections or to inspect large properties, like golf courses, for damage following a storm. </w:t>
      </w:r>
      <w:r w:rsidRPr="00A17106">
        <w:rPr>
          <w:sz w:val="14"/>
        </w:rPr>
        <w:br/>
        <w:t xml:space="preserve">Rep. Ray </w:t>
      </w:r>
      <w:r w:rsidRPr="00A17106">
        <w:rPr>
          <w:rStyle w:val="StyleBoldUnderline"/>
          <w:highlight w:val="cyan"/>
        </w:rPr>
        <w:t>Rodrigues</w:t>
      </w:r>
      <w:r w:rsidRPr="00A17106">
        <w:rPr>
          <w:sz w:val="14"/>
        </w:rPr>
        <w:t xml:space="preserve">, R-Estero, </w:t>
      </w:r>
      <w:r w:rsidRPr="00A17106">
        <w:rPr>
          <w:rStyle w:val="StyleBoldUnderline"/>
        </w:rPr>
        <w:t xml:space="preserve">said he </w:t>
      </w:r>
      <w:r w:rsidRPr="00A17106">
        <w:rPr>
          <w:rStyle w:val="StyleBoldUnderline"/>
          <w:highlight w:val="cyan"/>
        </w:rPr>
        <w:t>supported the law because it protected Floridians’ privacy, while still allowing some commercial uses.</w:t>
      </w:r>
      <w:r w:rsidRPr="00A17106">
        <w:rPr>
          <w:rStyle w:val="StyleBoldUnderline"/>
        </w:rPr>
        <w:t xml:space="preserve"> </w:t>
      </w:r>
      <w:r w:rsidRPr="00A17106">
        <w:rPr>
          <w:rStyle w:val="StyleBoldUnderline"/>
        </w:rPr>
        <w:br/>
        <w:t>“We’ve seen the technology for drones evolve rather rapidly and the technology has exceeded the statutory privacy protections</w:t>
      </w:r>
      <w:r w:rsidRPr="00A17106">
        <w:rPr>
          <w:sz w:val="14"/>
        </w:rPr>
        <w:t xml:space="preserve">,” said Rodrigues, who co-sponsored the measure in the House. </w:t>
      </w:r>
      <w:r w:rsidRPr="00A17106">
        <w:rPr>
          <w:rStyle w:val="StyleBoldUnderline"/>
        </w:rPr>
        <w:t>“</w:t>
      </w:r>
      <w:r w:rsidRPr="00A17106">
        <w:rPr>
          <w:rStyle w:val="StyleBoldUnderline"/>
          <w:highlight w:val="cyan"/>
        </w:rPr>
        <w:t>I saw a strong effort to ensure our right to privacy</w:t>
      </w:r>
      <w:r w:rsidRPr="00A17106">
        <w:rPr>
          <w:sz w:val="14"/>
        </w:rPr>
        <w:t xml:space="preserve">. It addressed the concerns I had.” </w:t>
      </w:r>
      <w:r w:rsidRPr="00A17106">
        <w:rPr>
          <w:sz w:val="14"/>
        </w:rPr>
        <w:br/>
      </w:r>
      <w:r w:rsidRPr="00A17106">
        <w:rPr>
          <w:rStyle w:val="StyleBoldUnderline"/>
          <w:highlight w:val="cyan"/>
        </w:rPr>
        <w:t>The drone law is one of dozens</w:t>
      </w:r>
      <w:r w:rsidRPr="00A17106">
        <w:rPr>
          <w:rStyle w:val="StyleBoldUnderline"/>
        </w:rPr>
        <w:t xml:space="preserve"> — including the state’s $78 billion spending plan and a nearly $400 million tax cut package</w:t>
      </w:r>
      <w:r w:rsidRPr="00A17106">
        <w:rPr>
          <w:sz w:val="14"/>
        </w:rPr>
        <w:t xml:space="preserve"> — that went into effect Wednesday, the first day of the state’s fiscal year.</w:t>
      </w:r>
    </w:p>
    <w:p w:rsidR="003B35E3" w:rsidRPr="00A17106" w:rsidRDefault="003B35E3" w:rsidP="003B35E3"/>
    <w:p w:rsidR="000B1BA4" w:rsidRPr="00A17106" w:rsidRDefault="000B1BA4" w:rsidP="000B1BA4">
      <w:pPr>
        <w:pStyle w:val="Heading4"/>
      </w:pPr>
      <w:r w:rsidRPr="00C9480C">
        <w:t>States</w:t>
      </w:r>
      <w:r w:rsidRPr="00A17106">
        <w:t xml:space="preserve"> solve</w:t>
      </w:r>
    </w:p>
    <w:p w:rsidR="000B1BA4" w:rsidRPr="00A17106" w:rsidRDefault="000B1BA4" w:rsidP="000B1BA4">
      <w:r w:rsidRPr="00A17106">
        <w:t xml:space="preserve">Jeffrey A. </w:t>
      </w:r>
      <w:r w:rsidRPr="00A17106">
        <w:rPr>
          <w:rStyle w:val="StyleStyleBold12pt"/>
        </w:rPr>
        <w:t>Parness 11</w:t>
      </w:r>
      <w:r w:rsidRPr="00A17106">
        <w:t xml:space="preserve">, B.A., Colby College, J.D., University of Chicago,  taught for six years at the University of Akron School of Law, Northern Illinois University, 2011, “American State Constitutional Equalities”, GONZAGA LAW REVIEW Vol. 45:3, </w:t>
      </w:r>
      <w:hyperlink r:id="rId15" w:history="1">
        <w:r w:rsidRPr="00A17106">
          <w:rPr>
            <w:rStyle w:val="Hyperlink"/>
          </w:rPr>
          <w:t>https://www.law.gonzaga.edu/law-review/files/2011/02/Parness.pdf</w:t>
        </w:r>
      </w:hyperlink>
      <w:r w:rsidRPr="00A17106">
        <w:t xml:space="preserve"> , AB)</w:t>
      </w:r>
    </w:p>
    <w:p w:rsidR="000B1BA4" w:rsidRPr="00A17106" w:rsidRDefault="000B1BA4" w:rsidP="000B1BA4">
      <w:pPr>
        <w:rPr>
          <w:sz w:val="16"/>
        </w:rPr>
      </w:pPr>
      <w:r w:rsidRPr="00A17106">
        <w:rPr>
          <w:rStyle w:val="StyleBoldUnderline"/>
        </w:rPr>
        <w:t xml:space="preserve">American state constitutions can play a key role today in protecting individuals.9 </w:t>
      </w:r>
      <w:r w:rsidRPr="004A35E9">
        <w:rPr>
          <w:rStyle w:val="StyleBoldUnderline"/>
        </w:rPr>
        <w:t>State constitutional laws can afford protections beyond those dictated by federal lawmakers</w:t>
      </w:r>
      <w:r w:rsidRPr="00A17106">
        <w:rPr>
          <w:sz w:val="16"/>
        </w:rPr>
        <w:t xml:space="preserve">. While the federal Constitution chiefly implies individual rights through recognizing federal and state governments with express and limited powers, </w:t>
      </w:r>
      <w:r w:rsidRPr="004A35E9">
        <w:rPr>
          <w:rStyle w:val="StyleBoldUnderline"/>
          <w:highlight w:val="cyan"/>
        </w:rPr>
        <w:t>state constitutions often “contain positive or affirmative rights</w:t>
      </w:r>
      <w:r w:rsidRPr="00A17106">
        <w:rPr>
          <w:sz w:val="16"/>
        </w:rPr>
        <w:t xml:space="preserve">.”10 At worst, expansive state constitutional rights are hortatory, simply duplicating important federal values or iterating unenforceable local values. At best, </w:t>
      </w:r>
      <w:r w:rsidRPr="004A35E9">
        <w:rPr>
          <w:rStyle w:val="StyleBoldUnderline"/>
        </w:rPr>
        <w:t>they extend</w:t>
      </w:r>
      <w:r w:rsidRPr="00A17106">
        <w:rPr>
          <w:rStyle w:val="StyleBoldUnderline"/>
        </w:rPr>
        <w:t xml:space="preserve"> new rights locally, deeming unlawful any oppressions that are irrational or uncompelling</w:t>
      </w:r>
      <w:r w:rsidRPr="00A17106">
        <w:rPr>
          <w:sz w:val="16"/>
        </w:rPr>
        <w:t xml:space="preserve">.11 </w:t>
      </w:r>
      <w:r w:rsidRPr="004A35E9">
        <w:rPr>
          <w:rStyle w:val="StyleBoldUnderline"/>
        </w:rPr>
        <w:t>Bec</w:t>
      </w:r>
      <w:r w:rsidRPr="00A17106">
        <w:rPr>
          <w:rStyle w:val="StyleBoldUnderline"/>
        </w:rPr>
        <w:t xml:space="preserve">ause of their narrower setting, </w:t>
      </w:r>
      <w:r w:rsidRPr="004A35E9">
        <w:rPr>
          <w:rStyle w:val="StyleBoldUnderline"/>
          <w:highlight w:val="cyan"/>
        </w:rPr>
        <w:t>in constitutional matters states are more able “to experiment, to improvise, [and] to test new theories</w:t>
      </w:r>
      <w:r w:rsidRPr="00A17106">
        <w:rPr>
          <w:rStyle w:val="StyleBoldUnderline"/>
        </w:rPr>
        <w:t>.</w:t>
      </w:r>
      <w:r w:rsidRPr="00A17106">
        <w:rPr>
          <w:sz w:val="16"/>
        </w:rPr>
        <w:t>”12 Thus</w:t>
      </w:r>
      <w:r w:rsidRPr="004A35E9">
        <w:rPr>
          <w:rStyle w:val="StyleBoldUnderline"/>
          <w:highlight w:val="cyan"/>
        </w:rPr>
        <w:t>, if “a state experiment succeeds</w:t>
      </w:r>
      <w:r w:rsidRPr="00A17106">
        <w:rPr>
          <w:rStyle w:val="StyleBoldUnderline"/>
        </w:rPr>
        <w:t xml:space="preserve">, </w:t>
      </w:r>
      <w:r w:rsidRPr="004A35E9">
        <w:rPr>
          <w:rStyle w:val="StyleBoldUnderline"/>
          <w:highlight w:val="cyan"/>
        </w:rPr>
        <w:t>others may follow,</w:t>
      </w:r>
      <w:r w:rsidRPr="004A35E9">
        <w:rPr>
          <w:sz w:val="16"/>
          <w:highlight w:val="cyan"/>
        </w:rPr>
        <w:t>”</w:t>
      </w:r>
      <w:r w:rsidRPr="00A17106">
        <w:rPr>
          <w:sz w:val="16"/>
        </w:rPr>
        <w:t xml:space="preserve"> and if an experiment fails, the failure will be isolated.13 As well, </w:t>
      </w:r>
      <w:r w:rsidRPr="00A17106">
        <w:rPr>
          <w:rStyle w:val="StyleBoldUnderline"/>
        </w:rPr>
        <w:t xml:space="preserve">because they are more prone to amendment than the federal Constitution,14 </w:t>
      </w:r>
      <w:r w:rsidRPr="004A35E9">
        <w:rPr>
          <w:rStyle w:val="StyleBoldUnderline"/>
          <w:highlight w:val="cyan"/>
        </w:rPr>
        <w:t>state constitutions can more quickly respond to failed experiments, social changes, and new values.</w:t>
      </w:r>
      <w:r w:rsidRPr="00A17106">
        <w:rPr>
          <w:sz w:val="16"/>
        </w:rPr>
        <w:t xml:space="preserve">15 Of course, for many, too many amendments may diminish the enhanced or special status of constitutional law.16 </w:t>
      </w:r>
      <w:r w:rsidRPr="004A35E9">
        <w:rPr>
          <w:rStyle w:val="StyleBoldUnderline"/>
          <w:highlight w:val="cyan"/>
        </w:rPr>
        <w:t>State constitutional rights can</w:t>
      </w:r>
      <w:r w:rsidRPr="00A17106">
        <w:rPr>
          <w:rStyle w:val="StyleBoldUnderline"/>
        </w:rPr>
        <w:t xml:space="preserve"> be read to be independent of, and thus to </w:t>
      </w:r>
      <w:r w:rsidRPr="004A35E9">
        <w:rPr>
          <w:rStyle w:val="StyleBoldUnderline"/>
          <w:highlight w:val="cyan"/>
        </w:rPr>
        <w:t>reach beyond, federal constitutional rights</w:t>
      </w:r>
      <w:r w:rsidRPr="00A17106">
        <w:rPr>
          <w:rStyle w:val="StyleBoldUnderline"/>
        </w:rPr>
        <w:t xml:space="preserve">17 </w:t>
      </w:r>
      <w:r w:rsidRPr="004A35E9">
        <w:rPr>
          <w:rStyle w:val="StyleBoldUnderline"/>
          <w:highlight w:val="cyan"/>
        </w:rPr>
        <w:t>even when the federal and state constitutions are both applicable and employ the same or similar language</w:t>
      </w:r>
      <w:r w:rsidRPr="004A35E9">
        <w:rPr>
          <w:sz w:val="16"/>
          <w:highlight w:val="cyan"/>
        </w:rPr>
        <w:t>.</w:t>
      </w:r>
      <w:r w:rsidRPr="00A17106">
        <w:rPr>
          <w:sz w:val="16"/>
        </w:rPr>
        <w:t xml:space="preserve">18 For example, a reasonable search or seizure for federal constitutional purposes may be an unreasonable search or seizure under a state constitution.19 </w:t>
      </w:r>
      <w:r w:rsidRPr="00A17106">
        <w:rPr>
          <w:rStyle w:val="StyleBoldUnderline"/>
        </w:rPr>
        <w:t>A state constitutional right can also follow the federal constitutional language on federal rights, even though that federal right is inapplicable to the states.</w:t>
      </w:r>
      <w:r w:rsidRPr="00A17106">
        <w:rPr>
          <w:sz w:val="16"/>
        </w:rPr>
        <w:t xml:space="preserve">20 </w:t>
      </w:r>
      <w:r w:rsidRPr="004A35E9">
        <w:rPr>
          <w:rStyle w:val="StyleBoldUnderline"/>
          <w:highlight w:val="cyan"/>
        </w:rPr>
        <w:t>State constitutions</w:t>
      </w:r>
      <w:r w:rsidRPr="00A17106">
        <w:rPr>
          <w:rStyle w:val="StyleBoldUnderline"/>
        </w:rPr>
        <w:t xml:space="preserve"> can also expressly recognize rights and limits on governmental conduct that are unaddressed in the federal Constitution.21 Thus, they can expand rights by condemning private as well as public acts resulting in inequalities.22 They </w:t>
      </w:r>
      <w:r w:rsidRPr="004A35E9">
        <w:rPr>
          <w:rStyle w:val="StyleBoldUnderline"/>
          <w:highlight w:val="cyan"/>
        </w:rPr>
        <w:t xml:space="preserve">can </w:t>
      </w:r>
      <w:r w:rsidRPr="004A35E9">
        <w:rPr>
          <w:rStyle w:val="Emphasis"/>
          <w:highlight w:val="cyan"/>
        </w:rPr>
        <w:t>explicitly speak to privacy and other enumerated rights,</w:t>
      </w:r>
      <w:r w:rsidRPr="00A17106">
        <w:rPr>
          <w:rStyle w:val="StyleBoldUnderline"/>
        </w:rPr>
        <w:t xml:space="preserve">23 thus avoiding the difficulties in recognizing similar protections through vague terms like liberty and through unenumerated rights analyses. 24 Further, </w:t>
      </w:r>
      <w:r w:rsidRPr="004A35E9">
        <w:rPr>
          <w:rStyle w:val="StyleBoldUnderline"/>
          <w:highlight w:val="cyan"/>
        </w:rPr>
        <w:t>state constitutions can explicitly limit state governmental acts directed at certain citizens who are far less protected</w:t>
      </w:r>
      <w:r w:rsidRPr="00A17106">
        <w:rPr>
          <w:rStyle w:val="StyleBoldUnderline"/>
        </w:rPr>
        <w:t xml:space="preserve"> or relatively unprotected </w:t>
      </w:r>
      <w:r w:rsidRPr="004A35E9">
        <w:rPr>
          <w:rStyle w:val="StyleBoldUnderline"/>
          <w:highlight w:val="cyan"/>
        </w:rPr>
        <w:t>under the federal Constitution</w:t>
      </w:r>
      <w:r w:rsidRPr="00A17106">
        <w:rPr>
          <w:rStyle w:val="StyleBoldUnderline"/>
        </w:rPr>
        <w:t xml:space="preserve">.25 Finally, comparable constitutional rights and limits may themselves be read differently from state to state. Thus, there can be varying interstate levels of judicial protection for certain comparable rights with heightened judicial review required at times.26 </w:t>
      </w:r>
      <w:r w:rsidRPr="004A35E9">
        <w:rPr>
          <w:rStyle w:val="StyleBoldUnderline"/>
          <w:highlight w:val="cyan"/>
        </w:rPr>
        <w:t>Greater equalities should be especially promoted by state constitutions where significant and unfair inequalities continue without other federal</w:t>
      </w:r>
      <w:r w:rsidRPr="00A17106">
        <w:rPr>
          <w:rStyle w:val="StyleBoldUnderline"/>
        </w:rPr>
        <w:t xml:space="preserve"> or state </w:t>
      </w:r>
      <w:r w:rsidRPr="004A35E9">
        <w:rPr>
          <w:rStyle w:val="StyleBoldUnderline"/>
          <w:highlight w:val="cyan"/>
        </w:rPr>
        <w:t>law</w:t>
      </w:r>
      <w:r w:rsidRPr="00A17106">
        <w:rPr>
          <w:rStyle w:val="StyleBoldUnderline"/>
        </w:rPr>
        <w:t xml:space="preserve"> remedies.27 </w:t>
      </w:r>
      <w:r w:rsidRPr="00A17106">
        <w:rPr>
          <w:sz w:val="16"/>
        </w:rPr>
        <w:t>One example is discrimination based upon sexual orientation. A quick review o</w:t>
      </w:r>
      <w:r w:rsidRPr="00A17106">
        <w:rPr>
          <w:rStyle w:val="StyleBoldUnderline"/>
        </w:rPr>
        <w:t>f</w:t>
      </w:r>
      <w:r w:rsidRPr="00A17106">
        <w:rPr>
          <w:sz w:val="16"/>
        </w:rPr>
        <w:t xml:space="preserve"> contemporary American state constitutions reveals there is already a wide range of local constitutional initiatives furthering equality</w:t>
      </w:r>
    </w:p>
    <w:p w:rsidR="000B1BA4" w:rsidRPr="00A17106" w:rsidRDefault="000B1BA4" w:rsidP="000B1BA4">
      <w:pPr>
        <w:pStyle w:val="Heading4"/>
      </w:pPr>
      <w:r w:rsidRPr="00A17106">
        <w:t xml:space="preserve">States approve, </w:t>
      </w:r>
      <w:r w:rsidRPr="00C9480C">
        <w:t>innovation</w:t>
      </w:r>
      <w:r w:rsidRPr="00A17106">
        <w:t xml:space="preserve"> + support</w:t>
      </w:r>
    </w:p>
    <w:p w:rsidR="000B1BA4" w:rsidRPr="00A17106" w:rsidRDefault="000B1BA4" w:rsidP="000B1BA4">
      <w:r w:rsidRPr="00A17106">
        <w:t xml:space="preserve">Jeffrey A. </w:t>
      </w:r>
      <w:r w:rsidRPr="00A17106">
        <w:rPr>
          <w:rStyle w:val="StyleStyleBold12pt"/>
        </w:rPr>
        <w:t>Parness 11</w:t>
      </w:r>
      <w:r w:rsidRPr="00A17106">
        <w:t xml:space="preserve">, B.A., Colby College, J.D., University of Chicago,  taught for six years at the University of Akron School of Law, Northern Illinois University, 2011, “American State Constitutional Equalities”, GONZAGA LAW REVIEW Vol. 45:3, </w:t>
      </w:r>
      <w:hyperlink r:id="rId16" w:history="1">
        <w:r w:rsidRPr="00A17106">
          <w:rPr>
            <w:rStyle w:val="Hyperlink"/>
          </w:rPr>
          <w:t>https://www.law.gonzaga.edu/law-review/files/2011/02/Parness.pdf</w:t>
        </w:r>
      </w:hyperlink>
      <w:r w:rsidRPr="00A17106">
        <w:t xml:space="preserve"> , AB)</w:t>
      </w:r>
    </w:p>
    <w:p w:rsidR="000B1BA4" w:rsidRPr="00A17106" w:rsidRDefault="000B1BA4" w:rsidP="000B1BA4">
      <w:pPr>
        <w:rPr>
          <w:rStyle w:val="StyleBoldUnderline"/>
        </w:rPr>
      </w:pPr>
      <w:r w:rsidRPr="00A17106">
        <w:rPr>
          <w:rStyle w:val="StyleBoldUnderline"/>
        </w:rPr>
        <w:t>Equalities</w:t>
      </w:r>
      <w:r w:rsidRPr="00A17106">
        <w:rPr>
          <w:sz w:val="16"/>
        </w:rPr>
        <w:t xml:space="preserve"> in employment, housing, schooling, and other settings </w:t>
      </w:r>
      <w:r w:rsidRPr="00A17106">
        <w:rPr>
          <w:rStyle w:val="StyleBoldUnderline"/>
        </w:rPr>
        <w:t>have broad public support.</w:t>
      </w:r>
      <w:r w:rsidRPr="00A17106">
        <w:rPr>
          <w:sz w:val="16"/>
        </w:rPr>
        <w:t xml:space="preserve"> </w:t>
      </w:r>
      <w:r w:rsidRPr="00A17106">
        <w:rPr>
          <w:rStyle w:val="StyleBoldUnderline"/>
        </w:rPr>
        <w:t xml:space="preserve">Greater express </w:t>
      </w:r>
      <w:r w:rsidRPr="004A35E9">
        <w:rPr>
          <w:rStyle w:val="StyleBoldUnderline"/>
          <w:highlight w:val="cyan"/>
        </w:rPr>
        <w:t>state constitutional recognitions of self-executing rights of all persons</w:t>
      </w:r>
      <w:r w:rsidRPr="00A17106">
        <w:rPr>
          <w:sz w:val="16"/>
        </w:rPr>
        <w:t xml:space="preserve"> to be free from employment, housing, schooling, and other discrimination on the basis of race, sex and other inappropriate classifications, subject to limited legislative oversight, would extend equalities beyond federal law mandates. </w:t>
      </w:r>
      <w:r w:rsidRPr="004A35E9">
        <w:rPr>
          <w:rStyle w:val="StyleBoldUnderline"/>
          <w:highlight w:val="cyan"/>
        </w:rPr>
        <w:t>They would reflect</w:t>
      </w:r>
      <w:r w:rsidRPr="00A17106">
        <w:rPr>
          <w:rStyle w:val="StyleBoldUnderline"/>
        </w:rPr>
        <w:t xml:space="preserve"> the establishment of fundamental </w:t>
      </w:r>
      <w:r w:rsidRPr="004A35E9">
        <w:rPr>
          <w:rStyle w:val="StyleBoldUnderline"/>
          <w:highlight w:val="cyan"/>
        </w:rPr>
        <w:t>local values</w:t>
      </w:r>
      <w:r w:rsidRPr="00A17106">
        <w:rPr>
          <w:rStyle w:val="StyleBoldUnderline"/>
        </w:rPr>
        <w:t xml:space="preserve"> and </w:t>
      </w:r>
      <w:r w:rsidRPr="004A35E9">
        <w:rPr>
          <w:rStyle w:val="StyleBoldUnderline"/>
          <w:highlight w:val="cyan"/>
        </w:rPr>
        <w:t>allow for experimentation</w:t>
      </w:r>
      <w:r w:rsidRPr="00A17106">
        <w:rPr>
          <w:rStyle w:val="StyleBoldUnderline"/>
        </w:rPr>
        <w:t xml:space="preserve">. They could also </w:t>
      </w:r>
      <w:r w:rsidRPr="004A35E9">
        <w:rPr>
          <w:rStyle w:val="StyleBoldUnderline"/>
          <w:highlight w:val="cyan"/>
        </w:rPr>
        <w:t>prompt varying balances between judicial and legislative authority over equality,</w:t>
      </w:r>
      <w:r w:rsidRPr="00A17106">
        <w:rPr>
          <w:rStyle w:val="StyleBoldUnderline"/>
        </w:rPr>
        <w:t xml:space="preserve"> both between states and within states depending upon the equality context. </w:t>
      </w:r>
    </w:p>
    <w:p w:rsidR="000B1BA4" w:rsidRPr="00A17106" w:rsidRDefault="000B1BA4" w:rsidP="000B1BA4"/>
    <w:p w:rsidR="000B1BA4" w:rsidRPr="00A17106" w:rsidRDefault="000B1BA4" w:rsidP="000B1BA4">
      <w:pPr>
        <w:pStyle w:val="Heading4"/>
      </w:pPr>
      <w:r w:rsidRPr="00A17106">
        <w:t>The states solve – the federal government has ceded privacy protection to the states</w:t>
      </w:r>
    </w:p>
    <w:p w:rsidR="000B1BA4" w:rsidRPr="00A17106" w:rsidRDefault="000B1BA4" w:rsidP="000B1BA4">
      <w:pPr>
        <w:rPr>
          <w:rStyle w:val="StyleStyleBold12pt"/>
          <w:b w:val="0"/>
          <w:sz w:val="20"/>
        </w:rPr>
      </w:pPr>
      <w:r w:rsidRPr="00A17106">
        <w:rPr>
          <w:rStyle w:val="StyleStyleBold12pt"/>
          <w:b w:val="0"/>
          <w:sz w:val="20"/>
        </w:rPr>
        <w:t xml:space="preserve">Jeffrey M. </w:t>
      </w:r>
      <w:r w:rsidRPr="00A17106">
        <w:rPr>
          <w:rStyle w:val="StyleStyleBold12pt"/>
          <w:szCs w:val="26"/>
        </w:rPr>
        <w:t>Shaman 6</w:t>
      </w:r>
      <w:r w:rsidRPr="00A17106">
        <w:rPr>
          <w:rStyle w:val="StyleStyleBold12pt"/>
          <w:b w:val="0"/>
          <w:sz w:val="20"/>
          <w:szCs w:val="26"/>
        </w:rPr>
        <w:t>,</w:t>
      </w:r>
      <w:r w:rsidRPr="00A17106">
        <w:rPr>
          <w:rStyle w:val="StyleStyleBold12pt"/>
          <w:szCs w:val="26"/>
        </w:rPr>
        <w:t xml:space="preserve"> </w:t>
      </w:r>
      <w:r w:rsidRPr="00A17106">
        <w:rPr>
          <w:rStyle w:val="StyleStyleBold12pt"/>
          <w:b w:val="0"/>
          <w:sz w:val="20"/>
        </w:rPr>
        <w:t>Vincent de Paul Professor of Law, DePaul University College of Law, “THE RIGHT OF PRIVACY IN STATE CONSTITUTIONAL LAW,” 2006, http://org.law.rutgers.edu/publications/lawjournal/issues/37_4/Shaman.pdf</w:t>
      </w:r>
    </w:p>
    <w:p w:rsidR="000B1BA4" w:rsidRPr="00A17106" w:rsidRDefault="000B1BA4" w:rsidP="000B1BA4">
      <w:pPr>
        <w:rPr>
          <w:sz w:val="16"/>
        </w:rPr>
      </w:pPr>
      <w:r w:rsidRPr="00A17106">
        <w:rPr>
          <w:sz w:val="16"/>
        </w:rPr>
        <w:t xml:space="preserve">The </w:t>
      </w:r>
      <w:r w:rsidRPr="00A17106">
        <w:rPr>
          <w:u w:val="single"/>
        </w:rPr>
        <w:t>right of privacy has developed primarily through decisions of the United States Supreme Court interpreting the Federal Constitution</w:t>
      </w:r>
      <w:r w:rsidRPr="00A17106">
        <w:rPr>
          <w:sz w:val="16"/>
        </w:rPr>
        <w:t xml:space="preserve">.9 Over the years, the Supreme Court has used the Fourteenth Amendment to the United States Constitution10 to formulate an evolving right of privacy that encompasses certain family rights, reproductive rights, and, most recently, a right of intimate association.11 Yet </w:t>
      </w:r>
      <w:r w:rsidRPr="00A17106">
        <w:rPr>
          <w:u w:val="single"/>
        </w:rPr>
        <w:t xml:space="preserve">the Court has placed definitive limits on family and reproductive rights, and also has refused to extend the right of privacy </w:t>
      </w:r>
      <w:r w:rsidRPr="00A17106">
        <w:rPr>
          <w:sz w:val="16"/>
        </w:rPr>
        <w:t xml:space="preserve">to other areas.12 </w:t>
      </w:r>
      <w:r w:rsidRPr="00A17106">
        <w:rPr>
          <w:u w:val="single"/>
        </w:rPr>
        <w:t>There is scant agreement among the Justices of the Supreme Court concerning the right of privacy</w:t>
      </w:r>
      <w:r w:rsidRPr="00A17106">
        <w:rPr>
          <w:sz w:val="16"/>
        </w:rPr>
        <w:t xml:space="preserve">, and at times, </w:t>
      </w:r>
      <w:r w:rsidRPr="004B1411">
        <w:rPr>
          <w:highlight w:val="cyan"/>
          <w:u w:val="single"/>
        </w:rPr>
        <w:t xml:space="preserve">the high Court’s </w:t>
      </w:r>
      <w:r w:rsidRPr="004B1411">
        <w:rPr>
          <w:b/>
          <w:highlight w:val="cyan"/>
          <w:u w:val="single"/>
        </w:rPr>
        <w:t>commitment to privacy has wavered</w:t>
      </w:r>
      <w:r w:rsidRPr="00A17106">
        <w:rPr>
          <w:u w:val="single"/>
        </w:rPr>
        <w:t xml:space="preserve"> considerably.</w:t>
      </w:r>
      <w:r w:rsidRPr="00A17106">
        <w:rPr>
          <w:sz w:val="16"/>
        </w:rPr>
        <w:t xml:space="preserve"> As a result of the Court’s continuing equivocation in this area, </w:t>
      </w:r>
      <w:r w:rsidRPr="00A17106">
        <w:rPr>
          <w:u w:val="single"/>
        </w:rPr>
        <w:t>the scope of the right of privacy under the Federal Constitution is considerably uncertain.</w:t>
      </w:r>
      <w:r>
        <w:rPr>
          <w:sz w:val="16"/>
        </w:rPr>
        <w:t xml:space="preserve"> </w:t>
      </w:r>
      <w:r w:rsidRPr="00A17106">
        <w:rPr>
          <w:sz w:val="16"/>
        </w:rPr>
        <w:t xml:space="preserve">Given this uncertainty, </w:t>
      </w:r>
      <w:r w:rsidRPr="00A17106">
        <w:rPr>
          <w:u w:val="single"/>
        </w:rPr>
        <w:t xml:space="preserve">it was hardly surprising when </w:t>
      </w:r>
      <w:r w:rsidRPr="004B1411">
        <w:rPr>
          <w:highlight w:val="cyan"/>
          <w:u w:val="single"/>
        </w:rPr>
        <w:t>a number of states stepped into the breach to revitalize the right of privacy</w:t>
      </w:r>
      <w:r w:rsidRPr="004B1411">
        <w:rPr>
          <w:sz w:val="16"/>
          <w:highlight w:val="cyan"/>
        </w:rPr>
        <w:t>.</w:t>
      </w:r>
      <w:r w:rsidRPr="00A17106">
        <w:rPr>
          <w:sz w:val="16"/>
        </w:rPr>
        <w:t xml:space="preserve"> State constitutions, after all, are an important source of protection for individual rights and liberties, including the right of privacy. Indeed, </w:t>
      </w:r>
      <w:r w:rsidRPr="004B1411">
        <w:rPr>
          <w:highlight w:val="cyan"/>
          <w:u w:val="single"/>
        </w:rPr>
        <w:t>state constitutions contain various provisions that can be used to protect the right of privacy</w:t>
      </w:r>
      <w:r w:rsidRPr="00A17106">
        <w:rPr>
          <w:u w:val="single"/>
        </w:rPr>
        <w:t>. Many</w:t>
      </w:r>
      <w:r w:rsidRPr="00A17106">
        <w:rPr>
          <w:sz w:val="16"/>
        </w:rPr>
        <w:t xml:space="preserve"> </w:t>
      </w:r>
      <w:r w:rsidRPr="00A17106">
        <w:rPr>
          <w:u w:val="single"/>
        </w:rPr>
        <w:t xml:space="preserve">state constitutions contain </w:t>
      </w:r>
      <w:r w:rsidRPr="004B1411">
        <w:rPr>
          <w:highlight w:val="cyan"/>
          <w:u w:val="single"/>
        </w:rPr>
        <w:t>due process or law of the land clauses safeguarding liberty</w:t>
      </w:r>
      <w:r w:rsidRPr="00A17106">
        <w:rPr>
          <w:u w:val="single"/>
        </w:rPr>
        <w:t xml:space="preserve"> </w:t>
      </w:r>
      <w:r w:rsidRPr="00A17106">
        <w:rPr>
          <w:sz w:val="16"/>
        </w:rPr>
        <w:t xml:space="preserve">that have been interpreted to ensure the right of privacy.13 Similarly, </w:t>
      </w:r>
      <w:r w:rsidRPr="00A17106">
        <w:rPr>
          <w:u w:val="single"/>
        </w:rPr>
        <w:t>s</w:t>
      </w:r>
      <w:r w:rsidRPr="004B1411">
        <w:rPr>
          <w:highlight w:val="cyan"/>
          <w:u w:val="single"/>
        </w:rPr>
        <w:t>tate constitutional provisions</w:t>
      </w:r>
      <w:r w:rsidRPr="00A17106">
        <w:rPr>
          <w:u w:val="single"/>
        </w:rPr>
        <w:t xml:space="preserve"> that </w:t>
      </w:r>
      <w:r w:rsidRPr="004B1411">
        <w:rPr>
          <w:highlight w:val="cyan"/>
          <w:u w:val="single"/>
        </w:rPr>
        <w:t>deny</w:t>
      </w:r>
      <w:r w:rsidRPr="00A17106">
        <w:rPr>
          <w:u w:val="single"/>
        </w:rPr>
        <w:t xml:space="preserve"> the existence of </w:t>
      </w:r>
      <w:r w:rsidRPr="004B1411">
        <w:rPr>
          <w:highlight w:val="cyan"/>
          <w:u w:val="single"/>
        </w:rPr>
        <w:t>arbitrary power over individual liberty</w:t>
      </w:r>
      <w:r w:rsidRPr="00A17106">
        <w:rPr>
          <w:u w:val="single"/>
        </w:rPr>
        <w:t xml:space="preserve"> have been </w:t>
      </w:r>
      <w:r w:rsidRPr="004B1411">
        <w:rPr>
          <w:highlight w:val="cyan"/>
          <w:u w:val="single"/>
        </w:rPr>
        <w:t>construed</w:t>
      </w:r>
      <w:r w:rsidRPr="00A17106">
        <w:rPr>
          <w:u w:val="single"/>
        </w:rPr>
        <w:t xml:space="preserve"> to protect the </w:t>
      </w:r>
      <w:r w:rsidRPr="004B1411">
        <w:rPr>
          <w:highlight w:val="cyan"/>
          <w:u w:val="single"/>
        </w:rPr>
        <w:t>right of privacy</w:t>
      </w:r>
      <w:r w:rsidRPr="00A17106">
        <w:rPr>
          <w:u w:val="single"/>
        </w:rPr>
        <w:t>.</w:t>
      </w:r>
      <w:r w:rsidRPr="00A17106">
        <w:rPr>
          <w:sz w:val="16"/>
        </w:rPr>
        <w:t xml:space="preserve">14 State constitutional provisions guaranteeing equality also are used as a means of protection for the right of privacy. </w:t>
      </w:r>
      <w:r w:rsidRPr="004B1411">
        <w:rPr>
          <w:highlight w:val="cyan"/>
          <w:u w:val="single"/>
        </w:rPr>
        <w:t>In some states, a right of privacy has been found implicit in constitutional provisions</w:t>
      </w:r>
      <w:r w:rsidRPr="00A17106">
        <w:rPr>
          <w:sz w:val="16"/>
        </w:rPr>
        <w:t xml:space="preserve"> declaring, “All persons are by nature free and independent, and have certain natural and unalienable rights”15 or stating, “The enumeration in this Constitution of certain rights shall not be construed to deny, impair, or disparage others retained by the people.”16 In modern times, </w:t>
      </w:r>
      <w:r w:rsidRPr="00A17106">
        <w:rPr>
          <w:u w:val="single"/>
        </w:rPr>
        <w:t>five states—Alaska, California, Florida, Hawaii, and Montana—have amended their constitutions to expressly protect the right of privacy.</w:t>
      </w:r>
      <w:r w:rsidRPr="00A17106">
        <w:rPr>
          <w:sz w:val="16"/>
        </w:rPr>
        <w:t xml:space="preserve">17 </w:t>
      </w:r>
      <w:r w:rsidRPr="00A17106">
        <w:rPr>
          <w:u w:val="single"/>
        </w:rPr>
        <w:t xml:space="preserve">These express provisions provide </w:t>
      </w:r>
      <w:r w:rsidRPr="00A17106">
        <w:rPr>
          <w:b/>
          <w:u w:val="single"/>
        </w:rPr>
        <w:t>fertile ground for the recognition</w:t>
      </w:r>
      <w:r w:rsidRPr="00A17106">
        <w:rPr>
          <w:u w:val="single"/>
        </w:rPr>
        <w:t xml:space="preserve"> of expansive privacy rights.</w:t>
      </w:r>
      <w:r w:rsidRPr="00A17106">
        <w:rPr>
          <w:sz w:val="16"/>
        </w:rPr>
        <w:t xml:space="preserve"> But even where only a more general constitutional provision, such as a due process clause, is available as a source of protection for privacy, some states have been willing to countenance expansive privacy rights.</w:t>
      </w:r>
      <w:r>
        <w:rPr>
          <w:sz w:val="16"/>
        </w:rPr>
        <w:t xml:space="preserve"> </w:t>
      </w:r>
      <w:r w:rsidRPr="00A17106">
        <w:rPr>
          <w:sz w:val="16"/>
        </w:rPr>
        <w:t xml:space="preserve">In recent years, as claims have been made to expand the right of autonomy to new dimensions, the states have differed in their willingness to do so. Some state courts have moved forward to expand the right of a woman to choose to have an abortion, while others have declined to take that course. </w:t>
      </w:r>
      <w:r w:rsidRPr="004B1411">
        <w:rPr>
          <w:highlight w:val="cyan"/>
          <w:u w:val="single"/>
        </w:rPr>
        <w:t>A number of state courts have recognized the right of intimate association and struck down sodomy laws well before the Supreme Court</w:t>
      </w:r>
      <w:r w:rsidRPr="00A17106">
        <w:rPr>
          <w:u w:val="single"/>
        </w:rPr>
        <w:t xml:space="preserve"> was willing to do so</w:t>
      </w:r>
      <w:r w:rsidRPr="00A17106">
        <w:rPr>
          <w:sz w:val="16"/>
        </w:rPr>
        <w:t xml:space="preserve">, while other state courts chose to stand fast with the then prevailing federal approach rebuffing the right of intimate association. Of late, a number of state courts have faced the issue of same-sex marriage or civil union, and have reached various conclusions concerning it. </w:t>
      </w:r>
      <w:r w:rsidRPr="00A17106">
        <w:rPr>
          <w:u w:val="single"/>
        </w:rPr>
        <w:t>The Supreme Court of Massachusetts became a pioneer by being the first judicial body in the nation to rule that the right of privacy secured by the state constitution encompassed a right to same-sex marriage.</w:t>
      </w:r>
      <w:r w:rsidRPr="00A17106">
        <w:rPr>
          <w:sz w:val="16"/>
        </w:rPr>
        <w:t xml:space="preserve">18 Some twenty-eight years before that, the Supreme Court of Alaska pioneered a different sort of privacy by ruling that the state constitutional guarantee of privacy afforded a right to possess marijuana for personal use in the privacy of one’s home,19 although the court later was unwilling to extend that right to the possession of cocaine.20 The Alaska ruling was reminiscent of a few earlier cases upholding, on grounds of privacy, a right to smoke cigarettes or to ingest alcoholic beverages.21 Those decisions, though, fell into desuetude for many years, until they were revived as the foundation for regenerating the right of privacy. </w:t>
      </w:r>
    </w:p>
    <w:p w:rsidR="000B1BA4" w:rsidRPr="00A17106" w:rsidRDefault="000B1BA4" w:rsidP="000B1BA4">
      <w:pPr>
        <w:rPr>
          <w:u w:val="single"/>
        </w:rPr>
      </w:pPr>
    </w:p>
    <w:p w:rsidR="000B1BA4" w:rsidRPr="00A17106" w:rsidRDefault="000B1BA4" w:rsidP="000B1BA4">
      <w:pPr>
        <w:pStyle w:val="Heading4"/>
        <w:rPr>
          <w:rFonts w:cs="Times New Roman"/>
        </w:rPr>
      </w:pPr>
      <w:r w:rsidRPr="00A17106">
        <w:rPr>
          <w:rFonts w:cs="Times New Roman"/>
        </w:rPr>
        <w:t>States solve best – they’re already pioneers in privacy law</w:t>
      </w:r>
    </w:p>
    <w:p w:rsidR="000B1BA4" w:rsidRPr="00A17106" w:rsidRDefault="000B1BA4" w:rsidP="000B1BA4">
      <w:r w:rsidRPr="00A17106">
        <w:t xml:space="preserve">Somini </w:t>
      </w:r>
      <w:r w:rsidRPr="00A17106">
        <w:rPr>
          <w:rStyle w:val="StyleStyleBold12pt"/>
        </w:rPr>
        <w:t>Sengupta 13</w:t>
      </w:r>
      <w:r w:rsidRPr="00A17106">
        <w:t>, foreign correspondent for The Times, “States rush to fill gap in U.S. privacy laws; Lawmakers see increase in support after accounts of federal surveillance,” lexis, 11/01/13</w:t>
      </w:r>
    </w:p>
    <w:p w:rsidR="000B1BA4" w:rsidRPr="004B1411" w:rsidRDefault="000B1BA4" w:rsidP="000B1BA4">
      <w:pPr>
        <w:rPr>
          <w:sz w:val="14"/>
        </w:rPr>
      </w:pPr>
      <w:r w:rsidRPr="00A17106">
        <w:rPr>
          <w:u w:val="single"/>
        </w:rPr>
        <w:t>State legislatures around the United States</w:t>
      </w:r>
      <w:r w:rsidRPr="004B1411">
        <w:rPr>
          <w:sz w:val="14"/>
        </w:rPr>
        <w:t xml:space="preserve">, facing growing public concern about the collection and trading of personal data, </w:t>
      </w:r>
      <w:r w:rsidRPr="00A17106">
        <w:rPr>
          <w:u w:val="single"/>
        </w:rPr>
        <w:t>have rushed to propose a series of privacy laws</w:t>
      </w:r>
      <w:r w:rsidRPr="004B1411">
        <w:rPr>
          <w:sz w:val="14"/>
        </w:rPr>
        <w:t xml:space="preserve">, including limiting how schools can collect student data and deciding whether the police need a warrant to track cellphone locations. </w:t>
      </w:r>
      <w:r w:rsidRPr="004B1411">
        <w:rPr>
          <w:highlight w:val="cyan"/>
          <w:u w:val="single"/>
        </w:rPr>
        <w:t xml:space="preserve">Over </w:t>
      </w:r>
      <w:r w:rsidRPr="004B1411">
        <w:rPr>
          <w:b/>
          <w:highlight w:val="cyan"/>
          <w:u w:val="single"/>
        </w:rPr>
        <w:t>two dozen privacy laws have passed this year</w:t>
      </w:r>
      <w:r w:rsidRPr="004B1411">
        <w:rPr>
          <w:highlight w:val="cyan"/>
          <w:u w:val="single"/>
        </w:rPr>
        <w:t xml:space="preserve"> in more than 10 states,</w:t>
      </w:r>
      <w:r w:rsidRPr="00A17106">
        <w:rPr>
          <w:u w:val="single"/>
        </w:rPr>
        <w:t xml:space="preserve"> in places as different as Oklahoma and California. </w:t>
      </w:r>
      <w:r w:rsidRPr="004B1411">
        <w:rPr>
          <w:sz w:val="14"/>
        </w:rPr>
        <w:t xml:space="preserve">Many lawmakers say that news reports of widespread surveillance by the National Security Agency have led to more support for the bills among constituents. And in some cases, the state lawmakers say, they have felt compelled to act because of the stalemate in Washington on legislation to strengthen privacy laws. </w:t>
      </w:r>
      <w:r w:rsidRPr="004B1411">
        <w:rPr>
          <w:highlight w:val="cyan"/>
          <w:u w:val="single"/>
        </w:rPr>
        <w:t>''Congress is obviously not interested in</w:t>
      </w:r>
      <w:r w:rsidRPr="00A17106">
        <w:rPr>
          <w:u w:val="single"/>
        </w:rPr>
        <w:t xml:space="preserve"> updating those things or </w:t>
      </w:r>
      <w:r w:rsidRPr="004B1411">
        <w:rPr>
          <w:highlight w:val="cyan"/>
          <w:u w:val="single"/>
        </w:rPr>
        <w:t>protecting privacy</w:t>
      </w:r>
      <w:r w:rsidRPr="00A17106">
        <w:rPr>
          <w:u w:val="single"/>
        </w:rPr>
        <w:t xml:space="preserve">,'' said Jonathan Stickland, a Republican state representative in Texas. </w:t>
      </w:r>
      <w:r w:rsidRPr="00A17106">
        <w:rPr>
          <w:b/>
          <w:u w:val="single"/>
        </w:rPr>
        <w:t xml:space="preserve">''If they're not going to do it, </w:t>
      </w:r>
      <w:r w:rsidRPr="004B1411">
        <w:rPr>
          <w:b/>
          <w:highlight w:val="cyan"/>
          <w:u w:val="single"/>
        </w:rPr>
        <w:t>states have to do it</w:t>
      </w:r>
      <w:r w:rsidRPr="00A17106">
        <w:rPr>
          <w:b/>
          <w:u w:val="single"/>
        </w:rPr>
        <w:t>.''</w:t>
      </w:r>
      <w:r>
        <w:rPr>
          <w:u w:val="single"/>
        </w:rPr>
        <w:t xml:space="preserve"> </w:t>
      </w:r>
      <w:r w:rsidRPr="004B1411">
        <w:rPr>
          <w:sz w:val="14"/>
        </w:rPr>
        <w:t xml:space="preserve">This year, Texas passed a bill introduced by Mr. Stickland that requires warrants for email searches, while Oklahoma enacted a law meant to protect the privacy of student data. At least three states proposed measures to regulate who inherits digital data, including Facebook passwords, when a user dies. </w:t>
      </w:r>
      <w:r w:rsidRPr="00A17106">
        <w:rPr>
          <w:u w:val="single"/>
        </w:rPr>
        <w:t>Some of the bills extend to surveillance beyond the web.</w:t>
      </w:r>
      <w:r w:rsidRPr="004B1411">
        <w:rPr>
          <w:sz w:val="14"/>
        </w:rPr>
        <w:t xml:space="preserve"> Eight states, for example, have passed laws this year limiting the use of drones, according to the American Civil Liberties Union, which has advocated such privacy laws. In Florida, a lawmaker has drafted a bill that would prohibit schools from collecting biometric data to verify who gets free lunches and who gets off at which bus stop. Vermont has limited the use of data collected by license plate readers, which are used mostly by the police to record images of license plates. </w:t>
      </w:r>
      <w:r w:rsidRPr="004B1411">
        <w:rPr>
          <w:highlight w:val="cyan"/>
          <w:u w:val="single"/>
        </w:rPr>
        <w:t>California</w:t>
      </w:r>
      <w:r w:rsidRPr="00A17106">
        <w:rPr>
          <w:u w:val="single"/>
        </w:rPr>
        <w:t xml:space="preserve">, long a pioneer on digital privacy laws, </w:t>
      </w:r>
      <w:r w:rsidRPr="004B1411">
        <w:rPr>
          <w:highlight w:val="cyan"/>
          <w:u w:val="single"/>
        </w:rPr>
        <w:t>has passed three online privacy bills this year</w:t>
      </w:r>
      <w:r w:rsidRPr="00A17106">
        <w:rPr>
          <w:u w:val="single"/>
        </w:rPr>
        <w:t xml:space="preserve">. </w:t>
      </w:r>
      <w:r w:rsidRPr="004B1411">
        <w:rPr>
          <w:sz w:val="14"/>
        </w:rPr>
        <w:t xml:space="preserve">One gives children the right to erase social media posts, another makes it a misdemeanor to publish identifiable nude pictures online without the subject's permission, and a third requires companies to tell consumers whether they abide by ''do not track'' signals on web browsers. </w:t>
      </w:r>
      <w:r w:rsidRPr="00A17106">
        <w:rPr>
          <w:u w:val="single"/>
        </w:rPr>
        <w:t xml:space="preserve">More than a year ago, </w:t>
      </w:r>
      <w:r w:rsidRPr="004B1411">
        <w:rPr>
          <w:highlight w:val="cyan"/>
          <w:u w:val="single"/>
        </w:rPr>
        <w:t>the White House proposed a consumer privacy bill of rights, but Congress has not yet taken on the legislation</w:t>
      </w:r>
      <w:r w:rsidRPr="00A17106">
        <w:rPr>
          <w:u w:val="single"/>
        </w:rPr>
        <w:t>. And a proposed updating of the 27-year-old Electronic Communications Privacy Act has stalled.</w:t>
      </w:r>
      <w:r>
        <w:rPr>
          <w:u w:val="single"/>
        </w:rPr>
        <w:t xml:space="preserve"> </w:t>
      </w:r>
      <w:r w:rsidRPr="004B1411">
        <w:rPr>
          <w:sz w:val="14"/>
        </w:rPr>
        <w:t xml:space="preserve">Many states have already responded to those opinions. In the past couple of years, about 10 states have passed laws restricting employers from demanding access to their employees' social media accounts. </w:t>
      </w:r>
      <w:r w:rsidRPr="00A17106">
        <w:rPr>
          <w:u w:val="single"/>
        </w:rPr>
        <w:t>California set the stage on digital privacy 10 years ago with a law that required organizations</w:t>
      </w:r>
      <w:r w:rsidRPr="004B1411">
        <w:rPr>
          <w:sz w:val="14"/>
        </w:rPr>
        <w:t xml:space="preserve">, whether public or private, </w:t>
      </w:r>
      <w:r w:rsidRPr="00A17106">
        <w:rPr>
          <w:u w:val="single"/>
        </w:rPr>
        <w:t xml:space="preserve">to inform consumers if their personal data had been breached or stolen. Several states followed, and </w:t>
      </w:r>
      <w:r w:rsidRPr="004B1411">
        <w:rPr>
          <w:highlight w:val="cyan"/>
          <w:u w:val="single"/>
        </w:rPr>
        <w:t>today, nearly every state has a data breach notification law.</w:t>
      </w:r>
      <w:r>
        <w:rPr>
          <w:u w:val="single"/>
        </w:rPr>
        <w:t xml:space="preserve"> </w:t>
      </w:r>
      <w:r w:rsidRPr="004B1411">
        <w:rPr>
          <w:sz w:val="14"/>
        </w:rPr>
        <w:t>This year, California amended that landmark law, adding an Internet user's login name and password to the menu of personal information that is covered. The California attorney general's office also has a full-time unit to enforce digital privacy laws.</w:t>
      </w:r>
    </w:p>
    <w:p w:rsidR="000B1BA4" w:rsidRPr="00A17106" w:rsidRDefault="000B1BA4" w:rsidP="000B1BA4">
      <w:pPr>
        <w:pStyle w:val="Heading2"/>
        <w:rPr>
          <w:rFonts w:cs="Times New Roman"/>
        </w:rPr>
      </w:pPr>
      <w:r w:rsidRPr="00A17106">
        <w:rPr>
          <w:rFonts w:cs="Times New Roman"/>
        </w:rPr>
        <w:t xml:space="preserve">Privacy Bill CP </w:t>
      </w:r>
    </w:p>
    <w:p w:rsidR="000B1BA4" w:rsidRPr="00A17106" w:rsidRDefault="000B1BA4" w:rsidP="000B1BA4">
      <w:pPr>
        <w:pStyle w:val="Heading3"/>
        <w:rPr>
          <w:rFonts w:cs="Times New Roman"/>
        </w:rPr>
      </w:pPr>
      <w:r w:rsidRPr="00A17106">
        <w:rPr>
          <w:rFonts w:cs="Times New Roman"/>
        </w:rPr>
        <w:t>1NC Shell</w:t>
      </w:r>
    </w:p>
    <w:p w:rsidR="000B1BA4" w:rsidRPr="00B11882" w:rsidRDefault="000B1BA4" w:rsidP="000B1BA4">
      <w:pPr>
        <w:pStyle w:val="Heading4"/>
      </w:pPr>
      <w:r w:rsidRPr="00B11882">
        <w:t>Privacy bill solves – creates a better framework of privacy policy</w:t>
      </w:r>
    </w:p>
    <w:p w:rsidR="000B1BA4" w:rsidRPr="00A17106" w:rsidRDefault="000B1BA4" w:rsidP="000B1BA4">
      <w:r w:rsidRPr="00A17106">
        <w:rPr>
          <w:rStyle w:val="StyleStyleBold12pt"/>
        </w:rPr>
        <w:t>White House 12</w:t>
      </w:r>
      <w:r w:rsidRPr="00A17106">
        <w:t xml:space="preserve"> – The White House [“Consumer Data Privacy in a Networked World: A Framework for Protecting Privacy and Promoting Innovation in the Global Digital Economy”, February 2012, https://www.whitehouse.gov/sites/default/files/privacy-final.pdf ] hk </w:t>
      </w:r>
    </w:p>
    <w:p w:rsidR="000B1BA4" w:rsidRPr="00A17106" w:rsidRDefault="000B1BA4" w:rsidP="000B1BA4">
      <w:pPr>
        <w:rPr>
          <w:rStyle w:val="StyleBoldUnderline"/>
        </w:rPr>
      </w:pPr>
      <w:r w:rsidRPr="006227DD">
        <w:rPr>
          <w:rStyle w:val="StyleBoldUnderline"/>
          <w:highlight w:val="cyan"/>
        </w:rPr>
        <w:t>The</w:t>
      </w:r>
      <w:r w:rsidRPr="006227DD">
        <w:rPr>
          <w:sz w:val="16"/>
          <w:highlight w:val="cyan"/>
        </w:rPr>
        <w:t xml:space="preserve"> </w:t>
      </w:r>
      <w:r w:rsidRPr="006227DD">
        <w:rPr>
          <w:rStyle w:val="StyleBoldUnderline"/>
          <w:highlight w:val="cyan"/>
        </w:rPr>
        <w:t>U</w:t>
      </w:r>
      <w:r w:rsidRPr="00A17106">
        <w:rPr>
          <w:sz w:val="16"/>
        </w:rPr>
        <w:t xml:space="preserve">nited </w:t>
      </w:r>
      <w:r w:rsidRPr="006227DD">
        <w:rPr>
          <w:rStyle w:val="StyleBoldUnderline"/>
          <w:highlight w:val="cyan"/>
        </w:rPr>
        <w:t>S</w:t>
      </w:r>
      <w:r w:rsidRPr="006227DD">
        <w:rPr>
          <w:sz w:val="16"/>
        </w:rPr>
        <w:t>tates</w:t>
      </w:r>
      <w:r w:rsidRPr="00A17106">
        <w:rPr>
          <w:sz w:val="16"/>
        </w:rPr>
        <w:t xml:space="preserve"> </w:t>
      </w:r>
      <w:r w:rsidRPr="006227DD">
        <w:rPr>
          <w:rStyle w:val="StyleBoldUnderline"/>
          <w:highlight w:val="cyan"/>
        </w:rPr>
        <w:t>is committed to protecting privacy</w:t>
      </w:r>
      <w:r w:rsidRPr="006227DD">
        <w:rPr>
          <w:sz w:val="16"/>
          <w:highlight w:val="cyan"/>
        </w:rPr>
        <w:t>.</w:t>
      </w:r>
      <w:r w:rsidRPr="00A17106">
        <w:rPr>
          <w:sz w:val="16"/>
        </w:rPr>
        <w:t xml:space="preserve"> It is an element of individual dignity and an aspect of participation in democratic society. </w:t>
      </w:r>
      <w:r w:rsidRPr="00A17106">
        <w:rPr>
          <w:rStyle w:val="StyleBoldUnderline"/>
        </w:rPr>
        <w:t>To an increasing extent, privacy protections have become critical to the information-based economy</w:t>
      </w:r>
      <w:r w:rsidRPr="00A17106">
        <w:rPr>
          <w:sz w:val="16"/>
        </w:rPr>
        <w:t xml:space="preserve">. Stronger consumer data privacy protections will buttress the trust that is necessary to promote the full economic, social, and political uses of networked technologies. The </w:t>
      </w:r>
      <w:r w:rsidRPr="006227DD">
        <w:rPr>
          <w:rStyle w:val="StyleBoldUnderline"/>
          <w:highlight w:val="cyan"/>
        </w:rPr>
        <w:t>increasing quantities of personal data</w:t>
      </w:r>
      <w:r w:rsidRPr="00A17106">
        <w:rPr>
          <w:rStyle w:val="StyleBoldUnderline"/>
        </w:rPr>
        <w:t xml:space="preserve"> that these technologies subject to </w:t>
      </w:r>
      <w:r w:rsidRPr="006227DD">
        <w:rPr>
          <w:rStyle w:val="StyleBoldUnderline"/>
          <w:highlight w:val="cyan"/>
        </w:rPr>
        <w:t>collection</w:t>
      </w:r>
      <w:r w:rsidRPr="00A17106">
        <w:rPr>
          <w:rStyle w:val="StyleBoldUnderline"/>
        </w:rPr>
        <w:t xml:space="preserve">, use, and disclosure </w:t>
      </w:r>
      <w:r w:rsidRPr="006227DD">
        <w:rPr>
          <w:rStyle w:val="StyleBoldUnderline"/>
          <w:highlight w:val="cyan"/>
        </w:rPr>
        <w:t xml:space="preserve">have fueled innovation and significant social benefits. We can preserve these benefits </w:t>
      </w:r>
      <w:r w:rsidRPr="006227DD">
        <w:rPr>
          <w:rStyle w:val="Emphasis"/>
          <w:highlight w:val="cyan"/>
        </w:rPr>
        <w:t>while</w:t>
      </w:r>
      <w:r w:rsidRPr="006227DD">
        <w:rPr>
          <w:rStyle w:val="StyleBoldUnderline"/>
          <w:highlight w:val="cyan"/>
        </w:rPr>
        <w:t xml:space="preserve"> also ensuring</w:t>
      </w:r>
      <w:r w:rsidRPr="00A17106">
        <w:rPr>
          <w:rStyle w:val="StyleBoldUnderline"/>
        </w:rPr>
        <w:t xml:space="preserve"> that </w:t>
      </w:r>
      <w:r w:rsidRPr="00A17106">
        <w:rPr>
          <w:sz w:val="16"/>
        </w:rPr>
        <w:t xml:space="preserve">our </w:t>
      </w:r>
      <w:r w:rsidRPr="00A17106">
        <w:rPr>
          <w:rStyle w:val="StyleBoldUnderline"/>
        </w:rPr>
        <w:t xml:space="preserve">consumer data privacy policy better reflects the value that Americans place on </w:t>
      </w:r>
      <w:r w:rsidRPr="006227DD">
        <w:rPr>
          <w:rStyle w:val="StyleBoldUnderline"/>
          <w:highlight w:val="cyan"/>
        </w:rPr>
        <w:t>privacy</w:t>
      </w:r>
      <w:r w:rsidRPr="00A17106">
        <w:rPr>
          <w:sz w:val="16"/>
        </w:rPr>
        <w:t xml:space="preserve"> and bolsters trust in the Internet and other networked technologies. The framework set forth in the preceding pages provides a way to achieve these goals. </w:t>
      </w:r>
      <w:r w:rsidRPr="006227DD">
        <w:rPr>
          <w:rStyle w:val="Emphasis"/>
          <w:highlight w:val="cyan"/>
        </w:rPr>
        <w:t>The Consumer Privacy Bill of Rights should be the legal baseline that governs consumer data privacy in the United States</w:t>
      </w:r>
      <w:r w:rsidRPr="006227DD">
        <w:rPr>
          <w:sz w:val="16"/>
          <w:highlight w:val="cyan"/>
        </w:rPr>
        <w:t>.</w:t>
      </w:r>
      <w:r w:rsidRPr="00A17106">
        <w:rPr>
          <w:sz w:val="16"/>
        </w:rPr>
        <w:t xml:space="preserve"> The Administration will work with Congress to bring this about, but it will also work with private sector stakeholders to adopt the Consumer Privacy Bill of Rights in the absence of legislation. To encourage adoption, the Department of Commerce will convene multistakeholder processes to encourage the development of enforceable, context-specific codes of conduct. The United States Government will engage with our international partners to increase the interoperability of our respective consumer data privacy frameworks. Federal agencies will continue to develop innovative privacy-protecting programs and guidance as well as enforce the broad array of existing Federal laws that protect consumer privacy. A cornerstone of this framework is its call for the ongoing participation of private-sector stakeholders. The views that companies, civil society, academics, and advocates provided to the Administration through written comments, public symposia, and informal discussions have been invaluable in shaping this framework. </w:t>
      </w:r>
      <w:r w:rsidRPr="006227DD">
        <w:rPr>
          <w:rStyle w:val="StyleBoldUnderline"/>
          <w:highlight w:val="cyan"/>
        </w:rPr>
        <w:t>Implementing it</w:t>
      </w:r>
      <w:r w:rsidRPr="00A17106">
        <w:rPr>
          <w:rStyle w:val="StyleBoldUnderline"/>
        </w:rPr>
        <w:t xml:space="preserve">, and making progress toward consumer data privacy protections that support a more trustworthy networked world, </w:t>
      </w:r>
      <w:r w:rsidRPr="006227DD">
        <w:rPr>
          <w:rStyle w:val="StyleBoldUnderline"/>
          <w:highlight w:val="cyan"/>
        </w:rPr>
        <w:t>will require all of us to continue to work together</w:t>
      </w:r>
      <w:r w:rsidRPr="00A17106">
        <w:rPr>
          <w:rStyle w:val="StyleBoldUnderline"/>
        </w:rPr>
        <w:t>.</w:t>
      </w:r>
    </w:p>
    <w:p w:rsidR="000B1BA4" w:rsidRPr="00A17106" w:rsidRDefault="000B1BA4" w:rsidP="000B1BA4"/>
    <w:p w:rsidR="000B1BA4" w:rsidRPr="00A17106" w:rsidRDefault="000B1BA4" w:rsidP="000B1BA4">
      <w:pPr>
        <w:pStyle w:val="Heading3"/>
        <w:rPr>
          <w:rFonts w:cs="Times New Roman"/>
        </w:rPr>
      </w:pPr>
      <w:r w:rsidRPr="00A17106">
        <w:rPr>
          <w:rFonts w:cs="Times New Roman"/>
        </w:rPr>
        <w:t>2NC: Solvency</w:t>
      </w:r>
    </w:p>
    <w:p w:rsidR="000B1BA4" w:rsidRPr="006227DD" w:rsidRDefault="000B1BA4" w:rsidP="000B1BA4">
      <w:pPr>
        <w:pStyle w:val="Heading4"/>
        <w:rPr>
          <w:rStyle w:val="StyleStyleBold12pt"/>
          <w:b/>
          <w:bCs w:val="0"/>
        </w:rPr>
      </w:pPr>
      <w:r w:rsidRPr="006227DD">
        <w:rPr>
          <w:rStyle w:val="StyleStyleBold12pt"/>
          <w:b/>
          <w:bCs w:val="0"/>
        </w:rPr>
        <w:t xml:space="preserve">Individual control over data solves the aff  </w:t>
      </w:r>
    </w:p>
    <w:p w:rsidR="000B1BA4" w:rsidRPr="00A17106" w:rsidRDefault="000B1BA4" w:rsidP="000B1BA4">
      <w:pPr>
        <w:contextualSpacing/>
        <w:rPr>
          <w:rStyle w:val="StyleBoldUnderline"/>
        </w:rPr>
      </w:pPr>
      <w:r w:rsidRPr="00A17106">
        <w:rPr>
          <w:rStyle w:val="StyleStyleBold12pt"/>
        </w:rPr>
        <w:t>Weitzner et al 14</w:t>
      </w:r>
      <w:r>
        <w:rPr>
          <w:rStyle w:val="StyleBoldUnderline"/>
        </w:rPr>
        <w:t xml:space="preserve"> </w:t>
      </w:r>
      <w:r w:rsidRPr="006227DD">
        <w:rPr>
          <w:sz w:val="18"/>
          <w:szCs w:val="18"/>
        </w:rPr>
        <w:t xml:space="preserve">( 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 </w:t>
      </w:r>
    </w:p>
    <w:p w:rsidR="000B1BA4" w:rsidRPr="00A17106" w:rsidRDefault="000B1BA4" w:rsidP="000B1BA4">
      <w:pPr>
        <w:rPr>
          <w:rStyle w:val="StyleBoldUnderline"/>
          <w:b w:val="0"/>
          <w:sz w:val="10"/>
        </w:rPr>
      </w:pPr>
      <w:r w:rsidRPr="006227DD">
        <w:rPr>
          <w:rStyle w:val="StyleBoldUnderline"/>
          <w:highlight w:val="cyan"/>
        </w:rPr>
        <w:t>The principle of Individual Control in the Consumer Privacy Bill of Rights shifts</w:t>
      </w:r>
      <w:r w:rsidRPr="00A17106">
        <w:rPr>
          <w:rStyle w:val="StyleBoldUnderline"/>
        </w:rPr>
        <w:t xml:space="preserve"> the focus away</w:t>
      </w:r>
      <w:r w:rsidRPr="00A17106">
        <w:rPr>
          <w:rStyle w:val="StyleBoldUnderline"/>
          <w:sz w:val="10"/>
        </w:rPr>
        <w:t xml:space="preserve"> </w:t>
      </w:r>
      <w:r w:rsidRPr="00A17106">
        <w:rPr>
          <w:rStyle w:val="StyleBoldUnderline"/>
        </w:rPr>
        <w:t xml:space="preserve">from the longstanding principle of notice-and-choice </w:t>
      </w:r>
      <w:r w:rsidRPr="006227DD">
        <w:rPr>
          <w:rStyle w:val="StyleBoldUnderline"/>
          <w:highlight w:val="cyan"/>
        </w:rPr>
        <w:t>to more dynamic and flexible mechanisms</w:t>
      </w:r>
      <w:r w:rsidRPr="00A17106">
        <w:rPr>
          <w:rStyle w:val="StyleBoldUnderline"/>
        </w:rPr>
        <w:t>.</w:t>
      </w:r>
      <w:r w:rsidRPr="00A17106">
        <w:rPr>
          <w:rStyle w:val="StyleBoldUnderline"/>
          <w:sz w:val="10"/>
        </w:rPr>
        <w:t xml:space="preserve"> Notice-and-choice is one important mechanism of privacy protection, but the Commerce Department Green Paper process found that routine checking of boxes puts too much weight on the unmanageable burden of reading privacy policies and does not differentiate among situations that present material privacy risk and those that do not. </w:t>
      </w:r>
      <w:r w:rsidRPr="00A17106">
        <w:rPr>
          <w:rStyle w:val="StyleBoldUnderline"/>
        </w:rPr>
        <w:t xml:space="preserve">Whether data is used in a commercial context, or for basic medical or scientific research, may also be relevant to what kind of individual control is warranted. </w:t>
      </w:r>
      <w:r w:rsidRPr="006227DD">
        <w:rPr>
          <w:rStyle w:val="StyleBoldUnderline"/>
          <w:highlight w:val="cyan"/>
        </w:rPr>
        <w:t>The C</w:t>
      </w:r>
      <w:r w:rsidRPr="00101195">
        <w:rPr>
          <w:rStyle w:val="StyleBoldUnderline"/>
        </w:rPr>
        <w:t>onsumer</w:t>
      </w:r>
      <w:r w:rsidRPr="006227DD">
        <w:rPr>
          <w:rStyle w:val="StyleBoldUnderline"/>
          <w:highlight w:val="cyan"/>
        </w:rPr>
        <w:t xml:space="preserve"> P</w:t>
      </w:r>
      <w:r w:rsidRPr="00101195">
        <w:rPr>
          <w:rStyle w:val="StyleBoldUnderline"/>
        </w:rPr>
        <w:t>rivacy</w:t>
      </w:r>
      <w:r w:rsidRPr="006227DD">
        <w:rPr>
          <w:rStyle w:val="StyleBoldUnderline"/>
          <w:highlight w:val="cyan"/>
        </w:rPr>
        <w:t xml:space="preserve"> B</w:t>
      </w:r>
      <w:r w:rsidRPr="00101195">
        <w:rPr>
          <w:rStyle w:val="StyleBoldUnderline"/>
        </w:rPr>
        <w:t xml:space="preserve">ill of </w:t>
      </w:r>
      <w:r w:rsidRPr="006227DD">
        <w:rPr>
          <w:rStyle w:val="StyleBoldUnderline"/>
          <w:highlight w:val="cyan"/>
        </w:rPr>
        <w:t>R</w:t>
      </w:r>
      <w:r w:rsidRPr="00101195">
        <w:rPr>
          <w:rStyle w:val="StyleBoldUnderline"/>
        </w:rPr>
        <w:t>ights</w:t>
      </w:r>
      <w:r w:rsidRPr="006227DD">
        <w:rPr>
          <w:rStyle w:val="StyleBoldUnderline"/>
        </w:rPr>
        <w:t xml:space="preserve"> therefore </w:t>
      </w:r>
      <w:r w:rsidRPr="006227DD">
        <w:rPr>
          <w:rStyle w:val="StyleBoldUnderline"/>
          <w:highlight w:val="cyan"/>
        </w:rPr>
        <w:t>calls for contextual mechanisms to exercise choice at the time of collection</w:t>
      </w:r>
      <w:r w:rsidRPr="00A17106">
        <w:rPr>
          <w:rStyle w:val="StyleBoldUnderline"/>
          <w:sz w:val="10"/>
        </w:rPr>
        <w:t xml:space="preserve"> “appropriate for the scale, scope, and sensitivity of the data in question,” and also for additional mechanisms to address the use of personal data after collection. </w:t>
      </w:r>
      <w:r w:rsidRPr="006227DD">
        <w:rPr>
          <w:rStyle w:val="StyleBoldUnderline"/>
          <w:highlight w:val="cyan"/>
        </w:rPr>
        <w:t>This</w:t>
      </w:r>
      <w:r w:rsidRPr="00A17106">
        <w:rPr>
          <w:rStyle w:val="StyleBoldUnderline"/>
        </w:rPr>
        <w:t xml:space="preserve"> principle </w:t>
      </w:r>
      <w:r w:rsidRPr="006227DD">
        <w:rPr>
          <w:rStyle w:val="StyleBoldUnderline"/>
        </w:rPr>
        <w:t>reflects</w:t>
      </w:r>
      <w:r w:rsidRPr="00A17106">
        <w:rPr>
          <w:rStyle w:val="StyleBoldUnderline"/>
        </w:rPr>
        <w:t xml:space="preserve"> the Big Data environment in two ways. First, it </w:t>
      </w:r>
      <w:r w:rsidRPr="006227DD">
        <w:rPr>
          <w:rStyle w:val="StyleBoldUnderline"/>
          <w:highlight w:val="cyan"/>
        </w:rPr>
        <w:t>recognizes</w:t>
      </w:r>
      <w:r w:rsidRPr="00A17106">
        <w:rPr>
          <w:rStyle w:val="StyleBoldUnderline"/>
        </w:rPr>
        <w:t xml:space="preserve"> that </w:t>
      </w:r>
      <w:r w:rsidRPr="006227DD">
        <w:rPr>
          <w:rStyle w:val="StyleBoldUnderline"/>
          <w:highlight w:val="cyan"/>
        </w:rPr>
        <w:t xml:space="preserve">the increasing velocity and variety of data collection </w:t>
      </w:r>
      <w:r w:rsidRPr="006227DD">
        <w:rPr>
          <w:rStyle w:val="StyleBoldUnderline"/>
        </w:rPr>
        <w:t>make notice-and-choice</w:t>
      </w:r>
      <w:r w:rsidRPr="006227DD">
        <w:rPr>
          <w:rStyle w:val="StyleBoldUnderline"/>
          <w:highlight w:val="cyan"/>
        </w:rPr>
        <w:t xml:space="preserve"> ineffective</w:t>
      </w:r>
      <w:r w:rsidRPr="006227DD">
        <w:rPr>
          <w:rStyle w:val="StyleBoldUnderline"/>
          <w:sz w:val="10"/>
          <w:highlight w:val="cyan"/>
        </w:rPr>
        <w:t>;</w:t>
      </w:r>
      <w:r w:rsidRPr="00A17106">
        <w:rPr>
          <w:rStyle w:val="StyleBoldUnderline"/>
          <w:sz w:val="10"/>
        </w:rPr>
        <w:t xml:space="preserve"> consumers are asked for consent too frequently and on devices such as mobile phones that are not suited to deliberate informed consent. </w:t>
      </w:r>
      <w:r w:rsidRPr="00A17106">
        <w:rPr>
          <w:rStyle w:val="StyleBoldUnderline"/>
        </w:rPr>
        <w:t xml:space="preserve">Second, it </w:t>
      </w:r>
      <w:r w:rsidRPr="006227DD">
        <w:rPr>
          <w:rStyle w:val="StyleBoldUnderline"/>
          <w:highlight w:val="cyan"/>
        </w:rPr>
        <w:t>recognizes that the velocity of data includes increased sharing with third parties with whom consumers do not have a direct relationship</w:t>
      </w:r>
      <w:r w:rsidRPr="00A17106">
        <w:rPr>
          <w:rStyle w:val="StyleBoldUnderline"/>
          <w:sz w:val="10"/>
        </w:rPr>
        <w:t xml:space="preserve">. Moving away from a one-size-fits-all notice and choice regime in which consumers often face a binary choice (either to give up data control or not to use a service) will strengthen fair exchange of value between consumers and companies by allowing consumers greater choices of how much to share in exchange for a given level of features and benefits. There are certainly contexts in which individual control will play a minor role as compared to other principles such as Respect for Context and Focused Collection. The expanded use of sensors and other developing forms of automated data collection will make notice-and-choice and other mechanisms of control impossible or infeasible in an increasing number of circumstances. </w:t>
      </w:r>
      <w:r w:rsidRPr="00A17106">
        <w:rPr>
          <w:rStyle w:val="StyleBoldUnderline"/>
        </w:rPr>
        <w:t xml:space="preserve">The </w:t>
      </w:r>
      <w:r w:rsidRPr="006227DD">
        <w:rPr>
          <w:rStyle w:val="StyleBoldUnderline"/>
          <w:highlight w:val="cyan"/>
        </w:rPr>
        <w:t>principles of C</w:t>
      </w:r>
      <w:r w:rsidRPr="00101195">
        <w:rPr>
          <w:rStyle w:val="StyleBoldUnderline"/>
        </w:rPr>
        <w:t>onsumer</w:t>
      </w:r>
      <w:r w:rsidRPr="006227DD">
        <w:rPr>
          <w:rStyle w:val="StyleBoldUnderline"/>
          <w:highlight w:val="cyan"/>
        </w:rPr>
        <w:t xml:space="preserve"> P</w:t>
      </w:r>
      <w:r w:rsidRPr="00101195">
        <w:rPr>
          <w:rStyle w:val="StyleBoldUnderline"/>
        </w:rPr>
        <w:t>rivacy</w:t>
      </w:r>
      <w:r w:rsidRPr="006227DD">
        <w:rPr>
          <w:rStyle w:val="StyleBoldUnderline"/>
          <w:highlight w:val="cyan"/>
        </w:rPr>
        <w:t xml:space="preserve"> B</w:t>
      </w:r>
      <w:r w:rsidRPr="00101195">
        <w:rPr>
          <w:rStyle w:val="StyleBoldUnderline"/>
        </w:rPr>
        <w:t xml:space="preserve">ill of </w:t>
      </w:r>
      <w:r w:rsidRPr="006227DD">
        <w:rPr>
          <w:rStyle w:val="StyleBoldUnderline"/>
          <w:highlight w:val="cyan"/>
        </w:rPr>
        <w:t>R</w:t>
      </w:r>
      <w:r w:rsidRPr="00101195">
        <w:rPr>
          <w:rStyle w:val="StyleBoldUnderline"/>
        </w:rPr>
        <w:t xml:space="preserve">ights </w:t>
      </w:r>
      <w:r w:rsidRPr="006227DD">
        <w:rPr>
          <w:rStyle w:val="StyleBoldUnderline"/>
          <w:highlight w:val="cyan"/>
        </w:rPr>
        <w:t xml:space="preserve">are intended to apply in interactive and dynamic </w:t>
      </w:r>
      <w:r w:rsidRPr="00101195">
        <w:rPr>
          <w:rStyle w:val="StyleBoldUnderline"/>
          <w:highlight w:val="cyan"/>
        </w:rPr>
        <w:t xml:space="preserve">ways appropriate </w:t>
      </w:r>
      <w:r w:rsidRPr="006227DD">
        <w:rPr>
          <w:rStyle w:val="StyleBoldUnderline"/>
          <w:highlight w:val="cyan"/>
        </w:rPr>
        <w:t>to the technologies they address</w:t>
      </w:r>
      <w:r w:rsidRPr="00A17106">
        <w:rPr>
          <w:rStyle w:val="StyleBoldUnderline"/>
        </w:rPr>
        <w:t>; the expansion of Big Data will put a premium on such application</w:t>
      </w:r>
      <w:r w:rsidRPr="00A17106">
        <w:rPr>
          <w:rStyle w:val="StyleBoldUnderline"/>
          <w:sz w:val="10"/>
        </w:rPr>
        <w:t>.</w:t>
      </w:r>
    </w:p>
    <w:p w:rsidR="000B1BA4" w:rsidRPr="00A17106" w:rsidRDefault="000B1BA4" w:rsidP="000B1BA4">
      <w:pPr>
        <w:rPr>
          <w:rStyle w:val="StyleStyleBold12pt"/>
        </w:rPr>
      </w:pPr>
    </w:p>
    <w:p w:rsidR="000B1BA4" w:rsidRPr="006227DD" w:rsidRDefault="000B1BA4" w:rsidP="000B1BA4">
      <w:pPr>
        <w:pStyle w:val="Heading4"/>
        <w:rPr>
          <w:rStyle w:val="StyleStyleBold12pt"/>
          <w:b/>
          <w:bCs w:val="0"/>
        </w:rPr>
      </w:pPr>
      <w:r w:rsidRPr="006227DD">
        <w:rPr>
          <w:rStyle w:val="StyleStyleBold12pt"/>
          <w:b/>
          <w:bCs w:val="0"/>
        </w:rPr>
        <w:t xml:space="preserve">Privacy principles reduce the risk of leaks </w:t>
      </w:r>
    </w:p>
    <w:p w:rsidR="000B1BA4" w:rsidRPr="00A17106" w:rsidRDefault="000B1BA4" w:rsidP="000B1BA4">
      <w:pPr>
        <w:contextualSpacing/>
        <w:rPr>
          <w:rStyle w:val="StyleBoldUnderline"/>
        </w:rPr>
      </w:pPr>
      <w:r w:rsidRPr="00A17106">
        <w:rPr>
          <w:rStyle w:val="StyleStyleBold12pt"/>
        </w:rPr>
        <w:t>Weitzner et al 14</w:t>
      </w:r>
      <w:r>
        <w:rPr>
          <w:sz w:val="18"/>
          <w:szCs w:val="18"/>
        </w:rPr>
        <w:t xml:space="preserve"> (</w:t>
      </w:r>
      <w:r w:rsidRPr="006227DD">
        <w:rPr>
          <w:sz w:val="18"/>
          <w:szCs w:val="18"/>
        </w:rPr>
        <w:t xml:space="preserve"> 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w:t>
      </w:r>
      <w:r>
        <w:rPr>
          <w:sz w:val="18"/>
          <w:szCs w:val="18"/>
        </w:rPr>
        <w:t>BigDataPrivacyComments.pdf ] hk)</w:t>
      </w:r>
    </w:p>
    <w:p w:rsidR="000B1BA4" w:rsidRPr="00A17106" w:rsidRDefault="000B1BA4" w:rsidP="000B1BA4">
      <w:pPr>
        <w:rPr>
          <w:sz w:val="12"/>
        </w:rPr>
      </w:pPr>
      <w:r w:rsidRPr="00A17106">
        <w:rPr>
          <w:rStyle w:val="StyleStyleBold12pt"/>
          <w:sz w:val="12"/>
        </w:rPr>
        <w:t xml:space="preserve">1. Re-identification risk: </w:t>
      </w:r>
      <w:r w:rsidRPr="006227DD">
        <w:rPr>
          <w:rStyle w:val="StyleBoldUnderline"/>
          <w:highlight w:val="cyan"/>
        </w:rPr>
        <w:t>The risk that personal data can leak</w:t>
      </w:r>
      <w:r w:rsidRPr="00A17106">
        <w:rPr>
          <w:rStyle w:val="StyleStyleBold12pt"/>
          <w:sz w:val="12"/>
        </w:rPr>
        <w:t xml:space="preserve"> from big data research platforms </w:t>
      </w:r>
      <w:r w:rsidRPr="006227DD">
        <w:rPr>
          <w:rStyle w:val="StyleBoldUnderline"/>
          <w:highlight w:val="cyan"/>
        </w:rPr>
        <w:t>is real</w:t>
      </w:r>
      <w:r w:rsidRPr="00A17106">
        <w:rPr>
          <w:rStyle w:val="StyleBoldUnderline"/>
        </w:rPr>
        <w:t>.</w:t>
      </w:r>
      <w:r w:rsidRPr="00A17106">
        <w:rPr>
          <w:rStyle w:val="StyleStyleBold12pt"/>
          <w:sz w:val="12"/>
        </w:rPr>
        <w:t xml:space="preserve"> </w:t>
      </w:r>
      <w:r w:rsidRPr="006227DD">
        <w:rPr>
          <w:rStyle w:val="StyleBoldUnderline"/>
          <w:highlight w:val="cyan"/>
        </w:rPr>
        <w:t>Principles</w:t>
      </w:r>
      <w:r w:rsidRPr="00A17106">
        <w:rPr>
          <w:rStyle w:val="StyleBoldUnderline"/>
        </w:rPr>
        <w:t xml:space="preserve"> including Transparency, Security, Focused Collection, and Accountability w</w:t>
      </w:r>
      <w:r w:rsidRPr="006227DD">
        <w:rPr>
          <w:rStyle w:val="StyleBoldUnderline"/>
          <w:highlight w:val="cyan"/>
        </w:rPr>
        <w:t>ill all be important to manage</w:t>
      </w:r>
      <w:r w:rsidRPr="00A17106">
        <w:rPr>
          <w:rStyle w:val="StyleBoldUnderline"/>
        </w:rPr>
        <w:t xml:space="preserve"> </w:t>
      </w:r>
      <w:r w:rsidRPr="006227DD">
        <w:rPr>
          <w:rStyle w:val="StyleBoldUnderline"/>
          <w:highlight w:val="cyan"/>
        </w:rPr>
        <w:t>this risk</w:t>
      </w:r>
      <w:r w:rsidRPr="006227DD">
        <w:rPr>
          <w:rStyle w:val="StyleStyleBold12pt"/>
          <w:sz w:val="12"/>
          <w:highlight w:val="cyan"/>
        </w:rPr>
        <w:t>.</w:t>
      </w:r>
      <w:r w:rsidRPr="00A17106">
        <w:rPr>
          <w:rStyle w:val="StyleStyleBold12pt"/>
          <w:sz w:val="12"/>
        </w:rPr>
        <w:t xml:space="preserve"> </w:t>
      </w:r>
      <w:r w:rsidRPr="006227DD">
        <w:rPr>
          <w:rStyle w:val="StyleBoldUnderline"/>
          <w:highlight w:val="cyan"/>
        </w:rPr>
        <w:t>Transparency will enable regulators</w:t>
      </w:r>
      <w:r w:rsidRPr="00A17106">
        <w:rPr>
          <w:rStyle w:val="StyleBoldUnderline"/>
        </w:rPr>
        <w:t xml:space="preserve">, </w:t>
      </w:r>
      <w:r w:rsidRPr="006227DD">
        <w:rPr>
          <w:rStyle w:val="StyleBoldUnderline"/>
          <w:highlight w:val="cyan"/>
        </w:rPr>
        <w:t>enforcement authorities</w:t>
      </w:r>
      <w:r w:rsidRPr="00A17106">
        <w:rPr>
          <w:rStyle w:val="StyleBoldUnderline"/>
        </w:rPr>
        <w:t xml:space="preserve">, </w:t>
      </w:r>
      <w:r w:rsidRPr="006227DD">
        <w:rPr>
          <w:rStyle w:val="StyleBoldUnderline"/>
          <w:highlight w:val="cyan"/>
        </w:rPr>
        <w:t>and interested members</w:t>
      </w:r>
      <w:r w:rsidRPr="00A17106">
        <w:rPr>
          <w:rStyle w:val="StyleBoldUnderline"/>
        </w:rPr>
        <w:t xml:space="preserve"> of the public such as advocates and academics </w:t>
      </w:r>
      <w:r w:rsidRPr="006227DD">
        <w:rPr>
          <w:rStyle w:val="StyleBoldUnderline"/>
          <w:highlight w:val="cyan"/>
        </w:rPr>
        <w:t>to know what kind of data is being released and in what form.</w:t>
      </w:r>
      <w:r w:rsidRPr="006227DD">
        <w:rPr>
          <w:rStyle w:val="StyleBoldUnderline"/>
        </w:rPr>
        <w:t xml:space="preserve"> </w:t>
      </w:r>
      <w:r w:rsidRPr="006227DD">
        <w:rPr>
          <w:sz w:val="12"/>
        </w:rPr>
        <w:t>Assessing whether the users’ rights to have data held securely should include an assessment of who is able to access the data and therefore whether</w:t>
      </w:r>
      <w:r w:rsidRPr="006227DD">
        <w:rPr>
          <w:rStyle w:val="StyleStyleBold12pt"/>
          <w:sz w:val="12"/>
        </w:rPr>
        <w:t xml:space="preserve"> </w:t>
      </w:r>
      <w:r w:rsidRPr="006227DD">
        <w:rPr>
          <w:rStyle w:val="StyleStyleBold12pt"/>
          <w:b w:val="0"/>
          <w:sz w:val="12"/>
        </w:rPr>
        <w:t>the re-identification risk can be minimized by binding those individuals to legal commitments to avoid re-identification. The right to have only focused collection of user data will also reduce re-identification risk by limiting gratuitous collection of data. And finally, an organization with strong institutional accountability procedures in place should handle data carefully and only release it publicly after evaluating the risk of re-identification. If</w:t>
      </w:r>
      <w:r w:rsidRPr="006227DD">
        <w:rPr>
          <w:rStyle w:val="StyleStyleBold12pt"/>
          <w:sz w:val="12"/>
        </w:rPr>
        <w:t xml:space="preserve"> </w:t>
      </w:r>
      <w:r w:rsidRPr="006227DD">
        <w:rPr>
          <w:sz w:val="12"/>
        </w:rPr>
        <w:t>the organization fails to consider this risk, then appropriate parties can be held accountable for resulting harm.</w:t>
      </w:r>
    </w:p>
    <w:p w:rsidR="000B1BA4" w:rsidRPr="00A17106" w:rsidRDefault="000B1BA4" w:rsidP="000B1BA4">
      <w:pPr>
        <w:rPr>
          <w:rStyle w:val="StyleStyleBold12pt"/>
          <w:b w:val="0"/>
          <w:sz w:val="16"/>
        </w:rPr>
      </w:pPr>
    </w:p>
    <w:p w:rsidR="000B1BA4" w:rsidRPr="00812DCA" w:rsidRDefault="000B1BA4" w:rsidP="000B1BA4">
      <w:pPr>
        <w:pStyle w:val="Heading4"/>
        <w:rPr>
          <w:rStyle w:val="StyleStyleBold12pt"/>
          <w:b/>
          <w:bCs w:val="0"/>
        </w:rPr>
      </w:pPr>
      <w:r w:rsidRPr="00812DCA">
        <w:rPr>
          <w:rStyle w:val="StyleStyleBold12pt"/>
          <w:b/>
          <w:bCs w:val="0"/>
        </w:rPr>
        <w:t xml:space="preserve">Resolves false info and models – their ev assumes the squo </w:t>
      </w:r>
    </w:p>
    <w:p w:rsidR="000B1BA4" w:rsidRPr="00812DCA" w:rsidRDefault="000B1BA4" w:rsidP="000B1BA4">
      <w:pPr>
        <w:contextualSpacing/>
        <w:rPr>
          <w:sz w:val="18"/>
          <w:szCs w:val="18"/>
        </w:rPr>
      </w:pPr>
      <w:r w:rsidRPr="00A17106">
        <w:rPr>
          <w:rStyle w:val="StyleStyleBold12pt"/>
        </w:rPr>
        <w:t>Weitzner et al 14</w:t>
      </w:r>
      <w:r>
        <w:rPr>
          <w:rStyle w:val="StyleBoldUnderline"/>
        </w:rPr>
        <w:t xml:space="preserve"> (</w:t>
      </w:r>
      <w:r w:rsidRPr="00812DCA">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Pr>
          <w:sz w:val="18"/>
          <w:szCs w:val="18"/>
        </w:rPr>
        <w:t>)</w:t>
      </w:r>
      <w:r w:rsidRPr="00812DCA">
        <w:rPr>
          <w:sz w:val="18"/>
          <w:szCs w:val="18"/>
        </w:rPr>
        <w:t xml:space="preserve"> </w:t>
      </w:r>
    </w:p>
    <w:p w:rsidR="000B1BA4" w:rsidRPr="00812DCA" w:rsidRDefault="000B1BA4" w:rsidP="000B1BA4">
      <w:pPr>
        <w:rPr>
          <w:sz w:val="14"/>
        </w:rPr>
      </w:pPr>
      <w:r w:rsidRPr="00812DCA">
        <w:rPr>
          <w:sz w:val="14"/>
        </w:rPr>
        <w:t xml:space="preserve">2. Data and model inaccuracy: </w:t>
      </w:r>
      <w:r w:rsidRPr="00812DCA">
        <w:rPr>
          <w:rStyle w:val="StyleBoldUnderline"/>
          <w:highlight w:val="cyan"/>
        </w:rPr>
        <w:t>The Consumer Privacy Bill of Rights can reduce the risk that decisions</w:t>
      </w:r>
      <w:r w:rsidRPr="00A17106">
        <w:rPr>
          <w:rStyle w:val="StyleBoldUnderline"/>
        </w:rPr>
        <w:t xml:space="preserve"> are </w:t>
      </w:r>
      <w:r w:rsidRPr="00812DCA">
        <w:rPr>
          <w:rStyle w:val="StyleBoldUnderline"/>
          <w:highlight w:val="cyan"/>
        </w:rPr>
        <w:t>made about an individual based on inaccurate information or</w:t>
      </w:r>
      <w:r w:rsidRPr="00A17106">
        <w:rPr>
          <w:rStyle w:val="StyleBoldUnderline"/>
        </w:rPr>
        <w:t xml:space="preserve"> an </w:t>
      </w:r>
      <w:r w:rsidRPr="00812DCA">
        <w:rPr>
          <w:rStyle w:val="StyleBoldUnderline"/>
          <w:highlight w:val="cyan"/>
        </w:rPr>
        <w:t>incorrect model</w:t>
      </w:r>
      <w:r w:rsidRPr="00812DCA">
        <w:rPr>
          <w:sz w:val="14"/>
        </w:rPr>
        <w:t xml:space="preserve">. The </w:t>
      </w:r>
      <w:r w:rsidRPr="00A17106">
        <w:rPr>
          <w:rStyle w:val="StyleBoldUnderline"/>
        </w:rPr>
        <w:t>p</w:t>
      </w:r>
      <w:r w:rsidRPr="00812DCA">
        <w:rPr>
          <w:rStyle w:val="StyleBoldUnderline"/>
        </w:rPr>
        <w:t>rinciples</w:t>
      </w:r>
      <w:r w:rsidRPr="00A17106">
        <w:rPr>
          <w:rStyle w:val="StyleBoldUnderline"/>
        </w:rPr>
        <w:t xml:space="preserve"> of Transparency, Respect for Context, and Access and Accuracy are all useful to ensure fairness in big data decisionmaking</w:t>
      </w:r>
      <w:r w:rsidRPr="00812DCA">
        <w:rPr>
          <w:sz w:val="14"/>
        </w:rPr>
        <w:t xml:space="preserve">. Since the Fair Credit Reporting Act (FCRA) was enacted, individuals have had basic transparency rights enabling them to know that personal information about them is being used for important decisions, as well as the right to access and correct personal data to ensure that it is accurate. </w:t>
      </w:r>
      <w:r w:rsidRPr="00812DCA">
        <w:rPr>
          <w:rStyle w:val="StyleBoldUnderline"/>
          <w:highlight w:val="cyan"/>
        </w:rPr>
        <w:t>Such transparency is critical to make sure that individuals know their data is being used</w:t>
      </w:r>
      <w:r w:rsidRPr="00A17106">
        <w:rPr>
          <w:rStyle w:val="StyleBoldUnderline"/>
        </w:rPr>
        <w:t xml:space="preserve"> therefore be able </w:t>
      </w:r>
      <w:r w:rsidRPr="00812DCA">
        <w:rPr>
          <w:rStyle w:val="StyleBoldUnderline"/>
          <w:highlight w:val="cyan"/>
        </w:rPr>
        <w:t>to assure its accuracy or</w:t>
      </w:r>
      <w:r w:rsidRPr="00A17106">
        <w:rPr>
          <w:rStyle w:val="StyleBoldUnderline"/>
        </w:rPr>
        <w:t xml:space="preserve"> decide to exclude themselves from uses they object to.</w:t>
      </w:r>
      <w:r w:rsidRPr="00812DCA">
        <w:rPr>
          <w:sz w:val="14"/>
        </w:rPr>
        <w:t xml:space="preserve"> Similarly, the Access and Accuracy affords a mechanism to assure that data and the inference drawn from are accurate. While most consumers will not be able to identify errors in models, 5 transparency on inferences drawn by a model may shine light on algorithmic errors, </w:t>
      </w:r>
      <w:r w:rsidRPr="00812DCA">
        <w:rPr>
          <w:rStyle w:val="StyleBoldUnderline"/>
          <w:highlight w:val="cyan"/>
        </w:rPr>
        <w:t>The CPBR Transparency</w:t>
      </w:r>
      <w:r w:rsidRPr="00A17106">
        <w:rPr>
          <w:rStyle w:val="StyleBoldUnderline"/>
        </w:rPr>
        <w:t xml:space="preserve"> principle also </w:t>
      </w:r>
      <w:r w:rsidRPr="00812DCA">
        <w:rPr>
          <w:rStyle w:val="StyleBoldUnderline"/>
          <w:highlight w:val="cyan"/>
        </w:rPr>
        <w:t>requires that companies explain how they will use data and</w:t>
      </w:r>
      <w:r w:rsidRPr="00A17106">
        <w:rPr>
          <w:rStyle w:val="StyleBoldUnderline"/>
        </w:rPr>
        <w:t xml:space="preserve"> this should be understood to </w:t>
      </w:r>
      <w:r w:rsidRPr="00812DCA">
        <w:rPr>
          <w:rStyle w:val="StyleBoldUnderline"/>
          <w:highlight w:val="cyan"/>
        </w:rPr>
        <w:t>include relevant information about the decision-making models</w:t>
      </w:r>
      <w:r w:rsidRPr="00812DCA">
        <w:rPr>
          <w:sz w:val="14"/>
        </w:rPr>
        <w:t xml:space="preserve"> and algorithms. There is work to be done to define how much of the decision-making metrics should be exposed, as some of that information will be proprietary. Enough context about the decision metrics should be made available to enable consumer protection enforcement agencies and other stakeholders to assess whether the decisions models are fair. </w:t>
      </w:r>
      <w:r w:rsidRPr="00A17106">
        <w:rPr>
          <w:rStyle w:val="StyleBoldUnderline"/>
        </w:rPr>
        <w:t>These principles are reinforced by the Respect for Context principle.</w:t>
      </w:r>
      <w:r w:rsidRPr="00812DCA">
        <w:rPr>
          <w:sz w:val="14"/>
        </w:rPr>
        <w:t xml:space="preserve"> </w:t>
      </w:r>
      <w:r w:rsidRPr="00A17106">
        <w:rPr>
          <w:rStyle w:val="StyleBoldUnderline"/>
        </w:rPr>
        <w:t>When data is used out of context</w:t>
      </w:r>
      <w:r w:rsidRPr="00812DCA">
        <w:rPr>
          <w:sz w:val="14"/>
        </w:rPr>
        <w:t xml:space="preserve">, the CPBR provides that if </w:t>
      </w:r>
      <w:r w:rsidRPr="00A17106">
        <w:rPr>
          <w:rStyle w:val="StyleBoldUnderline"/>
        </w:rPr>
        <w:t>“companies</w:t>
      </w:r>
      <w:r w:rsidRPr="00812DCA">
        <w:rPr>
          <w:sz w:val="14"/>
        </w:rPr>
        <w:t xml:space="preserve"> decide to use or disclose personal data for purposes that are inconsistent with the context in which the data was disclosed, they</w:t>
      </w:r>
      <w:r w:rsidRPr="00A17106">
        <w:rPr>
          <w:rStyle w:val="StyleBoldUnderline"/>
        </w:rPr>
        <w:t xml:space="preserve"> must provide heightened measures of Transparency and Individual Choice.</w:t>
      </w:r>
      <w:r w:rsidRPr="00812DCA">
        <w:rPr>
          <w:sz w:val="14"/>
        </w:rPr>
        <w:t>” This will help individuals to flag uses of information that are likely to create risk and increase the likelihood that both personal data and models derived from personal data are accurate.</w:t>
      </w:r>
    </w:p>
    <w:p w:rsidR="000B1BA4" w:rsidRPr="00A17106" w:rsidRDefault="000B1BA4" w:rsidP="000B1BA4">
      <w:pPr>
        <w:rPr>
          <w:sz w:val="16"/>
        </w:rPr>
      </w:pPr>
    </w:p>
    <w:p w:rsidR="000B1BA4" w:rsidRPr="00812DCA" w:rsidRDefault="000B1BA4" w:rsidP="000B1BA4">
      <w:pPr>
        <w:pStyle w:val="Heading4"/>
        <w:rPr>
          <w:rStyle w:val="StyleStyleBold12pt"/>
          <w:b/>
          <w:bCs w:val="0"/>
        </w:rPr>
      </w:pPr>
      <w:r w:rsidRPr="00812DCA">
        <w:rPr>
          <w:rStyle w:val="StyleStyleBold12pt"/>
          <w:b/>
          <w:bCs w:val="0"/>
        </w:rPr>
        <w:t xml:space="preserve">Transparency is key </w:t>
      </w:r>
    </w:p>
    <w:p w:rsidR="000B1BA4" w:rsidRPr="00812DCA" w:rsidRDefault="000B1BA4" w:rsidP="000B1BA4">
      <w:pPr>
        <w:contextualSpacing/>
      </w:pPr>
      <w:r w:rsidRPr="00A17106">
        <w:rPr>
          <w:rStyle w:val="StyleStyleBold12pt"/>
        </w:rPr>
        <w:t>Weitzner et al 14</w:t>
      </w:r>
      <w:r w:rsidRPr="00812DCA">
        <w:rPr>
          <w:rStyle w:val="StyleBoldUnderline"/>
          <w:sz w:val="18"/>
          <w:szCs w:val="18"/>
        </w:rPr>
        <w:t xml:space="preserve"> (</w:t>
      </w:r>
      <w:r w:rsidRPr="00812DCA">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p>
    <w:p w:rsidR="000B1BA4" w:rsidRPr="00A17106" w:rsidRDefault="000B1BA4" w:rsidP="000B1BA4">
      <w:pPr>
        <w:rPr>
          <w:rStyle w:val="StyleBoldUnderline"/>
        </w:rPr>
      </w:pPr>
      <w:r w:rsidRPr="00812DCA">
        <w:rPr>
          <w:sz w:val="14"/>
        </w:rPr>
        <w:t xml:space="preserve">First and foremost, </w:t>
      </w:r>
      <w:r w:rsidRPr="00A17106">
        <w:rPr>
          <w:rStyle w:val="StyleBoldUnderline"/>
        </w:rPr>
        <w:t xml:space="preserve">an </w:t>
      </w:r>
      <w:r w:rsidRPr="009D4736">
        <w:rPr>
          <w:rStyle w:val="StyleBoldUnderline"/>
          <w:highlight w:val="cyan"/>
        </w:rPr>
        <w:t xml:space="preserve">expanded commitment to transparency is </w:t>
      </w:r>
      <w:r w:rsidRPr="009D4736">
        <w:rPr>
          <w:rStyle w:val="Emphasis"/>
          <w:highlight w:val="cyan"/>
        </w:rPr>
        <w:t>necessary</w:t>
      </w:r>
      <w:r w:rsidRPr="009D4736">
        <w:rPr>
          <w:rStyle w:val="StyleBoldUnderline"/>
          <w:highlight w:val="cyan"/>
        </w:rPr>
        <w:t xml:space="preserve"> to guard against the risk of unfair, inaccurate use of personal data</w:t>
      </w:r>
      <w:r w:rsidRPr="00812DCA">
        <w:rPr>
          <w:sz w:val="14"/>
        </w:rPr>
        <w:t>. The variety of personal information in big data systems requires a more active transparency in which individuals, consumer advocates and enforcement agencies can understand precisely how personal data is used, in some cases with resolution down to the level of individual data elements. Recognizing that individual control and consent may not be practical for high velocity collection and use of personal data</w:t>
      </w:r>
      <w:r w:rsidRPr="00A17106">
        <w:rPr>
          <w:rStyle w:val="StyleBoldUnderline"/>
        </w:rPr>
        <w:t xml:space="preserve">, </w:t>
      </w:r>
      <w:r w:rsidRPr="009D4736">
        <w:rPr>
          <w:rStyle w:val="StyleBoldUnderline"/>
          <w:highlight w:val="cyan"/>
        </w:rPr>
        <w:t>such systems</w:t>
      </w:r>
      <w:r w:rsidRPr="00A17106">
        <w:rPr>
          <w:rStyle w:val="StyleBoldUnderline"/>
        </w:rPr>
        <w:t xml:space="preserve"> will </w:t>
      </w:r>
      <w:r w:rsidRPr="009D4736">
        <w:rPr>
          <w:rStyle w:val="StyleBoldUnderline"/>
          <w:highlight w:val="cyan"/>
        </w:rPr>
        <w:t>place more reliance on respect for context</w:t>
      </w:r>
      <w:r w:rsidRPr="00A17106">
        <w:rPr>
          <w:rStyle w:val="StyleBoldUnderline"/>
        </w:rPr>
        <w:t>, assuring the information is only collected where the context makes such collection reasonably apparent</w:t>
      </w:r>
      <w:r w:rsidRPr="00812DCA">
        <w:rPr>
          <w:sz w:val="14"/>
        </w:rPr>
        <w:t xml:space="preserve">, and that the use is consistent with the original context of collection. In context use should be able to proceed without individual consent, but out of context use would require increased transparency and individual control. Large collections of personal data create increased risk of breach and loss, to security must be given special attention. </w:t>
      </w:r>
      <w:r w:rsidRPr="00A17106">
        <w:rPr>
          <w:rStyle w:val="StyleBoldUnderline"/>
        </w:rPr>
        <w:t xml:space="preserve">As important decisions may be made through big data systems, </w:t>
      </w:r>
      <w:r w:rsidRPr="009D4736">
        <w:rPr>
          <w:rStyle w:val="Emphasis"/>
          <w:highlight w:val="cyan"/>
        </w:rPr>
        <w:t xml:space="preserve">access and accuracy rights are vital </w:t>
      </w:r>
      <w:r w:rsidRPr="009D4736">
        <w:rPr>
          <w:rStyle w:val="StyleBoldUnderline"/>
          <w:highlight w:val="cyan"/>
        </w:rPr>
        <w:t>to be sure individuals are not treated unfairly</w:t>
      </w:r>
      <w:r w:rsidRPr="009D4736">
        <w:rPr>
          <w:sz w:val="14"/>
          <w:highlight w:val="cyan"/>
        </w:rPr>
        <w:t>.</w:t>
      </w:r>
      <w:r w:rsidRPr="00812DCA">
        <w:rPr>
          <w:sz w:val="14"/>
        </w:rPr>
        <w:t xml:space="preserve"> And finally, institutional accountability mechanism are vital to assure that all of the principles in the Consumer Privacy Bill of Rights are adhered to the use of big data systems. Beyond just the substantive principles of the Consumer Privacy Bill of Rights, </w:t>
      </w:r>
      <w:r w:rsidRPr="00A17106">
        <w:rPr>
          <w:rStyle w:val="StyleBoldUnderline"/>
        </w:rPr>
        <w:t xml:space="preserve">the larger policy process that </w:t>
      </w:r>
      <w:r w:rsidRPr="009D4736">
        <w:rPr>
          <w:rStyle w:val="StyleBoldUnderline"/>
          <w:highlight w:val="cyan"/>
        </w:rPr>
        <w:t>the Administration’s privacy framework</w:t>
      </w:r>
      <w:r w:rsidRPr="00A17106">
        <w:rPr>
          <w:rStyle w:val="StyleBoldUnderline"/>
        </w:rPr>
        <w:t xml:space="preserve"> puts into place has a dynamic, flexible quality that </w:t>
      </w:r>
      <w:r w:rsidRPr="009D4736">
        <w:rPr>
          <w:rStyle w:val="StyleBoldUnderline"/>
          <w:highlight w:val="cyan"/>
        </w:rPr>
        <w:t>will be especially important to help American society evolve</w:t>
      </w:r>
      <w:r w:rsidRPr="009D4736">
        <w:rPr>
          <w:sz w:val="14"/>
          <w:highlight w:val="cyan"/>
        </w:rPr>
        <w:t xml:space="preserve"> </w:t>
      </w:r>
      <w:r w:rsidRPr="009D4736">
        <w:rPr>
          <w:rStyle w:val="StyleBoldUnderline"/>
          <w:highlight w:val="cyan"/>
        </w:rPr>
        <w:t>new privacy norms</w:t>
      </w:r>
      <w:r w:rsidRPr="00812DCA">
        <w:rPr>
          <w:sz w:val="14"/>
        </w:rPr>
        <w:t xml:space="preserve"> in response to the challenge of large scale analytics. As explained by Ken Bamberger and Deirdre Mulligan, the evolution of ‘privacy on the ground’ has enabled the evolution of privacy rules in a 8 manner that is responsive to public requirements while at the same allowing flexibility for the development of new services and business models. </w:t>
      </w:r>
      <w:r w:rsidRPr="009D4736">
        <w:rPr>
          <w:rStyle w:val="StyleBoldUnderline"/>
          <w:highlight w:val="cyan"/>
        </w:rPr>
        <w:t>The C</w:t>
      </w:r>
      <w:r w:rsidRPr="00101195">
        <w:rPr>
          <w:rStyle w:val="StyleBoldUnderline"/>
        </w:rPr>
        <w:t xml:space="preserve">onsumer </w:t>
      </w:r>
      <w:r w:rsidRPr="009D4736">
        <w:rPr>
          <w:rStyle w:val="StyleBoldUnderline"/>
          <w:highlight w:val="cyan"/>
        </w:rPr>
        <w:t>P</w:t>
      </w:r>
      <w:r w:rsidRPr="00101195">
        <w:rPr>
          <w:rStyle w:val="StyleBoldUnderline"/>
        </w:rPr>
        <w:t>rivacy</w:t>
      </w:r>
      <w:r w:rsidRPr="009D4736">
        <w:rPr>
          <w:rStyle w:val="StyleBoldUnderline"/>
          <w:highlight w:val="cyan"/>
        </w:rPr>
        <w:t xml:space="preserve"> B</w:t>
      </w:r>
      <w:r w:rsidRPr="00101195">
        <w:rPr>
          <w:rStyle w:val="StyleBoldUnderline"/>
        </w:rPr>
        <w:t xml:space="preserve">ill of </w:t>
      </w:r>
      <w:r w:rsidRPr="009D4736">
        <w:rPr>
          <w:rStyle w:val="StyleBoldUnderline"/>
          <w:highlight w:val="cyan"/>
        </w:rPr>
        <w:t>R</w:t>
      </w:r>
      <w:r w:rsidRPr="00101195">
        <w:rPr>
          <w:rStyle w:val="StyleBoldUnderline"/>
        </w:rPr>
        <w:t>ights</w:t>
      </w:r>
      <w:r w:rsidRPr="00A17106">
        <w:rPr>
          <w:rStyle w:val="StyleBoldUnderline"/>
        </w:rPr>
        <w:t xml:space="preserve"> framework </w:t>
      </w:r>
      <w:r w:rsidRPr="009D4736">
        <w:rPr>
          <w:rStyle w:val="StyleBoldUnderline"/>
          <w:highlight w:val="cyan"/>
        </w:rPr>
        <w:t>is designed to</w:t>
      </w:r>
      <w:r w:rsidRPr="00A17106">
        <w:rPr>
          <w:rStyle w:val="StyleBoldUnderline"/>
        </w:rPr>
        <w:t xml:space="preserve"> </w:t>
      </w:r>
      <w:r w:rsidRPr="009D4736">
        <w:rPr>
          <w:rStyle w:val="StyleBoldUnderline"/>
          <w:highlight w:val="cyan"/>
        </w:rPr>
        <w:t>facilitate the continuous evolution of norms and rules as large-scale analytics</w:t>
      </w:r>
      <w:r w:rsidRPr="00812DCA">
        <w:rPr>
          <w:sz w:val="14"/>
        </w:rPr>
        <w:t xml:space="preserve"> drive new </w:t>
      </w:r>
      <w:r w:rsidRPr="00A17106">
        <w:rPr>
          <w:rStyle w:val="StyleBoldUnderline"/>
        </w:rPr>
        <w:t>business models.</w:t>
      </w:r>
    </w:p>
    <w:p w:rsidR="000B1BA4" w:rsidRPr="00A17106" w:rsidRDefault="000B1BA4" w:rsidP="000B1BA4"/>
    <w:p w:rsidR="000B1BA4" w:rsidRPr="00A17106" w:rsidRDefault="000B1BA4" w:rsidP="000B1BA4">
      <w:pPr>
        <w:pStyle w:val="Heading3"/>
        <w:rPr>
          <w:rFonts w:cs="Times New Roman"/>
        </w:rPr>
      </w:pPr>
      <w:r w:rsidRPr="00A17106">
        <w:rPr>
          <w:rFonts w:cs="Times New Roman"/>
        </w:rPr>
        <w:t>2NC: Agenda PTX NB</w:t>
      </w:r>
    </w:p>
    <w:p w:rsidR="000B1BA4" w:rsidRPr="00A17106" w:rsidRDefault="000B1BA4" w:rsidP="000B1BA4">
      <w:pPr>
        <w:pStyle w:val="Heading4"/>
        <w:rPr>
          <w:rFonts w:cs="Times New Roman"/>
        </w:rPr>
      </w:pPr>
      <w:r w:rsidRPr="00A17106">
        <w:rPr>
          <w:rFonts w:cs="Times New Roman"/>
        </w:rPr>
        <w:t>Read the Albert evidence specific to constitutional amendments</w:t>
      </w:r>
    </w:p>
    <w:p w:rsidR="000B1BA4" w:rsidRPr="00A17106" w:rsidRDefault="000B1BA4" w:rsidP="000B1BA4">
      <w:pPr>
        <w:pStyle w:val="Heading3"/>
        <w:rPr>
          <w:rFonts w:cs="Times New Roman"/>
        </w:rPr>
      </w:pPr>
      <w:r w:rsidRPr="00A17106">
        <w:rPr>
          <w:rFonts w:cs="Times New Roman"/>
        </w:rPr>
        <w:t>2NC: Big Data NB</w:t>
      </w:r>
    </w:p>
    <w:p w:rsidR="000B1BA4" w:rsidRPr="00A17106" w:rsidRDefault="000B1BA4" w:rsidP="000B1BA4">
      <w:pPr>
        <w:pStyle w:val="Heading4"/>
      </w:pPr>
      <w:r w:rsidRPr="00A17106">
        <w:t xml:space="preserve">The CP keeps up with </w:t>
      </w:r>
      <w:r w:rsidRPr="00C9480C">
        <w:t>big</w:t>
      </w:r>
      <w:r w:rsidRPr="00A17106">
        <w:t xml:space="preserve"> data innovations</w:t>
      </w:r>
    </w:p>
    <w:p w:rsidR="000B1BA4" w:rsidRPr="00101195" w:rsidRDefault="000B1BA4" w:rsidP="000B1BA4">
      <w:pPr>
        <w:contextualSpacing/>
        <w:rPr>
          <w:sz w:val="18"/>
          <w:szCs w:val="18"/>
        </w:rPr>
      </w:pPr>
      <w:r w:rsidRPr="00A17106">
        <w:rPr>
          <w:rStyle w:val="StyleStyleBold12pt"/>
        </w:rPr>
        <w:t>Weitzner et al 14</w:t>
      </w:r>
      <w:r w:rsidRPr="00A17106">
        <w:t xml:space="preserve"> </w:t>
      </w:r>
      <w:r w:rsidRPr="00101195">
        <w:rPr>
          <w:sz w:val="18"/>
          <w:szCs w:val="18"/>
        </w:rPr>
        <w:t xml:space="preserve">(Weitzner,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4/4/14 </w:t>
      </w:r>
      <w:hyperlink r:id="rId17" w:history="1">
        <w:r w:rsidRPr="00101195">
          <w:rPr>
            <w:sz w:val="18"/>
            <w:szCs w:val="18"/>
          </w:rPr>
          <w:t>https://ipp.mit.edu/sites/default/files/documents/MITBigDataPrivacyComments.pdf</w:t>
        </w:r>
      </w:hyperlink>
      <w:r w:rsidRPr="00101195">
        <w:rPr>
          <w:sz w:val="18"/>
          <w:szCs w:val="18"/>
        </w:rPr>
        <w:t>, AB)</w:t>
      </w:r>
    </w:p>
    <w:p w:rsidR="000B1BA4" w:rsidRPr="00A17106" w:rsidRDefault="000B1BA4" w:rsidP="000B1BA4">
      <w:r w:rsidRPr="00A17106">
        <w:rPr>
          <w:rStyle w:val="StyleBoldUnderline"/>
        </w:rPr>
        <w:t xml:space="preserve">For each of the big data privacy risks identified here, </w:t>
      </w:r>
      <w:r w:rsidRPr="00101195">
        <w:rPr>
          <w:rStyle w:val="StyleBoldUnderline"/>
          <w:highlight w:val="cyan"/>
        </w:rPr>
        <w:t>the</w:t>
      </w:r>
      <w:r w:rsidRPr="00A17106">
        <w:rPr>
          <w:rStyle w:val="StyleBoldUnderline"/>
        </w:rPr>
        <w:t xml:space="preserve"> substantive </w:t>
      </w:r>
      <w:r w:rsidRPr="00101195">
        <w:rPr>
          <w:rStyle w:val="StyleBoldUnderline"/>
          <w:highlight w:val="cyan"/>
        </w:rPr>
        <w:t>principles in</w:t>
      </w:r>
      <w:r w:rsidRPr="00A17106">
        <w:rPr>
          <w:rStyle w:val="StyleBoldUnderline"/>
        </w:rPr>
        <w:t xml:space="preserve"> the </w:t>
      </w:r>
      <w:r w:rsidRPr="00101195">
        <w:rPr>
          <w:rStyle w:val="StyleBoldUnderline"/>
          <w:highlight w:val="cyan"/>
        </w:rPr>
        <w:t>C</w:t>
      </w:r>
      <w:r w:rsidRPr="00A17106">
        <w:rPr>
          <w:rStyle w:val="StyleBoldUnderline"/>
        </w:rPr>
        <w:t>onsumer</w:t>
      </w:r>
      <w:r w:rsidRPr="00A17106">
        <w:t xml:space="preserve"> </w:t>
      </w:r>
      <w:r w:rsidRPr="00101195">
        <w:rPr>
          <w:rStyle w:val="StyleBoldUnderline"/>
          <w:highlight w:val="cyan"/>
        </w:rPr>
        <w:t>P</w:t>
      </w:r>
      <w:r w:rsidRPr="00A17106">
        <w:rPr>
          <w:rStyle w:val="StyleBoldUnderline"/>
        </w:rPr>
        <w:t xml:space="preserve">rivacy </w:t>
      </w:r>
      <w:r w:rsidRPr="00101195">
        <w:rPr>
          <w:rStyle w:val="StyleBoldUnderline"/>
          <w:highlight w:val="cyan"/>
        </w:rPr>
        <w:t>B</w:t>
      </w:r>
      <w:r w:rsidRPr="00A17106">
        <w:rPr>
          <w:rStyle w:val="StyleBoldUnderline"/>
        </w:rPr>
        <w:t xml:space="preserve">ill of </w:t>
      </w:r>
      <w:r w:rsidRPr="00101195">
        <w:rPr>
          <w:rStyle w:val="StyleBoldUnderline"/>
          <w:highlight w:val="cyan"/>
        </w:rPr>
        <w:t>Rights offer guidance to develop concrete responses to those risks</w:t>
      </w:r>
      <w:r w:rsidRPr="00A17106">
        <w:rPr>
          <w:rStyle w:val="StyleBoldUnderline"/>
        </w:rPr>
        <w:t xml:space="preserve"> in a manner that </w:t>
      </w:r>
      <w:r w:rsidRPr="00101195">
        <w:rPr>
          <w:rStyle w:val="StyleBoldUnderline"/>
          <w:highlight w:val="cyan"/>
        </w:rPr>
        <w:t>provides clarity for individuals and flexibility for innovative big data analytic applications.</w:t>
      </w:r>
      <w:r w:rsidRPr="00A17106">
        <w:t xml:space="preserve"> </w:t>
      </w:r>
      <w:r w:rsidRPr="00A17106">
        <w:rPr>
          <w:rStyle w:val="StyleBoldUnderline"/>
        </w:rPr>
        <w:t>Given</w:t>
      </w:r>
      <w:r w:rsidRPr="00A17106">
        <w:t xml:space="preserve"> the </w:t>
      </w:r>
      <w:r w:rsidRPr="00A17106">
        <w:rPr>
          <w:rStyle w:val="StyleBoldUnderline"/>
        </w:rPr>
        <w:t>rapid evolution of big data</w:t>
      </w:r>
      <w:r w:rsidRPr="00A17106">
        <w:t xml:space="preserve"> analytic </w:t>
      </w:r>
      <w:r w:rsidRPr="00A17106">
        <w:rPr>
          <w:rStyle w:val="StyleBoldUnderline"/>
        </w:rPr>
        <w:t>applications</w:t>
      </w:r>
      <w:r w:rsidRPr="00A17106">
        <w:t xml:space="preserve">, </w:t>
      </w:r>
      <w:r w:rsidRPr="00101195">
        <w:rPr>
          <w:highlight w:val="cyan"/>
        </w:rPr>
        <w:t>t</w:t>
      </w:r>
      <w:r w:rsidRPr="00101195">
        <w:rPr>
          <w:rStyle w:val="StyleBoldUnderline"/>
          <w:highlight w:val="cyan"/>
        </w:rPr>
        <w:t>he unique procedural aspects of</w:t>
      </w:r>
      <w:r w:rsidRPr="00A17106">
        <w:rPr>
          <w:rStyle w:val="StyleBoldUnderline"/>
        </w:rPr>
        <w:t xml:space="preserve"> the </w:t>
      </w:r>
      <w:r w:rsidRPr="00101195">
        <w:rPr>
          <w:rStyle w:val="StyleBoldUnderline"/>
          <w:highlight w:val="cyan"/>
        </w:rPr>
        <w:t>C</w:t>
      </w:r>
      <w:r w:rsidRPr="00A17106">
        <w:rPr>
          <w:rStyle w:val="StyleBoldUnderline"/>
        </w:rPr>
        <w:t xml:space="preserve">onsumer </w:t>
      </w:r>
      <w:r w:rsidRPr="00101195">
        <w:rPr>
          <w:rStyle w:val="StyleBoldUnderline"/>
          <w:highlight w:val="cyan"/>
        </w:rPr>
        <w:t>P</w:t>
      </w:r>
      <w:r w:rsidRPr="00A17106">
        <w:rPr>
          <w:rStyle w:val="StyleBoldUnderline"/>
        </w:rPr>
        <w:t xml:space="preserve">rivacy </w:t>
      </w:r>
      <w:r w:rsidRPr="00101195">
        <w:rPr>
          <w:rStyle w:val="StyleBoldUnderline"/>
          <w:highlight w:val="cyan"/>
        </w:rPr>
        <w:t>B</w:t>
      </w:r>
      <w:r w:rsidRPr="00101195">
        <w:rPr>
          <w:rStyle w:val="StyleBoldUnderline"/>
        </w:rPr>
        <w:t>ill</w:t>
      </w:r>
      <w:r w:rsidRPr="00A17106">
        <w:rPr>
          <w:rStyle w:val="StyleBoldUnderline"/>
        </w:rPr>
        <w:t xml:space="preserve"> of </w:t>
      </w:r>
      <w:r w:rsidRPr="00101195">
        <w:rPr>
          <w:rStyle w:val="StyleBoldUnderline"/>
          <w:highlight w:val="cyan"/>
        </w:rPr>
        <w:t>R</w:t>
      </w:r>
      <w:r w:rsidRPr="00A17106">
        <w:rPr>
          <w:rStyle w:val="StyleBoldUnderline"/>
        </w:rPr>
        <w:t xml:space="preserve">ights also </w:t>
      </w:r>
      <w:r w:rsidRPr="00101195">
        <w:rPr>
          <w:rStyle w:val="StyleBoldUnderline"/>
          <w:highlight w:val="cyan"/>
        </w:rPr>
        <w:t>offers</w:t>
      </w:r>
      <w:r w:rsidRPr="00A17106">
        <w:rPr>
          <w:rStyle w:val="StyleBoldUnderline"/>
        </w:rPr>
        <w:t xml:space="preserve"> a means by which </w:t>
      </w:r>
      <w:r w:rsidRPr="00101195">
        <w:rPr>
          <w:rStyle w:val="StyleBoldUnderline"/>
          <w:highlight w:val="cyan"/>
        </w:rPr>
        <w:t xml:space="preserve">principle-based privacy approaches to new applications </w:t>
      </w:r>
      <w:r w:rsidRPr="00101195">
        <w:rPr>
          <w:rStyle w:val="StyleBoldUnderline"/>
        </w:rPr>
        <w:t>can be developed rapidly as enforceable codes of conduct</w:t>
      </w:r>
      <w:r w:rsidRPr="00A17106">
        <w:t xml:space="preserve"> and then enforced under the FTC’s existing statutory authority</w:t>
      </w:r>
    </w:p>
    <w:p w:rsidR="000B1BA4" w:rsidRPr="00A17106" w:rsidRDefault="000B1BA4" w:rsidP="000B1BA4">
      <w:pPr>
        <w:pStyle w:val="Heading3"/>
        <w:rPr>
          <w:rFonts w:cs="Times New Roman"/>
        </w:rPr>
      </w:pPr>
      <w:r w:rsidRPr="00A17106">
        <w:rPr>
          <w:rFonts w:cs="Times New Roman"/>
        </w:rPr>
        <w:t>2NC AT: Ethics S. Deficit</w:t>
      </w:r>
    </w:p>
    <w:p w:rsidR="000B1BA4" w:rsidRPr="00101195" w:rsidRDefault="000B1BA4" w:rsidP="000B1BA4">
      <w:pPr>
        <w:pStyle w:val="Heading4"/>
        <w:rPr>
          <w:rStyle w:val="StyleStyleBold12pt"/>
          <w:b/>
          <w:bCs w:val="0"/>
        </w:rPr>
      </w:pPr>
      <w:r w:rsidRPr="00101195">
        <w:rPr>
          <w:rStyle w:val="StyleStyleBold12pt"/>
          <w:b/>
          <w:bCs w:val="0"/>
        </w:rPr>
        <w:t xml:space="preserve">Solves ethics claims – specifically designed to become conscious of the use of data collection </w:t>
      </w:r>
    </w:p>
    <w:p w:rsidR="000B1BA4" w:rsidRPr="00101195" w:rsidRDefault="000B1BA4" w:rsidP="000B1BA4">
      <w:pPr>
        <w:contextualSpacing/>
        <w:rPr>
          <w:sz w:val="18"/>
          <w:szCs w:val="18"/>
        </w:rPr>
      </w:pPr>
      <w:r w:rsidRPr="00A17106">
        <w:rPr>
          <w:rStyle w:val="StyleStyleBold12pt"/>
        </w:rPr>
        <w:t>Weitzner et al 14</w:t>
      </w:r>
      <w:r>
        <w:rPr>
          <w:sz w:val="18"/>
          <w:szCs w:val="18"/>
        </w:rPr>
        <w:t xml:space="preserve"> (</w:t>
      </w:r>
      <w:r w:rsidRPr="00101195">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Pr>
          <w:sz w:val="18"/>
          <w:szCs w:val="18"/>
        </w:rPr>
        <w:t>)</w:t>
      </w:r>
      <w:r w:rsidRPr="00101195">
        <w:rPr>
          <w:sz w:val="18"/>
          <w:szCs w:val="18"/>
        </w:rPr>
        <w:t xml:space="preserve"> </w:t>
      </w:r>
    </w:p>
    <w:p w:rsidR="000B1BA4" w:rsidRPr="00A17106" w:rsidRDefault="000B1BA4" w:rsidP="000B1BA4">
      <w:pPr>
        <w:rPr>
          <w:sz w:val="12"/>
        </w:rPr>
      </w:pPr>
      <w:r w:rsidRPr="00A17106">
        <w:rPr>
          <w:sz w:val="12"/>
        </w:rPr>
        <w:t xml:space="preserve">3. Unfair use of sensitive inferences: </w:t>
      </w:r>
      <w:r w:rsidRPr="00A17106">
        <w:rPr>
          <w:rStyle w:val="StyleBoldUnderline"/>
        </w:rPr>
        <w:t xml:space="preserve">Even if </w:t>
      </w:r>
      <w:r w:rsidRPr="00101195">
        <w:rPr>
          <w:rStyle w:val="StyleBoldUnderline"/>
          <w:highlight w:val="cyan"/>
        </w:rPr>
        <w:t>inferences</w:t>
      </w:r>
      <w:r w:rsidRPr="00A17106">
        <w:rPr>
          <w:rStyle w:val="StyleBoldUnderline"/>
        </w:rPr>
        <w:t xml:space="preserve"> are accurate, it may </w:t>
      </w:r>
      <w:r w:rsidRPr="00101195">
        <w:rPr>
          <w:rStyle w:val="StyleBoldUnderline"/>
          <w:highlight w:val="cyan"/>
        </w:rPr>
        <w:t>be unfair as a matter of ethics</w:t>
      </w:r>
      <w:r w:rsidRPr="00A17106">
        <w:rPr>
          <w:rStyle w:val="StyleBoldUnderline"/>
        </w:rPr>
        <w:t xml:space="preserve"> or public policy </w:t>
      </w:r>
      <w:r w:rsidRPr="00101195">
        <w:rPr>
          <w:rStyle w:val="StyleBoldUnderline"/>
          <w:highlight w:val="cyan"/>
        </w:rPr>
        <w:t>to use such information for certain purposes</w:t>
      </w:r>
      <w:r w:rsidRPr="00A17106">
        <w:rPr>
          <w:rStyle w:val="StyleBoldUnderline"/>
        </w:rPr>
        <w:t>.</w:t>
      </w:r>
      <w:r w:rsidRPr="00A17106">
        <w:rPr>
          <w:sz w:val="12"/>
        </w:rPr>
        <w:t xml:space="preserve"> For example, behavioral profiling techniques used for marketing purposes can provide advertisers the ability to reach audiences defined by age, ethnicity, race, gender and other sensitive categories. </w:t>
      </w:r>
      <w:r w:rsidRPr="00A17106">
        <w:rPr>
          <w:rStyle w:val="StyleBoldUnderline"/>
        </w:rPr>
        <w:t>The recent statement of privacy principles from leading civil rights organizations</w:t>
      </w:r>
      <w:r w:rsidRPr="00A17106">
        <w:rPr>
          <w:sz w:val="12"/>
        </w:rPr>
        <w:t xml:space="preserve"> (“Civil Rights Principles for the Era of Big Data”) </w:t>
      </w:r>
      <w:r w:rsidRPr="00A17106">
        <w:rPr>
          <w:rStyle w:val="StyleBoldUnderline"/>
        </w:rPr>
        <w:t>offers useful guidance</w:t>
      </w:r>
      <w:r w:rsidRPr="00A17106">
        <w:rPr>
          <w:sz w:val="12"/>
        </w:rPr>
        <w:t xml:space="preserve"> on this point. </w:t>
      </w:r>
      <w:r w:rsidRPr="00101195">
        <w:rPr>
          <w:rStyle w:val="StyleBoldUnderline"/>
          <w:highlight w:val="cyan"/>
        </w:rPr>
        <w:t>The R</w:t>
      </w:r>
      <w:r w:rsidRPr="00101195">
        <w:rPr>
          <w:rStyle w:val="StyleBoldUnderline"/>
        </w:rPr>
        <w:t xml:space="preserve">espect for </w:t>
      </w:r>
      <w:r w:rsidRPr="00101195">
        <w:rPr>
          <w:rStyle w:val="StyleBoldUnderline"/>
          <w:highlight w:val="cyan"/>
        </w:rPr>
        <w:t>C</w:t>
      </w:r>
      <w:r w:rsidRPr="00101195">
        <w:rPr>
          <w:rStyle w:val="StyleBoldUnderline"/>
        </w:rPr>
        <w:t>ontext</w:t>
      </w:r>
      <w:r w:rsidRPr="00101195">
        <w:rPr>
          <w:rStyle w:val="StyleBoldUnderline"/>
          <w:highlight w:val="cyan"/>
        </w:rPr>
        <w:t xml:space="preserve"> principle was </w:t>
      </w:r>
      <w:r w:rsidRPr="00101195">
        <w:rPr>
          <w:rStyle w:val="Emphasis"/>
          <w:highlight w:val="cyan"/>
        </w:rPr>
        <w:t>specifically designed</w:t>
      </w:r>
      <w:r w:rsidRPr="00101195">
        <w:rPr>
          <w:rStyle w:val="StyleBoldUnderline"/>
          <w:highlight w:val="cyan"/>
        </w:rPr>
        <w:t xml:space="preserve"> to prevent misuse of such profiles for more sensitive, harmful discriminatory purposes</w:t>
      </w:r>
      <w:r w:rsidRPr="00A17106">
        <w:rPr>
          <w:sz w:val="12"/>
        </w:rPr>
        <w:t>. As the CPBR explains: The Administration also encourages companies engaged in online advertising to refrain from collecting, using, or disclosing personal data that may be used to make decisions regarding employment, credit, and insurance eligibility or similar matters that may have significant adverse consequences to consumers…. Such practices also may be at odds with the norm of responsible data stewardship that the Respect for Context principle encourages.” 6 Just because it is possible to learn or infer a sensitive characteristic of an individual, that does not imply that it is either legally or ethically permissible to use such an inference (no matter how accurate or inaccurate) for all purposes. However, addressing the use of such characteristics is a matter of social policy broader than privacy policy. Antidiscrimination laws and norms of countries around the world regularly prohibit acting in a discriminatory manner based on information about an individual, even if it is publicly available. Indeed, some of the personal characteristics that entail the highest degree of legal concern include gender and race, attributes of individuals that are readily observable and in most cases public information</w:t>
      </w:r>
      <w:r w:rsidRPr="00101195">
        <w:rPr>
          <w:sz w:val="12"/>
          <w:highlight w:val="cyan"/>
        </w:rPr>
        <w:t xml:space="preserve">. </w:t>
      </w:r>
      <w:r w:rsidRPr="00101195">
        <w:rPr>
          <w:rStyle w:val="StyleBoldUnderline"/>
          <w:highlight w:val="cyan"/>
        </w:rPr>
        <w:t>The T</w:t>
      </w:r>
      <w:r w:rsidRPr="00A17106">
        <w:rPr>
          <w:rStyle w:val="StyleBoldUnderline"/>
        </w:rPr>
        <w:t xml:space="preserve">ransparency and </w:t>
      </w:r>
      <w:r w:rsidRPr="00101195">
        <w:rPr>
          <w:rStyle w:val="StyleBoldUnderline"/>
          <w:highlight w:val="cyan"/>
        </w:rPr>
        <w:t>A</w:t>
      </w:r>
      <w:r w:rsidRPr="00A17106">
        <w:rPr>
          <w:rStyle w:val="StyleBoldUnderline"/>
        </w:rPr>
        <w:t xml:space="preserve">ccess </w:t>
      </w:r>
      <w:r w:rsidRPr="00101195">
        <w:rPr>
          <w:rStyle w:val="StyleBoldUnderline"/>
          <w:highlight w:val="cyan"/>
        </w:rPr>
        <w:t>A</w:t>
      </w:r>
      <w:r w:rsidRPr="00A17106">
        <w:rPr>
          <w:rStyle w:val="StyleBoldUnderline"/>
        </w:rPr>
        <w:t xml:space="preserve">ccuracy </w:t>
      </w:r>
      <w:r w:rsidRPr="00101195">
        <w:rPr>
          <w:rStyle w:val="StyleBoldUnderline"/>
          <w:highlight w:val="cyan"/>
        </w:rPr>
        <w:t>principles provide mechanisms that can be helpful in identifying where data collected about individuals is used in ways contrary to</w:t>
      </w:r>
      <w:r w:rsidRPr="00101195">
        <w:rPr>
          <w:rStyle w:val="StyleBoldUnderline"/>
        </w:rPr>
        <w:t xml:space="preserve"> legal or</w:t>
      </w:r>
      <w:r w:rsidRPr="00101195">
        <w:rPr>
          <w:rStyle w:val="StyleBoldUnderline"/>
          <w:highlight w:val="cyan"/>
        </w:rPr>
        <w:t xml:space="preserve"> ethical principles</w:t>
      </w:r>
      <w:r w:rsidRPr="00A17106">
        <w:rPr>
          <w:sz w:val="12"/>
        </w:rPr>
        <w:t>. Despite this, reflexive and poorly justified application of the Fourth Amendment third party doctrine can lead to the “unwarranted” assumption that as soon as personal data is public it can be used for any purpose</w:t>
      </w:r>
      <w:r w:rsidRPr="00A17106">
        <w:rPr>
          <w:rStyle w:val="StyleBoldUnderline"/>
        </w:rPr>
        <w:t xml:space="preserve">. </w:t>
      </w:r>
      <w:r w:rsidRPr="00A17106">
        <w:rPr>
          <w:sz w:val="12"/>
        </w:rPr>
        <w:t>The Respect for Context principle stands in opposition to this view and squarely for the proposition that privacy interests in personal information are determined as much by how the data is to be used as is the public or non-public status of the data.</w:t>
      </w:r>
    </w:p>
    <w:p w:rsidR="000B1BA4" w:rsidRPr="00A17106" w:rsidRDefault="000B1BA4" w:rsidP="000B1BA4">
      <w:pPr>
        <w:rPr>
          <w:sz w:val="12"/>
        </w:rPr>
      </w:pPr>
    </w:p>
    <w:p w:rsidR="000B1BA4" w:rsidRPr="00A17106" w:rsidRDefault="000B1BA4" w:rsidP="000B1BA4">
      <w:pPr>
        <w:pStyle w:val="Heading3"/>
        <w:rPr>
          <w:rFonts w:cs="Times New Roman"/>
        </w:rPr>
      </w:pPr>
      <w:r w:rsidRPr="00A17106">
        <w:rPr>
          <w:rFonts w:cs="Times New Roman"/>
        </w:rPr>
        <w:t>2NC AT: Circumvention S.Deficit</w:t>
      </w:r>
    </w:p>
    <w:p w:rsidR="000B1BA4" w:rsidRPr="00B11882" w:rsidRDefault="000B1BA4" w:rsidP="000B1BA4">
      <w:pPr>
        <w:pStyle w:val="Heading4"/>
      </w:pPr>
      <w:r w:rsidRPr="00B11882">
        <w:t xml:space="preserve">No risk of a solvency deficit – transparency principle resolves circumvention </w:t>
      </w:r>
    </w:p>
    <w:p w:rsidR="000B1BA4" w:rsidRPr="00A17106" w:rsidRDefault="000B1BA4" w:rsidP="000B1BA4">
      <w:pPr>
        <w:contextualSpacing/>
        <w:rPr>
          <w:rStyle w:val="StyleBoldUnderline"/>
        </w:rPr>
      </w:pPr>
      <w:r w:rsidRPr="00A17106">
        <w:rPr>
          <w:rStyle w:val="StyleStyleBold12pt"/>
        </w:rPr>
        <w:t>Weitzner et al 14</w:t>
      </w:r>
      <w:r>
        <w:rPr>
          <w:rStyle w:val="StyleBoldUnderline"/>
        </w:rPr>
        <w:t xml:space="preserve"> </w:t>
      </w:r>
      <w:r w:rsidRPr="00F17844">
        <w:rPr>
          <w:rStyle w:val="StyleBoldUnderline"/>
          <w:sz w:val="18"/>
          <w:szCs w:val="18"/>
        </w:rPr>
        <w:t>(</w:t>
      </w:r>
      <w:r w:rsidRPr="00F17844">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sidRPr="00F17844">
        <w:rPr>
          <w:rStyle w:val="StyleBoldUnderline"/>
          <w:sz w:val="18"/>
          <w:szCs w:val="18"/>
        </w:rPr>
        <w:t xml:space="preserve"> </w:t>
      </w:r>
    </w:p>
    <w:p w:rsidR="000B1BA4" w:rsidRPr="00F17844" w:rsidRDefault="000B1BA4" w:rsidP="000B1BA4">
      <w:pPr>
        <w:contextualSpacing/>
        <w:rPr>
          <w:rStyle w:val="StyleStyleBold12pt"/>
          <w:b w:val="0"/>
          <w:sz w:val="14"/>
        </w:rPr>
      </w:pPr>
      <w:r w:rsidRPr="00F17844">
        <w:rPr>
          <w:rStyle w:val="StyleBoldUnderline"/>
          <w:highlight w:val="cyan"/>
        </w:rPr>
        <w:t>The Transparency Principle requires companies to disclose when and why they collect individuals’ personal data</w:t>
      </w:r>
      <w:r w:rsidRPr="00A17106">
        <w:rPr>
          <w:rStyle w:val="StyleBoldUnderline"/>
        </w:rPr>
        <w:t>, so that consumers can guard against misuse of their personal data</w:t>
      </w:r>
      <w:r w:rsidRPr="00F17844">
        <w:rPr>
          <w:rStyle w:val="StyleStyleBold12pt"/>
          <w:b w:val="0"/>
          <w:sz w:val="14"/>
        </w:rPr>
        <w:t>. Beyond just individual awareness, transparency has a vital function for the evolution of privacy norms themselves. In the modern history of information privacy, transparency has enabled consumer advocates, policy makers, enforcement agencies, the press and the interested public to engage in dialogue and criticism about how commercial privacy practices are evolving.</w:t>
      </w:r>
      <w:r w:rsidRPr="00F17844">
        <w:rPr>
          <w:rStyle w:val="StyleStyleBold12pt"/>
          <w:sz w:val="14"/>
        </w:rPr>
        <w:t xml:space="preserve"> </w:t>
      </w:r>
      <w:r w:rsidRPr="00A17106">
        <w:rPr>
          <w:rStyle w:val="StyleBoldUnderline"/>
        </w:rPr>
        <w:t xml:space="preserve">It is </w:t>
      </w:r>
      <w:r w:rsidRPr="00F17844">
        <w:rPr>
          <w:rStyle w:val="StyleBoldUnderline"/>
          <w:highlight w:val="cyan"/>
        </w:rPr>
        <w:t>only with awareness of actual privacy practices that society can have a meaningful dialogue</w:t>
      </w:r>
      <w:r w:rsidRPr="00F17844">
        <w:rPr>
          <w:rStyle w:val="StyleStyleBold12pt"/>
          <w:b w:val="0"/>
          <w:sz w:val="14"/>
        </w:rPr>
        <w:t xml:space="preserve"> about which practices are acceptable and which fall outside legal and/or social norms. </w:t>
      </w:r>
      <w:r w:rsidRPr="00F17844">
        <w:rPr>
          <w:rStyle w:val="StyleBoldUnderline"/>
          <w:highlight w:val="cyan"/>
        </w:rPr>
        <w:t xml:space="preserve">Meaningful transparency in big data systems will require going beyond just disclosure of policies as to personal data. </w:t>
      </w:r>
      <w:r w:rsidRPr="00F17844">
        <w:rPr>
          <w:sz w:val="14"/>
          <w:highlight w:val="cyan"/>
        </w:rPr>
        <w:t>E</w:t>
      </w:r>
      <w:r w:rsidRPr="00F17844">
        <w:rPr>
          <w:sz w:val="14"/>
        </w:rPr>
        <w:t>nabling</w:t>
      </w:r>
      <w:r w:rsidRPr="00F17844">
        <w:rPr>
          <w:rStyle w:val="StyleStyleBold12pt"/>
          <w:sz w:val="14"/>
        </w:rPr>
        <w:t xml:space="preserve"> citizens, governments and advocates to address big data </w:t>
      </w:r>
      <w:r w:rsidRPr="00A17106">
        <w:rPr>
          <w:rStyle w:val="StyleBoldUnderline"/>
        </w:rPr>
        <w:t>privacy challenges requires a more active transparency - the ability to be aware of and track the actual flow and use of personal information</w:t>
      </w:r>
      <w:r w:rsidRPr="00F17844">
        <w:rPr>
          <w:rStyle w:val="StyleStyleBold12pt"/>
          <w:b w:val="0"/>
          <w:sz w:val="14"/>
        </w:rPr>
        <w:t>. Big Data is different from the regular use of personal data in that consumers are not only affected by the primary collection of data, but also by the subsequent aggregation of that data to inform algorithms that govern companies’ decision-making and affect individual users. Therefore users need additional tools to help them follow complex data flows and understand what picture of them this data enables, beyond just the general disclosures in privacy policies. For example, disclosing to an individual that a health insurance company knows her address does not inform her of the likelihood that this information is being combined with multiple other databases to create “neighborhood profiles” that in turn could affect pricing for individual customers within those neighborhoods. The requirement that companies detail how they will use gathered data bears more weight in the Big Data context than requirements that companies simply disclose what personal data they collect</w:t>
      </w:r>
      <w:r w:rsidRPr="00F17844">
        <w:rPr>
          <w:rStyle w:val="StyleStyleBold12pt"/>
          <w:sz w:val="14"/>
        </w:rPr>
        <w:t xml:space="preserve">. </w:t>
      </w:r>
      <w:r w:rsidRPr="00F17844">
        <w:rPr>
          <w:rStyle w:val="StyleBoldUnderline"/>
          <w:highlight w:val="cyan"/>
        </w:rPr>
        <w:t xml:space="preserve">A transparency framework </w:t>
      </w:r>
      <w:r w:rsidRPr="00F17844">
        <w:rPr>
          <w:rStyle w:val="StyleBoldUnderline"/>
        </w:rPr>
        <w:t xml:space="preserve">that </w:t>
      </w:r>
      <w:r w:rsidRPr="00F17844">
        <w:rPr>
          <w:rStyle w:val="StyleBoldUnderline"/>
          <w:highlight w:val="cyan"/>
        </w:rPr>
        <w:t>updates consumers when companies</w:t>
      </w:r>
      <w:r w:rsidRPr="00F17844">
        <w:rPr>
          <w:rStyle w:val="StyleBoldUnderline"/>
        </w:rPr>
        <w:t xml:space="preserve"> come</w:t>
      </w:r>
      <w:r w:rsidRPr="00A17106">
        <w:rPr>
          <w:rStyle w:val="StyleBoldUnderline"/>
        </w:rPr>
        <w:t xml:space="preserve"> up with new </w:t>
      </w:r>
      <w:r w:rsidRPr="00F17844">
        <w:rPr>
          <w:rStyle w:val="StyleBoldUnderline"/>
          <w:highlight w:val="cyan"/>
        </w:rPr>
        <w:t>uses for aggregated personal data will increase user trust and help ensure that accountability takes place</w:t>
      </w:r>
      <w:r w:rsidRPr="00F17844">
        <w:rPr>
          <w:rStyle w:val="StyleStyleBold12pt"/>
          <w:sz w:val="14"/>
        </w:rPr>
        <w:t xml:space="preserve"> </w:t>
      </w:r>
      <w:r w:rsidRPr="00F17844">
        <w:rPr>
          <w:rStyle w:val="StyleStyleBold12pt"/>
          <w:b w:val="0"/>
          <w:sz w:val="14"/>
        </w:rPr>
        <w:t>at the rate of business growth, rather than at the rate of governmental enforcement</w:t>
      </w:r>
    </w:p>
    <w:p w:rsidR="006F4162" w:rsidRDefault="006F4162" w:rsidP="006F4162">
      <w:pPr>
        <w:pStyle w:val="Heading1"/>
      </w:pPr>
      <w:r>
        <w:t>DAs</w:t>
      </w:r>
    </w:p>
    <w:p w:rsidR="00B11882" w:rsidRDefault="00B11882" w:rsidP="00B11882">
      <w:pPr>
        <w:pStyle w:val="Heading2"/>
        <w:rPr>
          <w:rFonts w:cs="Times New Roman"/>
        </w:rPr>
      </w:pPr>
      <w:r w:rsidRPr="00A17106">
        <w:rPr>
          <w:rFonts w:cs="Times New Roman"/>
        </w:rPr>
        <w:t xml:space="preserve">Privacy Turn </w:t>
      </w:r>
    </w:p>
    <w:p w:rsidR="00B11882" w:rsidRPr="00B11882" w:rsidRDefault="00B11882" w:rsidP="00B11882">
      <w:pPr>
        <w:pStyle w:val="Heading3"/>
      </w:pPr>
      <w:r>
        <w:t>1NC</w:t>
      </w:r>
    </w:p>
    <w:p w:rsidR="00B11882" w:rsidRPr="00A17106" w:rsidRDefault="00B11882" w:rsidP="00B11882">
      <w:pPr>
        <w:pStyle w:val="Heading4"/>
        <w:rPr>
          <w:rFonts w:cs="Times New Roman"/>
        </w:rPr>
      </w:pPr>
      <w:r w:rsidRPr="00A17106">
        <w:rPr>
          <w:rFonts w:cs="Times New Roman"/>
        </w:rPr>
        <w:t>Increased internet freedom would result in desensitization of human rights abuses and an increase in divisions.</w:t>
      </w:r>
    </w:p>
    <w:p w:rsidR="00B11882" w:rsidRPr="00A17106" w:rsidRDefault="00B11882" w:rsidP="00B11882">
      <w:r w:rsidRPr="00A17106">
        <w:t xml:space="preserve">Jamie </w:t>
      </w:r>
      <w:r w:rsidRPr="00A17106">
        <w:rPr>
          <w:rStyle w:val="StyleStyleBold12pt"/>
        </w:rPr>
        <w:t>Metzl, 69</w:t>
      </w:r>
      <w:r w:rsidRPr="00A17106">
        <w:t xml:space="preserve">, served as Deputy Staff Director and Senior Counselor of the United States Senate Committee on Foreign Relations,[7] Senior Coordinator for International Public Information and Senior Advisor to the Undersecretary for Public Diplomacy and Public Affairs at the Department of State,[8] and Director of Multilateral and Humanitarian Affairs on the National Security Council, “Information Technology and Human Rights,” </w:t>
      </w:r>
      <w:hyperlink r:id="rId18" w:history="1">
        <w:r w:rsidRPr="00A17106">
          <w:rPr>
            <w:rStyle w:val="Hyperlink"/>
          </w:rPr>
          <w:t>http://www.heinonline.org.turing.library.northwestern.edu/HOL/Page?page=705&amp;handle=hein.journals%2Fhurq18&amp;collection=journals</w:t>
        </w:r>
      </w:hyperlink>
      <w:r w:rsidRPr="00A17106">
        <w:t>, shlee</w:t>
      </w:r>
    </w:p>
    <w:p w:rsidR="00B11882" w:rsidRPr="00A17106" w:rsidRDefault="00B11882" w:rsidP="00B11882">
      <w:pPr>
        <w:rPr>
          <w:rStyle w:val="StyleBoldUnderline"/>
        </w:rPr>
      </w:pPr>
      <w:r w:rsidRPr="00A17106">
        <w:rPr>
          <w:rStyle w:val="StyleBoldUnderline"/>
          <w:highlight w:val="cyan"/>
        </w:rPr>
        <w:t>In an information age where satellite television broadcasts and Internet appeals to address mass violations of human rights reach world populations on a daily basis, there is a danger that people will become callous to reports of difficulties everywhere in the world</w:t>
      </w:r>
      <w:r w:rsidRPr="00A17106">
        <w:rPr>
          <w:sz w:val="16"/>
        </w:rPr>
        <w:t xml:space="preserve">, that </w:t>
      </w:r>
      <w:r w:rsidRPr="00A17106">
        <w:rPr>
          <w:rStyle w:val="StyleBoldUnderline"/>
          <w:highlight w:val="cyan"/>
        </w:rPr>
        <w:t>the limited human capacity for absorption, compassion, and responsive action will become spread so thin as to dilute popular outrage and forestall responsive action</w:t>
      </w:r>
      <w:r w:rsidRPr="00A17106">
        <w:rPr>
          <w:sz w:val="16"/>
          <w:highlight w:val="cyan"/>
        </w:rPr>
        <w:t>.</w:t>
      </w:r>
      <w:r w:rsidRPr="00A17106">
        <w:rPr>
          <w:sz w:val="16"/>
        </w:rPr>
        <w:t xml:space="preserve"> </w:t>
      </w:r>
      <w:r w:rsidRPr="00A17106">
        <w:rPr>
          <w:rStyle w:val="StyleBoldUnderline"/>
        </w:rPr>
        <w:t xml:space="preserve">There is also a danger that as </w:t>
      </w:r>
      <w:r w:rsidRPr="00A17106">
        <w:rPr>
          <w:rStyle w:val="StyleBoldUnderline"/>
          <w:highlight w:val="cyan"/>
        </w:rPr>
        <w:t>information technology systems continue to play ever greater roles in the international worlds of commerce and communications, those without access to such systems will be denied the tools necessary to improve their conditions</w:t>
      </w:r>
      <w:r w:rsidRPr="00A17106">
        <w:rPr>
          <w:sz w:val="16"/>
        </w:rPr>
        <w:t>. This appears to be happening even in this early stage in the development of information technology systems. Although Internet access can be achieved through satellite, packet radio, microwave, or cable links, it is still mostly done by telephone, access to which is highly concentrated in the wealthiest countries!</w:t>
      </w:r>
      <w:r w:rsidRPr="00A17106">
        <w:rPr>
          <w:rStyle w:val="StyleBoldUnderline"/>
        </w:rPr>
        <w:t xml:space="preserve">' It is thus not surprising that </w:t>
      </w:r>
      <w:r w:rsidRPr="00A17106">
        <w:rPr>
          <w:rStyle w:val="StyleBoldUnderline"/>
          <w:highlight w:val="cyan"/>
        </w:rPr>
        <w:t>access to the Internet is no better distributed internationally.° This international division between rich and poor is often mirrored within states. In the United States, for example, where 60 percent of global computer networking</w:t>
      </w:r>
      <w:r w:rsidRPr="00A17106">
        <w:rPr>
          <w:sz w:val="16"/>
        </w:rPr>
        <w:t xml:space="preserve"> takes place, the Rand Corporation has estimated that while only 3 percent of the bottom income quartile of the population had access to computer networks in 1993, 23 percent of the top quartile had access during the same period</w:t>
      </w:r>
      <w:r w:rsidRPr="00A17106">
        <w:rPr>
          <w:rStyle w:val="StyleBoldUnderline"/>
        </w:rPr>
        <w:t>" In an information age</w:t>
      </w:r>
      <w:r w:rsidRPr="00A17106">
        <w:rPr>
          <w:rStyle w:val="StyleBoldUnderline"/>
          <w:highlight w:val="cyan"/>
        </w:rPr>
        <w:t>, disparities in access to information and sources of knowledge can only exacerbate existing divisions between rich and poor societies, states, and individuals.</w:t>
      </w:r>
    </w:p>
    <w:p w:rsidR="00B11882" w:rsidRDefault="00B11882" w:rsidP="00B11882">
      <w:pPr>
        <w:pStyle w:val="Heading3"/>
      </w:pPr>
      <w:r>
        <w:t>2NC</w:t>
      </w:r>
    </w:p>
    <w:p w:rsidR="000B1BA4" w:rsidRPr="00A17106" w:rsidRDefault="000B1BA4" w:rsidP="000B1BA4">
      <w:pPr>
        <w:keepNext/>
        <w:keepLines/>
        <w:spacing w:before="200"/>
        <w:contextualSpacing/>
        <w:outlineLvl w:val="3"/>
        <w:rPr>
          <w:rFonts w:eastAsia="Times New Roman"/>
          <w:b/>
          <w:bCs/>
          <w:iCs/>
          <w:sz w:val="26"/>
        </w:rPr>
      </w:pPr>
      <w:r w:rsidRPr="00A17106">
        <w:rPr>
          <w:rFonts w:eastAsia="Times New Roman"/>
          <w:b/>
          <w:bCs/>
          <w:iCs/>
          <w:sz w:val="26"/>
        </w:rPr>
        <w:t>Increased privacy rights results would result in m</w:t>
      </w:r>
      <w:r>
        <w:rPr>
          <w:rFonts w:eastAsia="Times New Roman"/>
          <w:b/>
          <w:bCs/>
          <w:iCs/>
          <w:sz w:val="26"/>
        </w:rPr>
        <w:t>ore oppressive forms of control</w:t>
      </w:r>
    </w:p>
    <w:p w:rsidR="000B1BA4" w:rsidRPr="00A17106" w:rsidRDefault="000B1BA4" w:rsidP="000B1BA4">
      <w:r w:rsidRPr="00814E06">
        <w:rPr>
          <w:rStyle w:val="StyleStyleBold12pt"/>
        </w:rPr>
        <w:t>Morozov 11</w:t>
      </w:r>
      <w:r>
        <w:t xml:space="preserve"> (</w:t>
      </w:r>
      <w:r w:rsidRPr="00A17106">
        <w:t xml:space="preserve">Evgeny </w:t>
      </w:r>
      <w:r w:rsidRPr="00814E06">
        <w:t>Morozov,</w:t>
      </w:r>
      <w:r>
        <w:rPr>
          <w:b/>
          <w:bCs/>
          <w:sz w:val="26"/>
        </w:rPr>
        <w:t xml:space="preserve"> </w:t>
      </w:r>
      <w:r w:rsidRPr="00A17106">
        <w:t>Bernard L. Schwartz Senior Fellow at the New America Foundation and a contributing editor of Foreign Policy, “Whither Internet Control?”, April 2011,</w:t>
      </w:r>
      <w:r>
        <w:t xml:space="preserve"> </w:t>
      </w:r>
      <w:r w:rsidRPr="00A17106">
        <w:t>http://muse.jhu.edu/journals/journal_of_democracy/v022/22.2.morozov.html,shlee</w:t>
      </w:r>
      <w:r>
        <w:t>)</w:t>
      </w:r>
    </w:p>
    <w:p w:rsidR="000B1BA4" w:rsidRPr="00814E06" w:rsidRDefault="000B1BA4" w:rsidP="000B1BA4">
      <w:pPr>
        <w:contextualSpacing/>
        <w:rPr>
          <w:rFonts w:eastAsia="Calibri"/>
          <w:sz w:val="14"/>
        </w:rPr>
      </w:pPr>
      <w:r w:rsidRPr="00814E06">
        <w:rPr>
          <w:rFonts w:eastAsia="Calibri"/>
          <w:bCs/>
          <w:u w:val="single"/>
        </w:rPr>
        <w:t>Most talk of "</w:t>
      </w:r>
      <w:r w:rsidRPr="00814E06">
        <w:rPr>
          <w:rFonts w:eastAsia="Calibri"/>
          <w:bCs/>
          <w:highlight w:val="cyan"/>
          <w:u w:val="single"/>
        </w:rPr>
        <w:t>liberation technologies" as ways of weakening "Internet</w:t>
      </w:r>
      <w:r w:rsidRPr="00814E06">
        <w:rPr>
          <w:rFonts w:eastAsia="Calibri"/>
          <w:bCs/>
          <w:u w:val="single"/>
        </w:rPr>
        <w:t xml:space="preserve"> [End Page 62] </w:t>
      </w:r>
      <w:r w:rsidRPr="00814E06">
        <w:rPr>
          <w:rFonts w:eastAsia="Calibri"/>
          <w:bCs/>
          <w:highlight w:val="cyan"/>
          <w:u w:val="single"/>
        </w:rPr>
        <w:t>control"</w:t>
      </w:r>
      <w:r w:rsidRPr="00814E06">
        <w:rPr>
          <w:rFonts w:eastAsia="Calibri"/>
          <w:bCs/>
          <w:u w:val="single"/>
        </w:rPr>
        <w:t xml:space="preserve"> turns out to be about the technological rather than the sociopolitical dimension</w:t>
      </w:r>
      <w:r w:rsidRPr="00814E06">
        <w:rPr>
          <w:rFonts w:eastAsia="Calibri"/>
          <w:sz w:val="14"/>
        </w:rPr>
        <w:t xml:space="preserve">. But what if </w:t>
      </w:r>
      <w:r w:rsidRPr="00814E06">
        <w:rPr>
          <w:rFonts w:eastAsia="Calibri"/>
          <w:bCs/>
          <w:u w:val="single"/>
        </w:rPr>
        <w:t xml:space="preserve">success in that area </w:t>
      </w:r>
      <w:r w:rsidRPr="00814E06">
        <w:rPr>
          <w:rFonts w:eastAsia="Calibri"/>
          <w:bCs/>
          <w:highlight w:val="cyan"/>
          <w:u w:val="single"/>
        </w:rPr>
        <w:t xml:space="preserve">is met with larger and more sophisticated efforts at exerting sociopolitical </w:t>
      </w:r>
      <w:r w:rsidRPr="00814E06">
        <w:rPr>
          <w:rStyle w:val="StyleBoldUnderline"/>
          <w:highlight w:val="cyan"/>
        </w:rPr>
        <w:t>control</w:t>
      </w:r>
      <w:r w:rsidRPr="00814E06">
        <w:rPr>
          <w:rStyle w:val="StyleBoldUnderline"/>
        </w:rPr>
        <w:t>?</w:t>
      </w:r>
      <w:r w:rsidRPr="00814E06">
        <w:rPr>
          <w:rFonts w:eastAsia="Calibri"/>
          <w:sz w:val="14"/>
        </w:rPr>
        <w:t xml:space="preserve"> Scholars still know little about the factors that influence the dynamics and the distribution of the two kinds of control</w:t>
      </w:r>
      <w:r w:rsidRPr="00814E06">
        <w:rPr>
          <w:rFonts w:eastAsia="Calibri"/>
          <w:bCs/>
          <w:u w:val="single"/>
        </w:rPr>
        <w:t xml:space="preserve">. </w:t>
      </w:r>
      <w:r w:rsidRPr="00814E06">
        <w:rPr>
          <w:rFonts w:eastAsia="Calibri"/>
          <w:bCs/>
          <w:highlight w:val="cyan"/>
          <w:u w:val="single"/>
        </w:rPr>
        <w:t>As technological methods lose efficacy, sociopolitical methods could simply overtake them:</w:t>
      </w:r>
      <w:r w:rsidRPr="00814E06">
        <w:rPr>
          <w:rFonts w:eastAsia="Calibri"/>
          <w:bCs/>
          <w:u w:val="single"/>
        </w:rPr>
        <w:t xml:space="preserve"> An </w:t>
      </w:r>
      <w:r w:rsidRPr="00814E06">
        <w:rPr>
          <w:rFonts w:eastAsia="Calibri"/>
          <w:bCs/>
          <w:highlight w:val="cyan"/>
          <w:u w:val="single"/>
        </w:rPr>
        <w:t>authoritarian government might find it harder to censor</w:t>
      </w:r>
      <w:r w:rsidRPr="00814E06">
        <w:rPr>
          <w:rFonts w:eastAsia="Calibri"/>
          <w:bCs/>
          <w:u w:val="single"/>
        </w:rPr>
        <w:t xml:space="preserve"> blogs, </w:t>
      </w:r>
      <w:r w:rsidRPr="00814E06">
        <w:rPr>
          <w:rFonts w:eastAsia="Calibri"/>
          <w:bCs/>
          <w:highlight w:val="cyan"/>
          <w:u w:val="single"/>
        </w:rPr>
        <w:t>but</w:t>
      </w:r>
      <w:r w:rsidRPr="00814E06">
        <w:rPr>
          <w:rFonts w:eastAsia="Calibri"/>
          <w:bCs/>
          <w:u w:val="single"/>
        </w:rPr>
        <w:t xml:space="preserve"> still rather </w:t>
      </w:r>
      <w:r w:rsidRPr="00814E06">
        <w:rPr>
          <w:rFonts w:eastAsia="Calibri"/>
          <w:bCs/>
          <w:highlight w:val="cyan"/>
          <w:u w:val="single"/>
        </w:rPr>
        <w:t>easy to jail bloggers.</w:t>
      </w:r>
      <w:r w:rsidRPr="00814E06">
        <w:rPr>
          <w:rFonts w:eastAsia="Calibri"/>
          <w:bCs/>
          <w:u w:val="single"/>
        </w:rPr>
        <w:t xml:space="preserve"> Indeed, </w:t>
      </w:r>
      <w:r w:rsidRPr="00814E06">
        <w:rPr>
          <w:rFonts w:eastAsia="Calibri"/>
          <w:bCs/>
          <w:highlight w:val="cyan"/>
          <w:u w:val="single"/>
        </w:rPr>
        <w:t>if censorship becomes infeasible, imprisonment may become inevitable</w:t>
      </w:r>
      <w:r w:rsidRPr="00814E06">
        <w:rPr>
          <w:rFonts w:eastAsia="Calibri"/>
          <w:bCs/>
          <w:u w:val="single"/>
        </w:rPr>
        <w:t xml:space="preserve">. Thus, </w:t>
      </w:r>
      <w:r w:rsidRPr="00814E06">
        <w:rPr>
          <w:rFonts w:eastAsia="Calibri"/>
          <w:bCs/>
          <w:highlight w:val="cyan"/>
          <w:u w:val="single"/>
        </w:rPr>
        <w:t>if the technological dimension of Internet control were</w:t>
      </w:r>
      <w:r w:rsidRPr="00814E06">
        <w:rPr>
          <w:rFonts w:eastAsia="Calibri"/>
          <w:bCs/>
          <w:u w:val="single"/>
        </w:rPr>
        <w:t xml:space="preserve"> one day </w:t>
      </w:r>
      <w:r w:rsidRPr="00814E06">
        <w:rPr>
          <w:rFonts w:eastAsia="Calibri"/>
          <w:bCs/>
          <w:highlight w:val="cyan"/>
          <w:u w:val="single"/>
        </w:rPr>
        <w:t>to be totally eliminated</w:t>
      </w:r>
      <w:r w:rsidRPr="00814E06">
        <w:rPr>
          <w:rFonts w:eastAsia="Calibri"/>
          <w:bCs/>
          <w:u w:val="single"/>
        </w:rPr>
        <w:t xml:space="preserve">, the upshot could be a set of </w:t>
      </w:r>
      <w:r w:rsidRPr="00814E06">
        <w:rPr>
          <w:rFonts w:eastAsia="Calibri"/>
          <w:bCs/>
          <w:highlight w:val="cyan"/>
          <w:u w:val="single"/>
        </w:rPr>
        <w:t>social and political barriers to freedom of expression</w:t>
      </w:r>
      <w:r w:rsidRPr="00814E06">
        <w:rPr>
          <w:rFonts w:eastAsia="Calibri"/>
          <w:bCs/>
          <w:u w:val="single"/>
        </w:rPr>
        <w:t xml:space="preserve"> that </w:t>
      </w:r>
      <w:r w:rsidRPr="00814E06">
        <w:rPr>
          <w:rFonts w:eastAsia="Calibri"/>
          <w:bCs/>
          <w:highlight w:val="cyan"/>
          <w:u w:val="single"/>
        </w:rPr>
        <w:t>might on balance be worse</w:t>
      </w:r>
      <w:r w:rsidRPr="00814E06">
        <w:rPr>
          <w:rFonts w:eastAsia="Calibri"/>
          <w:sz w:val="14"/>
        </w:rPr>
        <w:t xml:space="preserve">—not least because </w:t>
      </w:r>
      <w:r w:rsidRPr="00814E06">
        <w:rPr>
          <w:rFonts w:eastAsia="Calibri"/>
          <w:bCs/>
          <w:u w:val="single"/>
        </w:rPr>
        <w:t>"liberation technologies" would be powerless to overcome them.</w:t>
      </w:r>
      <w:r w:rsidRPr="00814E06">
        <w:rPr>
          <w:rFonts w:eastAsia="Calibri"/>
          <w:sz w:val="14"/>
        </w:rPr>
        <w:t xml:space="preserve"> It would be a cruelly paradoxical outcome indeed</w:t>
      </w:r>
      <w:r w:rsidRPr="00814E06">
        <w:rPr>
          <w:rFonts w:eastAsia="Calibri"/>
          <w:bCs/>
          <w:u w:val="single"/>
        </w:rPr>
        <w:t xml:space="preserve"> should liberation technology's very success spur the creation of a sociopolitical environment in which </w:t>
      </w:r>
      <w:r w:rsidRPr="00814E06">
        <w:rPr>
          <w:rFonts w:eastAsia="Calibri"/>
          <w:bCs/>
          <w:highlight w:val="cyan"/>
          <w:u w:val="single"/>
        </w:rPr>
        <w:t>there would be nothing for technology to "liberate.</w:t>
      </w:r>
      <w:r w:rsidRPr="00814E06">
        <w:rPr>
          <w:rFonts w:eastAsia="Calibri"/>
          <w:sz w:val="14"/>
          <w:highlight w:val="cyan"/>
        </w:rPr>
        <w:t>”</w:t>
      </w:r>
    </w:p>
    <w:p w:rsidR="003B35E3" w:rsidRDefault="00B11882" w:rsidP="00B11882">
      <w:pPr>
        <w:pStyle w:val="Heading2"/>
      </w:pPr>
      <w:r w:rsidRPr="00B11882">
        <w:t xml:space="preserve">Politics </w:t>
      </w:r>
      <w:r w:rsidR="006F4162">
        <w:t>DA</w:t>
      </w:r>
    </w:p>
    <w:p w:rsidR="00B11882" w:rsidRPr="00B11882" w:rsidRDefault="00B11882" w:rsidP="00B11882">
      <w:pPr>
        <w:pStyle w:val="Heading3"/>
      </w:pPr>
      <w:r>
        <w:t>1NC - Unpopular</w:t>
      </w:r>
    </w:p>
    <w:p w:rsidR="000B1BA4" w:rsidRPr="00814E06" w:rsidRDefault="000B1BA4" w:rsidP="000B1BA4">
      <w:pPr>
        <w:pStyle w:val="Heading4"/>
      </w:pPr>
      <w:r w:rsidRPr="00814E06">
        <w:t>The plan is ridiculously capital-intensive</w:t>
      </w:r>
    </w:p>
    <w:p w:rsidR="000B1BA4" w:rsidRPr="00814E06" w:rsidRDefault="000B1BA4" w:rsidP="000B1BA4">
      <w:pPr>
        <w:rPr>
          <w:sz w:val="18"/>
          <w:szCs w:val="18"/>
        </w:rPr>
      </w:pPr>
      <w:r w:rsidRPr="00814E06">
        <w:rPr>
          <w:rStyle w:val="StyleStyleBold12pt"/>
        </w:rPr>
        <w:t>Albert 14</w:t>
      </w:r>
      <w:r>
        <w:t xml:space="preserve"> </w:t>
      </w:r>
      <w:r w:rsidRPr="00814E06">
        <w:rPr>
          <w:sz w:val="18"/>
          <w:szCs w:val="18"/>
        </w:rPr>
        <w:t xml:space="preserve">(Richard Albert, Associate Professor at Boston College Law School, "Constitutional Disuse or Desuetude: The Case of Article V." Boston University Law Review 94, (2014): 1029-., </w:t>
      </w:r>
      <w:hyperlink r:id="rId19" w:history="1">
        <w:r w:rsidRPr="00814E06">
          <w:rPr>
            <w:sz w:val="18"/>
            <w:szCs w:val="18"/>
          </w:rPr>
          <w:t>http://lawdigitalcommons.bc.edu/cgi/viewcontent.cgi?article=1758&amp;context=lsfp</w:t>
        </w:r>
      </w:hyperlink>
      <w:r w:rsidRPr="00814E06">
        <w:rPr>
          <w:sz w:val="18"/>
          <w:szCs w:val="18"/>
        </w:rPr>
        <w:t>, AB)</w:t>
      </w:r>
    </w:p>
    <w:p w:rsidR="000B1BA4" w:rsidRPr="00814E06" w:rsidRDefault="000B1BA4" w:rsidP="000B1BA4">
      <w:pPr>
        <w:contextualSpacing/>
        <w:rPr>
          <w:sz w:val="14"/>
        </w:rPr>
      </w:pPr>
      <w:r w:rsidRPr="00814E06">
        <w:rPr>
          <w:sz w:val="14"/>
        </w:rPr>
        <w:t>“</w:t>
      </w:r>
      <w:r w:rsidRPr="00814E06">
        <w:rPr>
          <w:rStyle w:val="StyleBoldUnderline"/>
          <w:highlight w:val="cyan"/>
        </w:rPr>
        <w:t>Nothing is ‘easy</w:t>
      </w:r>
      <w:r w:rsidRPr="00814E06">
        <w:rPr>
          <w:rStyle w:val="StyleBoldUnderline"/>
        </w:rPr>
        <w:t>,</w:t>
      </w:r>
      <w:r w:rsidRPr="00814E06">
        <w:rPr>
          <w:sz w:val="14"/>
        </w:rPr>
        <w:t xml:space="preserve">’” writes Henry Paul Monaghan, </w:t>
      </w:r>
      <w:r w:rsidRPr="00814E06">
        <w:rPr>
          <w:rStyle w:val="StyleBoldUnderline"/>
        </w:rPr>
        <w:t>“</w:t>
      </w:r>
      <w:r w:rsidRPr="00814E06">
        <w:rPr>
          <w:rStyle w:val="StyleBoldUnderline"/>
          <w:highlight w:val="cyan"/>
        </w:rPr>
        <w:t>about the processes prescribed by Article</w:t>
      </w:r>
      <w:r w:rsidRPr="00814E06">
        <w:rPr>
          <w:rStyle w:val="StyleBoldUnderline"/>
        </w:rPr>
        <w:t xml:space="preserve"> V</w:t>
      </w:r>
      <w:r w:rsidRPr="00814E06">
        <w:rPr>
          <w:sz w:val="14"/>
        </w:rPr>
        <w:t xml:space="preserve">.”112 </w:t>
      </w:r>
      <w:r w:rsidRPr="00814E06">
        <w:rPr>
          <w:rStyle w:val="StyleBoldUnderline"/>
        </w:rPr>
        <w:t>Scholars</w:t>
      </w:r>
      <w:r w:rsidRPr="00814E06">
        <w:rPr>
          <w:sz w:val="14"/>
        </w:rPr>
        <w:t xml:space="preserve"> today </w:t>
      </w:r>
      <w:r w:rsidRPr="00814E06">
        <w:rPr>
          <w:rStyle w:val="StyleBoldUnderline"/>
        </w:rPr>
        <w:t xml:space="preserve">describe the </w:t>
      </w:r>
      <w:r w:rsidRPr="00814E06">
        <w:rPr>
          <w:rStyle w:val="StyleBoldUnderline"/>
          <w:highlight w:val="cyan"/>
        </w:rPr>
        <w:t>requirements of Article V as practically impossible to meet</w:t>
      </w:r>
      <w:r w:rsidRPr="00814E06">
        <w:rPr>
          <w:sz w:val="14"/>
        </w:rPr>
        <w:t>.113 For instance, Bruce Ackerman views Article V as establishing a “formidable obstacle course.”114 Sanford Levinson argues that “</w:t>
      </w:r>
      <w:r w:rsidRPr="00814E06">
        <w:rPr>
          <w:rStyle w:val="StyleBoldUnderline"/>
          <w:highlight w:val="cyan"/>
        </w:rPr>
        <w:t>Article V,</w:t>
      </w:r>
      <w:r w:rsidRPr="00814E06">
        <w:rPr>
          <w:rStyle w:val="StyleBoldUnderline"/>
        </w:rPr>
        <w:t xml:space="preserve"> practically speaking, brings us all too close to the</w:t>
      </w:r>
      <w:r w:rsidRPr="00814E06">
        <w:rPr>
          <w:sz w:val="14"/>
        </w:rPr>
        <w:t xml:space="preserve"> Lockean dream (or </w:t>
      </w:r>
      <w:r w:rsidRPr="00814E06">
        <w:rPr>
          <w:rStyle w:val="StyleBoldUnderline"/>
        </w:rPr>
        <w:t>nightmare</w:t>
      </w:r>
      <w:r w:rsidRPr="00814E06">
        <w:rPr>
          <w:sz w:val="14"/>
        </w:rPr>
        <w:t xml:space="preserve">) </w:t>
      </w:r>
      <w:r w:rsidRPr="00814E06">
        <w:rPr>
          <w:rStyle w:val="StyleBoldUnderline"/>
        </w:rPr>
        <w:t>of</w:t>
      </w:r>
      <w:r w:rsidRPr="00814E06">
        <w:rPr>
          <w:sz w:val="14"/>
        </w:rPr>
        <w:t xml:space="preserve"> </w:t>
      </w:r>
      <w:r w:rsidRPr="00814E06">
        <w:rPr>
          <w:rStyle w:val="StyleBoldUnderline"/>
        </w:rPr>
        <w:t>changeless stasis</w:t>
      </w:r>
      <w:r w:rsidRPr="00814E06">
        <w:rPr>
          <w:sz w:val="14"/>
        </w:rPr>
        <w:t xml:space="preserve">,”115 and that </w:t>
      </w:r>
      <w:r w:rsidRPr="00814E06">
        <w:rPr>
          <w:rStyle w:val="StyleBoldUnderline"/>
        </w:rPr>
        <w:t>it is “the Constitution’s most truly egregious feature</w:t>
      </w:r>
      <w:r w:rsidRPr="00814E06">
        <w:rPr>
          <w:sz w:val="14"/>
        </w:rPr>
        <w:t>.”116 Rosalind Dixon has described the “</w:t>
      </w:r>
      <w:r w:rsidRPr="00814E06">
        <w:rPr>
          <w:rStyle w:val="StyleBoldUnderline"/>
          <w:highlight w:val="cyan"/>
        </w:rPr>
        <w:t>virtual impossibility of formal amendment to the Constitution</w:t>
      </w:r>
      <w:r w:rsidRPr="00814E06">
        <w:rPr>
          <w:rStyle w:val="StyleBoldUnderline"/>
        </w:rPr>
        <w:t xml:space="preserve"> under Article</w:t>
      </w:r>
      <w:r w:rsidRPr="00814E06">
        <w:rPr>
          <w:sz w:val="14"/>
        </w:rPr>
        <w:t xml:space="preserve"> V.”117 Jeffrey Goldsworthy observes that “the supermajoritarian requirements of Article V are so onerous as to be arguably undemocratic, by making it much too easy for minorities to veto constitutional amendments.”118 Vik Amar explains that </w:t>
      </w:r>
      <w:r w:rsidRPr="00814E06">
        <w:rPr>
          <w:rStyle w:val="StyleBoldUnderline"/>
        </w:rPr>
        <w:t>Article V establishes “particular and cumbersome processes</w:t>
      </w:r>
      <w:r w:rsidRPr="00814E06">
        <w:rPr>
          <w:sz w:val="14"/>
        </w:rPr>
        <w:t xml:space="preserve">.”119 And Richard Fallon laments that </w:t>
      </w:r>
      <w:r w:rsidRPr="00814E06">
        <w:rPr>
          <w:rStyle w:val="StyleBoldUnderline"/>
        </w:rPr>
        <w:t xml:space="preserve">“[e]ven under the best of circumstances, </w:t>
      </w:r>
      <w:r w:rsidRPr="00814E06">
        <w:rPr>
          <w:rStyle w:val="StyleBoldUnderline"/>
          <w:highlight w:val="cyan"/>
        </w:rPr>
        <w:t>the requirement that three-fourths of the states must ratify constitutional amendments makes it nearly impossible to achieve significant change in our written Constitution</w:t>
      </w:r>
      <w:r w:rsidRPr="00814E06">
        <w:rPr>
          <w:rStyle w:val="StyleBoldUnderline"/>
        </w:rPr>
        <w:t xml:space="preserve"> through the Article V process.</w:t>
      </w:r>
      <w:r w:rsidRPr="00814E06">
        <w:rPr>
          <w:sz w:val="14"/>
        </w:rPr>
        <w:t xml:space="preserve">”120 </w:t>
      </w:r>
      <w:r w:rsidRPr="00814E06">
        <w:rPr>
          <w:rStyle w:val="StyleBoldUnderline"/>
          <w:highlight w:val="cyan"/>
        </w:rPr>
        <w:t>Article V,</w:t>
      </w:r>
      <w:r w:rsidRPr="00814E06">
        <w:rPr>
          <w:sz w:val="14"/>
        </w:rPr>
        <w:t xml:space="preserve"> in short, </w:t>
      </w:r>
      <w:r w:rsidRPr="00814E06">
        <w:rPr>
          <w:rStyle w:val="StyleBoldUnderline"/>
          <w:highlight w:val="cyan"/>
        </w:rPr>
        <w:t>is seen as a dead end.</w:t>
      </w:r>
      <w:r w:rsidRPr="00814E06">
        <w:rPr>
          <w:rStyle w:val="StyleBoldUnderline"/>
        </w:rPr>
        <w:t xml:space="preserve"> </w:t>
      </w:r>
      <w:r w:rsidRPr="00814E06">
        <w:rPr>
          <w:sz w:val="14"/>
        </w:rPr>
        <w:t xml:space="preserve">This is not a new perspective on the difficulty of successfully using Article V. Writing in 1885, Woodrow Wilson decried the “cumbrous machinery of formal amendment erected by Article Five.”121 Even earlier, at the adoption of the Constitution, John </w:t>
      </w:r>
      <w:r w:rsidRPr="00814E06">
        <w:rPr>
          <w:rStyle w:val="StyleBoldUnderline"/>
        </w:rPr>
        <w:t>DeWitt doubted whether it would ever be possible to amend the Constitution using Article V</w:t>
      </w:r>
      <w:r w:rsidRPr="00814E06">
        <w:rPr>
          <w:sz w:val="14"/>
        </w:rPr>
        <w:t xml:space="preserve">: “[W]ho is there to be found among us, who can seriously assert, that this Constitution, after ratification and being practiced upon, will be so easy of alteration?”122 DeWitt believed </w:t>
      </w:r>
      <w:r w:rsidRPr="001B6F88">
        <w:rPr>
          <w:rStyle w:val="StyleBoldUnderline"/>
          <w:highlight w:val="cyan"/>
        </w:rPr>
        <w:t>states would have views too different to meet Article V’s required supermajority threshol</w:t>
      </w:r>
      <w:r w:rsidRPr="00814E06">
        <w:rPr>
          <w:rStyle w:val="StyleBoldUnderline"/>
        </w:rPr>
        <w:t xml:space="preserve">d: Where is the probability that three fourths of the States in that Convention, </w:t>
      </w:r>
      <w:r w:rsidRPr="001B6F88">
        <w:rPr>
          <w:rStyle w:val="StyleBoldUnderline"/>
          <w:highlight w:val="cyan"/>
        </w:rPr>
        <w:t>or three fourths of the Legislatures</w:t>
      </w:r>
      <w:r w:rsidRPr="00814E06">
        <w:rPr>
          <w:rStyle w:val="StyleBoldUnderline"/>
        </w:rPr>
        <w:t xml:space="preserve"> of the different States, </w:t>
      </w:r>
      <w:r w:rsidRPr="001B6F88">
        <w:rPr>
          <w:rStyle w:val="StyleBoldUnderline"/>
          <w:highlight w:val="cyan"/>
        </w:rPr>
        <w:t>whose interests differ scarcely in nothing short of everything</w:t>
      </w:r>
      <w:r w:rsidRPr="00814E06">
        <w:rPr>
          <w:rStyle w:val="StyleBoldUnderline"/>
        </w:rPr>
        <w:t>, will be so very ready or willing materially to change any part of this System, which shall be to the emolument of an individual State only</w:t>
      </w:r>
      <w:r w:rsidRPr="00814E06">
        <w:rPr>
          <w:sz w:val="14"/>
        </w:rPr>
        <w:t xml:space="preserve">?123 The answer, he predicted, was that </w:t>
      </w:r>
      <w:r w:rsidRPr="00814E06">
        <w:rPr>
          <w:rStyle w:val="StyleBoldUnderline"/>
        </w:rPr>
        <w:t>formal amendment would be rare.</w:t>
      </w:r>
      <w:r w:rsidRPr="00814E06">
        <w:rPr>
          <w:sz w:val="14"/>
        </w:rPr>
        <w:t xml:space="preserve"> </w:t>
      </w:r>
    </w:p>
    <w:p w:rsidR="00B11882" w:rsidRPr="00B11882" w:rsidRDefault="00B11882" w:rsidP="00B11882">
      <w:pPr>
        <w:pStyle w:val="Heading3"/>
      </w:pPr>
      <w:r w:rsidRPr="00B11882">
        <w:t>2NC</w:t>
      </w:r>
      <w:r>
        <w:t xml:space="preserve"> - Unpopular</w:t>
      </w:r>
    </w:p>
    <w:p w:rsidR="000B1BA4" w:rsidRPr="001B6F88" w:rsidRDefault="000B1BA4" w:rsidP="000B1BA4">
      <w:pPr>
        <w:pStyle w:val="Heading4"/>
      </w:pPr>
      <w:r w:rsidRPr="001B6F88">
        <w:t>It’s unpopular – this link turns the aff and causes circumvention</w:t>
      </w:r>
    </w:p>
    <w:p w:rsidR="000B1BA4" w:rsidRPr="00A17106" w:rsidRDefault="000B1BA4" w:rsidP="000B1BA4">
      <w:pPr>
        <w:contextualSpacing/>
      </w:pPr>
      <w:r w:rsidRPr="001B6F88">
        <w:rPr>
          <w:rStyle w:val="StyleStyleBold12pt"/>
        </w:rPr>
        <w:t>Albert 14</w:t>
      </w:r>
      <w:r>
        <w:t xml:space="preserve"> </w:t>
      </w:r>
      <w:r w:rsidRPr="001B6F88">
        <w:rPr>
          <w:sz w:val="18"/>
          <w:szCs w:val="18"/>
        </w:rPr>
        <w:t xml:space="preserve">(Richard Albert, Associate Professor at Boston College Law School, "Constitutional Disuse or Desuetude: The Case of Article V." Boston University Law Review 94, (2014): 1029-., </w:t>
      </w:r>
      <w:hyperlink r:id="rId20" w:history="1">
        <w:r w:rsidRPr="001B6F88">
          <w:rPr>
            <w:sz w:val="18"/>
            <w:szCs w:val="18"/>
          </w:rPr>
          <w:t>http://lawdigitalcommons.bc.edu/cgi/viewcontent.cgi?article=1758&amp;context=lsfp</w:t>
        </w:r>
      </w:hyperlink>
      <w:r w:rsidRPr="001B6F88">
        <w:rPr>
          <w:sz w:val="18"/>
          <w:szCs w:val="18"/>
        </w:rPr>
        <w:t>, AB)</w:t>
      </w:r>
    </w:p>
    <w:p w:rsidR="000B1BA4" w:rsidRPr="00A17106" w:rsidRDefault="000B1BA4" w:rsidP="000B1BA4">
      <w:pPr>
        <w:contextualSpacing/>
        <w:rPr>
          <w:rStyle w:val="StyleBoldUnderline"/>
        </w:rPr>
      </w:pPr>
      <w:r w:rsidRPr="001B6F88">
        <w:rPr>
          <w:rStyle w:val="StyleBoldUnderline"/>
          <w:highlight w:val="cyan"/>
        </w:rPr>
        <w:t>Political parties and increased political polarization</w:t>
      </w:r>
      <w:r w:rsidRPr="00A17106">
        <w:rPr>
          <w:rStyle w:val="StyleBoldUnderline"/>
        </w:rPr>
        <w:t xml:space="preserve"> may have </w:t>
      </w:r>
      <w:r w:rsidRPr="001B6F88">
        <w:rPr>
          <w:rStyle w:val="StyleBoldUnderline"/>
          <w:highlight w:val="cyan"/>
        </w:rPr>
        <w:t>exacerbated the difficulty of Article V</w:t>
      </w:r>
      <w:r w:rsidRPr="00A17106">
        <w:rPr>
          <w:rStyle w:val="StyleBoldUnderline"/>
        </w:rPr>
        <w:t>. As American political parties have become nearly evenly divided across both the federal and state governments</w:t>
      </w:r>
      <w:r w:rsidRPr="00A17106">
        <w:rPr>
          <w:sz w:val="16"/>
        </w:rPr>
        <w:t xml:space="preserve"> over the last two generations, writes David Kyvig, “</w:t>
      </w:r>
      <w:r w:rsidRPr="00A17106">
        <w:rPr>
          <w:rStyle w:val="StyleBoldUnderline"/>
        </w:rPr>
        <w:t>divisions within society together with the requirements of Article V frustrated every attempt to bring about fundamental change.</w:t>
      </w:r>
      <w:r w:rsidRPr="00A17106">
        <w:rPr>
          <w:sz w:val="16"/>
        </w:rPr>
        <w:t xml:space="preserve">”132 Kyvig adds that the close balance between political parties and among the forces of federalism alongside the “centripetal power of the federal government and the centrifugal strength of the states” have combined to inhibit agreement on formal amendment.133 Daryl Levinson and Rick Pildes observe that </w:t>
      </w:r>
      <w:r w:rsidRPr="001B6F88">
        <w:rPr>
          <w:rStyle w:val="StyleBoldUnderline"/>
          <w:highlight w:val="cyan"/>
        </w:rPr>
        <w:t xml:space="preserve">political parties in the United States “today are both more internally ideologically coherent and more sharply polarized </w:t>
      </w:r>
      <w:r w:rsidRPr="001B6F88">
        <w:rPr>
          <w:rStyle w:val="StyleBoldUnderline"/>
        </w:rPr>
        <w:t>than at any time since the turn of the twentieth century</w:t>
      </w:r>
      <w:r w:rsidRPr="001B6F88">
        <w:rPr>
          <w:sz w:val="16"/>
        </w:rPr>
        <w:t>.”</w:t>
      </w:r>
      <w:r w:rsidRPr="00A17106">
        <w:rPr>
          <w:sz w:val="16"/>
        </w:rPr>
        <w:t xml:space="preserve">134 Rick Pildes connects the onset of today’s hyperpolarized politics to the adoption of the Voting Rights Act of 1965: [T]his polarization reflects the deep structural and historical transformation in American democracy unleashed in 1965 by the enactment of the VRA. That moment began the process of ideologically realigning the political parties and of purifying them, so that both parties are far more ideologically coherent, and differentiated from each other, than at any time in many generations. </w:t>
      </w:r>
      <w:r w:rsidRPr="001B6F88">
        <w:rPr>
          <w:rStyle w:val="StyleBoldUnderline"/>
          <w:highlight w:val="cyan"/>
        </w:rPr>
        <w:t>The culmination of that historical transformation</w:t>
      </w:r>
      <w:r w:rsidRPr="00A17106">
        <w:rPr>
          <w:sz w:val="16"/>
        </w:rPr>
        <w:t xml:space="preserve"> – which can be seen as the maturation or full realization of American democracy – </w:t>
      </w:r>
      <w:r w:rsidRPr="001B6F88">
        <w:rPr>
          <w:rStyle w:val="StyleBoldUnderline"/>
          <w:highlight w:val="cyan"/>
        </w:rPr>
        <w:t>is today’s hyperpolarized partisan politics</w:t>
      </w:r>
      <w:r w:rsidRPr="00A17106">
        <w:rPr>
          <w:sz w:val="16"/>
        </w:rPr>
        <w:t xml:space="preserve">.135 Pildes concludes that </w:t>
      </w:r>
      <w:r w:rsidRPr="00A17106">
        <w:rPr>
          <w:rStyle w:val="StyleBoldUnderline"/>
        </w:rPr>
        <w:t>“[t]he reality is that the era of highly polarized, partisan politics will endure for some time to come.”</w:t>
      </w:r>
      <w:r w:rsidRPr="00A17106">
        <w:rPr>
          <w:sz w:val="16"/>
        </w:rPr>
        <w:t xml:space="preserve">136 </w:t>
      </w:r>
      <w:r w:rsidRPr="001B6F88">
        <w:rPr>
          <w:rStyle w:val="StyleBoldUnderline"/>
          <w:highlight w:val="cyan"/>
        </w:rPr>
        <w:t>This only complicates an already difficult formal amendment process that relies on strong supermajorities across both the federal and state institutions</w:t>
      </w:r>
      <w:r w:rsidRPr="00A17106">
        <w:rPr>
          <w:sz w:val="16"/>
        </w:rPr>
        <w:t xml:space="preserve">. Nevertheless, as Christopher Eisgruber cautions, measuring amendment difficulty is itself difficult because amendment difficulty turns “upon a number of cultural considerations, such as the extent to which state politics differ from national politics and the extent to which people are receptive to or skeptical about the general idea of constitutional amendment.”137 The difficulty of measuring amendment difficulty has not discouraged scholars from comparing amendment difficulty across nations. In such measures, </w:t>
      </w:r>
      <w:r w:rsidRPr="00A17106">
        <w:rPr>
          <w:rStyle w:val="StyleBoldUnderline"/>
        </w:rPr>
        <w:t>the United States has ranked among the most difficult to amend.138</w:t>
      </w:r>
    </w:p>
    <w:p w:rsidR="003B35E3" w:rsidRPr="00A17106" w:rsidRDefault="003B35E3" w:rsidP="003B35E3"/>
    <w:p w:rsidR="006F4162" w:rsidRDefault="006F4162" w:rsidP="003B35E3">
      <w:pPr>
        <w:pStyle w:val="Heading2"/>
        <w:rPr>
          <w:rFonts w:cs="Times New Roman"/>
        </w:rPr>
      </w:pPr>
      <w:r>
        <w:rPr>
          <w:rFonts w:cs="Times New Roman"/>
        </w:rPr>
        <w:t>Terror DA</w:t>
      </w:r>
    </w:p>
    <w:p w:rsidR="006F4162" w:rsidRDefault="006F4162" w:rsidP="006F4162">
      <w:pPr>
        <w:pStyle w:val="Heading3"/>
      </w:pPr>
      <w:r>
        <w:t>Case Turn</w:t>
      </w:r>
    </w:p>
    <w:p w:rsidR="000B1BA4" w:rsidRDefault="000B1BA4" w:rsidP="000B1BA4">
      <w:pPr>
        <w:pStyle w:val="Heading4"/>
      </w:pPr>
      <w:r>
        <w:t>Turns case – terrorism kills human rights</w:t>
      </w:r>
    </w:p>
    <w:p w:rsidR="000B1BA4" w:rsidRPr="00F65449" w:rsidRDefault="000B1BA4" w:rsidP="000B1BA4">
      <w:pPr>
        <w:contextualSpacing/>
      </w:pPr>
      <w:r w:rsidRPr="001B6F88">
        <w:rPr>
          <w:rStyle w:val="StyleStyleBold12pt"/>
        </w:rPr>
        <w:t>Office of the United Nations High Commissioner for Human Rights 8</w:t>
      </w:r>
      <w:r>
        <w:t xml:space="preserve"> “Human Rights, Terrorism and Counter-terrorism”, Fact Sheet No. 32, July 2008, </w:t>
      </w:r>
      <w:hyperlink r:id="rId21" w:history="1">
        <w:r w:rsidRPr="00F64E5B">
          <w:rPr>
            <w:rStyle w:val="Hyperlink"/>
          </w:rPr>
          <w:t>http://www.ohchr.org/Documents/Publications/Factsheet32EN.pdf</w:t>
        </w:r>
      </w:hyperlink>
      <w:r>
        <w:t>, AB)</w:t>
      </w:r>
    </w:p>
    <w:p w:rsidR="000B1BA4" w:rsidRPr="0085585F" w:rsidRDefault="000B1BA4" w:rsidP="000B1BA4">
      <w:pPr>
        <w:contextualSpacing/>
        <w:rPr>
          <w:sz w:val="16"/>
        </w:rPr>
      </w:pPr>
      <w:r w:rsidRPr="001B6F88">
        <w:rPr>
          <w:rStyle w:val="StyleBoldUnderline"/>
          <w:highlight w:val="cyan"/>
        </w:rPr>
        <w:t>Terrorism aims at the very destruction of human rights</w:t>
      </w:r>
      <w:r w:rsidRPr="00F65449">
        <w:rPr>
          <w:rStyle w:val="StyleBoldUnderline"/>
        </w:rPr>
        <w:t>, democracy and the rule of la</w:t>
      </w:r>
      <w:r w:rsidRPr="0085585F">
        <w:rPr>
          <w:sz w:val="16"/>
        </w:rPr>
        <w:t xml:space="preserve">w. </w:t>
      </w:r>
      <w:r w:rsidRPr="00F65449">
        <w:rPr>
          <w:rStyle w:val="StyleBoldUnderline"/>
        </w:rPr>
        <w:t>It attacks the values that lie at the heart</w:t>
      </w:r>
      <w:r w:rsidRPr="0085585F">
        <w:rPr>
          <w:sz w:val="16"/>
        </w:rPr>
        <w:t xml:space="preserve"> of the Charter of the United Nations and other international instruments: </w:t>
      </w:r>
      <w:r w:rsidRPr="00F65449">
        <w:rPr>
          <w:rStyle w:val="StyleBoldUnderline"/>
        </w:rPr>
        <w:t>respect for human rights; the rule of law; rules governing armed conflict and the protection of civilians; tolerance a</w:t>
      </w:r>
      <w:r w:rsidRPr="0085585F">
        <w:rPr>
          <w:sz w:val="16"/>
        </w:rPr>
        <w:t xml:space="preserve">mong peoples and nations; </w:t>
      </w:r>
      <w:r w:rsidRPr="00F65449">
        <w:rPr>
          <w:rStyle w:val="StyleBoldUnderline"/>
        </w:rPr>
        <w:t>and</w:t>
      </w:r>
      <w:r w:rsidRPr="0085585F">
        <w:rPr>
          <w:sz w:val="16"/>
        </w:rPr>
        <w:t xml:space="preserve"> the</w:t>
      </w:r>
      <w:r w:rsidRPr="00F65449">
        <w:rPr>
          <w:rStyle w:val="StyleBoldUnderline"/>
        </w:rPr>
        <w:t xml:space="preserve"> peaceful</w:t>
      </w:r>
      <w:r w:rsidRPr="0085585F">
        <w:rPr>
          <w:sz w:val="16"/>
        </w:rPr>
        <w:t xml:space="preserve"> resolution of conflict. </w:t>
      </w:r>
      <w:r w:rsidRPr="001B6F88">
        <w:rPr>
          <w:rStyle w:val="StyleBoldUnderline"/>
          <w:highlight w:val="cyan"/>
        </w:rPr>
        <w:t>Terrorism has a direct impact on</w:t>
      </w:r>
      <w:r w:rsidRPr="00F65449">
        <w:rPr>
          <w:rStyle w:val="StyleBoldUnderline"/>
        </w:rPr>
        <w:t xml:space="preserve"> the enjoyment of </w:t>
      </w:r>
      <w:r w:rsidRPr="001B6F88">
        <w:rPr>
          <w:rStyle w:val="StyleBoldUnderline"/>
          <w:highlight w:val="cyan"/>
        </w:rPr>
        <w:t>a number of human rights</w:t>
      </w:r>
      <w:r w:rsidRPr="00F65449">
        <w:rPr>
          <w:rStyle w:val="StyleBoldUnderline"/>
        </w:rPr>
        <w:t xml:space="preserve">, </w:t>
      </w:r>
      <w:r w:rsidRPr="001B6F88">
        <w:rPr>
          <w:rStyle w:val="StyleBoldUnderline"/>
          <w:highlight w:val="cyan"/>
        </w:rPr>
        <w:t>in particular the rights to life, liberty and physical integrity.</w:t>
      </w:r>
      <w:r w:rsidRPr="00F65449">
        <w:rPr>
          <w:rStyle w:val="StyleBoldUnderline"/>
        </w:rPr>
        <w:t xml:space="preserve"> Terrorist acts can destabilize Governments, undermine civil society, jeopardize peace and security, threaten social and economic development, and may especially negatively affect certain groups</w:t>
      </w:r>
      <w:r w:rsidRPr="0085585F">
        <w:rPr>
          <w:sz w:val="16"/>
        </w:rPr>
        <w:t xml:space="preserve">. </w:t>
      </w:r>
      <w:r w:rsidRPr="00F65449">
        <w:rPr>
          <w:rStyle w:val="StyleBoldUnderline"/>
        </w:rPr>
        <w:t>All of these have a direct impact on the enjoyment of fundamental human rights. The destructive impact of terrorism on human rights and security has been recognized at the highest level of the United Nations</w:t>
      </w:r>
      <w:r w:rsidRPr="0085585F">
        <w:rPr>
          <w:sz w:val="16"/>
        </w:rPr>
        <w:t>, notably by the Security Council, the General Assembly, the former Commission on Human Rights and the new Human Rights Council.7 Specifically, Member States have set out that</w:t>
      </w:r>
      <w:r w:rsidRPr="00F65449">
        <w:rPr>
          <w:rStyle w:val="StyleBoldUnderline"/>
        </w:rPr>
        <w:t xml:space="preserve"> </w:t>
      </w:r>
      <w:r w:rsidRPr="001B6F88">
        <w:rPr>
          <w:rStyle w:val="StyleBoldUnderline"/>
          <w:highlight w:val="cyan"/>
        </w:rPr>
        <w:t>terrorism:</w:t>
      </w:r>
      <w:r w:rsidRPr="00F65449">
        <w:rPr>
          <w:rStyle w:val="StyleBoldUnderline"/>
        </w:rPr>
        <w:t xml:space="preserve"> • </w:t>
      </w:r>
      <w:r w:rsidRPr="001B6F88">
        <w:rPr>
          <w:rStyle w:val="StyleBoldUnderline"/>
          <w:highlight w:val="cyan"/>
        </w:rPr>
        <w:t>Threatens</w:t>
      </w:r>
      <w:r w:rsidRPr="00F65449">
        <w:rPr>
          <w:rStyle w:val="StyleBoldUnderline"/>
        </w:rPr>
        <w:t xml:space="preserve"> </w:t>
      </w:r>
      <w:r w:rsidRPr="001B6F88">
        <w:rPr>
          <w:rStyle w:val="StyleBoldUnderline"/>
          <w:highlight w:val="cyan"/>
        </w:rPr>
        <w:t>the dignity</w:t>
      </w:r>
      <w:r w:rsidRPr="00F65449">
        <w:rPr>
          <w:rStyle w:val="StyleBoldUnderline"/>
        </w:rPr>
        <w:t xml:space="preserve"> and </w:t>
      </w:r>
      <w:r w:rsidRPr="001B6F88">
        <w:rPr>
          <w:rStyle w:val="StyleBoldUnderline"/>
          <w:highlight w:val="cyan"/>
        </w:rPr>
        <w:t>security</w:t>
      </w:r>
      <w:r w:rsidRPr="00F65449">
        <w:rPr>
          <w:rStyle w:val="StyleBoldUnderline"/>
        </w:rPr>
        <w:t xml:space="preserve"> of human beings everywhere, endangers or takes innocent lives, </w:t>
      </w:r>
      <w:r w:rsidRPr="001B6F88">
        <w:rPr>
          <w:rStyle w:val="StyleBoldUnderline"/>
          <w:highlight w:val="cyan"/>
        </w:rPr>
        <w:t>creates</w:t>
      </w:r>
      <w:r w:rsidRPr="00F65449">
        <w:rPr>
          <w:rStyle w:val="StyleBoldUnderline"/>
        </w:rPr>
        <w:t xml:space="preserve"> </w:t>
      </w:r>
      <w:r w:rsidRPr="001B6F88">
        <w:rPr>
          <w:rStyle w:val="StyleBoldUnderline"/>
          <w:highlight w:val="cyan"/>
        </w:rPr>
        <w:t>an environment that destroys</w:t>
      </w:r>
      <w:r w:rsidRPr="00F65449">
        <w:rPr>
          <w:rStyle w:val="StyleBoldUnderline"/>
        </w:rPr>
        <w:t xml:space="preserve"> the </w:t>
      </w:r>
      <w:r w:rsidRPr="001B6F88">
        <w:rPr>
          <w:rStyle w:val="StyleBoldUnderline"/>
          <w:highlight w:val="cyan"/>
        </w:rPr>
        <w:t>freedom</w:t>
      </w:r>
      <w:r w:rsidRPr="00F65449">
        <w:rPr>
          <w:rStyle w:val="StyleBoldUnderline"/>
        </w:rPr>
        <w:t xml:space="preserve"> from fear of the people, </w:t>
      </w:r>
      <w:r w:rsidRPr="001B6F88">
        <w:rPr>
          <w:rStyle w:val="StyleBoldUnderline"/>
          <w:highlight w:val="cyan"/>
        </w:rPr>
        <w:t>jeopardizes fundamental freedoms</w:t>
      </w:r>
      <w:r w:rsidRPr="00F65449">
        <w:rPr>
          <w:rStyle w:val="StyleBoldUnderline"/>
        </w:rPr>
        <w:t>, and aims at the destruction of human rights; • Has an adverse effect on the establishment of the rule of law, undermines pluralistic civil society, aims at the destruction of the democratic bases of society, and destabilizes legitimately constitute</w:t>
      </w:r>
      <w:r w:rsidRPr="0085585F">
        <w:rPr>
          <w:sz w:val="16"/>
        </w:rPr>
        <w:t xml:space="preserve">d </w:t>
      </w:r>
      <w:r w:rsidRPr="00F65449">
        <w:rPr>
          <w:rStyle w:val="StyleBoldUnderline"/>
        </w:rPr>
        <w:t>Governments</w:t>
      </w:r>
      <w:r w:rsidRPr="0085585F">
        <w:rPr>
          <w:sz w:val="16"/>
        </w:rPr>
        <w:t xml:space="preserve">; • Has links with transnational organized crime, drug trafficking, money-laundering and trafficking in arms, as well as illegal transfers of nuclear, chemical and biological materials, and is linked to the consequent commission of serious crimes such as murder, extortion, kidnapping, assault, hostage-taking and robbery; 8 • </w:t>
      </w:r>
      <w:r w:rsidRPr="00F65449">
        <w:rPr>
          <w:rStyle w:val="StyleBoldUnderline"/>
        </w:rPr>
        <w:t>Has adverse consequences for the economic and social development of States, jeopardizes friendly relations among States, and has a pernicious impact on relations of cooperation among States, including cooperation for development; and</w:t>
      </w:r>
      <w:r w:rsidRPr="0085585F">
        <w:rPr>
          <w:sz w:val="16"/>
        </w:rPr>
        <w:t xml:space="preserve"> • Threatens the territorial integrity and security of States, </w:t>
      </w:r>
      <w:r w:rsidRPr="00F65449">
        <w:rPr>
          <w:rStyle w:val="StyleBoldUnderline"/>
        </w:rPr>
        <w:t>constitutes a grave violation of the purpose and principles of the United Nation</w:t>
      </w:r>
      <w:r w:rsidRPr="0085585F">
        <w:rPr>
          <w:sz w:val="16"/>
        </w:rPr>
        <w:t>s, is a threat to international peace and security, and must be suppressed as an essential element for the maintenance of international peace and security. International and regional human rights law makes clear that</w:t>
      </w:r>
      <w:r w:rsidRPr="00F65449">
        <w:rPr>
          <w:rStyle w:val="StyleBoldUnderline"/>
        </w:rPr>
        <w:t xml:space="preserve"> </w:t>
      </w:r>
      <w:r w:rsidRPr="001B6F88">
        <w:rPr>
          <w:rStyle w:val="StyleBoldUnderline"/>
          <w:highlight w:val="cyan"/>
        </w:rPr>
        <w:t>States have both a right and a duty to protect individuals under their jurisdiction from terrorist attacks.</w:t>
      </w:r>
      <w:r w:rsidRPr="0085585F">
        <w:rPr>
          <w:sz w:val="16"/>
        </w:rPr>
        <w:t xml:space="preserve"> This stems from the general duty of States to protect individuals under their jurisdiction against interference in the enjoyment of human rights. More specifically</w:t>
      </w:r>
      <w:r w:rsidRPr="0085585F">
        <w:rPr>
          <w:rStyle w:val="StyleBoldUnderline"/>
        </w:rPr>
        <w:t>, this duty is recognized as part of States’ obligations to ensure respect for the right to life and the right to security</w:t>
      </w:r>
      <w:r w:rsidRPr="0085585F">
        <w:rPr>
          <w:sz w:val="16"/>
        </w:rPr>
        <w:t>. The right to life, which is protected under international and regional human rights treaties, such as the International Covenant on Civil and Political Rights, has been described as “the supreme right”8</w:t>
      </w:r>
    </w:p>
    <w:p w:rsidR="006F4162" w:rsidRDefault="006F4162" w:rsidP="006F4162">
      <w:pPr>
        <w:pStyle w:val="Heading1"/>
      </w:pPr>
      <w:r>
        <w:t>Case</w:t>
      </w:r>
    </w:p>
    <w:p w:rsidR="003B35E3" w:rsidRPr="00A17106" w:rsidRDefault="003B35E3" w:rsidP="003B35E3">
      <w:pPr>
        <w:pStyle w:val="Heading2"/>
        <w:rPr>
          <w:rFonts w:cs="Times New Roman"/>
        </w:rPr>
      </w:pPr>
      <w:r w:rsidRPr="00A17106">
        <w:rPr>
          <w:rFonts w:cs="Times New Roman"/>
        </w:rPr>
        <w:t>Privacy Advantage</w:t>
      </w:r>
    </w:p>
    <w:p w:rsidR="00C76E19" w:rsidRDefault="003D5006" w:rsidP="00C76E19">
      <w:pPr>
        <w:pStyle w:val="Heading3"/>
      </w:pPr>
      <w:r>
        <w:t xml:space="preserve">Rights Fail—Paternalistic </w:t>
      </w:r>
    </w:p>
    <w:p w:rsidR="00C76E19" w:rsidRDefault="00C76E19" w:rsidP="00C76E19">
      <w:pPr>
        <w:pStyle w:val="Heading4"/>
      </w:pPr>
      <w:r>
        <w:t>Plan causes privacy paternalism and OVERKILL with an amendment</w:t>
      </w:r>
    </w:p>
    <w:p w:rsidR="00C76E19" w:rsidRPr="007E658D" w:rsidRDefault="00C76E19" w:rsidP="00C76E19">
      <w:r>
        <w:t xml:space="preserve">Adam </w:t>
      </w:r>
      <w:r w:rsidRPr="007E658D">
        <w:rPr>
          <w:rStyle w:val="StyleStyleBold12pt"/>
        </w:rPr>
        <w:t>Thierer 14</w:t>
      </w:r>
      <w:r>
        <w:t xml:space="preserve">, senior research fellow at the Mercatus Center at George Mason University with the Technology Policy Program, Jan 23, 2014, “Do We Need A Constitutional Amendment Restricting Private-Sector Data Collection?”, </w:t>
      </w:r>
      <w:hyperlink r:id="rId22" w:history="1">
        <w:r w:rsidRPr="006C3A95">
          <w:rPr>
            <w:rStyle w:val="Hyperlink"/>
          </w:rPr>
          <w:t>https://privacyassociation.org/news/a/do-we-need-a-constitutional-amendment-restricting-private-sector-data-colle</w:t>
        </w:r>
      </w:hyperlink>
      <w:r>
        <w:t>, AB)</w:t>
      </w:r>
    </w:p>
    <w:p w:rsidR="00C76E19" w:rsidRDefault="00C76E19" w:rsidP="00C76E19">
      <w:pPr>
        <w:rPr>
          <w:sz w:val="16"/>
        </w:rPr>
      </w:pPr>
      <w:r w:rsidRPr="007E658D">
        <w:rPr>
          <w:sz w:val="16"/>
        </w:rPr>
        <w:t xml:space="preserve">Astonishingly, Rosen doesn’t seem to think that we should be free to do so. During our NPR debate, he said his amendment would disallow individuals from surrendering private data or privacy because he viewed these rights as “unalienable.” But Rosen should keep in mind that </w:t>
      </w:r>
      <w:r w:rsidRPr="007E658D">
        <w:rPr>
          <w:rStyle w:val="StyleBoldUnderline"/>
        </w:rPr>
        <w:t>not everyone shares the same privacy values and that many of us will voluntarily trade some of our data for the innovative information services we desire.</w:t>
      </w:r>
      <w:r>
        <w:rPr>
          <w:rStyle w:val="StyleBoldUnderline"/>
        </w:rPr>
        <w:t xml:space="preserve"> </w:t>
      </w:r>
      <w:r w:rsidRPr="007E658D">
        <w:rPr>
          <w:sz w:val="16"/>
        </w:rPr>
        <w:t>I</w:t>
      </w:r>
      <w:r w:rsidRPr="007E658D">
        <w:rPr>
          <w:rStyle w:val="StyleBoldUnderline"/>
        </w:rPr>
        <w:t xml:space="preserve">f that choice is taken away from us then </w:t>
      </w:r>
      <w:r w:rsidRPr="007E658D">
        <w:rPr>
          <w:rStyle w:val="Emphasis"/>
        </w:rPr>
        <w:t>“privacy regulation</w:t>
      </w:r>
      <w:r w:rsidRPr="007E658D">
        <w:rPr>
          <w:sz w:val="16"/>
        </w:rPr>
        <w:t>,” as privacy scholar Daniel Solove has recently noted, “</w:t>
      </w:r>
      <w:r w:rsidRPr="007E658D">
        <w:rPr>
          <w:rStyle w:val="Emphasis"/>
        </w:rPr>
        <w:t>risks becoming too paternalistic</w:t>
      </w:r>
      <w:r w:rsidRPr="007E658D">
        <w:rPr>
          <w:rStyle w:val="StyleBoldUnderline"/>
        </w:rPr>
        <w:t>. Regulation that sidesteps consent denies people the freedom to make choices</w:t>
      </w:r>
      <w:r w:rsidRPr="007E658D">
        <w:rPr>
          <w:sz w:val="16"/>
        </w:rPr>
        <w:t xml:space="preserve">,” Solove argues. “The end result is </w:t>
      </w:r>
      <w:r w:rsidRPr="007E658D">
        <w:rPr>
          <w:rStyle w:val="StyleBoldUnderline"/>
        </w:rPr>
        <w:t>that either people have choices that are not meaningful or people are denied choices altogether.” By making privacy choices for us</w:t>
      </w:r>
      <w:r w:rsidRPr="007E658D">
        <w:rPr>
          <w:sz w:val="16"/>
        </w:rPr>
        <w:t xml:space="preserve">, Rosen’s </w:t>
      </w:r>
      <w:r w:rsidRPr="007E658D">
        <w:rPr>
          <w:rStyle w:val="StyleBoldUnderline"/>
        </w:rPr>
        <w:t>proposed amendment would likely suffer from that same sort of privacy paternalism</w:t>
      </w:r>
      <w:r w:rsidRPr="007E658D">
        <w:rPr>
          <w:sz w:val="16"/>
        </w:rPr>
        <w:t xml:space="preserve">. </w:t>
      </w:r>
      <w:r w:rsidRPr="007E658D">
        <w:rPr>
          <w:rStyle w:val="StyleBoldUnderline"/>
        </w:rPr>
        <w:t xml:space="preserve">Such paternalism is particularly problematic in this case since privacy is such a highly subjective value and one that evolves over time. </w:t>
      </w:r>
      <w:r w:rsidRPr="007E658D">
        <w:rPr>
          <w:sz w:val="16"/>
        </w:rPr>
        <w:t>As Solove note</w:t>
      </w:r>
      <w:r w:rsidRPr="007E658D">
        <w:rPr>
          <w:rStyle w:val="StyleBoldUnderline"/>
        </w:rPr>
        <w:t>s, “the correct choices regarding privacy and data use</w:t>
      </w:r>
      <w:r w:rsidRPr="007E658D">
        <w:rPr>
          <w:sz w:val="16"/>
        </w:rPr>
        <w:t xml:space="preserve"> </w:t>
      </w:r>
      <w:r w:rsidRPr="007E658D">
        <w:rPr>
          <w:rStyle w:val="StyleBoldUnderline"/>
        </w:rPr>
        <w:t>are not always clear.</w:t>
      </w:r>
      <w:r w:rsidRPr="007E658D">
        <w:rPr>
          <w:sz w:val="16"/>
        </w:rPr>
        <w:t xml:space="preserve"> For example, although extensive self-exposure can have disastrous consequences, many people use social media successfully and productively</w:t>
      </w:r>
      <w:r w:rsidRPr="007E658D">
        <w:rPr>
          <w:rStyle w:val="StyleBoldUnderline"/>
        </w:rPr>
        <w:t xml:space="preserve">.” Privacy norms and ethics are changing faster than ever today. </w:t>
      </w:r>
      <w:r w:rsidRPr="007E658D">
        <w:rPr>
          <w:sz w:val="16"/>
        </w:rPr>
        <w:t xml:space="preserve">One day’s “creepy” tool or service is often the next day’s “killer app.” Finally, practically speaking, </w:t>
      </w:r>
      <w:r w:rsidRPr="007E658D">
        <w:rPr>
          <w:rStyle w:val="Emphasis"/>
        </w:rPr>
        <w:t>a constitutional amendment is overkill</w:t>
      </w:r>
      <w:r w:rsidRPr="007E658D">
        <w:rPr>
          <w:rStyle w:val="StyleBoldUnderline"/>
        </w:rPr>
        <w:t xml:space="preserve"> since many other options exist for protecting individual privacy from private data collection efforts</w:t>
      </w:r>
      <w:r w:rsidRPr="007E658D">
        <w:rPr>
          <w:sz w:val="16"/>
        </w:rPr>
        <w:t xml:space="preserve">. User education and empowerment is essential. So, too, is privacy by design and an expanded role for privacy professionals within private organizations. </w:t>
      </w:r>
      <w:r w:rsidRPr="007E658D">
        <w:rPr>
          <w:rStyle w:val="StyleBoldUnderline"/>
        </w:rPr>
        <w:t>Targeted enforcement of existing laws, torts and other measures will continue to be applied here and perhaps even expand in their focus</w:t>
      </w:r>
      <w:r w:rsidRPr="007E658D">
        <w:rPr>
          <w:sz w:val="16"/>
        </w:rPr>
        <w:t>. And, again</w:t>
      </w:r>
      <w:r w:rsidRPr="007E658D">
        <w:rPr>
          <w:rStyle w:val="StyleBoldUnderline"/>
        </w:rPr>
        <w:t>, more constraint on government’s ability to commandeer private databases is absolutely essential.</w:t>
      </w:r>
      <w:r>
        <w:rPr>
          <w:rStyle w:val="StyleBoldUnderline"/>
        </w:rPr>
        <w:t xml:space="preserve"> </w:t>
      </w:r>
      <w:r w:rsidRPr="007E658D">
        <w:rPr>
          <w:sz w:val="16"/>
        </w:rPr>
        <w:t>T</w:t>
      </w:r>
      <w:r w:rsidRPr="007E658D">
        <w:rPr>
          <w:rStyle w:val="StyleBoldUnderline"/>
        </w:rPr>
        <w:t>hese are all far more practical and less-restrictive steps that can be taken without resorting to the</w:t>
      </w:r>
      <w:r w:rsidRPr="007E658D">
        <w:rPr>
          <w:sz w:val="16"/>
        </w:rPr>
        <w:t xml:space="preserve"> sort of </w:t>
      </w:r>
      <w:r w:rsidRPr="007E658D">
        <w:rPr>
          <w:rStyle w:val="Emphasis"/>
        </w:rPr>
        <w:t>constitutional sledgehammer</w:t>
      </w:r>
      <w:r w:rsidRPr="007E658D">
        <w:rPr>
          <w:sz w:val="16"/>
        </w:rPr>
        <w:t xml:space="preserve"> that Jeff Rosen favors. </w:t>
      </w:r>
      <w:r>
        <w:rPr>
          <w:rStyle w:val="Emphasis"/>
        </w:rPr>
        <w:t xml:space="preserve"> </w:t>
      </w:r>
      <w:r w:rsidRPr="007E658D">
        <w:rPr>
          <w:rStyle w:val="StyleBoldUnderline"/>
        </w:rPr>
        <w:t xml:space="preserve"> </w:t>
      </w:r>
      <w:r w:rsidRPr="007E658D">
        <w:rPr>
          <w:sz w:val="16"/>
        </w:rPr>
        <w:t>or upending the information economy.</w:t>
      </w:r>
    </w:p>
    <w:p w:rsidR="00C76E19" w:rsidRPr="007E658D" w:rsidRDefault="00C76E19" w:rsidP="00C76E19">
      <w:pPr>
        <w:rPr>
          <w:sz w:val="16"/>
        </w:rPr>
      </w:pPr>
    </w:p>
    <w:p w:rsidR="003D5006" w:rsidRDefault="003D5006" w:rsidP="00C76E19">
      <w:pPr>
        <w:pStyle w:val="Heading3"/>
      </w:pPr>
      <w:r>
        <w:t xml:space="preserve">Rights Fail—Backfire </w:t>
      </w:r>
    </w:p>
    <w:p w:rsidR="003D5006" w:rsidRDefault="003D5006" w:rsidP="003D5006">
      <w:pPr>
        <w:pStyle w:val="Heading4"/>
      </w:pPr>
      <w:r>
        <w:t>Explicit constitutional right to privacy backfires</w:t>
      </w:r>
    </w:p>
    <w:p w:rsidR="003D5006" w:rsidRPr="00C90C72" w:rsidRDefault="003D5006" w:rsidP="003D5006">
      <w:r>
        <w:t xml:space="preserve">Mary </w:t>
      </w:r>
      <w:r w:rsidRPr="00C90C72">
        <w:rPr>
          <w:rStyle w:val="StyleStyleBold12pt"/>
        </w:rPr>
        <w:t>Fan 12</w:t>
      </w:r>
      <w:r>
        <w:t xml:space="preserve">, Professor of Law at the University of Washington, “CONSTITUTIONALIZING INFORMATIONAL PRIVACY BY ASSUMPTION”, 3/2012, </w:t>
      </w:r>
      <w:r w:rsidRPr="00C90C72">
        <w:t>https://www.law.upenn.edu/journals/conlaw/articles/volume14/issue4/Fan14U.Pa.J.Const.L.953(2012).pdf</w:t>
      </w:r>
      <w:r>
        <w:t>, az</w:t>
      </w:r>
    </w:p>
    <w:p w:rsidR="003D5006" w:rsidRPr="00B21FA7" w:rsidRDefault="003D5006" w:rsidP="003D5006">
      <w:pPr>
        <w:rPr>
          <w:sz w:val="14"/>
        </w:rPr>
      </w:pPr>
      <w:r w:rsidRPr="00B21FA7">
        <w:rPr>
          <w:rStyle w:val="StyleBoldUnderline"/>
        </w:rPr>
        <w:t>It is high time to call out the assumption for the hazy moral intuition</w:t>
      </w:r>
      <w:r w:rsidRPr="00B21FA7">
        <w:rPr>
          <w:sz w:val="14"/>
        </w:rPr>
        <w:t xml:space="preserve"> that it is and situate the moral intuition in law, and as law, insofar as it is supportable. </w:t>
      </w:r>
      <w:r w:rsidRPr="00B21FA7">
        <w:rPr>
          <w:rStyle w:val="StyleBoldUnderline"/>
        </w:rPr>
        <w:t>Resting a protection</w:t>
      </w:r>
      <w:r w:rsidRPr="00B21FA7">
        <w:rPr>
          <w:sz w:val="14"/>
        </w:rPr>
        <w:t>—even a hazy hypothetical protection—</w:t>
      </w:r>
      <w:r w:rsidRPr="00B21FA7">
        <w:rPr>
          <w:rStyle w:val="StyleBoldUnderline"/>
        </w:rPr>
        <w:t>on a moral intuition is dangerous from a pragmatic as well as principled perspective. Moral intuitions are akin to “naïve theories” and heuristics—error-prone and intuition-guided generalizations—that suffer from the manifold cognitive biases</w:t>
      </w:r>
      <w:r w:rsidRPr="00B21FA7">
        <w:rPr>
          <w:sz w:val="14"/>
        </w:rPr>
        <w:t xml:space="preserve"> identified in the judgment and decision making literature.18 Status quo bias is an example of a cognitive bias with the potential to chill policy innovations if we persist in an intuitive, feels-wrong approach to determining violations.19 New ideas rouse vague feelings of unease and disquiet because they disrupt the status quo, to which we are intuitively attached. </w:t>
      </w:r>
      <w:r w:rsidRPr="00B21FA7">
        <w:rPr>
          <w:rStyle w:val="StyleBoldUnderline"/>
        </w:rPr>
        <w:t>We cannot always trust and use as a guide the affective sense that a particular policy seems disquieting in the change it wreaks. Moreover, inability to distinguish the chaff risks demeaning an important guide and principle for understanding what the liberty explicitly safeguarded by the Constitution means</w:t>
      </w:r>
      <w:r w:rsidRPr="00B21FA7">
        <w:rPr>
          <w:sz w:val="14"/>
        </w:rPr>
        <w:t xml:space="preserve">. This Article argues that </w:t>
      </w:r>
      <w:r w:rsidRPr="00B21FA7">
        <w:rPr>
          <w:rStyle w:val="StyleBoldUnderline"/>
        </w:rPr>
        <w:t>the work of privacy as a constitutional concept is to adapt the idea of liberty in times of social change. Insofar as constitutionally relevant, the idea of informational privacy helps further define, and should be informed by, the freedoms safeguarded in the Constitution</w:t>
      </w:r>
      <w:r w:rsidRPr="00B21FA7">
        <w:rPr>
          <w:sz w:val="14"/>
        </w:rPr>
        <w:t xml:space="preserve">, such as the protections for liberty under procedural and substantive due process. There is a principled reason for distinguishing between the cases of HIV and sexual orientation outings by the state with the aim of marring employment, family, and friendships and cases where state employees want a job representing an important public trust but do not want to get drug tested like the rest of us. And it is more than the crude rule of thumb that we know a violation when we feel it. </w:t>
      </w:r>
    </w:p>
    <w:p w:rsidR="003D5006" w:rsidRPr="003D5006" w:rsidRDefault="003D5006" w:rsidP="003D5006"/>
    <w:p w:rsidR="003B35E3" w:rsidRDefault="00C76E19" w:rsidP="00C76E19">
      <w:pPr>
        <w:pStyle w:val="Heading3"/>
      </w:pPr>
      <w:r>
        <w:t>Privacy Turn – Takes Away Freedom</w:t>
      </w:r>
    </w:p>
    <w:p w:rsidR="00C76E19" w:rsidRDefault="00C76E19" w:rsidP="00C76E19">
      <w:pPr>
        <w:pStyle w:val="Heading4"/>
      </w:pPr>
      <w:r>
        <w:t>Plan constrains private entity which takes AWAY freedom – turns case</w:t>
      </w:r>
    </w:p>
    <w:p w:rsidR="00C76E19" w:rsidRPr="007E658D" w:rsidRDefault="00C76E19" w:rsidP="00C76E19">
      <w:r>
        <w:t xml:space="preserve">Adam </w:t>
      </w:r>
      <w:r w:rsidRPr="007E658D">
        <w:rPr>
          <w:rStyle w:val="StyleStyleBold12pt"/>
        </w:rPr>
        <w:t>Thierer 14</w:t>
      </w:r>
      <w:r>
        <w:t xml:space="preserve">, senior research fellow at the Mercatus Center at George Mason University with the Technology Policy Program, Jan 23, 2014, “Do We Need A Constitutional Amendment Restricting Private-Sector Data Collection?”, </w:t>
      </w:r>
      <w:hyperlink r:id="rId23" w:history="1">
        <w:r w:rsidRPr="006C3A95">
          <w:rPr>
            <w:rStyle w:val="Hyperlink"/>
          </w:rPr>
          <w:t>https://privacyassociation.org/news/a/do-we-need-a-constitutional-amendment-restricting-private-sector-data-colle</w:t>
        </w:r>
      </w:hyperlink>
      <w:r>
        <w:t>, AB)</w:t>
      </w:r>
    </w:p>
    <w:p w:rsidR="00C76E19" w:rsidRPr="007E658D" w:rsidRDefault="00C76E19" w:rsidP="00C76E19">
      <w:pPr>
        <w:rPr>
          <w:sz w:val="14"/>
        </w:rPr>
      </w:pPr>
      <w:r w:rsidRPr="007E658D">
        <w:rPr>
          <w:rStyle w:val="StyleBoldUnderline"/>
        </w:rPr>
        <w:t>There are several problems with Rosen’s proposal—legal, economic and practical</w:t>
      </w:r>
      <w:r w:rsidRPr="007E658D">
        <w:rPr>
          <w:sz w:val="14"/>
        </w:rPr>
        <w:t>. The bottom line is that</w:t>
      </w:r>
      <w:r w:rsidRPr="007E658D">
        <w:rPr>
          <w:rStyle w:val="StyleBoldUnderline"/>
        </w:rPr>
        <w:t xml:space="preserve"> a constitutional amendment would be too sweeping in effect and that better alternatives exist to deal with </w:t>
      </w:r>
      <w:r w:rsidRPr="007E658D">
        <w:rPr>
          <w:sz w:val="14"/>
        </w:rPr>
        <w:t>the</w:t>
      </w:r>
      <w:r w:rsidRPr="007E658D">
        <w:rPr>
          <w:rStyle w:val="StyleBoldUnderline"/>
        </w:rPr>
        <w:t xml:space="preserve"> privacy concerns </w:t>
      </w:r>
      <w:r w:rsidRPr="007E658D">
        <w:rPr>
          <w:sz w:val="14"/>
        </w:rPr>
        <w:t xml:space="preserve">he identifies. Conflating Two Different Things First, it goes without saying that </w:t>
      </w:r>
      <w:r w:rsidRPr="007E658D">
        <w:rPr>
          <w:rStyle w:val="StyleBoldUnderline"/>
        </w:rPr>
        <w:t>a constitutional amendment is not a matter to be taken lightly</w:t>
      </w:r>
      <w:r w:rsidRPr="007E658D">
        <w:rPr>
          <w:sz w:val="14"/>
        </w:rPr>
        <w:t xml:space="preserve">. </w:t>
      </w:r>
      <w:r w:rsidRPr="007E658D">
        <w:rPr>
          <w:rStyle w:val="StyleBoldUnderline"/>
        </w:rPr>
        <w:t>It alters the underlying fabric of our republic and represents the ultimate legal constrain</w:t>
      </w:r>
      <w:r w:rsidRPr="007E658D">
        <w:rPr>
          <w:sz w:val="14"/>
        </w:rPr>
        <w:t xml:space="preserve">t. </w:t>
      </w:r>
      <w:r w:rsidRPr="007E658D">
        <w:rPr>
          <w:rStyle w:val="StyleBoldUnderline"/>
        </w:rPr>
        <w:t>Rosen nonetheless thinks one is needed to cover both governmental- and private-sector data collection practices, even though the Fourth Amendment already applies to government.</w:t>
      </w:r>
      <w:r>
        <w:rPr>
          <w:rStyle w:val="StyleBoldUnderline"/>
        </w:rPr>
        <w:t xml:space="preserve"> </w:t>
      </w:r>
      <w:r w:rsidRPr="007E658D">
        <w:rPr>
          <w:sz w:val="14"/>
        </w:rPr>
        <w:t>M</w:t>
      </w:r>
      <w:r w:rsidRPr="007E658D">
        <w:rPr>
          <w:rStyle w:val="StyleBoldUnderline"/>
        </w:rPr>
        <w:t>any people are rightly outraged about the extent of government surveillance activitie</w:t>
      </w:r>
      <w:r w:rsidRPr="007E658D">
        <w:rPr>
          <w:sz w:val="14"/>
        </w:rPr>
        <w:t xml:space="preserve">s that have come to light in the wake of the Snowden revelations. A crucial component of these revelations is that our government is increasingly vacuuming up data from private entities—sometimes with their consent, but often without those private entities having any choice in the matter (or perhaps not even knowing about it at all). </w:t>
      </w:r>
      <w:r w:rsidRPr="007E658D">
        <w:rPr>
          <w:rStyle w:val="StyleBoldUnderline"/>
        </w:rPr>
        <w:t>This leads many privacy advocates to make a big leap: Because much of the data that our government collects today originates from private data collection efforts, we should just treat those private entities the same as government actors</w:t>
      </w:r>
      <w:r w:rsidRPr="007E658D">
        <w:rPr>
          <w:sz w:val="14"/>
        </w:rPr>
        <w:t xml:space="preserve">. “Once data is collected by private parties, the government will inevitably demand access,” Rosen says. Therefore, he says, we should impose the same data collection restrictions on private actors that we impose on governments. Of course, </w:t>
      </w:r>
      <w:r w:rsidRPr="007E658D">
        <w:rPr>
          <w:rStyle w:val="StyleBoldUnderline"/>
        </w:rPr>
        <w:t>it’s always been true that “the government will inevitably demand access” to private data, but to the extent it is a growing problem, Rosen and other privacy advocates should redouble their efforts to constrain government surveillance powers and the ability to indiscriminately suck up privately held dat</w:t>
      </w:r>
      <w:r w:rsidRPr="007E658D">
        <w:rPr>
          <w:sz w:val="14"/>
        </w:rPr>
        <w:t xml:space="preserve">a. We could start with strong ECPA reform, elimination of the third-party doctrine, and other bolstered Fourth Amendment constraints on national security and law enforcement powers. Importantly, </w:t>
      </w:r>
      <w:r w:rsidRPr="007E658D">
        <w:rPr>
          <w:rStyle w:val="StyleBoldUnderline"/>
        </w:rPr>
        <w:t>a private entity is just not the same as a government entity, and we should continue to distinguish between them when crafting data collection policies</w:t>
      </w:r>
      <w:r w:rsidRPr="007E658D">
        <w:rPr>
          <w:sz w:val="14"/>
        </w:rPr>
        <w:t xml:space="preserve">. Rosen says that “distinction between surveillance by the government and surveillance by Google makes little sense,” but in reality, </w:t>
      </w:r>
      <w:r w:rsidRPr="007E658D">
        <w:rPr>
          <w:rStyle w:val="StyleBoldUnderline"/>
        </w:rPr>
        <w:t>the differences between public and private entities remains profound. Private entities cannot fine, tax or imprison us. And while we can escape the orbit of private companies and their services, the same is not true for governments.</w:t>
      </w:r>
      <w:r>
        <w:rPr>
          <w:rStyle w:val="StyleBoldUnderline"/>
        </w:rPr>
        <w:t xml:space="preserve"> </w:t>
      </w:r>
      <w:r w:rsidRPr="007E658D">
        <w:rPr>
          <w:rStyle w:val="StyleBoldUnderline"/>
        </w:rPr>
        <w:t>We need to have serious discussions about how to help people better manage their privacy preferences, but if we begin those conversations by mistakenly conflating government and corporate power, then the end result will be sweeping controls on our modern information economy.</w:t>
      </w:r>
      <w:r>
        <w:rPr>
          <w:rStyle w:val="StyleBoldUnderline"/>
        </w:rPr>
        <w:t xml:space="preserve"> </w:t>
      </w:r>
      <w:r w:rsidRPr="007E658D">
        <w:rPr>
          <w:sz w:val="14"/>
        </w:rPr>
        <w:t xml:space="preserve">Which is the next problem with Rosen’s proposal: </w:t>
      </w:r>
      <w:r w:rsidRPr="007E658D">
        <w:rPr>
          <w:rStyle w:val="StyleBoldUnderline"/>
        </w:rPr>
        <w:t>It would create serious social and economic trade-offs that he fails to conside</w:t>
      </w:r>
      <w:r w:rsidRPr="007E658D">
        <w:rPr>
          <w:sz w:val="14"/>
        </w:rPr>
        <w:t xml:space="preserve">r. In terms of social trade-offs, </w:t>
      </w:r>
      <w:r w:rsidRPr="007E658D">
        <w:rPr>
          <w:rStyle w:val="StyleBoldUnderline"/>
        </w:rPr>
        <w:t>a constitutional amendment limiting data collection might conflict with certain speech and information-gathering freedom</w:t>
      </w:r>
      <w:r w:rsidRPr="007E658D">
        <w:rPr>
          <w:sz w:val="14"/>
        </w:rPr>
        <w:t>s. As Professor Eugene Volokh has noted, at least here in the U.S., “</w:t>
      </w:r>
      <w:r w:rsidRPr="007E658D">
        <w:rPr>
          <w:rStyle w:val="StyleBoldUnderline"/>
        </w:rPr>
        <w:t>We already have a code of ‘fair information practices,’ and it is the First Amendment</w:t>
      </w:r>
      <w:r w:rsidRPr="007E658D">
        <w:rPr>
          <w:sz w:val="14"/>
        </w:rPr>
        <w:t xml:space="preserve">, which generally bars the government from controlling the communication of information … whether the communication is ‘fair’ or not.” Meanwhile, recent commercial speech jurisprudence—such as the Supreme Court’s 2011 decision in Sorrell v. IMS Health Inc.—has bolstered First Amendment protections for data-gathering and use. </w:t>
      </w:r>
      <w:r w:rsidRPr="007E658D">
        <w:rPr>
          <w:rStyle w:val="StyleBoldUnderline"/>
        </w:rPr>
        <w:t>There would also be economic trade-offs associated with Rosen’s proposed amendment. Private data collection is the fuel that powers our information economy. It creates value for consumers by making possible innovative goods and services at a great price—often free. Banning private data collection and use will likely mean fewer choices or higher prices.</w:t>
      </w:r>
      <w:r>
        <w:rPr>
          <w:rStyle w:val="StyleBoldUnderline"/>
        </w:rPr>
        <w:t xml:space="preserve"> </w:t>
      </w:r>
      <w:r w:rsidRPr="007E658D">
        <w:rPr>
          <w:rStyle w:val="StyleBoldUnderline"/>
        </w:rPr>
        <w:t xml:space="preserve">That’s why many of us already trade away some of our personal information in exchange for digital services that improve our lives in other ways. </w:t>
      </w:r>
      <w:r w:rsidRPr="007E658D">
        <w:rPr>
          <w:sz w:val="14"/>
        </w:rPr>
        <w:t>For example, the same location “</w:t>
      </w:r>
      <w:r w:rsidRPr="007E658D">
        <w:rPr>
          <w:rStyle w:val="StyleBoldUnderline"/>
        </w:rPr>
        <w:t xml:space="preserve">tracking” techniques </w:t>
      </w:r>
      <w:r w:rsidRPr="007E658D">
        <w:rPr>
          <w:sz w:val="14"/>
        </w:rPr>
        <w:t>that Rosen and many others decry as privacy violations</w:t>
      </w:r>
      <w:r w:rsidRPr="007E658D">
        <w:rPr>
          <w:rStyle w:val="StyleBoldUnderline"/>
        </w:rPr>
        <w:t xml:space="preserve"> are also what enable the free mapping and traffic services that we rely on daily. Shouldn’t we be allowed to make that trade?</w:t>
      </w:r>
    </w:p>
    <w:p w:rsidR="00C76E19" w:rsidRDefault="00C76E19" w:rsidP="00C76E19">
      <w:pPr>
        <w:pStyle w:val="Heading4"/>
      </w:pPr>
      <w:r>
        <w:t>Not having a clear definition of privacy turns case</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r w:rsidRPr="00194973">
        <w:t>http://queensu.ca/lawjournal/issues/pastissues/Volume37a/5-Hunt.pdf</w:t>
      </w:r>
      <w:r w:rsidRPr="007459E7">
        <w:t>,</w:t>
      </w:r>
      <w:r>
        <w:t xml:space="preserve"> AB)</w:t>
      </w:r>
    </w:p>
    <w:p w:rsidR="00C76E19" w:rsidRPr="00720698" w:rsidRDefault="00C76E19" w:rsidP="00C76E19">
      <w:pPr>
        <w:rPr>
          <w:sz w:val="14"/>
        </w:rPr>
      </w:pPr>
      <w:r w:rsidRPr="00720698">
        <w:rPr>
          <w:sz w:val="14"/>
        </w:rPr>
        <w:t xml:space="preserve">Although the </w:t>
      </w:r>
      <w:r w:rsidRPr="00720698">
        <w:rPr>
          <w:rStyle w:val="StyleBoldUnderline"/>
        </w:rPr>
        <w:t>conclusions</w:t>
      </w:r>
      <w:r w:rsidRPr="00720698">
        <w:rPr>
          <w:sz w:val="14"/>
        </w:rPr>
        <w:t xml:space="preserve"> put forth in this article do not in themselves dictate any particular legal result, they </w:t>
      </w:r>
      <w:r w:rsidRPr="00720698">
        <w:rPr>
          <w:rStyle w:val="StyleBoldUnderline"/>
        </w:rPr>
        <w:t xml:space="preserve">should nonetheless serve to inform </w:t>
      </w:r>
      <w:r w:rsidRPr="00720698">
        <w:rPr>
          <w:sz w:val="14"/>
        </w:rPr>
        <w:t>the</w:t>
      </w:r>
      <w:r w:rsidRPr="00720698">
        <w:rPr>
          <w:rStyle w:val="StyleBoldUnderline"/>
        </w:rPr>
        <w:t xml:space="preserve"> developmen</w:t>
      </w:r>
      <w:r w:rsidRPr="00720698">
        <w:rPr>
          <w:sz w:val="14"/>
        </w:rPr>
        <w:t>t of Canada’s fledgling privacy tort.</w:t>
      </w:r>
      <w:r w:rsidRPr="00720698">
        <w:rPr>
          <w:rStyle w:val="StyleBoldUnderline"/>
        </w:rPr>
        <w:t xml:space="preserve"> We ought to know what privacy is, and what interests underlie it, before we set about fine-tuning </w:t>
      </w:r>
      <w:r w:rsidRPr="00720698">
        <w:rPr>
          <w:sz w:val="14"/>
        </w:rPr>
        <w:t xml:space="preserve">a legal test designed </w:t>
      </w:r>
      <w:r w:rsidRPr="00720698">
        <w:rPr>
          <w:rStyle w:val="StyleBoldUnderline"/>
        </w:rPr>
        <w:t>to protect it.</w:t>
      </w:r>
      <w:r w:rsidRPr="00720698">
        <w:rPr>
          <w:sz w:val="14"/>
        </w:rPr>
        <w:t xml:space="preserve"> The same point can perhaps be put better in the negative: </w:t>
      </w:r>
      <w:r w:rsidRPr="00720698">
        <w:rPr>
          <w:rStyle w:val="Emphasis"/>
        </w:rPr>
        <w:t>without a clear conceptual account of privacy, “a legal privacy right would be</w:t>
      </w:r>
      <w:r w:rsidRPr="00720698">
        <w:rPr>
          <w:sz w:val="14"/>
        </w:rPr>
        <w:t>”, as Delany and Carolan note, “</w:t>
      </w:r>
      <w:r w:rsidRPr="00720698">
        <w:rPr>
          <w:rStyle w:val="Emphasis"/>
        </w:rPr>
        <w:t>incomplete, incoherent, and liable to cause confusion”.</w:t>
      </w:r>
      <w:r w:rsidRPr="00720698">
        <w:rPr>
          <w:sz w:val="14"/>
        </w:rPr>
        <w:t xml:space="preserve">230 An appellate court tasked with determining the scope of a Canadian privacy tort </w:t>
      </w:r>
      <w:r w:rsidRPr="00720698">
        <w:rPr>
          <w:rStyle w:val="StyleBoldUnderline"/>
        </w:rPr>
        <w:t>will have to identify the nature of a privacy invasion, find an appropriate doctrinal basis for the action, and decide how to balance competing interests in privacy and freedom of speech</w:t>
      </w:r>
      <w:r w:rsidRPr="00720698">
        <w:rPr>
          <w:sz w:val="14"/>
        </w:rPr>
        <w:t xml:space="preserve">. I have argued throughout this article that </w:t>
      </w:r>
      <w:r w:rsidRPr="00720698">
        <w:rPr>
          <w:rStyle w:val="StyleBoldUnderline"/>
        </w:rPr>
        <w:t>a coherent understanding of privacy must include both a physical and an informational dimension.</w:t>
      </w:r>
      <w:r w:rsidRPr="00720698">
        <w:rPr>
          <w:sz w:val="14"/>
        </w:rPr>
        <w:t xml:space="preserve"> The American approach, which recognizes both the wrongful disclosure of information and intrusions on private activities, provides a more comprehensive and conceptually justified response than the narrower “informationist” approach employed in New Zealand and England.</w:t>
      </w:r>
    </w:p>
    <w:p w:rsidR="00C76E19" w:rsidRPr="00720698" w:rsidRDefault="00C76E19" w:rsidP="00C76E19"/>
    <w:p w:rsidR="00C76E19" w:rsidRDefault="00C76E19" w:rsidP="00C76E19">
      <w:pPr>
        <w:pStyle w:val="Heading3"/>
      </w:pPr>
      <w:r>
        <w:t>Privacy Doesn’t Solve</w:t>
      </w:r>
    </w:p>
    <w:p w:rsidR="002E512E" w:rsidRPr="00A17106" w:rsidRDefault="002E512E" w:rsidP="002E512E">
      <w:pPr>
        <w:keepNext/>
        <w:keepLines/>
        <w:spacing w:before="200"/>
        <w:outlineLvl w:val="3"/>
        <w:rPr>
          <w:rFonts w:eastAsia="Times New Roman"/>
          <w:b/>
          <w:bCs/>
          <w:iCs/>
          <w:sz w:val="26"/>
        </w:rPr>
      </w:pPr>
      <w:r w:rsidRPr="00A17106">
        <w:rPr>
          <w:rFonts w:eastAsia="Times New Roman"/>
          <w:b/>
          <w:bCs/>
          <w:iCs/>
          <w:sz w:val="26"/>
        </w:rPr>
        <w:t>Privacy policies fail- only are created to protect corporate interests.</w:t>
      </w:r>
    </w:p>
    <w:p w:rsidR="002E512E" w:rsidRPr="00A17106" w:rsidRDefault="002E512E" w:rsidP="002E512E">
      <w:pPr>
        <w:rPr>
          <w:rFonts w:eastAsia="Calibri"/>
        </w:rPr>
      </w:pPr>
      <w:r w:rsidRPr="001850C5">
        <w:rPr>
          <w:rStyle w:val="StyleStyleBold12pt"/>
        </w:rPr>
        <w:t>Erison 6</w:t>
      </w:r>
      <w:r>
        <w:rPr>
          <w:rFonts w:eastAsia="Calibri"/>
        </w:rPr>
        <w:t xml:space="preserve"> </w:t>
      </w:r>
      <w:r w:rsidRPr="0089357A">
        <w:rPr>
          <w:sz w:val="18"/>
          <w:szCs w:val="18"/>
        </w:rPr>
        <w:t>(Richard Victor Ericson, professor with the Centre of Criminology at the University of Toronto , “The New Politics of Surveillance and Visibility,”2006, from The New Politics of Surveillance and Visibility,sl)</w:t>
      </w:r>
    </w:p>
    <w:p w:rsidR="002E512E" w:rsidRPr="001850C5" w:rsidRDefault="002E512E" w:rsidP="002E512E">
      <w:pPr>
        <w:rPr>
          <w:rFonts w:eastAsia="Calibri"/>
          <w:sz w:val="16"/>
        </w:rPr>
      </w:pPr>
      <w:r w:rsidRPr="001850C5">
        <w:rPr>
          <w:rFonts w:eastAsia="Calibri"/>
          <w:bCs/>
          <w:u w:val="single"/>
        </w:rPr>
        <w:t xml:space="preserve">Discussions about privacy rights often proceed as if </w:t>
      </w:r>
      <w:r w:rsidRPr="001850C5">
        <w:rPr>
          <w:rFonts w:eastAsia="Calibri"/>
          <w:bCs/>
          <w:highlight w:val="cyan"/>
          <w:u w:val="single"/>
        </w:rPr>
        <w:t>privacy is itself a stable phenomena that must be protected from incursions or erosion</w:t>
      </w:r>
      <w:r w:rsidRPr="001850C5">
        <w:rPr>
          <w:rFonts w:eastAsia="Calibri"/>
          <w:sz w:val="16"/>
          <w:highlight w:val="cyan"/>
        </w:rPr>
        <w:t>.</w:t>
      </w:r>
      <w:r w:rsidRPr="001850C5">
        <w:rPr>
          <w:rFonts w:eastAsia="Calibri"/>
          <w:sz w:val="16"/>
        </w:rPr>
        <w:t xml:space="preserve"> </w:t>
      </w:r>
      <w:r w:rsidRPr="001850C5">
        <w:rPr>
          <w:rFonts w:eastAsia="Calibri"/>
          <w:bCs/>
          <w:highlight w:val="cyan"/>
          <w:u w:val="single"/>
        </w:rPr>
        <w:t>Such a conceptualization tends to downplay the historical variability and political contestation associated with the precise content of 'privacy</w:t>
      </w:r>
      <w:r w:rsidRPr="001850C5">
        <w:rPr>
          <w:rFonts w:eastAsia="Calibri"/>
          <w:sz w:val="16"/>
        </w:rPr>
        <w:t xml:space="preserve">.' </w:t>
      </w:r>
      <w:r w:rsidRPr="001850C5">
        <w:rPr>
          <w:rFonts w:eastAsia="Calibri"/>
          <w:bCs/>
          <w:u w:val="single"/>
        </w:rPr>
        <w:t>Claims to privacy and secrecy are political efforts to restrict the ability of others to see or know specific things</w:t>
      </w:r>
      <w:r w:rsidRPr="001850C5">
        <w:rPr>
          <w:rFonts w:eastAsia="Calibri"/>
          <w:sz w:val="16"/>
        </w:rPr>
        <w:t xml:space="preserve">. </w:t>
      </w:r>
      <w:r w:rsidRPr="001850C5">
        <w:rPr>
          <w:rFonts w:eastAsia="Calibri"/>
          <w:bCs/>
          <w:u w:val="single"/>
        </w:rPr>
        <w:t>One of the more intriguing developments in this regard concerns how powerful interests are now appealing to such rights</w:t>
      </w:r>
      <w:r w:rsidRPr="001850C5">
        <w:rPr>
          <w:rFonts w:eastAsia="Calibri"/>
          <w:sz w:val="16"/>
        </w:rPr>
        <w:t>. The synoptic capabilities of contemporary surveillance have produced a greater number of powerful individuals and institutions with an interest in avoiding new forms of scrutiny. As such,</w:t>
      </w:r>
      <w:r w:rsidRPr="001850C5">
        <w:rPr>
          <w:rFonts w:eastAsia="Calibri"/>
          <w:bCs/>
          <w:u w:val="single"/>
        </w:rPr>
        <w:t xml:space="preserve"> privacy rights that were originally envisioned as a means for individuals to secure a pers</w:t>
      </w:r>
      <w:r>
        <w:rPr>
          <w:rFonts w:eastAsia="Calibri"/>
          <w:bCs/>
          <w:u w:val="single"/>
        </w:rPr>
        <w:t>onal space free from state scru</w:t>
      </w:r>
      <w:r w:rsidRPr="001850C5">
        <w:rPr>
          <w:rFonts w:eastAsia="Calibri"/>
          <w:bCs/>
          <w:u w:val="single"/>
        </w:rPr>
        <w:t xml:space="preserve">tiny are being reconfigured by corporate and state interests. </w:t>
      </w:r>
      <w:r w:rsidRPr="001850C5">
        <w:rPr>
          <w:rFonts w:eastAsia="Calibri"/>
          <w:sz w:val="16"/>
        </w:rPr>
        <w:t xml:space="preserve">Corporations routinely appeal to legal privacy and secrecy protections. One of the more ironic of </w:t>
      </w:r>
      <w:r w:rsidRPr="001850C5">
        <w:rPr>
          <w:rFonts w:eastAsia="Calibri"/>
          <w:bCs/>
          <w:highlight w:val="cyan"/>
          <w:u w:val="single"/>
        </w:rPr>
        <w:t>these involves efforts by firms that conduct massive commercial data surveillance to restrict the release of the market segment profiles</w:t>
      </w:r>
      <w:r w:rsidRPr="001850C5">
        <w:rPr>
          <w:rFonts w:eastAsia="Calibri"/>
          <w:sz w:val="16"/>
        </w:rPr>
        <w:t xml:space="preserve"> that they derive from such information on the grounds that these are 'trade secrets.' </w:t>
      </w:r>
      <w:r w:rsidRPr="001850C5">
        <w:rPr>
          <w:rFonts w:eastAsia="Calibri"/>
          <w:bCs/>
          <w:u w:val="single"/>
        </w:rPr>
        <w:t xml:space="preserve">The ongoing war on terror accentuates how </w:t>
      </w:r>
      <w:r w:rsidRPr="001850C5">
        <w:rPr>
          <w:rFonts w:eastAsia="Calibri"/>
          <w:bCs/>
          <w:highlight w:val="cyan"/>
          <w:u w:val="single"/>
        </w:rPr>
        <w:t>the state is also concerned with carving out a sphere of privacy, even as it tries to render the actions of others more transparent</w:t>
      </w:r>
      <w:r w:rsidRPr="001850C5">
        <w:rPr>
          <w:rFonts w:eastAsia="Calibri"/>
          <w:sz w:val="16"/>
        </w:rPr>
        <w:t xml:space="preserve">. For example, the US. Patriot Act prohibits Internet service providers from disclosing the extent to which they have established governmental Internet monitoring measures. The US. administration has refused to meet Congressional demands for information regarding the implementation of the Patriot Act. The Pentagon regularly invokes claims to 'national security' to restrict public awareness of military matters, in-duding the capabilities of its surveillance technologies. Hence, </w:t>
      </w:r>
      <w:r w:rsidRPr="001850C5">
        <w:rPr>
          <w:rFonts w:eastAsia="Calibri"/>
          <w:bCs/>
          <w:highlight w:val="cyan"/>
          <w:u w:val="single"/>
        </w:rPr>
        <w:t>legal claims to privacy are being invoked as a means to render the actions of powerful interests more opaque at the same time that these same institutions are making the lives of others more transparent</w:t>
      </w:r>
      <w:r w:rsidRPr="001850C5">
        <w:rPr>
          <w:rFonts w:eastAsia="Calibri"/>
          <w:sz w:val="16"/>
          <w:highlight w:val="cyan"/>
        </w:rPr>
        <w:t>.</w:t>
      </w:r>
      <w:r w:rsidRPr="001850C5">
        <w:rPr>
          <w:rFonts w:eastAsia="Calibri"/>
          <w:sz w:val="16"/>
        </w:rPr>
        <w:t xml:space="preserve"> Some see this trend towards non-reciprocal visibility as one of the greatest inequities in contemporary surveillance (Brin 1998).</w:t>
      </w:r>
    </w:p>
    <w:p w:rsidR="002E512E" w:rsidRPr="002E512E" w:rsidRDefault="002E512E" w:rsidP="002E512E"/>
    <w:p w:rsidR="00C76E19" w:rsidRDefault="00C76E19" w:rsidP="00C76E19">
      <w:pPr>
        <w:pStyle w:val="Heading4"/>
      </w:pPr>
      <w:r>
        <w:t>Too vague to be legit</w:t>
      </w:r>
    </w:p>
    <w:p w:rsidR="00C76E19" w:rsidRPr="007459E7"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4" w:history="1">
        <w:r w:rsidRPr="007459E7">
          <w:rPr>
            <w:rStyle w:val="Hyperlink"/>
          </w:rPr>
          <w:t>http://queensu.ca/lawjournal/issues/pastissues/Volume37a/5-Hunt.pdf</w:t>
        </w:r>
      </w:hyperlink>
      <w:r w:rsidRPr="007459E7">
        <w:t>,</w:t>
      </w:r>
      <w:r>
        <w:t xml:space="preserve"> AB)</w:t>
      </w:r>
    </w:p>
    <w:p w:rsidR="00C76E19" w:rsidRPr="007459E7" w:rsidRDefault="00C76E19" w:rsidP="00C76E19">
      <w:pPr>
        <w:rPr>
          <w:sz w:val="16"/>
        </w:rPr>
      </w:pPr>
      <w:r w:rsidRPr="007459E7">
        <w:rPr>
          <w:rStyle w:val="StyleBoldUnderline"/>
        </w:rPr>
        <w:t>The “right to be let alone” occupies a hallowed place in privacy discourse</w:t>
      </w:r>
      <w:r w:rsidRPr="007459E7">
        <w:rPr>
          <w:sz w:val="16"/>
        </w:rPr>
        <w:t xml:space="preserve">. Although the phrase was coined by Judge Cooley42—who used it not to justify a right to privacy, but rather to explain why tort law regards trespass to the person as wrongful—it is now generally attributed to Warren and Brandeis, who invoked it throughout their seminal 1890 article.43 </w:t>
      </w:r>
      <w:r w:rsidRPr="007459E7">
        <w:rPr>
          <w:rStyle w:val="StyleBoldUnderline"/>
        </w:rPr>
        <w:t>The latter authors analyzed numerous cases of trespass, defamation, confidence, and especially common law copyright, and identified a latent principle of privacy</w:t>
      </w:r>
      <w:r w:rsidRPr="007459E7">
        <w:rPr>
          <w:sz w:val="16"/>
        </w:rPr>
        <w:t xml:space="preserve">—operating unarticulated— </w:t>
      </w:r>
      <w:r w:rsidRPr="007459E7">
        <w:rPr>
          <w:rStyle w:val="StyleBoldUnderline"/>
        </w:rPr>
        <w:t>which they argued should thenceforth be protected independently, as a distinct tort.</w:t>
      </w:r>
      <w:r w:rsidRPr="007459E7">
        <w:rPr>
          <w:sz w:val="16"/>
        </w:rPr>
        <w:t xml:space="preserve">44 </w:t>
      </w:r>
      <w:r w:rsidRPr="007459E7">
        <w:rPr>
          <w:rStyle w:val="StyleBoldUnderline"/>
        </w:rPr>
        <w:t>This principle of privacy</w:t>
      </w:r>
      <w:r w:rsidRPr="007459E7">
        <w:rPr>
          <w:sz w:val="16"/>
        </w:rPr>
        <w:t xml:space="preserve">, </w:t>
      </w:r>
      <w:r w:rsidRPr="007459E7">
        <w:rPr>
          <w:rStyle w:val="StyleBoldUnderline"/>
        </w:rPr>
        <w:t>expressed as a “right to be let alone</w:t>
      </w:r>
      <w:r w:rsidRPr="007459E7">
        <w:rPr>
          <w:sz w:val="16"/>
        </w:rPr>
        <w:t>”, is anchored in the more fundamental interest of an “inviolate personality”.4</w:t>
      </w:r>
      <w:r>
        <w:rPr>
          <w:sz w:val="16"/>
        </w:rPr>
        <w:t xml:space="preserve"> </w:t>
      </w:r>
      <w:r w:rsidRPr="007459E7">
        <w:rPr>
          <w:sz w:val="16"/>
        </w:rPr>
        <w:t xml:space="preserve">The Warren and Brandeis formulation </w:t>
      </w:r>
      <w:r w:rsidRPr="007459E7">
        <w:rPr>
          <w:rStyle w:val="StyleBoldUnderline"/>
        </w:rPr>
        <w:t>has come under much academic criticism</w:t>
      </w:r>
      <w:r w:rsidRPr="007459E7">
        <w:rPr>
          <w:sz w:val="16"/>
        </w:rPr>
        <w:t xml:space="preserve">. The first problem is its vagueness.46 Because </w:t>
      </w:r>
      <w:r w:rsidRPr="007459E7">
        <w:rPr>
          <w:rStyle w:val="StyleBoldUnderline"/>
        </w:rPr>
        <w:t>neither the “right to be let alone” nor the concept of “inviolate personality” is adequately defined, 47 the article gives no practical or conceptual guidance on the scope of the right.</w:t>
      </w:r>
      <w:r w:rsidRPr="007459E7">
        <w:rPr>
          <w:sz w:val="16"/>
        </w:rPr>
        <w:t xml:space="preserve">48 A related criticism is that </w:t>
      </w:r>
      <w:r w:rsidRPr="007459E7">
        <w:rPr>
          <w:rStyle w:val="StyleBoldUnderline"/>
        </w:rPr>
        <w:t>the phrase “right to be let alone” itself appears to be less a definition of privacy than simply a description of one example of it</w:t>
      </w:r>
      <w:r w:rsidRPr="007459E7">
        <w:rPr>
          <w:sz w:val="16"/>
        </w:rPr>
        <w:t>.49</w:t>
      </w:r>
    </w:p>
    <w:p w:rsidR="00C76E19" w:rsidRDefault="00C76E19" w:rsidP="00C76E19">
      <w:pPr>
        <w:pStyle w:val="Heading4"/>
      </w:pPr>
      <w:r>
        <w:t>Privacy is too sweeping/broad</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5" w:history="1">
        <w:r w:rsidRPr="007459E7">
          <w:rPr>
            <w:rStyle w:val="Hyperlink"/>
          </w:rPr>
          <w:t>http://queensu.ca/lawjournal/issues/pastissues/Volume37a/5-Hunt.pdf</w:t>
        </w:r>
      </w:hyperlink>
      <w:r w:rsidRPr="007459E7">
        <w:t>,</w:t>
      </w:r>
      <w:r>
        <w:t xml:space="preserve"> AB)</w:t>
      </w:r>
    </w:p>
    <w:p w:rsidR="00C76E19" w:rsidRPr="007459E7" w:rsidRDefault="00C76E19" w:rsidP="00C76E19">
      <w:pPr>
        <w:rPr>
          <w:rStyle w:val="StyleBoldUnderline"/>
        </w:rPr>
      </w:pPr>
      <w:r w:rsidRPr="007459E7">
        <w:rPr>
          <w:sz w:val="16"/>
        </w:rPr>
        <w:t xml:space="preserve">The second criticism, </w:t>
      </w:r>
      <w:r w:rsidRPr="007459E7">
        <w:rPr>
          <w:rStyle w:val="StyleBoldUnderline"/>
        </w:rPr>
        <w:t>stemming from the above mentioned vagueness</w:t>
      </w:r>
      <w:r w:rsidRPr="007459E7">
        <w:rPr>
          <w:sz w:val="16"/>
        </w:rPr>
        <w:t xml:space="preserve">, is that </w:t>
      </w:r>
      <w:r w:rsidRPr="007459E7">
        <w:rPr>
          <w:rStyle w:val="StyleBoldUnderline"/>
        </w:rPr>
        <w:t>this conception of privacy is overly broad.</w:t>
      </w:r>
      <w:r w:rsidRPr="007459E7">
        <w:rPr>
          <w:sz w:val="16"/>
        </w:rPr>
        <w:t xml:space="preserve"> As Gavison explains: [</w:t>
      </w:r>
      <w:r w:rsidRPr="007459E7">
        <w:rPr>
          <w:rStyle w:val="StyleBoldUnderline"/>
        </w:rPr>
        <w:t>It] cover[s] almost any conceivable complaint anyone could ever make. A great many instances of “not letting people alone” cannot readily be described as invasions of privacy. Requiring that people pay their taxes or go into the army, or punishing them for murder, are just a few . . . examples</w:t>
      </w:r>
      <w:r w:rsidRPr="007459E7">
        <w:rPr>
          <w:sz w:val="16"/>
        </w:rPr>
        <w:t xml:space="preserve">.50 </w:t>
      </w:r>
      <w:r w:rsidRPr="007459E7">
        <w:rPr>
          <w:rStyle w:val="StyleBoldUnderline"/>
        </w:rPr>
        <w:t>This conceptual over breadth is evident in how the “right to be let alone” has been used in American constitutional jurisprudence,</w:t>
      </w:r>
      <w:r w:rsidRPr="007459E7">
        <w:rPr>
          <w:sz w:val="16"/>
        </w:rPr>
        <w:t xml:space="preserve"> where </w:t>
      </w:r>
      <w:r w:rsidRPr="007459E7">
        <w:rPr>
          <w:rStyle w:val="StyleBoldUnderline"/>
        </w:rPr>
        <w:t>it is often equated with privacy</w:t>
      </w:r>
      <w:r w:rsidRPr="007459E7">
        <w:rPr>
          <w:sz w:val="16"/>
        </w:rPr>
        <w:t xml:space="preserve">51 </w:t>
      </w:r>
      <w:r w:rsidRPr="007459E7">
        <w:rPr>
          <w:rStyle w:val="StyleBoldUnderline"/>
        </w:rPr>
        <w:t>and is taken to encompass the right to “live one’s life as one chooses”.</w:t>
      </w:r>
      <w:r>
        <w:rPr>
          <w:rStyle w:val="StyleBoldUnderline"/>
        </w:rPr>
        <w:t xml:space="preserve"> </w:t>
      </w:r>
      <w:r w:rsidRPr="007459E7">
        <w:rPr>
          <w:rStyle w:val="StyleBoldUnderline"/>
        </w:rPr>
        <w:t>52 This includes</w:t>
      </w:r>
      <w:r w:rsidRPr="007459E7">
        <w:rPr>
          <w:sz w:val="16"/>
        </w:rPr>
        <w:t xml:space="preserve"> the “</w:t>
      </w:r>
      <w:r w:rsidRPr="007459E7">
        <w:rPr>
          <w:rStyle w:val="StyleBoldUnderline"/>
        </w:rPr>
        <w:t>privilege of an individual to plan his own affairs</w:t>
      </w:r>
      <w:r w:rsidRPr="007459E7">
        <w:rPr>
          <w:sz w:val="16"/>
        </w:rPr>
        <w:t xml:space="preserve"> . . . [and] do what he pleases”.53 </w:t>
      </w:r>
      <w:r w:rsidRPr="007459E7">
        <w:rPr>
          <w:rStyle w:val="StyleBoldUnderline"/>
        </w:rPr>
        <w:t>This “substantive”54 conception of privacy confers a zone of decisional autonomy</w:t>
      </w:r>
      <w:r w:rsidRPr="007459E7">
        <w:rPr>
          <w:sz w:val="16"/>
        </w:rPr>
        <w:t xml:space="preserve">, and currently forms the basis for the right to abortion in American constitutional law.55 </w:t>
      </w:r>
      <w:r w:rsidRPr="007459E7">
        <w:rPr>
          <w:rStyle w:val="StyleBoldUnderline"/>
        </w:rPr>
        <w:t>It has been much criticized as being really an “assertion of liberty per se [rather] than one of privacy</w:t>
      </w:r>
      <w:r w:rsidRPr="007459E7">
        <w:rPr>
          <w:sz w:val="16"/>
        </w:rPr>
        <w:t>”.</w:t>
      </w:r>
      <w:r w:rsidRPr="007459E7">
        <w:rPr>
          <w:rStyle w:val="StyleBoldUnderline"/>
        </w:rPr>
        <w:t>56 A narrower and clearer definition of privacy is needed.</w:t>
      </w:r>
    </w:p>
    <w:p w:rsidR="00C76E19" w:rsidRDefault="00C76E19" w:rsidP="00C76E19">
      <w:pPr>
        <w:pStyle w:val="Heading4"/>
      </w:pPr>
      <w:r>
        <w:t>Focus on surveillance as information gathering ignores content of the surveillance – causes restriction which turns the case</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6" w:history="1">
        <w:r w:rsidRPr="007459E7">
          <w:rPr>
            <w:rStyle w:val="Hyperlink"/>
          </w:rPr>
          <w:t>http://queensu.ca/lawjournal/issues/pastissues/Volume37a/5-Hunt.pdf</w:t>
        </w:r>
      </w:hyperlink>
      <w:r w:rsidRPr="007459E7">
        <w:t>,</w:t>
      </w:r>
      <w:r>
        <w:t xml:space="preserve"> AB)</w:t>
      </w:r>
    </w:p>
    <w:p w:rsidR="00C76E19" w:rsidRDefault="00C76E19" w:rsidP="00C76E19">
      <w:pPr>
        <w:rPr>
          <w:sz w:val="16"/>
        </w:rPr>
      </w:pPr>
      <w:r w:rsidRPr="007459E7">
        <w:rPr>
          <w:rStyle w:val="StyleBoldUnderline"/>
        </w:rPr>
        <w:t>Conceiving of privacy as a claim to control personal information gets us very close to understanding its essence</w:t>
      </w:r>
      <w:r w:rsidRPr="00720698">
        <w:rPr>
          <w:sz w:val="16"/>
        </w:rPr>
        <w:t xml:space="preserve">.63 Simply put, </w:t>
      </w:r>
      <w:r w:rsidRPr="007459E7">
        <w:rPr>
          <w:rStyle w:val="StyleBoldUnderline"/>
        </w:rPr>
        <w:t>we intuit privacy as a claim to control, and this intuition is reflected in the social norms that surround us</w:t>
      </w:r>
      <w:r w:rsidRPr="00720698">
        <w:rPr>
          <w:sz w:val="16"/>
        </w:rPr>
        <w:t xml:space="preserve">.64 We feel that this conception of privacy is the reason someone has a moral claim to keep the contents of his diary secret; and reasonable people reflect that understanding by respecting this right, or at least by intuiting that reading a person’s diary violates something we all sense to be private. Furthermore, as I explain in section two, </w:t>
      </w:r>
      <w:r w:rsidRPr="007459E7">
        <w:rPr>
          <w:rStyle w:val="StyleBoldUnderline"/>
        </w:rPr>
        <w:t>the claim to control personal information is closely associated with the values underpinning privacy</w:t>
      </w:r>
      <w:r w:rsidRPr="00720698">
        <w:rPr>
          <w:sz w:val="16"/>
        </w:rPr>
        <w:t xml:space="preserve"> (especially the values of dignity and autonomy). </w:t>
      </w:r>
      <w:r w:rsidRPr="007459E7">
        <w:rPr>
          <w:rStyle w:val="StyleBoldUnderline"/>
        </w:rPr>
        <w:t>However</w:t>
      </w:r>
      <w:r w:rsidRPr="00720698">
        <w:rPr>
          <w:sz w:val="16"/>
        </w:rPr>
        <w:t xml:space="preserve">, </w:t>
      </w:r>
      <w:r w:rsidRPr="007459E7">
        <w:rPr>
          <w:rStyle w:val="StyleBoldUnderline"/>
        </w:rPr>
        <w:t>there are three significant problems with control-based definitions</w:t>
      </w:r>
      <w:r w:rsidRPr="00720698">
        <w:rPr>
          <w:sz w:val="16"/>
        </w:rPr>
        <w:t>. The first problem is that insofar as they concentrate on information,</w:t>
      </w:r>
      <w:r w:rsidRPr="007459E7">
        <w:rPr>
          <w:rStyle w:val="StyleBoldUnderline"/>
        </w:rPr>
        <w:t>65</w:t>
      </w:r>
      <w:r w:rsidRPr="00720698">
        <w:rPr>
          <w:sz w:val="16"/>
        </w:rPr>
        <w:t xml:space="preserve"> </w:t>
      </w:r>
      <w:r w:rsidRPr="007459E7">
        <w:rPr>
          <w:rStyle w:val="StyleBoldUnderline"/>
        </w:rPr>
        <w:t>they are too restricted</w:t>
      </w:r>
      <w:r w:rsidRPr="00720698">
        <w:rPr>
          <w:sz w:val="16"/>
        </w:rPr>
        <w:t>.66 We all recognize, intuitively, that</w:t>
      </w:r>
      <w:r w:rsidRPr="007459E7">
        <w:rPr>
          <w:rStyle w:val="StyleBoldUnderline"/>
        </w:rPr>
        <w:t xml:space="preserve"> privacy can be invaded even where information is not communicated</w:t>
      </w:r>
      <w:r w:rsidRPr="00720698">
        <w:rPr>
          <w:sz w:val="16"/>
        </w:rPr>
        <w:t xml:space="preserve">, such as where a peeping tom trains his telescope on a woman’s bedroom to watch her undress. A definition of privacy that fails to capture such physical intrusions simply lacks intuitive coherence. It might be suggested that informational control can capture this example, the argument being that the tom has in fact received information about his victim (in the sense that he has learned what she looks like without clothes). This argument is problematic however, owing to its artificiality. Parker responds to it by asking us to imagine that the tom and the woman are lovers.67 Is it still sensible to regard the tom, when he sneaks a peak at his lover through the window after leaving her side, as obtaining information about what she looks like naked—information he already has?68 If the answer is no, then such peeping falls outside this definition of privacy, resulting in an intuitive under-inclusiveness. Even if we strain and answer yes because the man has learned that his lover remains undressed or is in a different pose, this </w:t>
      </w:r>
      <w:r w:rsidRPr="007459E7">
        <w:rPr>
          <w:rStyle w:val="StyleBoldUnderline"/>
        </w:rPr>
        <w:t xml:space="preserve">information-based approach clearly fails to capture </w:t>
      </w:r>
      <w:r w:rsidRPr="00720698">
        <w:rPr>
          <w:sz w:val="16"/>
        </w:rPr>
        <w:t>the</w:t>
      </w:r>
      <w:r w:rsidRPr="007459E7">
        <w:rPr>
          <w:rStyle w:val="StyleBoldUnderline"/>
        </w:rPr>
        <w:t xml:space="preserve"> true essence</w:t>
      </w:r>
      <w:r w:rsidRPr="00720698">
        <w:rPr>
          <w:sz w:val="16"/>
        </w:rPr>
        <w:t xml:space="preserve"> of the invasion.69 </w:t>
      </w:r>
      <w:r w:rsidRPr="007459E7">
        <w:rPr>
          <w:rStyle w:val="StyleBoldUnderline"/>
        </w:rPr>
        <w:t>It is not that information has been acquired but rather that she is being “looked at . . . against her wishes</w:t>
      </w:r>
      <w:r w:rsidRPr="00720698">
        <w:rPr>
          <w:sz w:val="16"/>
        </w:rPr>
        <w:t xml:space="preserve">”.70 Wacks explains: </w:t>
      </w:r>
      <w:r w:rsidRPr="007459E7">
        <w:rPr>
          <w:rStyle w:val="StyleBoldUnderline"/>
        </w:rPr>
        <w:t xml:space="preserve">What is essentially in issue in cases of intrusion is the frustration of the legitimate expectations of the individual that he should not be seen or heard in circumstances where has not consented to or is unaware of such surveillance. </w:t>
      </w:r>
      <w:r w:rsidRPr="00720698">
        <w:rPr>
          <w:sz w:val="16"/>
        </w:rPr>
        <w:t xml:space="preserve">The </w:t>
      </w:r>
      <w:r w:rsidRPr="007459E7">
        <w:rPr>
          <w:rStyle w:val="StyleBoldUnderline"/>
        </w:rPr>
        <w:t>quality</w:t>
      </w:r>
      <w:r w:rsidRPr="00720698">
        <w:rPr>
          <w:sz w:val="16"/>
        </w:rPr>
        <w:t xml:space="preserve"> </w:t>
      </w:r>
      <w:r w:rsidRPr="007459E7">
        <w:rPr>
          <w:rStyle w:val="StyleBoldUnderline"/>
        </w:rPr>
        <w:t>of</w:t>
      </w:r>
      <w:r w:rsidRPr="00720698">
        <w:rPr>
          <w:sz w:val="16"/>
        </w:rPr>
        <w:t xml:space="preserve"> the </w:t>
      </w:r>
      <w:r w:rsidRPr="007459E7">
        <w:rPr>
          <w:rStyle w:val="StyleBoldUnderline"/>
        </w:rPr>
        <w:t>information</w:t>
      </w:r>
      <w:r w:rsidRPr="00720698">
        <w:rPr>
          <w:sz w:val="16"/>
        </w:rPr>
        <w:t xml:space="preserve"> thereby </w:t>
      </w:r>
      <w:r w:rsidRPr="007459E7">
        <w:rPr>
          <w:rStyle w:val="StyleBoldUnderline"/>
        </w:rPr>
        <w:t>obtained</w:t>
      </w:r>
      <w:r w:rsidRPr="00720698">
        <w:rPr>
          <w:sz w:val="16"/>
        </w:rPr>
        <w:t>, though it will often be of an intimate nature</w:t>
      </w:r>
      <w:r w:rsidRPr="007459E7">
        <w:rPr>
          <w:rStyle w:val="StyleBoldUnderline"/>
        </w:rPr>
        <w:t>, is not the major objection</w:t>
      </w:r>
      <w:r w:rsidRPr="00720698">
        <w:rPr>
          <w:sz w:val="16"/>
        </w:rPr>
        <w:t xml:space="preserve">.71 These observations lead to a related point. As Moreham has convincingly argued, </w:t>
      </w:r>
      <w:r w:rsidRPr="007459E7">
        <w:rPr>
          <w:rStyle w:val="StyleBoldUnderline"/>
        </w:rPr>
        <w:t>by failing to appreciate the true essence of the complaint, this information-based approach necessarily fails to appreciate the gravity of the privacy violation itself, and therefore must logically undervalue it.</w:t>
      </w:r>
      <w:r w:rsidRPr="00720698">
        <w:rPr>
          <w:sz w:val="16"/>
        </w:rPr>
        <w:t xml:space="preserve">72 This is because, </w:t>
      </w:r>
      <w:r w:rsidRPr="007459E7">
        <w:rPr>
          <w:rStyle w:val="StyleBoldUnderline"/>
        </w:rPr>
        <w:t xml:space="preserve">to be internally coherent, the information-based approach must regard the information learned as the only relevant factor </w:t>
      </w:r>
      <w:r w:rsidRPr="00720698">
        <w:rPr>
          <w:sz w:val="16"/>
        </w:rPr>
        <w:t xml:space="preserve">when assessing the gravity of an invasion; but if we consider Parker’s peeping lover example, we see that very little new information has in fact been communicated. Consequently, </w:t>
      </w:r>
      <w:r w:rsidRPr="007459E7">
        <w:rPr>
          <w:rStyle w:val="StyleBoldUnderline"/>
        </w:rPr>
        <w:t>as the information learned was negligible, so too must be the violation of privacy.</w:t>
      </w:r>
      <w:r w:rsidRPr="00720698">
        <w:rPr>
          <w:sz w:val="16"/>
        </w:rPr>
        <w:t xml:space="preserve"> </w:t>
      </w:r>
      <w:r w:rsidRPr="007459E7">
        <w:rPr>
          <w:rStyle w:val="StyleBoldUnderline"/>
        </w:rPr>
        <w:t>Such an approach is clearly inadequate if we regard this example as a serious violation of privacy.73</w:t>
      </w:r>
      <w:r>
        <w:rPr>
          <w:rStyle w:val="StyleBoldUnderline"/>
        </w:rPr>
        <w:t xml:space="preserve"> </w:t>
      </w:r>
      <w:r w:rsidRPr="00720698">
        <w:rPr>
          <w:sz w:val="16"/>
        </w:rPr>
        <w:t xml:space="preserve">So, </w:t>
      </w:r>
      <w:r w:rsidRPr="00720698">
        <w:rPr>
          <w:rStyle w:val="StyleBoldUnderline"/>
        </w:rPr>
        <w:t>the first major problem with the “control over information” approaches is their narrowness, in that they fail to adequately capture what we intuit—that physical intrusions violate privacy for reasons unrelated to, and irrespective of, any information that may also be gleaned</w:t>
      </w:r>
      <w:r w:rsidRPr="00720698">
        <w:rPr>
          <w:sz w:val="16"/>
        </w:rPr>
        <w:t xml:space="preserve"> (or subsequently published) as a consequence of an intrusion. It is the looking (or listening or touching) itself, not the acquisition of information, that is offensive to our intuitive sense of privacy. Furthermore, as I explain in section two, </w:t>
      </w:r>
      <w:r w:rsidRPr="00720698">
        <w:rPr>
          <w:rStyle w:val="StyleBoldUnderline"/>
        </w:rPr>
        <w:t xml:space="preserve">the values underpinning privacy, </w:t>
      </w:r>
      <w:r w:rsidRPr="00720698">
        <w:rPr>
          <w:sz w:val="16"/>
        </w:rPr>
        <w:t>and the reasons why it is important</w:t>
      </w:r>
      <w:r w:rsidRPr="00720698">
        <w:rPr>
          <w:rStyle w:val="StyleBoldUnderline"/>
        </w:rPr>
        <w:t>, strongly support including a physical intrusion dimension in our definition</w:t>
      </w:r>
      <w:r w:rsidRPr="00720698">
        <w:rPr>
          <w:sz w:val="16"/>
        </w:rPr>
        <w:t>. Before moving to the remaining criticisms, it is worth noting that there is widespread academic74 and law commission75 recognition, and some judicial recognition, that physical intrusions lie at the conceptual core of privacy</w:t>
      </w:r>
    </w:p>
    <w:p w:rsidR="00C76E19" w:rsidRDefault="00C76E19" w:rsidP="00C76E19">
      <w:pPr>
        <w:pStyle w:val="Heading4"/>
      </w:pPr>
      <w:r>
        <w:t>Their definition of privacy is vague which causes exclusion</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7" w:history="1">
        <w:r w:rsidRPr="007459E7">
          <w:rPr>
            <w:rStyle w:val="Hyperlink"/>
          </w:rPr>
          <w:t>http://queensu.ca/lawjournal/issues/pastissues/Volume37a/5-Hunt.pdf</w:t>
        </w:r>
      </w:hyperlink>
      <w:r w:rsidRPr="007459E7">
        <w:t>,</w:t>
      </w:r>
      <w:r>
        <w:t xml:space="preserve"> AB)</w:t>
      </w:r>
    </w:p>
    <w:p w:rsidR="00C76E19" w:rsidRPr="00720698" w:rsidRDefault="00C76E19" w:rsidP="00C76E19">
      <w:pPr>
        <w:rPr>
          <w:sz w:val="16"/>
        </w:rPr>
      </w:pPr>
      <w:r w:rsidRPr="00720698">
        <w:rPr>
          <w:rStyle w:val="StyleBoldUnderline"/>
        </w:rPr>
        <w:t>A second criticism of control-based definitions concerns ambiguity in the manner in which “control” is used by various commentator</w:t>
      </w:r>
      <w:r w:rsidRPr="00720698">
        <w:rPr>
          <w:sz w:val="16"/>
        </w:rPr>
        <w:t xml:space="preserve">s.77 </w:t>
      </w:r>
      <w:r w:rsidRPr="00720698">
        <w:rPr>
          <w:rStyle w:val="StyleBoldUnderline"/>
        </w:rPr>
        <w:t>If</w:t>
      </w:r>
      <w:r w:rsidRPr="00720698">
        <w:rPr>
          <w:sz w:val="16"/>
        </w:rPr>
        <w:t xml:space="preserve"> control is used, as Fried uses it,78 to mean actual control, and </w:t>
      </w:r>
      <w:r w:rsidRPr="00720698">
        <w:rPr>
          <w:rStyle w:val="StyleBoldUnderline"/>
        </w:rPr>
        <w:t>privacy is</w:t>
      </w:r>
      <w:r w:rsidRPr="00720698">
        <w:rPr>
          <w:sz w:val="16"/>
        </w:rPr>
        <w:t xml:space="preserve"> thus </w:t>
      </w:r>
      <w:r w:rsidRPr="00720698">
        <w:rPr>
          <w:rStyle w:val="StyleBoldUnderline"/>
        </w:rPr>
        <w:t>the state of controlling information</w:t>
      </w:r>
      <w:r w:rsidRPr="00720698">
        <w:rPr>
          <w:sz w:val="16"/>
        </w:rPr>
        <w:t xml:space="preserve">, </w:t>
      </w:r>
      <w:r w:rsidRPr="00720698">
        <w:rPr>
          <w:rStyle w:val="StyleBoldUnderline"/>
        </w:rPr>
        <w:t>it follows that a person who cannot exert control cannot enjoy privacy</w:t>
      </w:r>
      <w:r w:rsidRPr="00720698">
        <w:rPr>
          <w:sz w:val="16"/>
        </w:rPr>
        <w:t xml:space="preserve">.79 But </w:t>
      </w:r>
      <w:r w:rsidRPr="00720698">
        <w:rPr>
          <w:rStyle w:val="StyleBoldUnderline"/>
        </w:rPr>
        <w:t>surely this cannot be correct,</w:t>
      </w:r>
      <w:r w:rsidRPr="00720698">
        <w:rPr>
          <w:sz w:val="16"/>
        </w:rPr>
        <w:t xml:space="preserve"> for it would mean that a person could not assert a right to privacy even in relation to highly sensitive personal information gathered while she is in a public place80—a position roundly rejected by academics,81 the House of Lords,82 the European Court of Human Rights,83 the New Zealand Court of Appeal84 and the Supreme Court of Canada.85 A related problem here is that </w:t>
      </w:r>
      <w:r w:rsidRPr="00720698">
        <w:rPr>
          <w:rStyle w:val="StyleBoldUnderline"/>
        </w:rPr>
        <w:t>treating privacy as a state of actual control over information may suggest a loss of privacy where there is only the threat of a loss</w:t>
      </w:r>
      <w:r w:rsidRPr="00720698">
        <w:rPr>
          <w:sz w:val="16"/>
        </w:rPr>
        <w:t xml:space="preserve">.86 Moreham illustrates this by noting that if X had a machine capable of reading all of Y’s emails, and also of seeing Y’s naked body through her clothes, Y could not be said to have actual control over that information. So even if X never actually used the hypothetical device, the mere fact that he had it would violate Y’s privacy.87 In short, </w:t>
      </w:r>
      <w:r w:rsidRPr="00720698">
        <w:rPr>
          <w:rStyle w:val="StyleBoldUnderline"/>
        </w:rPr>
        <w:t>“[c]ontrol-based definitions therefore fail to distinguish between those situations where there is a risk of unwanted access and those where unwanted access has in fact been obtained</w:t>
      </w:r>
      <w:r w:rsidRPr="00720698">
        <w:rPr>
          <w:sz w:val="16"/>
        </w:rPr>
        <w:t>”.88 A better conception of privacy is thus to formulate it, as Westin does, as a claim to control information, rather than a state of control itself.89</w:t>
      </w:r>
      <w:r>
        <w:rPr>
          <w:sz w:val="16"/>
        </w:rPr>
        <w:t xml:space="preserve"> </w:t>
      </w:r>
      <w:r w:rsidRPr="00720698">
        <w:rPr>
          <w:sz w:val="16"/>
        </w:rPr>
        <w:t>A</w:t>
      </w:r>
      <w:r w:rsidRPr="00720698">
        <w:rPr>
          <w:rStyle w:val="StyleBoldUnderline"/>
        </w:rPr>
        <w:t xml:space="preserve"> third criticism of control-based definitions concerns their potential over breadt</w:t>
      </w:r>
      <w:r w:rsidRPr="00720698">
        <w:rPr>
          <w:sz w:val="16"/>
        </w:rPr>
        <w:t xml:space="preserve">h.90 This stems from the fact that many </w:t>
      </w:r>
      <w:r w:rsidRPr="00720698">
        <w:rPr>
          <w:rStyle w:val="StyleBoldUnderline"/>
        </w:rPr>
        <w:t>authors fail to identify with precision the types of information falling within a controlbased conception of privacy.</w:t>
      </w:r>
      <w:r w:rsidRPr="00720698">
        <w:rPr>
          <w:sz w:val="16"/>
        </w:rPr>
        <w:t xml:space="preserve"> Simply put, </w:t>
      </w:r>
      <w:r w:rsidRPr="00720698">
        <w:rPr>
          <w:rStyle w:val="StyleBoldUnderline"/>
        </w:rPr>
        <w:t>defining privacy as a claim to control information relating to one’s self does little to help us know what information is in fact private</w:t>
      </w:r>
      <w:r w:rsidRPr="00720698">
        <w:rPr>
          <w:sz w:val="16"/>
        </w:rPr>
        <w:t xml:space="preserve">. On a plain reading, </w:t>
      </w:r>
      <w:r w:rsidRPr="00720698">
        <w:rPr>
          <w:rStyle w:val="StyleBoldUnderline"/>
        </w:rPr>
        <w:t>it could mean that any information about a person is privat</w:t>
      </w:r>
      <w:r w:rsidRPr="00720698">
        <w:rPr>
          <w:sz w:val="16"/>
        </w:rPr>
        <w:t>e, including the colour of her eyes or even her name—information that, to be sure, few would intuit to be private</w:t>
      </w:r>
      <w:r w:rsidRPr="00720698">
        <w:rPr>
          <w:rStyle w:val="StyleBoldUnderline"/>
        </w:rPr>
        <w:t>. What is needed is some conceptual device to guide us in ascertaining what information is private.</w:t>
      </w:r>
      <w:r w:rsidRPr="00720698">
        <w:rPr>
          <w:sz w:val="16"/>
        </w:rPr>
        <w:t xml:space="preserve"> I return to this issue, as well as to the concept of privacy as a claim to control, after considering the remaining conceptions of privacy.</w:t>
      </w:r>
    </w:p>
    <w:p w:rsidR="00C76E19" w:rsidRPr="00B55AD5" w:rsidRDefault="00C76E19" w:rsidP="00C76E19"/>
    <w:p w:rsidR="000B1BA4" w:rsidRPr="00A17106" w:rsidRDefault="000B1BA4" w:rsidP="000B1BA4">
      <w:pPr>
        <w:pStyle w:val="Heading3"/>
        <w:rPr>
          <w:rFonts w:cs="Times New Roman"/>
        </w:rPr>
      </w:pPr>
      <w:r w:rsidRPr="00A17106">
        <w:rPr>
          <w:rFonts w:cs="Times New Roman"/>
        </w:rPr>
        <w:t>Squo Solves</w:t>
      </w:r>
    </w:p>
    <w:p w:rsidR="000B1BA4" w:rsidRPr="00A17106" w:rsidRDefault="000B1BA4" w:rsidP="000B1BA4">
      <w:pPr>
        <w:pStyle w:val="Heading4"/>
      </w:pPr>
      <w:r w:rsidRPr="00A17106">
        <w:t xml:space="preserve">New ECPA legislation restores </w:t>
      </w:r>
      <w:r w:rsidRPr="00C9480C">
        <w:t>privacy</w:t>
      </w:r>
      <w:r w:rsidRPr="00A17106">
        <w:t xml:space="preserve"> rights – status quo solves</w:t>
      </w:r>
    </w:p>
    <w:p w:rsidR="000B1BA4" w:rsidRPr="00A17106" w:rsidRDefault="000B1BA4" w:rsidP="000B1BA4">
      <w:pPr>
        <w:rPr>
          <w:sz w:val="16"/>
          <w:szCs w:val="16"/>
        </w:rPr>
      </w:pPr>
      <w:r w:rsidRPr="00A17106">
        <w:rPr>
          <w:sz w:val="16"/>
          <w:szCs w:val="16"/>
        </w:rPr>
        <w:t xml:space="preserve">Chris </w:t>
      </w:r>
      <w:r w:rsidRPr="00A17106">
        <w:rPr>
          <w:rStyle w:val="StyleStyleBold12pt"/>
        </w:rPr>
        <w:t>Calabrese 7/5</w:t>
      </w:r>
      <w:r w:rsidRPr="00A17106">
        <w:rPr>
          <w:sz w:val="16"/>
          <w:szCs w:val="16"/>
        </w:rPr>
        <w:t xml:space="preserve">, the legislative counsel for privacy-related issues in the American Civil Liberties Union, “Post USA Freedom Act: There's more to be done,” 7/5/15, </w:t>
      </w:r>
      <w:hyperlink r:id="rId28" w:history="1">
        <w:r w:rsidRPr="00A17106">
          <w:rPr>
            <w:rStyle w:val="Hyperlink"/>
            <w:sz w:val="16"/>
            <w:szCs w:val="16"/>
          </w:rPr>
          <w:t>http://www.ourmidland.com/opinion/editorials/post-usa-freedom-act-there-s-more-to-be-done/article_6676dd8c-7565-5ba4-8387-0158caae0784.html</w:t>
        </w:r>
      </w:hyperlink>
      <w:r w:rsidRPr="00A17106">
        <w:rPr>
          <w:sz w:val="16"/>
          <w:szCs w:val="16"/>
        </w:rPr>
        <w:t>, AZ</w:t>
      </w:r>
    </w:p>
    <w:p w:rsidR="000B1BA4" w:rsidRPr="00A17106" w:rsidRDefault="000B1BA4" w:rsidP="000B1BA4">
      <w:pPr>
        <w:rPr>
          <w:rStyle w:val="StyleBoldUnderline"/>
        </w:rPr>
      </w:pPr>
      <w:r w:rsidRPr="00A17106">
        <w:rPr>
          <w:sz w:val="14"/>
        </w:rPr>
        <w:t xml:space="preserve">But </w:t>
      </w:r>
      <w:r w:rsidRPr="00A17106">
        <w:rPr>
          <w:rStyle w:val="StyleBoldUnderline"/>
          <w:highlight w:val="cyan"/>
        </w:rPr>
        <w:t>unless ECPA is reformed</w:t>
      </w:r>
      <w:r w:rsidRPr="00A17106">
        <w:rPr>
          <w:rStyle w:val="StyleBoldUnderline"/>
        </w:rPr>
        <w:t xml:space="preserve"> to reflect modern realities, </w:t>
      </w:r>
      <w:r w:rsidRPr="00A17106">
        <w:rPr>
          <w:rStyle w:val="StyleBoldUnderline"/>
          <w:highlight w:val="cyan"/>
        </w:rPr>
        <w:t>government agents will continue to assert the authority to search our</w:t>
      </w:r>
      <w:r w:rsidRPr="00A17106">
        <w:rPr>
          <w:rStyle w:val="StyleBoldUnderline"/>
        </w:rPr>
        <w:t xml:space="preserve"> communications and our private </w:t>
      </w:r>
      <w:r w:rsidRPr="00A17106">
        <w:rPr>
          <w:rStyle w:val="StyleBoldUnderline"/>
          <w:highlight w:val="cyan"/>
        </w:rPr>
        <w:t>possessions</w:t>
      </w:r>
      <w:r w:rsidRPr="00A17106">
        <w:rPr>
          <w:rStyle w:val="StyleBoldUnderline"/>
        </w:rPr>
        <w:t xml:space="preserve"> without a warrant and without showing any evidence whatsoever that a crime has been committed</w:t>
      </w:r>
      <w:r w:rsidRPr="00A17106">
        <w:rPr>
          <w:sz w:val="14"/>
        </w:rPr>
        <w:t xml:space="preserve">. </w:t>
      </w:r>
      <w:r w:rsidRPr="00A17106">
        <w:rPr>
          <w:sz w:val="14"/>
        </w:rPr>
        <w:br/>
      </w:r>
      <w:r w:rsidRPr="00A17106">
        <w:rPr>
          <w:rStyle w:val="StyleBoldUnderline"/>
          <w:highlight w:val="cyan"/>
        </w:rPr>
        <w:t>That’s an intolerable and completely unwarranted invasion of our privacy</w:t>
      </w:r>
      <w:r w:rsidRPr="00A17106">
        <w:rPr>
          <w:sz w:val="14"/>
        </w:rPr>
        <w:t xml:space="preserve">. It isn’t what the law’s authors intended, of course. But government agencies are taking advantage of ECPA’s unintended consequences to evade constitutional checks on their powers. And as long as ECPA remains on the books as written, it no longer represents an unexpected assault on our liberty. It is an intentional one. </w:t>
      </w:r>
      <w:r w:rsidRPr="00A17106">
        <w:rPr>
          <w:sz w:val="14"/>
        </w:rPr>
        <w:br/>
      </w:r>
      <w:r w:rsidRPr="00A17106">
        <w:rPr>
          <w:rStyle w:val="StyleBoldUnderline"/>
        </w:rPr>
        <w:t xml:space="preserve">Fortunately, </w:t>
      </w:r>
      <w:r w:rsidRPr="00A17106">
        <w:rPr>
          <w:rStyle w:val="StyleBoldUnderline"/>
          <w:highlight w:val="cyan"/>
        </w:rPr>
        <w:t>members in both houses of Congress</w:t>
      </w:r>
      <w:r w:rsidRPr="00A17106">
        <w:rPr>
          <w:sz w:val="14"/>
        </w:rPr>
        <w:t xml:space="preserve">, led by Senators Mike Lee and Pat Leahy, and Representatives Kevin Yoder and Jared Polis, </w:t>
      </w:r>
      <w:r w:rsidRPr="00A17106">
        <w:rPr>
          <w:rStyle w:val="StyleBoldUnderline"/>
          <w:highlight w:val="cyan"/>
        </w:rPr>
        <w:t>have introduced legislation to reform ECPA, and restore Fourth Amendment protections</w:t>
      </w:r>
      <w:r w:rsidRPr="00A17106">
        <w:rPr>
          <w:rStyle w:val="StyleBoldUnderline"/>
        </w:rPr>
        <w:t xml:space="preserve"> to our online communications</w:t>
      </w:r>
      <w:r w:rsidRPr="00A17106">
        <w:rPr>
          <w:sz w:val="14"/>
        </w:rPr>
        <w:t xml:space="preserve">. The ECPA Amendments Act and Email Privacy Act, respectively, would restore the law’s original purpose to protect privacy in the ways we communicate, transact businesses, learn and recreate today by protecting emails and other communications stored with third party service providers for any amount of time. </w:t>
      </w:r>
      <w:r w:rsidRPr="00A17106">
        <w:rPr>
          <w:sz w:val="14"/>
        </w:rPr>
        <w:br/>
      </w:r>
      <w:r w:rsidRPr="00A17106">
        <w:rPr>
          <w:rStyle w:val="StyleBoldUnderline"/>
        </w:rPr>
        <w:t>Their legislation has broad, bipartisan support</w:t>
      </w:r>
      <w:r w:rsidRPr="00A17106">
        <w:rPr>
          <w:sz w:val="14"/>
        </w:rPr>
        <w:t xml:space="preserve">. It is backed by hundreds of members in Congress, including more than 270 House members. Outside the halls of Congress, conservatives, moderates and liberals, small and large businesses, labor unions, civil libertarians and former prosecutors all advocate reforms to an obsolete law that threatens the liberty and prosperity of the American people. </w:t>
      </w:r>
      <w:r w:rsidRPr="00A17106">
        <w:rPr>
          <w:sz w:val="14"/>
        </w:rPr>
        <w:br/>
        <w:t xml:space="preserve">Congress has regularly had to pass reforms to legislation that technology has rendered obsolete and vulnerable to exploitation by the executive branch. We’re calling on ECPA to be next. </w:t>
      </w:r>
      <w:r w:rsidRPr="00A17106">
        <w:rPr>
          <w:sz w:val="14"/>
        </w:rPr>
        <w:br/>
      </w:r>
      <w:r w:rsidRPr="00A17106">
        <w:rPr>
          <w:rStyle w:val="StyleBoldUnderline"/>
        </w:rPr>
        <w:t>Since our founding as a nation, Americans have insisted that we be secure in our persons and secure in our liberties</w:t>
      </w:r>
      <w:r w:rsidRPr="00A17106">
        <w:rPr>
          <w:sz w:val="14"/>
        </w:rPr>
        <w:t xml:space="preserve">. We made progress toward that end with the passage of the USA Freedom Act. The </w:t>
      </w:r>
      <w:r w:rsidRPr="00A17106">
        <w:rPr>
          <w:rStyle w:val="StyleBoldUnderline"/>
        </w:rPr>
        <w:t xml:space="preserve">next step is the reform of ECPA, and </w:t>
      </w:r>
      <w:r w:rsidRPr="00A17106">
        <w:rPr>
          <w:rStyle w:val="StyleBoldUnderline"/>
          <w:highlight w:val="cyan"/>
        </w:rPr>
        <w:t>re-establishing that neither changes in technology nor laws that have outlived their purpose can be allowed to infringe on Americans’ privacy protections.</w:t>
      </w:r>
    </w:p>
    <w:p w:rsidR="000B1BA4" w:rsidRPr="00A17106" w:rsidRDefault="000B1BA4" w:rsidP="000B1BA4">
      <w:pPr>
        <w:rPr>
          <w:sz w:val="12"/>
        </w:rPr>
      </w:pPr>
    </w:p>
    <w:p w:rsidR="000B1BA4" w:rsidRPr="000117E2" w:rsidRDefault="000B1BA4" w:rsidP="000B1BA4">
      <w:pPr>
        <w:pStyle w:val="Heading4"/>
      </w:pPr>
      <w:r w:rsidRPr="000117E2">
        <w:t>Your evidence is overstated – there is no root cause, and checks on surveillance in the status quo prevent escalation or injustice</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rStyle w:val="StyleBoldUnderline"/>
        </w:rPr>
      </w:pPr>
      <w:r w:rsidRPr="00A17106">
        <w:rPr>
          <w:rStyle w:val="StyleBoldUnderline"/>
        </w:rPr>
        <w:t>There are</w:t>
      </w:r>
      <w:r w:rsidRPr="00A17106">
        <w:rPr>
          <w:sz w:val="16"/>
        </w:rPr>
        <w:t xml:space="preserve">, of course, </w:t>
      </w:r>
      <w:r w:rsidRPr="00A17106">
        <w:rPr>
          <w:rStyle w:val="StyleBoldUnderline"/>
        </w:rPr>
        <w:t>infinite examples of people being persecuted</w:t>
      </w:r>
      <w:r w:rsidRPr="00A17106">
        <w:rPr>
          <w:sz w:val="16"/>
        </w:rPr>
        <w:t xml:space="preserve">, abused or discriminated against </w:t>
      </w:r>
      <w:r w:rsidRPr="00A17106">
        <w:rPr>
          <w:rStyle w:val="StyleBoldUnderline"/>
        </w:rPr>
        <w:t>because of personal attributes</w:t>
      </w:r>
      <w:r w:rsidRPr="00A17106">
        <w:rPr>
          <w:sz w:val="16"/>
        </w:rPr>
        <w:t xml:space="preserve"> (such as their religion or political opinion) </w:t>
      </w:r>
      <w:r w:rsidRPr="00A17106">
        <w:rPr>
          <w:rStyle w:val="StyleBoldUnderline"/>
        </w:rPr>
        <w:t>which have been identified by</w:t>
      </w:r>
      <w:r w:rsidRPr="00A17106">
        <w:rPr>
          <w:sz w:val="16"/>
        </w:rPr>
        <w:t xml:space="preserve"> others or by </w:t>
      </w:r>
      <w:r w:rsidRPr="00A17106">
        <w:rPr>
          <w:rStyle w:val="StyleBoldUnderline"/>
        </w:rPr>
        <w:t>the State.</w:t>
      </w:r>
      <w:r w:rsidRPr="00A17106">
        <w:rPr>
          <w:sz w:val="16"/>
        </w:rPr>
        <w:t xml:space="preserve"> This naturally tends to invite suspicion concerning disclosure of personal information. However, </w:t>
      </w:r>
      <w:r w:rsidRPr="00A17106">
        <w:rPr>
          <w:rStyle w:val="StyleBoldUnderline"/>
        </w:rPr>
        <w:t>to draw a connection between this type of injury and the absence of privacy is misguided</w:t>
      </w:r>
      <w:r w:rsidRPr="00A17106">
        <w:rPr>
          <w:sz w:val="16"/>
        </w:rPr>
        <w:t xml:space="preserve"> </w:t>
      </w:r>
      <w:r w:rsidRPr="00A17106">
        <w:rPr>
          <w:rStyle w:val="StyleBoldUnderline"/>
        </w:rPr>
        <w:t xml:space="preserve">– it fails to identify the root cause of such conduct. </w:t>
      </w:r>
      <w:r w:rsidRPr="00A17106">
        <w:rPr>
          <w:sz w:val="16"/>
        </w:rPr>
        <w:t xml:space="preserve">People were not demonised, persecuted and murdered in Nazi Germany because there was no right to privacy, but because of the implementation by a totalitarian regime of policies based on a racist ideology which tapped into pervasive anti-Semitic attitudes in the community.132 </w:t>
      </w:r>
      <w:r w:rsidRPr="00A17106">
        <w:rPr>
          <w:rStyle w:val="StyleBoldUnderline"/>
        </w:rPr>
        <w:t xml:space="preserve">In liberal democracies </w:t>
      </w:r>
      <w:r w:rsidRPr="00A17106">
        <w:rPr>
          <w:sz w:val="16"/>
        </w:rPr>
        <w:t>such as Australia</w:t>
      </w:r>
      <w:r w:rsidRPr="00A17106">
        <w:rPr>
          <w:rStyle w:val="StyleBoldUnderline"/>
        </w:rPr>
        <w:t xml:space="preserve">, </w:t>
      </w:r>
      <w:r w:rsidRPr="00B423B7">
        <w:rPr>
          <w:rStyle w:val="StyleBoldUnderline"/>
          <w:highlight w:val="cyan"/>
        </w:rPr>
        <w:t>the strongest safeguards against the misuse of personal information by the State are</w:t>
      </w:r>
      <w:r w:rsidRPr="00A17106">
        <w:rPr>
          <w:rStyle w:val="StyleBoldUnderline"/>
        </w:rPr>
        <w:t xml:space="preserve"> </w:t>
      </w:r>
      <w:r w:rsidRPr="00A17106">
        <w:rPr>
          <w:sz w:val="16"/>
        </w:rPr>
        <w:t xml:space="preserve">the </w:t>
      </w:r>
      <w:r w:rsidRPr="00B423B7">
        <w:rPr>
          <w:rStyle w:val="StyleBoldUnderline"/>
          <w:highlight w:val="cyan"/>
        </w:rPr>
        <w:t>checks and balances</w:t>
      </w:r>
      <w:r w:rsidRPr="00A17106">
        <w:rPr>
          <w:rStyle w:val="StyleBoldUnderline"/>
        </w:rPr>
        <w:t xml:space="preserve"> built into the system through the separation of powers and the rule of law, and ultimately, the accountability of the executive government to the people at democratic elections</w:t>
      </w:r>
      <w:r w:rsidRPr="00A17106">
        <w:rPr>
          <w:sz w:val="16"/>
        </w:rPr>
        <w:t xml:space="preserve">. State agencies may only collect and use personal information about citizens if such action comes within the executive power of the State or is specifically authorised by law. </w:t>
      </w:r>
      <w:r w:rsidRPr="00B423B7">
        <w:rPr>
          <w:rStyle w:val="StyleBoldUnderline"/>
          <w:highlight w:val="cyan"/>
        </w:rPr>
        <w:t>Unauthorized action can be challenged in the courts</w:t>
      </w:r>
      <w:r w:rsidRPr="00A17106">
        <w:rPr>
          <w:sz w:val="16"/>
        </w:rPr>
        <w:t>. Moreover</w:t>
      </w:r>
      <w:r w:rsidRPr="00A17106">
        <w:rPr>
          <w:rStyle w:val="StyleBoldUnderline"/>
        </w:rPr>
        <w:t>, the trend in recent times has been to provide further protection in the form of legislation</w:t>
      </w:r>
      <w:r w:rsidRPr="00A17106">
        <w:rPr>
          <w:sz w:val="16"/>
        </w:rPr>
        <w:t xml:space="preserve"> such as the Privacy Act (Cth) 1988 which imposes obligations in relation to the collection, use and disclosure of information which the State is legally authorised to collect. Gibbs argues that the danger of </w:t>
      </w:r>
      <w:r w:rsidRPr="00B423B7">
        <w:rPr>
          <w:rStyle w:val="StyleBoldUnderline"/>
          <w:highlight w:val="cyan"/>
        </w:rPr>
        <w:t>introducing the concept of privacy into legal discourse</w:t>
      </w:r>
      <w:r w:rsidRPr="00A17106">
        <w:rPr>
          <w:rStyle w:val="StyleBoldUnderline"/>
        </w:rPr>
        <w:t xml:space="preserve"> </w:t>
      </w:r>
      <w:r w:rsidRPr="00A17106">
        <w:rPr>
          <w:sz w:val="16"/>
        </w:rPr>
        <w:t>is</w:t>
      </w:r>
      <w:r w:rsidRPr="00A17106">
        <w:rPr>
          <w:rStyle w:val="StyleBoldUnderline"/>
        </w:rPr>
        <w:t xml:space="preserve"> </w:t>
      </w:r>
      <w:r w:rsidRPr="00A17106">
        <w:rPr>
          <w:sz w:val="16"/>
        </w:rPr>
        <w:t>that</w:t>
      </w:r>
      <w:r w:rsidRPr="00A17106">
        <w:rPr>
          <w:rStyle w:val="StyleBoldUnderline"/>
        </w:rPr>
        <w:t xml:space="preserve"> ‘</w:t>
      </w:r>
      <w:r w:rsidRPr="00A17106">
        <w:rPr>
          <w:sz w:val="16"/>
        </w:rPr>
        <w:t>it</w:t>
      </w:r>
      <w:r w:rsidRPr="00A17106">
        <w:rPr>
          <w:rStyle w:val="StyleBoldUnderline"/>
        </w:rPr>
        <w:t xml:space="preserve"> </w:t>
      </w:r>
      <w:r w:rsidRPr="00B423B7">
        <w:rPr>
          <w:rStyle w:val="StyleBoldUnderline"/>
          <w:highlight w:val="cyan"/>
        </w:rPr>
        <w:t>starts to colonize the various rights of action that already exist’.</w:t>
      </w:r>
      <w:r w:rsidRPr="00A17106">
        <w:rPr>
          <w:sz w:val="16"/>
        </w:rPr>
        <w:t xml:space="preserve">133 Bundling up complaints about the acquisition, disclosure and use of personal information under the heading ‘privacy’ militates against the clear and precise identification of the interests at stake and what, if any, remedies should be granted by the law when those interests are compromised.134 As a general rule, </w:t>
      </w:r>
      <w:r w:rsidRPr="00B423B7">
        <w:rPr>
          <w:rStyle w:val="StyleBoldUnderline"/>
          <w:highlight w:val="cyan"/>
        </w:rPr>
        <w:t>the misuse of personal information</w:t>
      </w:r>
      <w:r w:rsidRPr="00A17106">
        <w:rPr>
          <w:sz w:val="16"/>
        </w:rPr>
        <w:t xml:space="preserve"> to discriminate against a person in employment or the provision of services </w:t>
      </w:r>
      <w:r w:rsidRPr="00B423B7">
        <w:rPr>
          <w:rStyle w:val="StyleBoldUnderline"/>
          <w:highlight w:val="cyan"/>
        </w:rPr>
        <w:t>is best addressed by laws which are specifically directed against the attitudes</w:t>
      </w:r>
      <w:r w:rsidRPr="00A17106">
        <w:rPr>
          <w:rStyle w:val="StyleBoldUnderline"/>
        </w:rPr>
        <w:t xml:space="preserve"> and conduct </w:t>
      </w:r>
      <w:r w:rsidRPr="00B423B7">
        <w:rPr>
          <w:rStyle w:val="StyleBoldUnderline"/>
          <w:highlight w:val="cyan"/>
        </w:rPr>
        <w:t>which cause the harm</w:t>
      </w:r>
      <w:r w:rsidRPr="00A17106">
        <w:rPr>
          <w:rStyle w:val="StyleBoldUnderline"/>
        </w:rPr>
        <w:t>, rather than by a general right of privacy. Anti-discrimination laws fulfil this function</w:t>
      </w:r>
      <w:r w:rsidRPr="00A17106">
        <w:rPr>
          <w:sz w:val="16"/>
        </w:rPr>
        <w:t xml:space="preserve">. Of course, it may also be necessary to impose restrictions on the release of personal information held by private and public sector organisations in order to minimise the possibility of such information falling into the hands of criminals and sociopaths. But </w:t>
      </w:r>
      <w:r w:rsidRPr="00A17106">
        <w:rPr>
          <w:rStyle w:val="StyleBoldUnderline"/>
        </w:rPr>
        <w:t>the object of such laws is the protection of personal security and safety, not privacy per se.</w:t>
      </w:r>
    </w:p>
    <w:p w:rsidR="000B1BA4" w:rsidRPr="00A17106" w:rsidRDefault="000B1BA4" w:rsidP="000B1BA4">
      <w:pPr>
        <w:pStyle w:val="Heading4"/>
      </w:pPr>
      <w:r w:rsidRPr="00A17106">
        <w:t xml:space="preserve">Quit your </w:t>
      </w:r>
      <w:r w:rsidRPr="00C9480C">
        <w:t>whining</w:t>
      </w:r>
      <w:r w:rsidRPr="00A17106">
        <w:t xml:space="preserve"> – privacy ri</w:t>
      </w:r>
      <w:r w:rsidRPr="00C9480C">
        <w:t>g</w:t>
      </w:r>
      <w:r w:rsidRPr="00A17106">
        <w:t>ht concerns are unfounded and status quo solves</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sz w:val="16"/>
        </w:rPr>
      </w:pPr>
      <w:r w:rsidRPr="00A17106">
        <w:rPr>
          <w:rStyle w:val="StyleBoldUnderline"/>
        </w:rPr>
        <w:t xml:space="preserve">The existence of a </w:t>
      </w:r>
      <w:r w:rsidRPr="00B423B7">
        <w:rPr>
          <w:rStyle w:val="StyleBoldUnderline"/>
          <w:highlight w:val="cyan"/>
        </w:rPr>
        <w:t>right to privacy</w:t>
      </w:r>
      <w:r w:rsidRPr="00A17106">
        <w:rPr>
          <w:rStyle w:val="StyleBoldUnderline"/>
        </w:rPr>
        <w:t xml:space="preserve"> is dubious. Even if such a right </w:t>
      </w:r>
      <w:r w:rsidRPr="00B423B7">
        <w:rPr>
          <w:rStyle w:val="StyleBoldUnderline"/>
          <w:highlight w:val="cyan"/>
        </w:rPr>
        <w:t>does exist it is not a very important right</w:t>
      </w:r>
      <w:r w:rsidRPr="00A17106">
        <w:rPr>
          <w:sz w:val="16"/>
        </w:rPr>
        <w:t xml:space="preserve">, ranking well down in the list of interests that are conducive to human flourishing. </w:t>
      </w:r>
      <w:r w:rsidRPr="00A17106">
        <w:rPr>
          <w:rStyle w:val="StyleBoldUnderline"/>
        </w:rPr>
        <w:t>Privacy proponents have been incapable of explaining the foundation for such a right and why it should enjoy a high level of legal protection.</w:t>
      </w:r>
      <w:r w:rsidRPr="00A17106">
        <w:rPr>
          <w:sz w:val="16"/>
        </w:rPr>
        <w:t xml:space="preserve"> The </w:t>
      </w:r>
      <w:r w:rsidRPr="00B423B7">
        <w:rPr>
          <w:rStyle w:val="StyleBoldUnderline"/>
          <w:highlight w:val="cyan"/>
        </w:rPr>
        <w:t>present level of protection of privacy in specific contexts both through legislation and at common law is adequate</w:t>
      </w:r>
      <w:r w:rsidRPr="00A17106">
        <w:rPr>
          <w:rStyle w:val="StyleBoldUnderline"/>
        </w:rPr>
        <w:t>,</w:t>
      </w:r>
      <w:r w:rsidRPr="00A17106">
        <w:rPr>
          <w:sz w:val="16"/>
        </w:rPr>
        <w:t xml:space="preserve"> particularly in view of the recourse now available under the doctrine of confidence in relation to public disclosures of intimate information. The right to privacy can be seen as a late-twentieth/early twenty-first century First World invention, indicative of a highly individualistic society fearful of the capabilities of the technology it has developed. However the alarmist rhetoric of privacy advocates who proclaim the imminent demise of privacy does not match reality: in fact, it is arguable that </w:t>
      </w:r>
      <w:r w:rsidRPr="00B423B7">
        <w:rPr>
          <w:rStyle w:val="StyleBoldUnderline"/>
          <w:highlight w:val="cyan"/>
        </w:rPr>
        <w:t>citizens in Western societies enjoy a level of de facto privacy</w:t>
      </w:r>
      <w:r w:rsidRPr="00A17106">
        <w:rPr>
          <w:rStyle w:val="StyleBoldUnderline"/>
        </w:rPr>
        <w:t xml:space="preserve"> unprecedented in history</w:t>
      </w:r>
      <w:r w:rsidRPr="00A17106">
        <w:rPr>
          <w:sz w:val="16"/>
        </w:rPr>
        <w:t xml:space="preserve">.158 </w:t>
      </w:r>
      <w:r w:rsidRPr="00A17106">
        <w:rPr>
          <w:rStyle w:val="StyleBoldUnderline"/>
        </w:rPr>
        <w:t xml:space="preserve">As to the threats posed by the monitoring capabilities </w:t>
      </w:r>
      <w:r w:rsidRPr="00A17106">
        <w:rPr>
          <w:sz w:val="16"/>
        </w:rPr>
        <w:t xml:space="preserve">of the new information technologies, it is now becoming apparent that </w:t>
      </w:r>
      <w:r w:rsidRPr="00B423B7">
        <w:rPr>
          <w:rStyle w:val="StyleBoldUnderline"/>
          <w:highlight w:val="cyan"/>
        </w:rPr>
        <w:t>technology itself can provide the means to counter them</w:t>
      </w:r>
      <w:r w:rsidRPr="00B423B7">
        <w:rPr>
          <w:sz w:val="16"/>
          <w:highlight w:val="cyan"/>
        </w:rPr>
        <w:t>.</w:t>
      </w:r>
      <w:r w:rsidRPr="00A17106">
        <w:rPr>
          <w:sz w:val="16"/>
        </w:rPr>
        <w:t xml:space="preserve">159 The </w:t>
      </w:r>
      <w:r w:rsidRPr="00A17106">
        <w:rPr>
          <w:rStyle w:val="StyleBoldUnderline"/>
        </w:rPr>
        <w:t>current legal focus and level of discussion concerning the right of privacy is a clear illustration of the human propensity for losing perspective</w:t>
      </w:r>
      <w:r w:rsidRPr="00A17106">
        <w:rPr>
          <w:sz w:val="16"/>
        </w:rPr>
        <w:t xml:space="preserve">. It follows that </w:t>
      </w:r>
      <w:r w:rsidRPr="00A17106">
        <w:rPr>
          <w:rStyle w:val="StyleBoldUnderline"/>
        </w:rPr>
        <w:t>v</w:t>
      </w:r>
      <w:r w:rsidRPr="00B423B7">
        <w:rPr>
          <w:rStyle w:val="StyleBoldUnderline"/>
          <w:highlight w:val="cyan"/>
        </w:rPr>
        <w:t>ery few interests should be subjugated to the right of privacy</w:t>
      </w:r>
      <w:r w:rsidRPr="00B423B7">
        <w:rPr>
          <w:sz w:val="16"/>
          <w:highlight w:val="cyan"/>
        </w:rPr>
        <w:t>.</w:t>
      </w:r>
    </w:p>
    <w:p w:rsidR="000B1BA4" w:rsidRPr="00A17106" w:rsidRDefault="000B1BA4" w:rsidP="000B1BA4">
      <w:pPr>
        <w:rPr>
          <w:sz w:val="12"/>
        </w:rPr>
      </w:pPr>
    </w:p>
    <w:p w:rsidR="000B1BA4" w:rsidRPr="00A17106" w:rsidRDefault="000B1BA4" w:rsidP="000B1BA4">
      <w:pPr>
        <w:pStyle w:val="Heading4"/>
      </w:pPr>
      <w:r w:rsidRPr="00A17106">
        <w:t xml:space="preserve">Manufacturers are starting to respect privacy rights – account for privacy concerns through the national data </w:t>
      </w:r>
      <w:r w:rsidRPr="00C9480C">
        <w:t>protection</w:t>
      </w:r>
    </w:p>
    <w:p w:rsidR="000B1BA4" w:rsidRPr="00A17106" w:rsidRDefault="000B1BA4" w:rsidP="000B1BA4">
      <w:pPr>
        <w:rPr>
          <w:sz w:val="16"/>
          <w:szCs w:val="16"/>
        </w:rPr>
      </w:pPr>
      <w:r w:rsidRPr="00A17106">
        <w:rPr>
          <w:sz w:val="16"/>
          <w:szCs w:val="16"/>
        </w:rPr>
        <w:t xml:space="preserve">Marc </w:t>
      </w:r>
      <w:r w:rsidRPr="00A17106">
        <w:rPr>
          <w:rStyle w:val="StyleStyleBold12pt"/>
        </w:rPr>
        <w:t>Dautlich and</w:t>
      </w:r>
      <w:r w:rsidRPr="00A17106">
        <w:rPr>
          <w:sz w:val="16"/>
          <w:szCs w:val="16"/>
        </w:rPr>
        <w:t xml:space="preserve"> Cerys Wyn </w:t>
      </w:r>
      <w:r w:rsidRPr="00A17106">
        <w:rPr>
          <w:rStyle w:val="StyleStyleBold12pt"/>
        </w:rPr>
        <w:t>Davies 6/30</w:t>
      </w:r>
      <w:r w:rsidRPr="00A17106">
        <w:rPr>
          <w:sz w:val="16"/>
          <w:szCs w:val="16"/>
        </w:rPr>
        <w:t xml:space="preserve">, head of information law at Pinsent Masons and partner, “Drone manufacturers can help operators respect privacy rights, says watchdog”, 6/30/15, http://www.out-law.com/en/articles/2015/june/drone-manufacturers-can-help-operators-respect-privacy-rights-says-watchdog/, AZ </w:t>
      </w:r>
    </w:p>
    <w:p w:rsidR="000B1BA4" w:rsidRPr="00A17106" w:rsidRDefault="000B1BA4" w:rsidP="000B1BA4">
      <w:pPr>
        <w:rPr>
          <w:sz w:val="12"/>
        </w:rPr>
      </w:pPr>
      <w:r w:rsidRPr="00A17106">
        <w:rPr>
          <w:rStyle w:val="StyleBoldUnderline"/>
        </w:rPr>
        <w:t xml:space="preserve">Drone </w:t>
      </w:r>
      <w:r w:rsidRPr="00A17106">
        <w:rPr>
          <w:rStyle w:val="StyleBoldUnderline"/>
          <w:highlight w:val="cyan"/>
        </w:rPr>
        <w:t>manufacturers</w:t>
      </w:r>
      <w:r w:rsidRPr="00A17106">
        <w:rPr>
          <w:rStyle w:val="StyleBoldUnderline"/>
        </w:rPr>
        <w:t xml:space="preserve"> </w:t>
      </w:r>
      <w:r w:rsidRPr="00A17106">
        <w:rPr>
          <w:rStyle w:val="StyleBoldUnderline"/>
          <w:highlight w:val="cyan"/>
        </w:rPr>
        <w:t>can help the organisations</w:t>
      </w:r>
      <w:r w:rsidRPr="00A17106">
        <w:rPr>
          <w:rStyle w:val="StyleBoldUnderline"/>
        </w:rPr>
        <w:t xml:space="preserve"> wishing to operate them </w:t>
      </w:r>
      <w:r w:rsidRPr="00A17106">
        <w:rPr>
          <w:rStyle w:val="StyleBoldUnderline"/>
          <w:highlight w:val="cyan"/>
        </w:rPr>
        <w:t>respect privacy rights by warning of the "potential intrusiveness" of their use</w:t>
      </w:r>
      <w:r w:rsidRPr="00A17106">
        <w:rPr>
          <w:sz w:val="12"/>
          <w:highlight w:val="cyan"/>
        </w:rPr>
        <w:t>, a</w:t>
      </w:r>
      <w:r w:rsidRPr="00A17106">
        <w:rPr>
          <w:sz w:val="12"/>
        </w:rPr>
        <w:t xml:space="preserve">n EU privacy body has said. </w:t>
      </w:r>
      <w:r w:rsidRPr="00A17106">
        <w:rPr>
          <w:sz w:val="12"/>
        </w:rPr>
        <w:br/>
        <w:t xml:space="preserve">The Article 29 Working Party, a </w:t>
      </w:r>
      <w:r w:rsidRPr="00A17106">
        <w:rPr>
          <w:rStyle w:val="StyleBoldUnderline"/>
        </w:rPr>
        <w:t>committee made of up representatives from the national data protection</w:t>
      </w:r>
      <w:r w:rsidRPr="00A17106">
        <w:rPr>
          <w:sz w:val="12"/>
        </w:rPr>
        <w:t xml:space="preserve"> authorities (DPAs) throughout the EU, said the </w:t>
      </w:r>
      <w:r w:rsidRPr="00A17106">
        <w:rPr>
          <w:rStyle w:val="StyleBoldUnderline"/>
        </w:rPr>
        <w:t>manufacturers could also put information on their packaging to tell operators where the use of drones is permitted</w:t>
      </w:r>
      <w:r w:rsidRPr="00A17106">
        <w:rPr>
          <w:sz w:val="12"/>
        </w:rPr>
        <w:t xml:space="preserve">. The </w:t>
      </w:r>
      <w:r w:rsidRPr="00A17106">
        <w:rPr>
          <w:rStyle w:val="StyleBoldUnderline"/>
          <w:highlight w:val="cyan"/>
        </w:rPr>
        <w:t>manufacturers can</w:t>
      </w:r>
      <w:r w:rsidRPr="00A17106">
        <w:rPr>
          <w:rStyle w:val="StyleBoldUnderline"/>
        </w:rPr>
        <w:t xml:space="preserve"> also </w:t>
      </w:r>
      <w:r w:rsidRPr="00A17106">
        <w:rPr>
          <w:rStyle w:val="StyleBoldUnderline"/>
          <w:highlight w:val="cyan"/>
        </w:rPr>
        <w:t>help account for privacy concerns</w:t>
      </w:r>
      <w:r w:rsidRPr="00A17106">
        <w:rPr>
          <w:rStyle w:val="StyleBoldUnderline"/>
        </w:rPr>
        <w:t xml:space="preserve"> in the use of drones by designing the devices with data protection in mind</w:t>
      </w:r>
      <w:r w:rsidRPr="00A17106">
        <w:rPr>
          <w:sz w:val="12"/>
        </w:rPr>
        <w:t>, it said.</w:t>
      </w:r>
      <w:r w:rsidRPr="00A17106">
        <w:rPr>
          <w:sz w:val="12"/>
        </w:rPr>
        <w:br/>
        <w:t>"</w:t>
      </w:r>
      <w:r w:rsidRPr="00A17106">
        <w:rPr>
          <w:rStyle w:val="StyleBoldUnderline"/>
        </w:rPr>
        <w:t>Data protection should be embedded within the entire life cycle of the technology</w:t>
      </w:r>
      <w:r w:rsidRPr="00A17106">
        <w:rPr>
          <w:sz w:val="12"/>
        </w:rPr>
        <w:t>, from the very early design stage, right through to its ultimate deployment, use and final disposal; such technology should be engineered in such a way as to avoid the processing of unnecessary personal data (for example, in case of strategic or critical infrastructures, engineering firmware of drones in order to inhibit data collection within previously defined no-fly zones could be advisable)," the Working Party's new opinion (21-page / 455KB PDF) said.</w:t>
      </w:r>
      <w:r w:rsidRPr="00A17106">
        <w:rPr>
          <w:sz w:val="12"/>
        </w:rPr>
        <w:br/>
      </w:r>
      <w:r w:rsidRPr="00A17106">
        <w:rPr>
          <w:rStyle w:val="StyleBoldUnderline"/>
          <w:highlight w:val="cyan"/>
        </w:rPr>
        <w:t>New codes of conduct could be drawn up</w:t>
      </w:r>
      <w:r w:rsidRPr="00A17106">
        <w:rPr>
          <w:rStyle w:val="StyleBoldUnderline"/>
        </w:rPr>
        <w:t xml:space="preserve"> by drone manufacturers and operators </w:t>
      </w:r>
      <w:r w:rsidRPr="00A17106">
        <w:rPr>
          <w:rStyle w:val="StyleBoldUnderline"/>
          <w:highlight w:val="cyan"/>
        </w:rPr>
        <w:t>to ensure data protection requirements</w:t>
      </w:r>
      <w:r w:rsidRPr="00A17106">
        <w:rPr>
          <w:sz w:val="12"/>
        </w:rPr>
        <w:t xml:space="preserve"> are considered and addressed, it recommended. </w:t>
      </w:r>
      <w:r w:rsidRPr="00A17106">
        <w:rPr>
          <w:rStyle w:val="StyleBoldUnderline"/>
        </w:rPr>
        <w:t>The codes could help "enhance the social acceptability of drones</w:t>
      </w:r>
      <w:r w:rsidRPr="00A17106">
        <w:rPr>
          <w:sz w:val="12"/>
        </w:rPr>
        <w:t xml:space="preserve">", it said. </w:t>
      </w:r>
    </w:p>
    <w:p w:rsidR="000B1BA4" w:rsidRPr="00A17106" w:rsidRDefault="000B1BA4" w:rsidP="000B1BA4">
      <w:pPr>
        <w:pStyle w:val="Heading4"/>
      </w:pPr>
      <w:r w:rsidRPr="00A17106">
        <w:t xml:space="preserve">Current Supreme Court protections of privacy </w:t>
      </w:r>
      <w:r w:rsidRPr="00C9480C">
        <w:t>sufficient</w:t>
      </w:r>
      <w:r w:rsidRPr="00A17106">
        <w:t xml:space="preserve"> – LA v. Patel proves</w:t>
      </w:r>
    </w:p>
    <w:p w:rsidR="000B1BA4" w:rsidRPr="00A17106" w:rsidRDefault="000B1BA4" w:rsidP="000B1BA4">
      <w:pPr>
        <w:rPr>
          <w:sz w:val="16"/>
          <w:szCs w:val="16"/>
        </w:rPr>
      </w:pPr>
      <w:r w:rsidRPr="00A17106">
        <w:rPr>
          <w:sz w:val="16"/>
          <w:szCs w:val="16"/>
        </w:rPr>
        <w:t xml:space="preserve">Moxila </w:t>
      </w:r>
      <w:r w:rsidRPr="00A17106">
        <w:rPr>
          <w:rStyle w:val="StyleStyleBold12pt"/>
        </w:rPr>
        <w:t>Upadhyaya and</w:t>
      </w:r>
      <w:r w:rsidRPr="00A17106">
        <w:rPr>
          <w:sz w:val="16"/>
          <w:szCs w:val="16"/>
        </w:rPr>
        <w:t xml:space="preserve"> Brandt </w:t>
      </w:r>
      <w:r w:rsidRPr="00A17106">
        <w:rPr>
          <w:rStyle w:val="StyleStyleBold12pt"/>
        </w:rPr>
        <w:t>Mori 6/24</w:t>
      </w:r>
      <w:r w:rsidRPr="00A17106">
        <w:rPr>
          <w:sz w:val="16"/>
          <w:szCs w:val="16"/>
        </w:rPr>
        <w:t xml:space="preserve">, trial attorney in civil litigation and real estate and business lawyer, “U.S. Supreme Court Issues Significant Ruling Protecting Privacy Rights of Hotel Owners and Guests”, 6/24/15, </w:t>
      </w:r>
      <w:hyperlink r:id="rId29" w:history="1">
        <w:r w:rsidRPr="00A17106">
          <w:rPr>
            <w:rStyle w:val="Hyperlink"/>
            <w:sz w:val="16"/>
            <w:szCs w:val="16"/>
          </w:rPr>
          <w:t>http://www.mondaq.com/unitedstates/x/407006/Data+Protection+Privacy/US+Supreme+Court+Issues+Significant+Ruling+Protecting+Privacy+Rights+of+Hotel+Owners+and+Guests</w:t>
        </w:r>
      </w:hyperlink>
      <w:r w:rsidRPr="00A17106">
        <w:rPr>
          <w:sz w:val="16"/>
          <w:szCs w:val="16"/>
        </w:rPr>
        <w:t>, AZ</w:t>
      </w:r>
    </w:p>
    <w:p w:rsidR="000B1BA4" w:rsidRPr="00A17106" w:rsidRDefault="000B1BA4" w:rsidP="000B1BA4">
      <w:pPr>
        <w:rPr>
          <w:rStyle w:val="StyleBoldUnderline"/>
        </w:rPr>
      </w:pPr>
      <w:r w:rsidRPr="00A17106">
        <w:rPr>
          <w:sz w:val="14"/>
        </w:rPr>
        <w:t>One difficult situation in which hotel operators and owners can find themselves occurs when law enforcement demands access to private hotel guest records without a warrant.</w:t>
      </w:r>
      <w:r w:rsidRPr="00A17106">
        <w:rPr>
          <w:sz w:val="14"/>
        </w:rPr>
        <w:br/>
      </w:r>
      <w:r w:rsidRPr="00A17106">
        <w:rPr>
          <w:rStyle w:val="StyleBoldUnderline"/>
        </w:rPr>
        <w:t>On June 22</w:t>
      </w:r>
      <w:r w:rsidRPr="00A17106">
        <w:rPr>
          <w:sz w:val="14"/>
        </w:rPr>
        <w:t xml:space="preserve">, 2015, </w:t>
      </w:r>
      <w:r w:rsidRPr="00A17106">
        <w:rPr>
          <w:rStyle w:val="StyleBoldUnderline"/>
          <w:highlight w:val="cyan"/>
        </w:rPr>
        <w:t>the U.S. Supreme Court issued an important decision</w:t>
      </w:r>
      <w:r w:rsidRPr="00A17106">
        <w:rPr>
          <w:rStyle w:val="StyleBoldUnderline"/>
        </w:rPr>
        <w:t xml:space="preserve"> addressing</w:t>
      </w:r>
      <w:r w:rsidRPr="00A17106">
        <w:rPr>
          <w:sz w:val="14"/>
        </w:rPr>
        <w:t xml:space="preserve"> this very </w:t>
      </w:r>
      <w:r w:rsidRPr="00A17106">
        <w:rPr>
          <w:rStyle w:val="StyleBoldUnderline"/>
        </w:rPr>
        <w:t>dilemma</w:t>
      </w:r>
      <w:r w:rsidRPr="00A17106">
        <w:rPr>
          <w:sz w:val="14"/>
        </w:rPr>
        <w:t xml:space="preserve">, siding with hotel owners. In City of Los Angeles v. Patel, </w:t>
      </w:r>
      <w:r w:rsidRPr="00A17106">
        <w:rPr>
          <w:rStyle w:val="StyleBoldUnderline"/>
        </w:rPr>
        <w:t>the Court struck down</w:t>
      </w:r>
      <w:r w:rsidRPr="00A17106">
        <w:rPr>
          <w:sz w:val="14"/>
        </w:rPr>
        <w:t xml:space="preserve"> a Los Angeles municipal </w:t>
      </w:r>
      <w:r w:rsidRPr="00A17106">
        <w:rPr>
          <w:rStyle w:val="StyleBoldUnderline"/>
        </w:rPr>
        <w:t>provision that required hotels to make guest records available for inspection</w:t>
      </w:r>
      <w:r w:rsidRPr="00A17106">
        <w:rPr>
          <w:sz w:val="14"/>
        </w:rPr>
        <w:t xml:space="preserve"> by any L.A. Police Department officer without the need for a search warrant. Prior to the Court's ruling, </w:t>
      </w:r>
      <w:r w:rsidRPr="00A17106">
        <w:rPr>
          <w:rStyle w:val="StyleBoldUnderline"/>
        </w:rPr>
        <w:t>any officer could obtain, without a warrant, sensitive records,</w:t>
      </w:r>
      <w:r w:rsidRPr="00A17106">
        <w:rPr>
          <w:sz w:val="14"/>
        </w:rPr>
        <w:t xml:space="preserve"> including a hotel guest's name, address, and vehicle details; the number of members in the guest's party; the method of payment; arrival and departure date; and room number. A hotel owner who refused to turn over such information could be arrested on the spot and be subject to a misdemeanor charge punishable by up to six months in jail and a $1,000 fine. </w:t>
      </w:r>
      <w:r w:rsidRPr="00A17106">
        <w:rPr>
          <w:sz w:val="14"/>
        </w:rPr>
        <w:br/>
      </w:r>
      <w:r w:rsidRPr="00A17106">
        <w:rPr>
          <w:rStyle w:val="StyleBoldUnderline"/>
        </w:rPr>
        <w:t xml:space="preserve">In its 5-4 decision, </w:t>
      </w:r>
      <w:r w:rsidRPr="00A17106">
        <w:rPr>
          <w:rStyle w:val="StyleBoldUnderline"/>
          <w:highlight w:val="cyan"/>
        </w:rPr>
        <w:t>the Court held that the provision is unconstitutional because it violates the Fourth Amendment's protection against unreasonable searches and seizures</w:t>
      </w:r>
      <w:r w:rsidRPr="00A17106">
        <w:rPr>
          <w:sz w:val="14"/>
        </w:rPr>
        <w:t xml:space="preserve">. Because the </w:t>
      </w:r>
      <w:r w:rsidRPr="00A17106">
        <w:rPr>
          <w:rStyle w:val="StyleBoldUnderline"/>
        </w:rPr>
        <w:t>municipal provision failed to afford hotel owners any pre-compliance opportunity to challenge the requested search</w:t>
      </w:r>
      <w:r w:rsidRPr="00A17106">
        <w:rPr>
          <w:sz w:val="14"/>
        </w:rPr>
        <w:t>, the Court held the provision to be facially unconstitutional. In so holding, the Court noted that "business owners cannot reasonably be put to this kind of choice" – that is, either handing over their guests' private information or facing arrest and criminal prosecution.</w:t>
      </w:r>
      <w:r w:rsidRPr="00A17106">
        <w:rPr>
          <w:sz w:val="14"/>
        </w:rPr>
        <w:br/>
        <w:t xml:space="preserve">Writing for the Court, Justice Sonia Sotomayor noted that </w:t>
      </w:r>
      <w:r w:rsidRPr="00A17106">
        <w:rPr>
          <w:rStyle w:val="StyleBoldUnderline"/>
          <w:highlight w:val="cyan"/>
        </w:rPr>
        <w:t>the Fourth Amendment may be satisfied</w:t>
      </w:r>
      <w:r w:rsidRPr="00A17106">
        <w:rPr>
          <w:rStyle w:val="StyleBoldUnderline"/>
        </w:rPr>
        <w:t xml:space="preserve"> </w:t>
      </w:r>
      <w:r w:rsidRPr="00A17106">
        <w:rPr>
          <w:rStyle w:val="StyleBoldUnderline"/>
          <w:highlight w:val="cyan"/>
        </w:rPr>
        <w:t>as</w:t>
      </w:r>
      <w:r w:rsidRPr="00A17106">
        <w:rPr>
          <w:rStyle w:val="StyleBoldUnderline"/>
        </w:rPr>
        <w:t xml:space="preserve"> long as a hotel owner is afforded </w:t>
      </w:r>
      <w:r w:rsidRPr="00A17106">
        <w:rPr>
          <w:rStyle w:val="StyleBoldUnderline"/>
          <w:highlight w:val="cyan"/>
        </w:rPr>
        <w:t>an opportunity to have a neutral decisionmaker</w:t>
      </w:r>
      <w:r w:rsidRPr="00A17106">
        <w:rPr>
          <w:rStyle w:val="StyleBoldUnderline"/>
        </w:rPr>
        <w:t xml:space="preserve"> review an officer's demand</w:t>
      </w:r>
      <w:r w:rsidRPr="00A17106">
        <w:rPr>
          <w:sz w:val="14"/>
        </w:rPr>
        <w:t xml:space="preserve"> to search the hotel guest records before he or she faces penalties for failing to comply. This can be accomplished, for example, through an administrative subpoena by which the hotel owner may challenge law enforcement's request before a judge. </w:t>
      </w:r>
      <w:r w:rsidRPr="00A17106">
        <w:rPr>
          <w:rStyle w:val="StyleBoldUnderline"/>
        </w:rPr>
        <w:t>This outcome</w:t>
      </w:r>
      <w:r w:rsidRPr="00A17106">
        <w:rPr>
          <w:sz w:val="14"/>
        </w:rPr>
        <w:t>, according to the Court, "</w:t>
      </w:r>
      <w:r w:rsidRPr="00A17106">
        <w:rPr>
          <w:rStyle w:val="StyleBoldUnderline"/>
        </w:rPr>
        <w:t>reduces the risk that officers will use these administrative searches as a pretext to harass business owners."</w:t>
      </w:r>
    </w:p>
    <w:p w:rsidR="000B1BA4" w:rsidRPr="00A17106" w:rsidRDefault="000B1BA4" w:rsidP="000B1BA4"/>
    <w:p w:rsidR="00C76E19" w:rsidRDefault="00C76E19" w:rsidP="00C76E19">
      <w:pPr>
        <w:rPr>
          <w:rStyle w:val="StyleBoldUnderline"/>
        </w:rPr>
      </w:pPr>
    </w:p>
    <w:p w:rsidR="00C76E19" w:rsidRPr="002376AE" w:rsidRDefault="00C76E19" w:rsidP="00C76E19">
      <w:pPr>
        <w:rPr>
          <w:rStyle w:val="StyleBoldUnderline"/>
        </w:rPr>
      </w:pPr>
    </w:p>
    <w:p w:rsidR="00C76E19" w:rsidRPr="00C76E19" w:rsidRDefault="00C76E19" w:rsidP="00C76E19"/>
    <w:p w:rsidR="00692C31" w:rsidRDefault="00692C31" w:rsidP="00692C31">
      <w:pPr>
        <w:pStyle w:val="Heading3"/>
      </w:pPr>
      <w:r>
        <w:t xml:space="preserve">States Solve </w:t>
      </w:r>
    </w:p>
    <w:p w:rsidR="00692C31" w:rsidRDefault="00692C31" w:rsidP="00692C31">
      <w:pPr>
        <w:pStyle w:val="Heading4"/>
      </w:pPr>
      <w:r>
        <w:t>States Solve – empirics prove state interpretations gain influence nationally</w:t>
      </w:r>
    </w:p>
    <w:p w:rsidR="00692C31" w:rsidRPr="00B25F6D" w:rsidRDefault="00692C31" w:rsidP="00692C31">
      <w:pPr>
        <w:rPr>
          <w:sz w:val="16"/>
          <w:szCs w:val="16"/>
        </w:rPr>
      </w:pPr>
      <w:r w:rsidRPr="00B25F6D">
        <w:rPr>
          <w:sz w:val="16"/>
          <w:szCs w:val="16"/>
        </w:rPr>
        <w:t xml:space="preserve">Jay </w:t>
      </w:r>
      <w:r w:rsidRPr="00B25F6D">
        <w:rPr>
          <w:rStyle w:val="StyleStyleBold12pt"/>
        </w:rPr>
        <w:t>Stanley 10</w:t>
      </w:r>
      <w:r w:rsidRPr="00B25F6D">
        <w:rPr>
          <w:sz w:val="16"/>
          <w:szCs w:val="16"/>
        </w:rPr>
        <w:t>, Senior Policy Analyst with the ACLU, “The Crisis in Fourth Amendment Jurisprudence,” 5/2010, https://www.acslaw.org/files/ACS%20Issue%20Brief%20-%20Stanley%204th%20Amendment.pdf, az</w:t>
      </w:r>
    </w:p>
    <w:p w:rsidR="00692C31" w:rsidRPr="00B21FA7" w:rsidRDefault="00692C31" w:rsidP="00692C31">
      <w:pPr>
        <w:rPr>
          <w:sz w:val="14"/>
        </w:rPr>
      </w:pPr>
      <w:r w:rsidRPr="00B21FA7">
        <w:rPr>
          <w:sz w:val="14"/>
        </w:rPr>
        <w:t xml:space="preserve">The situation in the states is significant for several reasons. First, </w:t>
      </w:r>
      <w:r w:rsidRPr="00B21FA7">
        <w:rPr>
          <w:rStyle w:val="StyleBoldUnderline"/>
        </w:rPr>
        <w:t>state law today serves as a source of alternative legal thinking on privacy</w:t>
      </w:r>
      <w:r w:rsidRPr="00B21FA7">
        <w:rPr>
          <w:sz w:val="14"/>
        </w:rPr>
        <w:t xml:space="preserve">. Prior to the 20th century expansion in First Amendment rights, the states played just that kind of role. While </w:t>
      </w:r>
      <w:r w:rsidRPr="00B21FA7">
        <w:rPr>
          <w:rStyle w:val="StyleBoldUnderline"/>
        </w:rPr>
        <w:t xml:space="preserve">the Supreme Court was extremely hostile to free speech claims before World War I, </w:t>
      </w:r>
      <w:r w:rsidRPr="00B21FA7">
        <w:rPr>
          <w:sz w:val="14"/>
        </w:rPr>
        <w:t xml:space="preserve">historians point out that </w:t>
      </w:r>
      <w:r w:rsidRPr="00B21FA7">
        <w:rPr>
          <w:rStyle w:val="StyleBoldUnderline"/>
        </w:rPr>
        <w:t>the</w:t>
      </w:r>
      <w:r w:rsidRPr="00B21FA7">
        <w:rPr>
          <w:sz w:val="14"/>
        </w:rPr>
        <w:t xml:space="preserve"> legal and cultural ground</w:t>
      </w:r>
      <w:r w:rsidRPr="00B21FA7">
        <w:rPr>
          <w:rStyle w:val="StyleBoldUnderline"/>
        </w:rPr>
        <w:t xml:space="preserve">work for the subsequent revival of the First Amendment could be found in the states, where a significant number of court decisions rejected the Supreme Court‟s approach </w:t>
      </w:r>
      <w:r w:rsidRPr="00B21FA7">
        <w:rPr>
          <w:sz w:val="14"/>
        </w:rPr>
        <w:t xml:space="preserve">and kept the possibility of genuine free speech rights alive within the American legal “conceptual universe.”96 Over time, </w:t>
      </w:r>
      <w:r w:rsidRPr="00B21FA7">
        <w:rPr>
          <w:rStyle w:val="Emphasis"/>
        </w:rPr>
        <w:t>the spread of alternative interpretations of privacy rights within the states could gain influence at the national level, as has happened before on other issues including the exclusionary rule and the death penalty, where state law has influenced interpretations of “evolving standards of decency</w:t>
      </w:r>
      <w:r w:rsidRPr="00B21FA7">
        <w:rPr>
          <w:sz w:val="14"/>
        </w:rPr>
        <w:t xml:space="preserve">” under the Eighth Amendment.97 Second, divergent </w:t>
      </w:r>
      <w:r w:rsidRPr="00B21FA7">
        <w:rPr>
          <w:rStyle w:val="StyleBoldUnderline"/>
        </w:rPr>
        <w:t>state interpretations on privacy are also a symptom of unease with the current state of the law,</w:t>
      </w:r>
      <w:r w:rsidRPr="00B21FA7">
        <w:rPr>
          <w:sz w:val="14"/>
        </w:rPr>
        <w:t xml:space="preserve"> and to some extent they highlight the arbitrariness and indeterminateness of privacy law as it now stands. They are also, not incidentally, a source of privacy protection for a large number of people. As the majority noted in Katz, “</w:t>
      </w:r>
      <w:r w:rsidRPr="00B21FA7">
        <w:rPr>
          <w:rStyle w:val="StyleBoldUnderline"/>
        </w:rPr>
        <w:t>the protection of a person‟s general right to privacy</w:t>
      </w:r>
      <w:r w:rsidRPr="00B21FA7">
        <w:rPr>
          <w:sz w:val="14"/>
        </w:rPr>
        <w:t xml:space="preserve"> – his right to be let alone by other people – is, like the protection of his property and of his very life, </w:t>
      </w:r>
      <w:r w:rsidRPr="00B21FA7">
        <w:rPr>
          <w:rStyle w:val="StyleBoldUnderline"/>
        </w:rPr>
        <w:t>left largely to the law of the individual States</w:t>
      </w:r>
      <w:r w:rsidRPr="00B21FA7">
        <w:rPr>
          <w:sz w:val="14"/>
        </w:rPr>
        <w:t xml:space="preserve">.”98 </w:t>
      </w:r>
    </w:p>
    <w:p w:rsidR="00692C31" w:rsidRDefault="00692C31" w:rsidP="00692C31">
      <w:pPr>
        <w:pStyle w:val="Heading4"/>
      </w:pPr>
      <w:r>
        <w:t>State Constitutions Solve – functions as a testing ground</w:t>
      </w:r>
    </w:p>
    <w:p w:rsidR="00692C31" w:rsidRPr="004C2255" w:rsidRDefault="00692C31" w:rsidP="00692C31">
      <w:pPr>
        <w:rPr>
          <w:sz w:val="16"/>
          <w:szCs w:val="16"/>
        </w:rPr>
      </w:pPr>
      <w:r w:rsidRPr="004C2255">
        <w:rPr>
          <w:sz w:val="16"/>
          <w:szCs w:val="16"/>
        </w:rPr>
        <w:t xml:space="preserve">Elbert </w:t>
      </w:r>
      <w:r w:rsidRPr="004C2255">
        <w:rPr>
          <w:rStyle w:val="StyleStyleBold12pt"/>
        </w:rPr>
        <w:t>Lin 02</w:t>
      </w:r>
      <w:r w:rsidRPr="004C2255">
        <w:rPr>
          <w:sz w:val="16"/>
          <w:szCs w:val="16"/>
        </w:rPr>
        <w:t>, West Virginia Solicitor General, “Prioritizing Privacy: A Constitutional Response to the Internet,” June 2002, http://scholarship.law.berkeley.edu/cgi/viewcontent.cgi?article=1383&amp;context=btlj, az</w:t>
      </w:r>
    </w:p>
    <w:p w:rsidR="00692C31" w:rsidRPr="00692C31" w:rsidRDefault="00692C31" w:rsidP="00692C31">
      <w:pPr>
        <w:rPr>
          <w:b/>
          <w:u w:val="single"/>
        </w:rPr>
      </w:pPr>
      <w:r w:rsidRPr="004C2255">
        <w:rPr>
          <w:rStyle w:val="StyleBoldUnderline"/>
        </w:rPr>
        <w:t>What remains novel,</w:t>
      </w:r>
      <w:r w:rsidRPr="004C2255">
        <w:rPr>
          <w:sz w:val="16"/>
        </w:rPr>
        <w:t xml:space="preserve"> however, </w:t>
      </w:r>
      <w:r w:rsidRPr="004C2255">
        <w:rPr>
          <w:rStyle w:val="StyleBoldUnderline"/>
        </w:rPr>
        <w:t>is the argument for a federal constitutional right to informational privacy on the Internet</w:t>
      </w:r>
      <w:r w:rsidRPr="004C2255">
        <w:rPr>
          <w:sz w:val="16"/>
        </w:rPr>
        <w:t xml:space="preserve">. Only a handful of </w:t>
      </w:r>
      <w:r w:rsidRPr="00AC44AB">
        <w:rPr>
          <w:rStyle w:val="StyleBoldUnderline"/>
        </w:rPr>
        <w:t>scholars' 3 have suggested that the United States Supreme Court will strengthen its lukewarm hint at a constitutional right to informational privacy in Whalen v. Roe</w:t>
      </w:r>
      <w:r w:rsidRPr="004C2255">
        <w:rPr>
          <w:sz w:val="16"/>
        </w:rPr>
        <w:t xml:space="preserve">, in 1977.14 Moreover, only a few of those scholars call for the right with regard to the Internet. Similarly, </w:t>
      </w:r>
      <w:r w:rsidRPr="004C2255">
        <w:rPr>
          <w:rStyle w:val="StyleBoldUnderline"/>
        </w:rPr>
        <w:t>only a small number of commentators have recommended a state constitutional right to informational privacy</w:t>
      </w:r>
      <w:r w:rsidRPr="004C2255">
        <w:rPr>
          <w:sz w:val="16"/>
        </w:rPr>
        <w:t xml:space="preserve">.' 5 Most </w:t>
      </w:r>
      <w:r w:rsidRPr="004C2255">
        <w:rPr>
          <w:rStyle w:val="StyleBoldUnderline"/>
        </w:rPr>
        <w:t>commentators have eschewed federal and state constitutional rights as possible solutions to the increasing technological threat to informational privacy, either dismissing them as weak</w:t>
      </w:r>
      <w:r w:rsidRPr="004C2255">
        <w:rPr>
          <w:sz w:val="16"/>
        </w:rPr>
        <w:t xml:space="preserve"> (and presumably incapable of change) 6 </w:t>
      </w:r>
      <w:r w:rsidRPr="004C2255">
        <w:rPr>
          <w:rStyle w:val="StyleBoldUnderline"/>
        </w:rPr>
        <w:t>or contending that a constitution is ill-equipped to protect against privacy-destroying technologies</w:t>
      </w:r>
      <w:r w:rsidRPr="004C2255">
        <w:rPr>
          <w:sz w:val="16"/>
        </w:rPr>
        <w:t xml:space="preserve">. 17 Rather, the debate over informational privacy-on the Internet, in particular-oscillates between industry self-regulation and government legislation, though support increases for other solutions, such as casting privacy as a property right or expanding the privacy torts.' 8 This Article will argue that </w:t>
      </w:r>
      <w:r w:rsidRPr="004C2255">
        <w:rPr>
          <w:rStyle w:val="StyleBoldUnderline"/>
        </w:rPr>
        <w:t>a constitutional right to informational privacy is necessary and appropriate for protecting privacy on the Internet.</w:t>
      </w:r>
      <w:r w:rsidRPr="004C2255">
        <w:rPr>
          <w:sz w:val="16"/>
        </w:rPr>
        <w:t xml:space="preserve"> Moreover, </w:t>
      </w:r>
      <w:r w:rsidRPr="004C2255">
        <w:rPr>
          <w:rStyle w:val="Emphasis"/>
        </w:rPr>
        <w:t>given the progress they have already made, and their receptiveness to experimentation, the state constitutions are and should continue to be the testing grounds for an eventual federal constitutional right to informational privacy on the Internet</w:t>
      </w:r>
      <w:r w:rsidRPr="004C2255">
        <w:rPr>
          <w:sz w:val="16"/>
        </w:rPr>
        <w:t xml:space="preserve">. Part II lays out the threat posed by the Internet and computers to informational privacy, defining the contours of "informational privacy," the computer technology that threatens informational privacy, and the threat itself, and focusing less on the disclosure aspect and more on the dissemination and use of personal information. In closing, Part II notes that </w:t>
      </w:r>
      <w:r w:rsidRPr="004C2255">
        <w:rPr>
          <w:rStyle w:val="StyleBoldUnderline"/>
        </w:rPr>
        <w:t>online privacy is the most significant informational privacy concern</w:t>
      </w:r>
      <w:r w:rsidRPr="004C2255">
        <w:rPr>
          <w:sz w:val="16"/>
        </w:rPr>
        <w:t xml:space="preserve">. Part Il argues that </w:t>
      </w:r>
      <w:r w:rsidRPr="004C2255">
        <w:rPr>
          <w:rStyle w:val="StyleBoldUnderline"/>
        </w:rPr>
        <w:t>the Internet has created the need for a constitutional right by elevating informational privacy to a generalized concern.</w:t>
      </w:r>
      <w:r w:rsidRPr="004C2255">
        <w:rPr>
          <w:sz w:val="16"/>
        </w:rPr>
        <w:t xml:space="preserve"> Part III also examines the failure of the current, nonconstitutional legal regime to address the threat of the Internet. Part IV discusses the current state of the constitutional right to informational privacy, considering both the federal and state constitutions, and surveying in detail the constitutional rights in the eleven most noteworthy states, ten of which have explicit constitutional provisions for privacy. The right has not been utilized in Internet litigation and offers the lack of a generalized interest in privacy as a reason for the current weakness in both the federal and state constitutional rights. Part V determines that </w:t>
      </w:r>
      <w:r w:rsidRPr="004C2255">
        <w:rPr>
          <w:rStyle w:val="StyleBoldUnderline"/>
        </w:rPr>
        <w:t>the constitutional right can best be developed in the states. The leading states have already developed robust constitutional rights, and constitutional experimentation is an accepted premise at the state level. Part VI concludes the Internet has altered the interest in informational privacy such that constitutional protection is necessary and, furthermore, it is best sought first through the state constitutions.</w:t>
      </w:r>
    </w:p>
    <w:p w:rsidR="003C7634" w:rsidRDefault="003C7634" w:rsidP="003C7634">
      <w:pPr>
        <w:pStyle w:val="Heading3"/>
      </w:pPr>
      <w:r>
        <w:t xml:space="preserve">Court Fails </w:t>
      </w:r>
    </w:p>
    <w:p w:rsidR="003C7634" w:rsidRPr="004C4BCA" w:rsidRDefault="003C7634" w:rsidP="003C7634">
      <w:pPr>
        <w:keepNext/>
        <w:keepLines/>
        <w:spacing w:before="200"/>
        <w:outlineLvl w:val="3"/>
        <w:rPr>
          <w:rFonts w:eastAsia="MS Gothic"/>
          <w:b/>
          <w:bCs/>
          <w:iCs/>
          <w:sz w:val="26"/>
        </w:rPr>
      </w:pPr>
      <w:r w:rsidRPr="004C4BCA">
        <w:rPr>
          <w:rFonts w:eastAsia="MS Gothic"/>
          <w:b/>
          <w:bCs/>
          <w:iCs/>
          <w:sz w:val="26"/>
        </w:rPr>
        <w:t xml:space="preserve">The Supreme Court is a mess – they’re political </w:t>
      </w:r>
      <w:r w:rsidRPr="004C4BCA">
        <w:rPr>
          <w:rFonts w:eastAsia="MS Gothic"/>
          <w:b/>
          <w:bCs/>
          <w:iCs/>
          <w:sz w:val="26"/>
          <w:u w:val="single"/>
        </w:rPr>
        <w:t>flip-floppers</w:t>
      </w:r>
      <w:r w:rsidRPr="004C4BCA">
        <w:rPr>
          <w:rFonts w:eastAsia="MS Gothic"/>
          <w:b/>
          <w:bCs/>
          <w:iCs/>
          <w:sz w:val="26"/>
        </w:rPr>
        <w:t xml:space="preserve"> that are too ambivalent to ensure a decisive ruling</w:t>
      </w:r>
    </w:p>
    <w:p w:rsidR="003C7634" w:rsidRPr="004C4BCA" w:rsidRDefault="003C7634" w:rsidP="003C7634">
      <w:pPr>
        <w:rPr>
          <w:rFonts w:eastAsia="Cambria"/>
          <w:sz w:val="16"/>
          <w:szCs w:val="16"/>
        </w:rPr>
      </w:pPr>
      <w:r w:rsidRPr="004C4BCA">
        <w:rPr>
          <w:rFonts w:eastAsia="Cambria"/>
          <w:sz w:val="16"/>
          <w:szCs w:val="16"/>
        </w:rPr>
        <w:t xml:space="preserve">Jeffrey M. </w:t>
      </w:r>
      <w:r w:rsidRPr="004C4BCA">
        <w:rPr>
          <w:rStyle w:val="StyleStyleBold12pt"/>
        </w:rPr>
        <w:t>Shaman 6</w:t>
      </w:r>
      <w:r w:rsidRPr="004C4BCA">
        <w:rPr>
          <w:rFonts w:eastAsia="Cambria"/>
          <w:sz w:val="16"/>
          <w:szCs w:val="16"/>
        </w:rPr>
        <w:t xml:space="preserve">, B.A. from the Pennsylvania State University, J.D. from the University of Southern California, and LL.M. from Georgetown University, where he was a Keigwin Graduate Fellow. teaches Constitutional Law, State Constitutional Law, and First Amendment Freedom of Speech, member of the American Law Institute, the American Society of Legal History, and the U.S. Association of Constitutional Law, 2006, “THE RIGHT OF PRIVACY IN STATE CONSTITUTIONAL LAW”, p.984-987, </w:t>
      </w:r>
      <w:hyperlink r:id="rId30" w:history="1">
        <w:r w:rsidRPr="004C4BCA">
          <w:rPr>
            <w:rFonts w:eastAsia="Cambria"/>
            <w:sz w:val="16"/>
            <w:szCs w:val="16"/>
          </w:rPr>
          <w:t>http://org.law.rutgers.edu/publications/lawjournal/issues/37_4/Shaman.pdf</w:t>
        </w:r>
      </w:hyperlink>
      <w:r w:rsidRPr="004C4BCA">
        <w:rPr>
          <w:rFonts w:eastAsia="Cambria"/>
          <w:sz w:val="16"/>
          <w:szCs w:val="16"/>
        </w:rPr>
        <w:t>, AB)</w:t>
      </w:r>
    </w:p>
    <w:p w:rsidR="003C7634" w:rsidRPr="004C4BCA" w:rsidRDefault="003C7634" w:rsidP="003C7634">
      <w:pPr>
        <w:rPr>
          <w:rFonts w:eastAsia="Cambria"/>
          <w:b/>
          <w:bCs/>
          <w:u w:val="single"/>
        </w:rPr>
      </w:pPr>
      <w:r w:rsidRPr="004C4BCA">
        <w:rPr>
          <w:rFonts w:eastAsia="Cambria"/>
          <w:b/>
          <w:bCs/>
          <w:u w:val="single"/>
        </w:rPr>
        <w:t xml:space="preserve">On occasion, the Court has turned to the past as a source of fundamental rights. </w:t>
      </w:r>
      <w:r w:rsidRPr="004C4BCA">
        <w:rPr>
          <w:rFonts w:eastAsia="Cambria"/>
          <w:sz w:val="12"/>
        </w:rPr>
        <w:t>Thus, in Moore v. City of East Cleveland, a 1977 decision,</w:t>
      </w:r>
      <w:r w:rsidRPr="004C4BCA">
        <w:rPr>
          <w:rFonts w:eastAsia="Cambria"/>
          <w:b/>
          <w:bCs/>
          <w:u w:val="single"/>
        </w:rPr>
        <w:t xml:space="preserve"> the plurality opinion concluded </w:t>
      </w:r>
      <w:r w:rsidRPr="004C4BCA">
        <w:rPr>
          <w:rFonts w:eastAsia="Cambria"/>
          <w:sz w:val="12"/>
        </w:rPr>
        <w:t>that the</w:t>
      </w:r>
      <w:r w:rsidRPr="004C4BCA">
        <w:rPr>
          <w:rFonts w:eastAsia="Cambria"/>
          <w:b/>
          <w:bCs/>
          <w:u w:val="single"/>
        </w:rPr>
        <w:t xml:space="preserve"> right </w:t>
      </w:r>
      <w:r w:rsidRPr="004C4BCA">
        <w:rPr>
          <w:rFonts w:eastAsia="Cambria"/>
          <w:sz w:val="12"/>
        </w:rPr>
        <w:t xml:space="preserve">to live together in an extended family </w:t>
      </w:r>
      <w:r w:rsidRPr="004C4BCA">
        <w:rPr>
          <w:rFonts w:eastAsia="Cambria"/>
          <w:b/>
          <w:bCs/>
          <w:u w:val="single"/>
        </w:rPr>
        <w:t>was fundamental because it was a</w:t>
      </w:r>
      <w:r w:rsidRPr="004C4BCA">
        <w:rPr>
          <w:rFonts w:eastAsia="Cambria"/>
          <w:sz w:val="12"/>
        </w:rPr>
        <w:t xml:space="preserve"> </w:t>
      </w:r>
      <w:r w:rsidRPr="004C4BCA">
        <w:rPr>
          <w:rFonts w:eastAsia="Cambria"/>
          <w:b/>
          <w:bCs/>
          <w:u w:val="single"/>
        </w:rPr>
        <w:t>liberty “deeply rooted in this Nation’s history and tradition</w:t>
      </w:r>
      <w:r w:rsidRPr="004C4BCA">
        <w:rPr>
          <w:rFonts w:eastAsia="Cambria"/>
          <w:sz w:val="12"/>
        </w:rPr>
        <w:t xml:space="preserve">.”87 Some </w:t>
      </w:r>
      <w:r w:rsidRPr="004C4BCA">
        <w:rPr>
          <w:rFonts w:eastAsia="Cambria"/>
          <w:b/>
          <w:bCs/>
          <w:u w:val="single"/>
        </w:rPr>
        <w:t>years later, a reluctant majority of the Court would again look to history in order to “assume” that under the Due Process Clause, an individual possessed a right to bodily integrity</w:t>
      </w:r>
      <w:r w:rsidRPr="004C4BCA">
        <w:rPr>
          <w:rFonts w:eastAsia="Cambria"/>
          <w:sz w:val="12"/>
        </w:rPr>
        <w:t>,</w:t>
      </w:r>
      <w:r w:rsidRPr="004C4BCA">
        <w:rPr>
          <w:rFonts w:eastAsia="Cambria"/>
          <w:b/>
          <w:bCs/>
          <w:u w:val="single"/>
        </w:rPr>
        <w:t xml:space="preserve"> </w:t>
      </w:r>
      <w:r w:rsidRPr="004C4BCA">
        <w:rPr>
          <w:rFonts w:eastAsia="Cambria"/>
          <w:sz w:val="12"/>
        </w:rPr>
        <w:t>which encompassed the right to refuse unwanted medical treatment</w:t>
      </w:r>
      <w:r w:rsidRPr="004C4BCA">
        <w:rPr>
          <w:rFonts w:eastAsia="Cambria"/>
          <w:b/>
          <w:bCs/>
          <w:u w:val="single"/>
        </w:rPr>
        <w:t xml:space="preserve">.88 History, though, can be a double-edged sword, wielded either to accept rights on the basis of </w:t>
      </w:r>
      <w:r w:rsidRPr="004C4BCA">
        <w:rPr>
          <w:rFonts w:eastAsia="Cambria"/>
          <w:sz w:val="12"/>
        </w:rPr>
        <w:t xml:space="preserve">their </w:t>
      </w:r>
      <w:r w:rsidRPr="004C4BCA">
        <w:rPr>
          <w:rFonts w:eastAsia="Cambria"/>
          <w:b/>
          <w:bCs/>
          <w:u w:val="single"/>
        </w:rPr>
        <w:t>historical</w:t>
      </w:r>
      <w:r w:rsidRPr="004C4BCA">
        <w:rPr>
          <w:rFonts w:eastAsia="Cambria"/>
          <w:sz w:val="12"/>
        </w:rPr>
        <w:t xml:space="preserve"> pedigree </w:t>
      </w:r>
      <w:r w:rsidRPr="004C4BCA">
        <w:rPr>
          <w:rFonts w:eastAsia="Cambria"/>
          <w:b/>
          <w:bCs/>
          <w:u w:val="single"/>
        </w:rPr>
        <w:t>or reject them on the ground that they are not firmly established in our history and tradition</w:t>
      </w:r>
      <w:r w:rsidRPr="004C4BCA">
        <w:rPr>
          <w:rFonts w:eastAsia="Cambria"/>
          <w:sz w:val="12"/>
        </w:rPr>
        <w:t xml:space="preserve">. An example of the latter occurred in a 1989 decision, Michael H. v. Gerald D., ruling that a biological father did not have a right to visit his child because no such right could be found in the traditions of our society. 89 And in Washington v. Glucksberg, the Court ruled an individual did not have a right to physician-assisted suicide, once again because none could be found in the traditions of our society.90 In 1969, </w:t>
      </w:r>
      <w:r w:rsidRPr="004C4BCA">
        <w:rPr>
          <w:rFonts w:eastAsia="Cambria"/>
          <w:b/>
          <w:bCs/>
          <w:highlight w:val="cyan"/>
          <w:u w:val="single"/>
        </w:rPr>
        <w:t>the Court countenanced a different aspect of privacy by ruling</w:t>
      </w:r>
      <w:r w:rsidRPr="004C4BCA">
        <w:rPr>
          <w:rFonts w:eastAsia="Cambria"/>
          <w:sz w:val="12"/>
        </w:rPr>
        <w:t>, in Stanley v. Georgia</w:t>
      </w:r>
      <w:r w:rsidRPr="004C4BCA">
        <w:rPr>
          <w:rFonts w:eastAsia="Cambria"/>
          <w:sz w:val="12"/>
          <w:highlight w:val="cyan"/>
        </w:rPr>
        <w:t xml:space="preserve">, </w:t>
      </w:r>
      <w:r w:rsidRPr="004C4BCA">
        <w:rPr>
          <w:rFonts w:eastAsia="Cambria"/>
          <w:b/>
          <w:bCs/>
          <w:highlight w:val="cyan"/>
          <w:u w:val="single"/>
        </w:rPr>
        <w:t>that</w:t>
      </w:r>
      <w:r w:rsidRPr="004C4BCA">
        <w:rPr>
          <w:rFonts w:eastAsia="Cambria"/>
          <w:sz w:val="12"/>
        </w:rPr>
        <w:t xml:space="preserve"> the </w:t>
      </w:r>
      <w:r w:rsidRPr="004C4BCA">
        <w:rPr>
          <w:rFonts w:eastAsia="Cambria"/>
          <w:b/>
          <w:bCs/>
          <w:highlight w:val="cyan"/>
          <w:u w:val="single"/>
        </w:rPr>
        <w:t>private possession of obscene material cannot constitutionally be made a crime, even though distribution of the material may be proscribed</w:t>
      </w:r>
      <w:r w:rsidRPr="004C4BCA">
        <w:rPr>
          <w:rFonts w:eastAsia="Cambria"/>
          <w:b/>
          <w:bCs/>
          <w:u w:val="single"/>
        </w:rPr>
        <w:t>.</w:t>
      </w:r>
      <w:r w:rsidRPr="004C4BCA">
        <w:rPr>
          <w:rFonts w:eastAsia="Cambria"/>
          <w:sz w:val="12"/>
        </w:rPr>
        <w:t xml:space="preserve">91 The decision in Stanley was based on the First Amendment right of an individual to receive information and ideas which, in the Court’s view, takes on an added dimension in the privacy of a person’s own home.92 As the Court put it, “If the First Amendment means anything, it means that a State has no business telling a man, sitting alone in his own house, what books he may read or what films he may watch.”93 Thus, </w:t>
      </w:r>
      <w:r w:rsidRPr="004C4BCA">
        <w:rPr>
          <w:rFonts w:eastAsia="Cambria"/>
          <w:b/>
          <w:bCs/>
          <w:u w:val="single"/>
        </w:rPr>
        <w:t>Stanley recognized that the concept of privacy may comprehend a spatial element involving sanctity of the home</w:t>
      </w:r>
      <w:r w:rsidRPr="004C4BCA">
        <w:rPr>
          <w:rFonts w:eastAsia="Cambria"/>
          <w:sz w:val="12"/>
        </w:rPr>
        <w:t xml:space="preserve">, an interest related to, though not the same as, the right of individual autonomy.94 In a case involving another component of the First Amendment, freedom of association, the Court suggested that because the Bill of Rights was designed to secure individual liberty, it should afford substantial protection for the formation and preservation of “certain kinds of highly personal relationships.”95 As the Court explained, the constitutional shelter granted to these relationships reflects the realization that individuals draw much of their emotional enrichment from close ties with others. “Protecting these relationships from unwarranted state interference therefore safeguards the ability independently to define one’s identity that is central to any concept of liberty.”96 </w:t>
      </w:r>
      <w:r w:rsidRPr="004C4BCA">
        <w:rPr>
          <w:rFonts w:eastAsia="Cambria"/>
          <w:b/>
          <w:bCs/>
          <w:highlight w:val="cyan"/>
          <w:u w:val="single"/>
        </w:rPr>
        <w:t>Regard for personal relationships or the sanctity of the home, however, was shunted</w:t>
      </w:r>
      <w:r w:rsidRPr="004C4BCA">
        <w:rPr>
          <w:rFonts w:eastAsia="Cambria"/>
          <w:sz w:val="12"/>
        </w:rPr>
        <w:t xml:space="preserve"> aside in Bowers v. Hardwick, a 1986 decision, </w:t>
      </w:r>
      <w:r w:rsidRPr="004C4BCA">
        <w:rPr>
          <w:rFonts w:eastAsia="Cambria"/>
          <w:b/>
          <w:bCs/>
          <w:u w:val="single"/>
        </w:rPr>
        <w:t xml:space="preserve">in which </w:t>
      </w:r>
      <w:r w:rsidRPr="004C4BCA">
        <w:rPr>
          <w:rFonts w:eastAsia="Cambria"/>
          <w:b/>
          <w:bCs/>
          <w:highlight w:val="cyan"/>
          <w:u w:val="single"/>
        </w:rPr>
        <w:t>the Court once again turned to history to cut short the reach of the Due Process Clause</w:t>
      </w:r>
      <w:r w:rsidRPr="004C4BCA">
        <w:rPr>
          <w:rFonts w:eastAsia="Cambria"/>
          <w:sz w:val="12"/>
          <w:highlight w:val="cyan"/>
        </w:rPr>
        <w:t xml:space="preserve">, </w:t>
      </w:r>
      <w:r w:rsidRPr="004C4BCA">
        <w:rPr>
          <w:rFonts w:eastAsia="Cambria"/>
          <w:b/>
          <w:bCs/>
          <w:highlight w:val="cyan"/>
          <w:u w:val="single"/>
        </w:rPr>
        <w:t>ruling</w:t>
      </w:r>
      <w:r w:rsidRPr="004C4BCA">
        <w:rPr>
          <w:rFonts w:eastAsia="Cambria"/>
          <w:sz w:val="12"/>
        </w:rPr>
        <w:t xml:space="preserve"> by a vote of 5-4, </w:t>
      </w:r>
      <w:r w:rsidRPr="004C4BCA">
        <w:rPr>
          <w:rFonts w:eastAsia="Cambria"/>
          <w:b/>
          <w:bCs/>
          <w:u w:val="single"/>
        </w:rPr>
        <w:t xml:space="preserve">that the right of privacy does not encompass the right of a consenting adult to engage in homosexual conduct, </w:t>
      </w:r>
      <w:r w:rsidRPr="004C4BCA">
        <w:rPr>
          <w:rFonts w:eastAsia="Cambria"/>
          <w:sz w:val="12"/>
        </w:rPr>
        <w:t xml:space="preserve">even in the privacy of his or her home.97 In upholding the constitutionality of a Georgia criminal law prohibiting sodomy, the majority opinion drew a strict distinction “between family, marriage, or procreation on the one hand and homosexual activity on the other.”98 Taking a historical approach to constitutional interpretation, the Court refused to give constitutional countenance to a right to engage in homosexual conduct because, in the Court’s reading of history, </w:t>
      </w:r>
      <w:r w:rsidRPr="004C4BCA">
        <w:rPr>
          <w:rFonts w:eastAsia="Cambria"/>
          <w:b/>
          <w:bCs/>
          <w:u w:val="single"/>
        </w:rPr>
        <w:t>such a right was neither “deeply rooted in this Nation’s history and tradition</w:t>
      </w:r>
      <w:r w:rsidRPr="004C4BCA">
        <w:rPr>
          <w:rFonts w:eastAsia="Cambria"/>
          <w:sz w:val="12"/>
        </w:rPr>
        <w:t xml:space="preserve">”99 nor “implicit in the concept of ordered liberty.”100 </w:t>
      </w:r>
      <w:r w:rsidRPr="004C4BCA">
        <w:rPr>
          <w:rFonts w:eastAsia="Cambria"/>
          <w:b/>
          <w:bCs/>
          <w:u w:val="single"/>
        </w:rPr>
        <w:t>Seventeen years later, however, Bowers was overruled</w:t>
      </w:r>
      <w:r w:rsidRPr="004C4BCA">
        <w:rPr>
          <w:rFonts w:eastAsia="Cambria"/>
          <w:sz w:val="12"/>
        </w:rPr>
        <w:t xml:space="preserve"> by a 6-3 majority in Lawrence v. Texas, in which the Court held that a Texas sodomy statute making it a crime for two persons of the same sex to engage in intimate sexual relations was a violation of the Due Process Clause.101 Indeed, in Lawrence, not only did the Court decisively overrule Bowers, 102 it also apologized for it, saying that Bowers was unjustly demeaning to gay and lesbian persons.103 And the Court devoted a good part of its opinion in Lawrence to explaining why it believed that Bowers had been wrongly decided.104 In Lawrence, the Court dismissed the historical approach that had been taken in Bowers, noting that the historical record was more complex than understood in Bowers, and that the Court’s historical analysis in Bowers was open to considerable doubt.105 More importantly, the Court thought that the Bowers majority did not take sufficient account of more recent historical developments: “In all events we think that our laws and traditions in the past half century are of most relevance here.”106 Significantly, that more recent tradition showed an emerging awareness that liberty provides substantial protection to adult persons in deciding how to conduct their private lives in matters pertaining to sex.107 In other words, more recent history showed a trend toward recognizing that the sexual life of consenting adults was a private matter that should be beyond the realm of state authority, at least state criminal authority.108 The Court further explained that the liberty component of the Due Process Clause protects persons from unwarranted government intrusions into a dwelling or other private places and also protects other spheres of our lives and existence, outside the home, where the State should not be a dominant presence.109 The Court affirmed that “Freedom extends beyond spatial bounds. Liberty presumes an autonomy of self that includes freedom of thought, belief, expression, and certain intimate conduct. </w:t>
      </w:r>
      <w:r w:rsidRPr="004C4BCA">
        <w:rPr>
          <w:rFonts w:eastAsia="Cambria"/>
          <w:b/>
          <w:bCs/>
          <w:u w:val="single"/>
        </w:rPr>
        <w:t>The instant case involves liberty of the person both in its spatial and more transcendent dimensions</w:t>
      </w:r>
      <w:r w:rsidRPr="004C4BCA">
        <w:rPr>
          <w:rFonts w:eastAsia="Cambria"/>
          <w:sz w:val="12"/>
        </w:rPr>
        <w:t xml:space="preserve">.”110 Quoting Casey, the Court once again proclaimed, “These matters, involving the most intimate and personal choices a person may make in a lifetime, choices central to personal dignity and autonomy, arecentral to the liberty protected by the Fourteenth Amendment.”11 </w:t>
      </w:r>
      <w:r w:rsidRPr="004C4BCA">
        <w:rPr>
          <w:rFonts w:eastAsia="Cambria"/>
          <w:b/>
          <w:iCs/>
          <w:highlight w:val="cyan"/>
          <w:u w:val="single"/>
          <w:bdr w:val="single" w:sz="18" w:space="0" w:color="auto"/>
        </w:rPr>
        <w:t>The Supreme Court has yet to develop a consistent theory to determine the scope of the right of privacy</w:t>
      </w:r>
      <w:r w:rsidRPr="004C4BCA">
        <w:rPr>
          <w:rFonts w:eastAsia="Cambria"/>
          <w:b/>
          <w:bCs/>
          <w:u w:val="single"/>
        </w:rPr>
        <w:t xml:space="preserve"> under the Fourteenth Amendment</w:t>
      </w:r>
      <w:r w:rsidRPr="004C4BCA">
        <w:rPr>
          <w:rFonts w:eastAsia="Cambria"/>
          <w:sz w:val="12"/>
        </w:rPr>
        <w:t xml:space="preserve">. Today, </w:t>
      </w:r>
      <w:r w:rsidRPr="004C4BCA">
        <w:rPr>
          <w:rFonts w:eastAsia="Cambria"/>
          <w:b/>
          <w:iCs/>
          <w:u w:val="single"/>
          <w:bdr w:val="single" w:sz="18" w:space="0" w:color="auto"/>
        </w:rPr>
        <w:t>s</w:t>
      </w:r>
      <w:r w:rsidRPr="004C4BCA">
        <w:rPr>
          <w:rFonts w:eastAsia="Cambria"/>
          <w:b/>
          <w:iCs/>
          <w:highlight w:val="cyan"/>
          <w:u w:val="single"/>
          <w:bdr w:val="single" w:sz="18" w:space="0" w:color="auto"/>
        </w:rPr>
        <w:t>ome</w:t>
      </w:r>
      <w:r w:rsidRPr="004C4BCA">
        <w:rPr>
          <w:rFonts w:eastAsia="Cambria"/>
          <w:sz w:val="12"/>
        </w:rPr>
        <w:t xml:space="preserve"> of the </w:t>
      </w:r>
      <w:r w:rsidRPr="004C4BCA">
        <w:rPr>
          <w:rFonts w:eastAsia="Cambria"/>
          <w:b/>
          <w:iCs/>
          <w:highlight w:val="cyan"/>
          <w:u w:val="single"/>
          <w:bdr w:val="single" w:sz="18" w:space="0" w:color="auto"/>
        </w:rPr>
        <w:t>Justices</w:t>
      </w:r>
      <w:r w:rsidRPr="004C4BCA">
        <w:rPr>
          <w:rFonts w:eastAsia="Cambria"/>
          <w:sz w:val="12"/>
        </w:rPr>
        <w:t xml:space="preserve"> on the high Court </w:t>
      </w:r>
      <w:r w:rsidRPr="004C4BCA">
        <w:rPr>
          <w:rFonts w:eastAsia="Cambria"/>
          <w:b/>
          <w:iCs/>
          <w:highlight w:val="cyan"/>
          <w:u w:val="single"/>
          <w:bdr w:val="single" w:sz="18" w:space="0" w:color="auto"/>
        </w:rPr>
        <w:t>believe in adhering strictly to an historical approach</w:t>
      </w:r>
      <w:r w:rsidRPr="004C4BCA">
        <w:rPr>
          <w:rFonts w:eastAsia="Cambria"/>
          <w:b/>
          <w:bCs/>
          <w:u w:val="single"/>
        </w:rPr>
        <w:t xml:space="preserve"> which encompasses only those rights that are “deeply rooted in this Nation’s history and tradition</w:t>
      </w:r>
      <w:r w:rsidRPr="004C4BCA">
        <w:rPr>
          <w:rFonts w:eastAsia="Cambria"/>
          <w:sz w:val="12"/>
        </w:rPr>
        <w:t xml:space="preserve">” or “implicit in the concept of ordered liberty.”112 </w:t>
      </w:r>
      <w:r w:rsidRPr="004C4BCA">
        <w:rPr>
          <w:sz w:val="12"/>
        </w:rPr>
        <w:t>Other Justices, though, are more forward looking; they see history as an ongoing phenomena and constitutional interpretation as an evolving process that comprehends the recognition of new rights that are central to personal dignity and autonomy.</w:t>
      </w:r>
      <w:r w:rsidRPr="004C4BCA">
        <w:rPr>
          <w:rFonts w:eastAsia="Cambria"/>
          <w:sz w:val="12"/>
        </w:rPr>
        <w:t xml:space="preserve"> Although the right of privacy is firmly established as a fundamental right under the Fourteenth Amendment to the Federal Constitution, </w:t>
      </w:r>
      <w:r w:rsidRPr="004C4BCA">
        <w:rPr>
          <w:rFonts w:eastAsia="Cambria"/>
          <w:b/>
          <w:iCs/>
          <w:highlight w:val="cyan"/>
          <w:u w:val="single"/>
          <w:bdr w:val="single" w:sz="18" w:space="0" w:color="auto"/>
        </w:rPr>
        <w:t>the Supreme Court remains ambivalent about the right of privacy, embracing it with fervor in one case, rejecting it in another. As a result, the Court’s decisions concerning privacy are marked by inconsistency,</w:t>
      </w:r>
      <w:r w:rsidRPr="004C4BCA">
        <w:rPr>
          <w:rFonts w:eastAsia="Cambria"/>
          <w:b/>
          <w:iCs/>
          <w:u w:val="single"/>
          <w:bdr w:val="single" w:sz="18" w:space="0" w:color="auto"/>
        </w:rPr>
        <w:t xml:space="preserve"> leaving the scope of the right of privacy under the Federal Constitution far from certain.</w:t>
      </w:r>
      <w:r w:rsidRPr="004C4BCA">
        <w:rPr>
          <w:rFonts w:eastAsia="Cambria"/>
          <w:b/>
          <w:bCs/>
          <w:u w:val="single"/>
        </w:rPr>
        <w:t xml:space="preserve"> </w:t>
      </w:r>
    </w:p>
    <w:p w:rsidR="003C7634" w:rsidRPr="004C4BCA" w:rsidRDefault="003C7634" w:rsidP="003C7634"/>
    <w:p w:rsidR="003C7634" w:rsidRPr="004C4BCA" w:rsidRDefault="003C7634" w:rsidP="003C7634">
      <w:pPr>
        <w:pStyle w:val="Heading4"/>
        <w:rPr>
          <w:rFonts w:cs="Times New Roman"/>
        </w:rPr>
      </w:pPr>
      <w:r w:rsidRPr="004C4BCA">
        <w:rPr>
          <w:rFonts w:cs="Times New Roman"/>
        </w:rPr>
        <w:t>Courts and existing amendment reinterpretations fail</w:t>
      </w:r>
    </w:p>
    <w:p w:rsidR="003C7634" w:rsidRPr="004C4BCA" w:rsidRDefault="003C7634" w:rsidP="003C7634">
      <w:r w:rsidRPr="004C4BCA">
        <w:rPr>
          <w:sz w:val="16"/>
          <w:szCs w:val="16"/>
        </w:rPr>
        <w:t>Nicole</w:t>
      </w:r>
      <w:r w:rsidRPr="004C4BCA">
        <w:t xml:space="preserve"> </w:t>
      </w:r>
      <w:r w:rsidRPr="004C4BCA">
        <w:rPr>
          <w:rStyle w:val="StyleStyleBold12pt"/>
        </w:rPr>
        <w:t>Tutrani 10</w:t>
      </w:r>
      <w:r w:rsidRPr="004C4BCA">
        <w:rPr>
          <w:sz w:val="16"/>
          <w:szCs w:val="16"/>
        </w:rPr>
        <w:t xml:space="preserve">, Law Clerk to the Honorable Henry Coke Morgan, Jr. at the Eastern District of Virginia, “The “Right to Privacy” and its Constitutional Evolution: The Ninth and Fourteenth Amendments”, November 20, 2010, </w:t>
      </w:r>
      <w:hyperlink r:id="rId31" w:history="1">
        <w:r w:rsidRPr="004C4BCA">
          <w:rPr>
            <w:rStyle w:val="Hyperlink"/>
            <w:sz w:val="16"/>
            <w:szCs w:val="16"/>
          </w:rPr>
          <w:t>https://www.regent.edu/admin/stusrv/writingcenter/docs/APSA7thedSamplePaper(PoliticalScienceStudentWriter'sManual).pdf</w:t>
        </w:r>
      </w:hyperlink>
      <w:r w:rsidRPr="004C4BCA">
        <w:rPr>
          <w:sz w:val="16"/>
          <w:szCs w:val="16"/>
        </w:rPr>
        <w:t>, AB)</w:t>
      </w:r>
    </w:p>
    <w:p w:rsidR="003C7634" w:rsidRPr="004C4BCA" w:rsidRDefault="003C7634" w:rsidP="003C7634">
      <w:pPr>
        <w:rPr>
          <w:sz w:val="16"/>
        </w:rPr>
      </w:pPr>
      <w:r w:rsidRPr="004C4BCA">
        <w:rPr>
          <w:sz w:val="16"/>
        </w:rPr>
        <w:t xml:space="preserve">In summation, </w:t>
      </w:r>
      <w:r w:rsidRPr="004C4BCA">
        <w:rPr>
          <w:rStyle w:val="StyleBoldUnderline"/>
          <w:highlight w:val="cyan"/>
        </w:rPr>
        <w:t>most</w:t>
      </w:r>
      <w:r w:rsidRPr="004C4BCA">
        <w:rPr>
          <w:sz w:val="16"/>
          <w:highlight w:val="cyan"/>
        </w:rPr>
        <w:t xml:space="preserve"> t</w:t>
      </w:r>
      <w:r w:rsidRPr="004C4BCA">
        <w:rPr>
          <w:sz w:val="16"/>
        </w:rPr>
        <w:t xml:space="preserve">wentieth-century </w:t>
      </w:r>
      <w:r w:rsidRPr="004C4BCA">
        <w:rPr>
          <w:rStyle w:val="StyleBoldUnderline"/>
          <w:highlight w:val="cyan"/>
        </w:rPr>
        <w:t>Supreme Court opinions regarding the “right to privacy</w:t>
      </w:r>
      <w:r w:rsidRPr="004C4BCA">
        <w:rPr>
          <w:rStyle w:val="StyleBoldUnderline"/>
        </w:rPr>
        <w:t>”</w:t>
      </w:r>
      <w:r w:rsidRPr="004C4BCA">
        <w:rPr>
          <w:sz w:val="16"/>
        </w:rPr>
        <w:t xml:space="preserve"> as derived from the Ninth Amendment</w:t>
      </w:r>
      <w:r w:rsidRPr="004C4BCA">
        <w:rPr>
          <w:rStyle w:val="StyleBoldUnderline"/>
        </w:rPr>
        <w:t xml:space="preserve"> </w:t>
      </w:r>
      <w:r w:rsidRPr="004C4BCA">
        <w:rPr>
          <w:rStyle w:val="StyleBoldUnderline"/>
          <w:highlight w:val="cyan"/>
        </w:rPr>
        <w:t>are inherently flawed. The original intent of both the Ninth and Fourteenth Amendments do not allow for the liberties the Court has taken in their interpretation. The Ninth Amendment</w:t>
      </w:r>
      <w:r w:rsidRPr="004C4BCA">
        <w:rPr>
          <w:sz w:val="16"/>
        </w:rPr>
        <w:t xml:space="preserve">, which was intended to protect the states against a latitude of governmental interpretation, </w:t>
      </w:r>
      <w:r w:rsidRPr="004C4BCA">
        <w:rPr>
          <w:rStyle w:val="StyleBoldUnderline"/>
          <w:highlight w:val="cyan"/>
        </w:rPr>
        <w:t>has</w:t>
      </w:r>
      <w:r w:rsidRPr="004C4BCA">
        <w:rPr>
          <w:sz w:val="16"/>
        </w:rPr>
        <w:t xml:space="preserve"> instead </w:t>
      </w:r>
      <w:r w:rsidRPr="004C4BCA">
        <w:rPr>
          <w:rStyle w:val="StyleBoldUnderline"/>
          <w:highlight w:val="cyan"/>
        </w:rPr>
        <w:t>become the Supreme Court’s perpetual grab bag of rights in the service of changing social moralit</w:t>
      </w:r>
      <w:r w:rsidRPr="004C4BCA">
        <w:rPr>
          <w:rStyle w:val="StyleBoldUnderline"/>
        </w:rPr>
        <w:t>y. As a states’ rights amendment, provisions from the Ninth Amendment are also logically un-incorporable to the states through the Fourteenth.</w:t>
      </w:r>
      <w:r w:rsidRPr="004C4BCA">
        <w:rPr>
          <w:sz w:val="16"/>
        </w:rPr>
        <w:t xml:space="preserve"> Decisions, such as Griswold v. Connecticut, Roe v. Wade, and Lawrence v. Texas are prime examples of how the original meaning of these amendments has been ignored.</w:t>
      </w:r>
      <w:r w:rsidRPr="004C4BCA">
        <w:rPr>
          <w:rStyle w:val="StyleBoldUnderline"/>
        </w:rPr>
        <w:t xml:space="preserve"> </w:t>
      </w:r>
      <w:r w:rsidRPr="004C4BCA">
        <w:rPr>
          <w:sz w:val="16"/>
        </w:rPr>
        <w:t xml:space="preserve">Although it is not unreasonable to assume a “right to privacy” as provided for by the first eight amendments, </w:t>
      </w:r>
      <w:r w:rsidRPr="004C4BCA">
        <w:rPr>
          <w:rStyle w:val="StyleBoldUnderline"/>
          <w:highlight w:val="cyan"/>
        </w:rPr>
        <w:t>recent interpretations of this right have resulted in an incredibly flawed body of case law.</w:t>
      </w:r>
      <w:r w:rsidRPr="004C4BCA">
        <w:rPr>
          <w:rStyle w:val="StyleBoldUnderline"/>
        </w:rPr>
        <w:t xml:space="preserve"> </w:t>
      </w:r>
      <w:r w:rsidRPr="004C4BCA">
        <w:rPr>
          <w:sz w:val="16"/>
        </w:rPr>
        <w:t>It would seem that</w:t>
      </w:r>
      <w:r w:rsidRPr="004C4BCA">
        <w:rPr>
          <w:rStyle w:val="StyleBoldUnderline"/>
        </w:rPr>
        <w:t xml:space="preserve"> </w:t>
      </w:r>
      <w:r w:rsidRPr="004C4BCA">
        <w:rPr>
          <w:rStyle w:val="StyleBoldUnderline"/>
          <w:highlight w:val="cyan"/>
        </w:rPr>
        <w:t>the Constitution is evolving in such a way that it no longer protects the peoples’ liberty;</w:t>
      </w:r>
      <w:r w:rsidRPr="004C4BCA">
        <w:rPr>
          <w:sz w:val="16"/>
        </w:rPr>
        <w:t xml:space="preserve"> rather, it answers their demands for the expansion of license based on an ever-changing social order. </w:t>
      </w:r>
    </w:p>
    <w:p w:rsidR="003C7634" w:rsidRPr="003C7634" w:rsidRDefault="003C7634" w:rsidP="003C7634"/>
    <w:p w:rsidR="003B35E3" w:rsidRDefault="00B11882" w:rsidP="003B35E3">
      <w:pPr>
        <w:pStyle w:val="Heading2"/>
        <w:rPr>
          <w:rFonts w:cs="Times New Roman"/>
        </w:rPr>
      </w:pPr>
      <w:r>
        <w:rPr>
          <w:rFonts w:cs="Times New Roman"/>
        </w:rPr>
        <w:t>Framing Advantage</w:t>
      </w:r>
    </w:p>
    <w:p w:rsidR="00B11882" w:rsidRPr="00B11882" w:rsidRDefault="000B1BA4" w:rsidP="00B11882">
      <w:pPr>
        <w:pStyle w:val="Heading3"/>
      </w:pPr>
      <w:r>
        <w:t>Consequentialism</w:t>
      </w:r>
    </w:p>
    <w:p w:rsidR="000B1BA4" w:rsidRPr="00A17106" w:rsidRDefault="000B1BA4" w:rsidP="000B1BA4">
      <w:pPr>
        <w:pStyle w:val="Heading4"/>
        <w:contextualSpacing/>
      </w:pPr>
      <w:r w:rsidRPr="00A17106">
        <w:t>Deontological theories of privacy rights are baseless and guaranteed to fail</w:t>
      </w:r>
    </w:p>
    <w:p w:rsidR="000B1BA4" w:rsidRPr="00A17106" w:rsidRDefault="000B1BA4" w:rsidP="000B1BA4">
      <w:pPr>
        <w:contextualSpacing/>
      </w:pPr>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contextualSpacing/>
        <w:rPr>
          <w:sz w:val="16"/>
        </w:rPr>
      </w:pPr>
      <w:r w:rsidRPr="00A17106">
        <w:rPr>
          <w:rStyle w:val="StyleBoldUnderline"/>
        </w:rPr>
        <w:t>Non-consequentialist</w:t>
      </w:r>
      <w:r w:rsidRPr="00A17106">
        <w:rPr>
          <w:sz w:val="16"/>
        </w:rPr>
        <w:t xml:space="preserve"> (</w:t>
      </w:r>
      <w:r w:rsidRPr="00A17106">
        <w:rPr>
          <w:rStyle w:val="StyleBoldUnderline"/>
        </w:rPr>
        <w:t>rights</w:t>
      </w:r>
      <w:r w:rsidRPr="00A17106">
        <w:rPr>
          <w:sz w:val="16"/>
        </w:rPr>
        <w:t xml:space="preserve">) </w:t>
      </w:r>
      <w:r w:rsidRPr="00A17106">
        <w:rPr>
          <w:rStyle w:val="StyleBoldUnderline"/>
        </w:rPr>
        <w:t>theories</w:t>
      </w:r>
      <w:r w:rsidRPr="00A17106">
        <w:rPr>
          <w:sz w:val="16"/>
        </w:rPr>
        <w:t xml:space="preserve">. The leading contemporary non-consequentialist theories are those which are framed in the language of rights. Following the Second World War, </w:t>
      </w:r>
      <w:r w:rsidRPr="00A17106">
        <w:rPr>
          <w:rStyle w:val="StyleBoldUnderline"/>
        </w:rPr>
        <w:t>there has been an immense increase in ‘rights talk’</w:t>
      </w:r>
      <w:r w:rsidRPr="00A17106">
        <w:rPr>
          <w:sz w:val="16"/>
        </w:rPr>
        <w:t xml:space="preserve">,81 both in the number of supposed rights and in total volume. Rights doctrine has progressed a long way since its original aim of providing ‘a legitimisation of ... claims against tyrannical or exploiting regimes’.82 As Tom Campbell points out: The human rights movement is based on the need for a counter-ideology to combat the abuses and misuses of political authority by those who invoke, as a justification for their activities, the need to subordinate the particular interests of individuals to the general good.83 </w:t>
      </w:r>
      <w:r w:rsidRPr="00A17106">
        <w:rPr>
          <w:rStyle w:val="StyleBoldUnderline"/>
        </w:rPr>
        <w:t>There is now, more than ever, a strong tendency to advance moral claims and arguments in terms of right</w:t>
      </w:r>
      <w:r w:rsidRPr="00A17106">
        <w:rPr>
          <w:sz w:val="16"/>
        </w:rPr>
        <w:t>s.84 Assertion of rights has become the customary means to express our moral sentiments. As Sumner notes: ‘</w:t>
      </w:r>
      <w:r w:rsidRPr="00B423B7">
        <w:rPr>
          <w:rStyle w:val="StyleBoldUnderline"/>
          <w:highlight w:val="cyan"/>
        </w:rPr>
        <w:t>There is virtually no area of public controversy in which rights are not to be found on at least one side of the question – and generally on both</w:t>
      </w:r>
      <w:r w:rsidRPr="00B423B7">
        <w:rPr>
          <w:sz w:val="16"/>
          <w:highlight w:val="cyan"/>
        </w:rPr>
        <w:t>.</w:t>
      </w:r>
      <w:r w:rsidRPr="00A17106">
        <w:rPr>
          <w:sz w:val="16"/>
        </w:rPr>
        <w:t xml:space="preserve">’85 The domination of rights talk is such that it is accurate to state that human rights have at least temporarily replaced maximising utility as the leading philosophical inspiration for political and social reform.86 Despite the dazzling veneer of deontological rights-based theories, </w:t>
      </w:r>
      <w:r w:rsidRPr="00A17106">
        <w:rPr>
          <w:rStyle w:val="StyleBoldUnderline"/>
        </w:rPr>
        <w:t>when examined closely they are unable to provide convincing answers to central issues such as: what is the justification for rights? How can we distinguish real from fanciful rights? Which right takes priority in the event of conflicting rights</w:t>
      </w:r>
      <w:r w:rsidRPr="00A17106">
        <w:rPr>
          <w:sz w:val="16"/>
        </w:rPr>
        <w:t xml:space="preserve">? Such intractable difficulties stem from the fact that </w:t>
      </w:r>
      <w:r w:rsidRPr="00B423B7">
        <w:rPr>
          <w:rStyle w:val="StyleBoldUnderline"/>
        </w:rPr>
        <w:t>contemporary rights theories lack a coherent foundation</w:t>
      </w:r>
      <w:r w:rsidRPr="00B423B7">
        <w:rPr>
          <w:sz w:val="16"/>
        </w:rPr>
        <w:t>.</w:t>
      </w:r>
      <w:r w:rsidRPr="00A17106">
        <w:rPr>
          <w:sz w:val="16"/>
        </w:rPr>
        <w:t xml:space="preserve"> It has been argued that </w:t>
      </w:r>
      <w:r w:rsidRPr="00B423B7">
        <w:rPr>
          <w:rStyle w:val="StyleBoldUnderline"/>
          <w:highlight w:val="cyan"/>
        </w:rPr>
        <w:t>attempts to ground rights in virtues</w:t>
      </w:r>
      <w:r w:rsidRPr="00A17106">
        <w:rPr>
          <w:rStyle w:val="StyleBoldUnderline"/>
        </w:rPr>
        <w:t xml:space="preserve"> such as dignity, concern or respect </w:t>
      </w:r>
      <w:r w:rsidRPr="00B423B7">
        <w:rPr>
          <w:rStyle w:val="StyleBoldUnderline"/>
          <w:highlight w:val="cyan"/>
        </w:rPr>
        <w:t>are unsound and that they fail to provide a mechanism for moving from abstract ideals to concrete rights</w:t>
      </w:r>
      <w:r w:rsidRPr="00B423B7">
        <w:rPr>
          <w:sz w:val="16"/>
          <w:highlight w:val="cyan"/>
        </w:rPr>
        <w:t>.</w:t>
      </w:r>
      <w:r w:rsidRPr="00A17106">
        <w:rPr>
          <w:sz w:val="16"/>
        </w:rPr>
        <w:t xml:space="preserve">87 </w:t>
      </w:r>
      <w:r w:rsidRPr="00B423B7">
        <w:rPr>
          <w:rStyle w:val="StyleBoldUnderline"/>
          <w:highlight w:val="cyan"/>
        </w:rPr>
        <w:t>A non-consequentialist ethic provides no method for distinguishing between genuine and fanciful rights claims and is incapable of providing guidance regarding the ranking of rights in the event of a clash.</w:t>
      </w:r>
      <w:r w:rsidRPr="00A17106">
        <w:rPr>
          <w:rStyle w:val="StyleBoldUnderline"/>
        </w:rPr>
        <w:t xml:space="preserve"> </w:t>
      </w:r>
      <w:r w:rsidRPr="00A17106">
        <w:rPr>
          <w:sz w:val="16"/>
        </w:rPr>
        <w:t xml:space="preserve">In light of this, it not surprising that the number of alleged rights has blossomed exponentially since the fundamental protective rights of life, liberty and property were advocated in the seventeenth and eighteenth centuries. Today, </w:t>
      </w:r>
      <w:r w:rsidRPr="00A17106">
        <w:rPr>
          <w:rStyle w:val="StyleBoldUnderline"/>
        </w:rPr>
        <w:t>all sorts of dubious claims have been advanced on the basis of rights</w:t>
      </w:r>
      <w:r w:rsidRPr="00A17106">
        <w:rPr>
          <w:sz w:val="16"/>
        </w:rPr>
        <w:t xml:space="preserve">: for example, ‘the right to a tobacco-free job’, the ‘right to sunshine’, the ‘right of a father to be present in the delivery room’, the ‘right to a sex break’,88 and even ‘the right to drink myself to death without interference’.89 </w:t>
      </w:r>
      <w:r w:rsidRPr="00A17106">
        <w:rPr>
          <w:rStyle w:val="StyleBoldUnderline"/>
        </w:rPr>
        <w:t>Novel rights are continually evolving and being asserted</w:t>
      </w:r>
      <w:r w:rsidRPr="00A17106">
        <w:rPr>
          <w:sz w:val="16"/>
        </w:rPr>
        <w:t xml:space="preserve">. A good example is the recent claim by the Australian Prime Minister (in the context of the debate concerning the availability of IVF treatment to same-sex couples or individuals) that each child has the right to a mother and father. In a similar vein, in light of the increasing world oil prices, it has been declared that this violates the right of Americans to cheap gasoline. In England, the Premier League has been accused of violating the right of football club supporters to an F.A. Cup ticket. Due to the great expansion in rights talk, </w:t>
      </w:r>
      <w:r w:rsidRPr="00B423B7">
        <w:rPr>
          <w:rStyle w:val="StyleBoldUnderline"/>
          <w:highlight w:val="cyan"/>
        </w:rPr>
        <w:t>rights are now in danger of being labelled as mere rhetoric and are losing their cogent moral force.</w:t>
      </w:r>
      <w:r w:rsidRPr="00A17106">
        <w:rPr>
          <w:sz w:val="16"/>
        </w:rPr>
        <w:t xml:space="preserve"> Or, as Sumner points out, </w:t>
      </w:r>
      <w:r w:rsidRPr="00B423B7">
        <w:rPr>
          <w:rStyle w:val="StyleBoldUnderline"/>
          <w:highlight w:val="cyan"/>
        </w:rPr>
        <w:t>rights become an ‘argumentative device capable of</w:t>
      </w:r>
      <w:r w:rsidRPr="00A17106">
        <w:rPr>
          <w:rStyle w:val="StyleBoldUnderline"/>
        </w:rPr>
        <w:t xml:space="preserve"> justifying anything [which means they are] capable of </w:t>
      </w:r>
      <w:r w:rsidRPr="00B423B7">
        <w:rPr>
          <w:rStyle w:val="StyleBoldUnderline"/>
          <w:highlight w:val="cyan"/>
        </w:rPr>
        <w:t>justifying nothing</w:t>
      </w:r>
      <w:r w:rsidRPr="00B423B7">
        <w:rPr>
          <w:sz w:val="16"/>
          <w:highlight w:val="cyan"/>
        </w:rPr>
        <w:t>’</w:t>
      </w:r>
      <w:r w:rsidRPr="00B423B7">
        <w:rPr>
          <w:sz w:val="16"/>
        </w:rPr>
        <w:t>.90</w:t>
      </w:r>
      <w:r w:rsidRPr="00A17106">
        <w:rPr>
          <w:sz w:val="16"/>
        </w:rPr>
        <w:t xml:space="preserve"> Therefore,</w:t>
      </w:r>
      <w:r w:rsidRPr="00A17106">
        <w:rPr>
          <w:rStyle w:val="StyleBoldUnderline"/>
        </w:rPr>
        <w:t xml:space="preserve"> </w:t>
      </w:r>
      <w:r w:rsidRPr="00A17106">
        <w:rPr>
          <w:rStyle w:val="Emphasis"/>
        </w:rPr>
        <w:t xml:space="preserve">in attempting to uncover the scope and </w:t>
      </w:r>
      <w:r w:rsidRPr="00B423B7">
        <w:rPr>
          <w:rStyle w:val="Emphasis"/>
          <w:highlight w:val="cyan"/>
        </w:rPr>
        <w:t>content of ‘emerging’ rights such as the right to privacy it is normally unhelpful to consider the issue from the perspective of a deontological rights-based normative theory</w:t>
      </w:r>
      <w:r w:rsidRPr="00A17106">
        <w:rPr>
          <w:rStyle w:val="Emphasis"/>
        </w:rPr>
        <w:t>.</w:t>
      </w:r>
      <w:r w:rsidRPr="00A17106">
        <w:rPr>
          <w:sz w:val="16"/>
        </w:rPr>
        <w:t xml:space="preserve"> Against the background of such a theory, </w:t>
      </w:r>
      <w:r w:rsidRPr="00A17106">
        <w:rPr>
          <w:rStyle w:val="StyleBoldUnderline"/>
        </w:rPr>
        <w:t>proponents of the right can simply assert the existence of a right to privacy and equally validly, opponents can assert a ‘right to know’</w:t>
      </w:r>
      <w:r w:rsidRPr="00A17106">
        <w:rPr>
          <w:sz w:val="16"/>
        </w:rPr>
        <w:t>. An impasse is then reached because there is no underlying ideal that can be invoked to provide guidance on the issue. As with many rights, t</w:t>
      </w:r>
      <w:r w:rsidRPr="00A17106">
        <w:rPr>
          <w:rStyle w:val="StyleBoldUnderline"/>
        </w:rPr>
        <w:t>he victor may unfortunately be the side which simply yells the loudest.</w:t>
      </w:r>
      <w:r w:rsidRPr="00A17106">
        <w:rPr>
          <w:sz w:val="16"/>
        </w:rPr>
        <w:t xml:space="preserve">91 This may seem to be unduly dismissive of rights-based theories and pay inadequate regard to the considerable moral reforms that have occurred against the backdrop of rights talk over the past half-century. There is no doubt that rights claims have proved to be an effective lever in bringing about social change. As Campbell correctly notes, rights have provided ‘a constant source of inspiration for the protection of individual liberty’.92 For example, recognition of the (universal) right to liberty resulted in the abolition of slavery; more recently the right of equality has been used as an effective weapon by women and other disenfranchised groups. For this reason, it is accepted that there is an ongoing need for moral discourse in the form of rights. This is so even if </w:t>
      </w:r>
      <w:r w:rsidRPr="00B423B7">
        <w:rPr>
          <w:rStyle w:val="StyleBoldUnderline"/>
          <w:highlight w:val="cyan"/>
        </w:rPr>
        <w:t>deontological rights-based moral theories</w:t>
      </w:r>
      <w:r w:rsidRPr="00B423B7">
        <w:rPr>
          <w:sz w:val="16"/>
          <w:highlight w:val="cyan"/>
        </w:rPr>
        <w:t xml:space="preserve"> (</w:t>
      </w:r>
      <w:r w:rsidRPr="00B423B7">
        <w:rPr>
          <w:rStyle w:val="StyleBoldUnderline"/>
          <w:highlight w:val="cyan"/>
        </w:rPr>
        <w:t>with</w:t>
      </w:r>
      <w:r w:rsidRPr="00A17106">
        <w:rPr>
          <w:sz w:val="16"/>
        </w:rPr>
        <w:t xml:space="preserve"> their </w:t>
      </w:r>
      <w:r w:rsidRPr="00B423B7">
        <w:rPr>
          <w:rStyle w:val="StyleBoldUnderline"/>
          <w:highlight w:val="cyan"/>
        </w:rPr>
        <w:t>absolutist</w:t>
      </w:r>
      <w:r w:rsidRPr="00B423B7">
        <w:rPr>
          <w:sz w:val="16"/>
          <w:highlight w:val="cyan"/>
        </w:rPr>
        <w:t xml:space="preserve"> </w:t>
      </w:r>
      <w:r w:rsidRPr="00B423B7">
        <w:rPr>
          <w:rStyle w:val="StyleBoldUnderline"/>
          <w:highlight w:val="cyan"/>
        </w:rPr>
        <w:t>overtones</w:t>
      </w:r>
      <w:r w:rsidRPr="00A17106">
        <w:rPr>
          <w:sz w:val="16"/>
        </w:rPr>
        <w:t xml:space="preserve">) </w:t>
      </w:r>
      <w:r w:rsidRPr="00B423B7">
        <w:rPr>
          <w:rStyle w:val="StyleBoldUnderline"/>
          <w:highlight w:val="cyan"/>
        </w:rPr>
        <w:t>are incapable of providing answers to questions such as the existence and content of proposed right</w:t>
      </w:r>
      <w:r w:rsidRPr="00A17106">
        <w:rPr>
          <w:rStyle w:val="StyleBoldUnderline"/>
        </w:rPr>
        <w:t>s, and even if rights are difficult to defend intellectually or are seen to be culturally biase</w:t>
      </w:r>
      <w:r w:rsidRPr="00A17106">
        <w:rPr>
          <w:sz w:val="16"/>
        </w:rPr>
        <w:t xml:space="preserve">d. There is a need for rights-talk, at least at the ‘edges of civilisation and in the tangle of international politics’.93 Still, the significant changes to the moral landscape for which non-consequentialist rights have provided the catalyst must be accounted for. There are several responses to this. First, </w:t>
      </w:r>
      <w:r w:rsidRPr="00B423B7">
        <w:rPr>
          <w:rStyle w:val="StyleBoldUnderline"/>
          <w:highlight w:val="cyan"/>
        </w:rPr>
        <w:t>the fact that a belief or judgment is capable of moving and guiding human conduct says little about its truth</w:t>
      </w:r>
      <w:r w:rsidRPr="00A17106">
        <w:rPr>
          <w:sz w:val="16"/>
        </w:rPr>
        <w:t xml:space="preserve"> – the widespread practice of burning ‘witches’ in medieval times being a case in point. Secondly, at the descriptive level, </w:t>
      </w:r>
      <w:r w:rsidRPr="00A17106">
        <w:rPr>
          <w:rStyle w:val="StyleBoldUnderline"/>
        </w:rPr>
        <w:t>the intuitive appeal of rights claims, and the absolutist and forceful manner in which they are expressed, has heretofore been sufficient to mask fundamental logical deficiencies associated with the concept of right</w:t>
      </w:r>
      <w:r w:rsidRPr="00A17106">
        <w:rPr>
          <w:sz w:val="16"/>
        </w:rPr>
        <w:t xml:space="preserve">s. Finally, and perhaps most importantly, we do not believe that there is no role in moral discourse for rights claims, simply that </w:t>
      </w:r>
      <w:r w:rsidRPr="00B423B7">
        <w:rPr>
          <w:rStyle w:val="StyleBoldUnderline"/>
          <w:highlight w:val="cyan"/>
        </w:rPr>
        <w:t>the only manner in which rights can be substantiated is in the context of a consequentialist ethic</w:t>
      </w:r>
      <w:r w:rsidRPr="00A17106">
        <w:rPr>
          <w:sz w:val="16"/>
        </w:rPr>
        <w:t>.94</w:t>
      </w:r>
    </w:p>
    <w:p w:rsidR="000B1BA4" w:rsidRPr="0083378E" w:rsidRDefault="000B1BA4" w:rsidP="000B1BA4">
      <w:pPr>
        <w:pStyle w:val="Heading4"/>
      </w:pPr>
      <w:r w:rsidRPr="00A17106">
        <w:t>Util &amp; Consequentialism are necessary and prevent absolutism</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sz w:val="14"/>
        </w:rPr>
      </w:pPr>
      <w:r w:rsidRPr="00A17106">
        <w:rPr>
          <w:sz w:val="14"/>
        </w:rPr>
        <w:t xml:space="preserve">Consequentialism. </w:t>
      </w:r>
      <w:r w:rsidRPr="00A17106">
        <w:rPr>
          <w:rStyle w:val="StyleBoldUnderline"/>
        </w:rPr>
        <w:t>A more promising tack for ascertaining the legitimacy of a right to privacy is to ground the analysis in a consequentialist ethic</w:t>
      </w:r>
      <w:r w:rsidRPr="00A17106">
        <w:rPr>
          <w:sz w:val="14"/>
        </w:rPr>
        <w:t xml:space="preserve">. The most popular consequentialist moral theory is utilitarianism. Several different forms of utilitarianism have been advanced. In our view, the most cogent (and certainly the most influential in moral and political discourse) is hedonistic act utilitarianism, which provides that the morally right action is that which produces the greatest amount of happiness or pleasure and the least amount of pain or unhappiness. </w:t>
      </w:r>
      <w:r w:rsidRPr="00A17106">
        <w:rPr>
          <w:rStyle w:val="StyleBoldUnderline"/>
        </w:rPr>
        <w:t>This theory selects the avoidance of pain, and the</w:t>
      </w:r>
      <w:r w:rsidRPr="00A17106">
        <w:rPr>
          <w:sz w:val="14"/>
        </w:rPr>
        <w:t xml:space="preserve"> corollary, the</w:t>
      </w:r>
      <w:r w:rsidRPr="00A17106">
        <w:rPr>
          <w:rStyle w:val="StyleBoldUnderline"/>
        </w:rPr>
        <w:t xml:space="preserve"> attainment of happiness, as the ultimate goals of moral principle. </w:t>
      </w:r>
      <w:r w:rsidRPr="00A17106">
        <w:rPr>
          <w:sz w:val="14"/>
        </w:rPr>
        <w:t xml:space="preserve">We are aware that </w:t>
      </w:r>
      <w:r w:rsidRPr="00A17106">
        <w:rPr>
          <w:rStyle w:val="StyleBoldUnderline"/>
        </w:rPr>
        <w:t>utilitarianism has received a lot of bad press over the past few decades</w:t>
      </w:r>
      <w:r w:rsidRPr="00A17106">
        <w:rPr>
          <w:sz w:val="14"/>
        </w:rPr>
        <w:t xml:space="preserve">, resulting in its demise as the leading normative theory. Considerations of space and focus do not permit us to fully discuss these matters. This has been done elsewhere.95 The key point to note for the purpose of the present discussion is that for those with a leaning towards rights-based ethical discourse, </w:t>
      </w:r>
      <w:r w:rsidRPr="00A17106">
        <w:rPr>
          <w:rStyle w:val="StyleBoldUnderline"/>
        </w:rPr>
        <w:t xml:space="preserve">utilitarianism is well able to accommodate interests in the form of rights. Rights not only have a utilitarian ethic, but in fact </w:t>
      </w:r>
      <w:r w:rsidRPr="00A17106">
        <w:rPr>
          <w:rStyle w:val="Emphasis"/>
        </w:rPr>
        <w:t xml:space="preserve">it is only against this background that rights can be explained and their source justified. </w:t>
      </w:r>
      <w:r w:rsidRPr="00A17106">
        <w:rPr>
          <w:rStyle w:val="StyleBoldUnderline"/>
        </w:rPr>
        <w:t>Utilitarianism provides a sounder foundation for rights than any other competing theory.</w:t>
      </w:r>
      <w:r w:rsidRPr="00A17106">
        <w:rPr>
          <w:sz w:val="14"/>
        </w:rPr>
        <w:t xml:space="preserve"> For the utilitarian, the answer to why rights exist is simple: recognition of them best promotes general utility. </w:t>
      </w:r>
      <w:r w:rsidRPr="00A17106">
        <w:rPr>
          <w:rStyle w:val="StyleBoldUnderline"/>
        </w:rPr>
        <w:t>Their origin accordingly lies in the pursuit of happiness. Their content is discovered through empirical observations</w:t>
      </w:r>
      <w:r w:rsidRPr="00A17106">
        <w:rPr>
          <w:sz w:val="14"/>
        </w:rPr>
        <w:t xml:space="preserve"> regarding the patterns of behaviour which best advance the utilitarian cause. The long association of utilitarianism and rights appears to have been forgotten by most. However, over a century ago it was John Stuart Mill who proclaimed </w:t>
      </w:r>
      <w:r w:rsidRPr="00A17106">
        <w:rPr>
          <w:rStyle w:val="StyleBoldUnderline"/>
        </w:rPr>
        <w:t>the right of free speech, on the basis that truth is important to the attainment of general happiness</w:t>
      </w:r>
      <w:r w:rsidRPr="00A17106">
        <w:rPr>
          <w:sz w:val="14"/>
        </w:rPr>
        <w:t xml:space="preserve"> and this is best discovered by its competition with falsehood.96 Difficulties in performing the utilitarian calculus regarding each decision make it desirable that we ascribe certain rights and interests to people – interests which evidence shows tend to maximise happiness97 – even more happiness than if we made all of our decisions without such guidelines. Rights save time and energy by serving as shortcuts to assist us in attaining desirable consequences. By labelling certain interests as rights, we are spared the tedious task of establishing the importance of a particular interest as a first premise in practical arguments.98 There are also other reasons why performing the utilitarian calculus on each occasion may be counter-productive to the ultimate aim. Our capacity to gather and process information and our foresight are restricted by a large number of factors, including lack of time, indifference to the matter at hand, defects in reasoning and so on. We are quite often not in a good position to assess all the possible alternatives and to determine the likely impact upon general happiness stemming from each alternative. Our ability to make the correct decision will be greatly assisted if we can narrow down the range of relevant factors in light of pre-determined guidelines. History has shown that certain patterns of conduct and norms of behaviour if observed are most conducive to promoting happiness. These observations are given expression in the form of rights which can be asserted in the absence of evidence why adherence to them in the particular case would not maximise net happiness. Thus </w:t>
      </w:r>
      <w:r w:rsidRPr="00A17106">
        <w:rPr>
          <w:rStyle w:val="StyleBoldUnderline"/>
        </w:rPr>
        <w:t>utilitarianism is well able to explain the existence and importance of rights</w:t>
      </w:r>
      <w:r w:rsidRPr="00A17106">
        <w:rPr>
          <w:sz w:val="14"/>
        </w:rPr>
        <w:t xml:space="preserve">. It is just that </w:t>
      </w:r>
      <w:r w:rsidRPr="00A17106">
        <w:rPr>
          <w:rStyle w:val="StyleBoldUnderline"/>
        </w:rPr>
        <w:t>rights do not have a life of their own (they are derivative, not foundational), as is the case with deontological theories</w:t>
      </w:r>
      <w:r w:rsidRPr="00A17106">
        <w:rPr>
          <w:sz w:val="14"/>
        </w:rPr>
        <w:t xml:space="preserve">. </w:t>
      </w:r>
      <w:r w:rsidRPr="00A17106">
        <w:rPr>
          <w:rStyle w:val="StyleBoldUnderline"/>
        </w:rPr>
        <w:t>Due to the derivative character of utilitarian rights, they do not carry the same degree of absolutism or ‘must be doneness’ as those based on deontological theories</w:t>
      </w:r>
      <w:r w:rsidRPr="00A17106">
        <w:rPr>
          <w:sz w:val="14"/>
        </w:rPr>
        <w:t xml:space="preserve">. However, </w:t>
      </w:r>
      <w:r w:rsidRPr="00A17106">
        <w:rPr>
          <w:rStyle w:val="StyleBoldUnderline"/>
        </w:rPr>
        <w:t>this is</w:t>
      </w:r>
      <w:r w:rsidRPr="00A17106">
        <w:rPr>
          <w:sz w:val="14"/>
        </w:rPr>
        <w:t xml:space="preserve"> not a criticism of utilitarianism, rath</w:t>
      </w:r>
      <w:r w:rsidRPr="00A17106">
        <w:rPr>
          <w:rStyle w:val="StyleBoldUnderline"/>
        </w:rPr>
        <w:t>e</w:t>
      </w:r>
      <w:r w:rsidRPr="00A17106">
        <w:rPr>
          <w:sz w:val="14"/>
        </w:rPr>
        <w:t xml:space="preserve">r it is </w:t>
      </w:r>
      <w:r w:rsidRPr="00A17106">
        <w:rPr>
          <w:rStyle w:val="StyleBoldUnderline"/>
        </w:rPr>
        <w:t xml:space="preserve">a strength since it is farcical to claim that any right is absolute. </w:t>
      </w:r>
      <w:r w:rsidRPr="00A17106">
        <w:rPr>
          <w:sz w:val="14"/>
        </w:rPr>
        <w:t xml:space="preserve">Another advantage of utilitarianism is </w:t>
      </w:r>
      <w:r w:rsidRPr="00A17106">
        <w:rPr>
          <w:rStyle w:val="StyleBoldUnderline"/>
        </w:rPr>
        <w:t>that it is the only theory that provides a mechanism for ranking rights and other interests</w:t>
      </w:r>
      <w:r w:rsidRPr="00A17106">
        <w:rPr>
          <w:sz w:val="14"/>
        </w:rPr>
        <w:t>. In event of clash, the victor is the right which will generate the most happiness.</w:t>
      </w:r>
    </w:p>
    <w:p w:rsidR="00B11882" w:rsidRPr="00A17106" w:rsidRDefault="00B11882" w:rsidP="00B11882"/>
    <w:p w:rsidR="00B11882" w:rsidRPr="00A17106" w:rsidRDefault="00B11882" w:rsidP="00B11882">
      <w:pPr>
        <w:pStyle w:val="Heading4"/>
        <w:rPr>
          <w:rFonts w:cs="Times New Roman"/>
        </w:rPr>
      </w:pPr>
      <w:r>
        <w:rPr>
          <w:rFonts w:cs="Times New Roman"/>
        </w:rPr>
        <w:t>***</w:t>
      </w:r>
    </w:p>
    <w:p w:rsidR="000B1BA4" w:rsidRPr="00A17106" w:rsidRDefault="000B1BA4" w:rsidP="000B1BA4">
      <w:pPr>
        <w:rPr>
          <w:rStyle w:val="StyleStyleBold12pt"/>
          <w:b w:val="0"/>
        </w:rPr>
      </w:pPr>
      <w:r w:rsidRPr="00A17106">
        <w:rPr>
          <w:rStyle w:val="StyleStyleBold12pt"/>
        </w:rPr>
        <w:t>Harel and Sharon 11</w:t>
      </w:r>
      <w:r w:rsidRPr="0083378E">
        <w:rPr>
          <w:sz w:val="18"/>
          <w:szCs w:val="18"/>
        </w:rPr>
        <w:t xml:space="preserve"> (Harel is part of the Hebrew University Law Faculty, Professor of law, Boston University Law School and Sharon is part of the Department of Philosophy, Stanford University [Alon Harel and Assaf Sharon, “'Necessity knows no law'”, Volume 61 – Number 4 Fall 2011, Project Muse]</w:t>
      </w:r>
      <w:r>
        <w:rPr>
          <w:sz w:val="18"/>
          <w:szCs w:val="18"/>
        </w:rPr>
        <w:t xml:space="preserve"> hk</w:t>
      </w:r>
    </w:p>
    <w:p w:rsidR="000B1BA4" w:rsidRPr="00A17106" w:rsidRDefault="000B1BA4" w:rsidP="000B1BA4">
      <w:pPr>
        <w:rPr>
          <w:rStyle w:val="Emphasis"/>
        </w:rPr>
      </w:pPr>
      <w:r w:rsidRPr="00A17106">
        <w:rPr>
          <w:rStyle w:val="StyleBoldUnderline"/>
        </w:rPr>
        <w:t xml:space="preserve">Even </w:t>
      </w:r>
      <w:r w:rsidRPr="00736DFC">
        <w:rPr>
          <w:rStyle w:val="StyleBoldUnderline"/>
          <w:highlight w:val="cyan"/>
        </w:rPr>
        <w:t>orthodox advocates of deontological prohibitions concede that certain significant risks warrant the infringement of rights</w:t>
      </w:r>
      <w:r w:rsidRPr="00A17106">
        <w:rPr>
          <w:sz w:val="16"/>
        </w:rPr>
        <w:t xml:space="preserve"> - including the right to life.10 A leading strategy for dealing with the dilemma of extreme cases is what has come to be known as threshold deontology. Thus, most contemporary deontologists agree that deontological [End Page 849] injunctions can be overridden under certain circumstances. </w:t>
      </w:r>
      <w:r w:rsidRPr="00A17106">
        <w:rPr>
          <w:rStyle w:val="StyleBoldUnderline"/>
        </w:rPr>
        <w:t xml:space="preserve">Even if one concedes that shooting down a plane carrying fifty passengers in order to save fifty victims is not justified, </w:t>
      </w:r>
      <w:r w:rsidRPr="00736DFC">
        <w:rPr>
          <w:rStyle w:val="StyleBoldUnderline"/>
          <w:highlight w:val="cyan"/>
        </w:rPr>
        <w:t>the numbers can surely be fiddled with until an acceptable ratio is achieved</w:t>
      </w:r>
      <w:r w:rsidRPr="00736DFC">
        <w:rPr>
          <w:sz w:val="16"/>
          <w:highlight w:val="cyan"/>
        </w:rPr>
        <w:t>.</w:t>
      </w:r>
      <w:r w:rsidRPr="00A17106">
        <w:rPr>
          <w:sz w:val="16"/>
        </w:rPr>
        <w:t xml:space="preserve"> What about shooting down fifty passengers to save 1 000 victims? What about 10 000? And what about shooting down two to save 50? The issue surely must not hinge on playing with the numbers. As a matter of principle, there must be some ratio of victims to potential victims that would indeed justify the downing of the plane.11 This is not merely an abstract observation of moral philosophers. The duties to protect are an established component of many constitutions, including the German Federal Constitution. This duty entails a duty to protect the potential victims of a terrorist attack, and such a duty, enshrined in the Constitution, may under certain circumstances require infringing some people's rights. Some of the difficulties faced by threshold deontology are familiar and need not be rehearsed here.12 Let us, however, point out one difficulty which, to our mind, has not received due emphasis. Threshold deontology we argue is not faithful to the underlying values and commitments of deontology of at least one central brand - Kantian deontology. </w:t>
      </w:r>
      <w:r w:rsidRPr="00A17106">
        <w:rPr>
          <w:rStyle w:val="StyleBoldUnderline"/>
        </w:rPr>
        <w:t>The basic challenge faced by threshold deontology is to address the following question: if the life of one person cannot be sacrificed for the sake of saving one other person, or two, or even one hundred, why can it be sacrificed to save one thousand, or ten thousand, or one million</w:t>
      </w:r>
      <w:r w:rsidRPr="00A17106">
        <w:rPr>
          <w:sz w:val="16"/>
        </w:rPr>
        <w:t xml:space="preserve">? The natural answer of a Kantian threshold deontologist is to maintain that, while sacrificing one person to save two or three violates the victims' dignity, the sacrifice of one to save a thousand does not violate the victims' dignity. In other words, </w:t>
      </w:r>
      <w:r w:rsidRPr="00736DFC">
        <w:rPr>
          <w:rStyle w:val="Emphasis"/>
          <w:highlight w:val="cyan"/>
        </w:rPr>
        <w:t>there is a threshold above which the sacrifice of life does not constitute a violation of dignity.</w:t>
      </w:r>
    </w:p>
    <w:p w:rsidR="00B11882" w:rsidRPr="00A17106" w:rsidRDefault="00B11882" w:rsidP="00B11882">
      <w:pPr>
        <w:pStyle w:val="Heading4"/>
      </w:pPr>
      <w:r>
        <w:t>***</w:t>
      </w:r>
    </w:p>
    <w:p w:rsidR="000B1BA4" w:rsidRPr="00A17106" w:rsidRDefault="000B1BA4" w:rsidP="000B1BA4">
      <w:r w:rsidRPr="0083378E">
        <w:rPr>
          <w:rStyle w:val="StyleStyleBold12pt"/>
        </w:rPr>
        <w:t>Kuehn 91</w:t>
      </w:r>
      <w:r w:rsidRPr="00A17106">
        <w:rPr>
          <w:b/>
        </w:rPr>
        <w:t xml:space="preserve"> </w:t>
      </w:r>
      <w:r w:rsidRPr="0083378E">
        <w:rPr>
          <w:sz w:val="18"/>
          <w:szCs w:val="18"/>
        </w:rPr>
        <w:t>(Kuehn has Fellowships from the Canada Council, the National Endowment for the Humanities, and the Institute of Advanced Studies of the University of Edinburgh, taught in Canada, Germany and the U.S.A., was Gastprofessor at the University of Hamburg, and Kuehn joined the Boston University faculty in August of 2004, and teaches full time both semesters each year [Manfred Kuehn, “Kantian Ethics and Socialism (Review)”, Journal of the History of Philosophy, Volume 29, Number 2, April 1991, pp. 318-321 (Review),  project muse]</w:t>
      </w:r>
      <w:r>
        <w:rPr>
          <w:sz w:val="18"/>
          <w:szCs w:val="18"/>
        </w:rPr>
        <w:t xml:space="preserve"> hk</w:t>
      </w:r>
    </w:p>
    <w:p w:rsidR="000B1BA4" w:rsidRPr="00A17106" w:rsidRDefault="000B1BA4" w:rsidP="000B1BA4">
      <w:pPr>
        <w:rPr>
          <w:sz w:val="16"/>
        </w:rPr>
      </w:pPr>
      <w:r w:rsidRPr="00A17106">
        <w:rPr>
          <w:sz w:val="16"/>
        </w:rPr>
        <w:t xml:space="preserve">Even if we grant that a "critical reconstruction" has to satisfy different criteria from an "interpretation," there must be some criteria for assessing its adequacy on textual and historical grounds. To qualify as a reconstruction, it must have sufficient similarity to its prototype. While it is often difficult to determine what is sufficient in a particular case, most philosophical scholars would agree--I believe--that if a reconstruction were to lead to views that contradict some of the most fundamental features of its prototype, then it does not qualify as a reconstruction. But precisely this is the case with van der Linden's interpretation of Kant's duty to promote the highest good as central for Kantian social ethics. The following three points should go some way towards showing this: (i) When van der </w:t>
      </w:r>
      <w:r w:rsidRPr="00736DFC">
        <w:rPr>
          <w:rStyle w:val="StyleBoldUnderline"/>
          <w:highlight w:val="cyan"/>
        </w:rPr>
        <w:t>Linden</w:t>
      </w:r>
      <w:r w:rsidRPr="00A17106">
        <w:rPr>
          <w:rStyle w:val="StyleBoldUnderline"/>
        </w:rPr>
        <w:t xml:space="preserve"> </w:t>
      </w:r>
      <w:r w:rsidRPr="00A17106">
        <w:rPr>
          <w:sz w:val="16"/>
        </w:rPr>
        <w:t xml:space="preserve">interprets "the highest good as a society in which human agents seek to make one another happy," he claims he has </w:t>
      </w:r>
      <w:r w:rsidRPr="00736DFC">
        <w:rPr>
          <w:rStyle w:val="StyleBoldUnderline"/>
          <w:highlight w:val="cyan"/>
        </w:rPr>
        <w:t xml:space="preserve">changed "somewhat Kant's common definition of the highest good, but [has] preserve[d] the meaning of his claim that we must promote the highest good </w:t>
      </w:r>
      <w:r w:rsidRPr="00736DFC">
        <w:rPr>
          <w:sz w:val="16"/>
          <w:highlight w:val="cyan"/>
        </w:rPr>
        <w:t>(</w:t>
      </w:r>
      <w:r w:rsidRPr="00A17106">
        <w:rPr>
          <w:sz w:val="16"/>
        </w:rPr>
        <w:t xml:space="preserve">as the union of universal virtue and universal happiness)" (4). </w:t>
      </w:r>
      <w:r w:rsidRPr="00736DFC">
        <w:rPr>
          <w:rStyle w:val="Emphasis"/>
          <w:highlight w:val="cyan"/>
        </w:rPr>
        <w:t>But this is clearly false</w:t>
      </w:r>
      <w:r w:rsidRPr="00A17106">
        <w:rPr>
          <w:rStyle w:val="Emphasis"/>
        </w:rPr>
        <w:t>.</w:t>
      </w:r>
      <w:r w:rsidRPr="00A17106">
        <w:rPr>
          <w:sz w:val="16"/>
        </w:rPr>
        <w:t xml:space="preserve"> He has radically changed Kant's meaning by emphasizing a different factor from the one Kant does. Kant differentiates in the highest good between an "a priori factor" that depends upon us, i.e., our morality, and an "empirically conditioned factor" that does not necessarily depend upon us, i.e., is external to us. This latter factor is happiness. A duty "to further the summum bonum as far as it in us lies" (AK 5: 453) can only amount to furthering the component that is up to us, i.e., to pursuing the strictest morality, not universal happiness. </w:t>
      </w:r>
      <w:r w:rsidRPr="00A17106">
        <w:rPr>
          <w:rStyle w:val="StyleBoldUnderline"/>
        </w:rPr>
        <w:t>Van der Linden wants us to further what is external to us</w:t>
      </w:r>
      <w:r w:rsidRPr="00A17106">
        <w:rPr>
          <w:sz w:val="16"/>
        </w:rPr>
        <w:t xml:space="preserve">, empirically conditioned, and clearly not entirely in our power (see also point ii). It is in this way that he transforms the summum bonum into a "social ideal." This ideal is perhaps more reasonable than Kant's, but it also amounts to the opposite of Kant's own ideal. At one point van der Linden observes: "Cohen eliminates the distinction between the highest political good and the highest moral good and puts in their place one highest good, a peaceful international order of democratic socialist societies" (164). That seems to me, more or less, what van der Linden also does. (ii) When van der Linden attempts "to show that each of the formulations of the categorical imperative.., demands that we seek a moral society in which human agents try to make one another happy" (5f.), he clearly makes happiness the criterion for the morality of acts. However, if </w:t>
      </w:r>
      <w:r w:rsidRPr="00736DFC">
        <w:rPr>
          <w:rStyle w:val="StyleBoldUnderline"/>
          <w:highlight w:val="cyan"/>
        </w:rPr>
        <w:t>Kant</w:t>
      </w:r>
      <w:r w:rsidRPr="00A17106">
        <w:rPr>
          <w:sz w:val="16"/>
        </w:rPr>
        <w:t xml:space="preserve"> was opposed to anything in his moral theory, it was precisely to this move. To be sure, his </w:t>
      </w:r>
      <w:r w:rsidRPr="00736DFC">
        <w:rPr>
          <w:rStyle w:val="StyleBoldUnderline"/>
          <w:highlight w:val="cyan"/>
        </w:rPr>
        <w:t>arguments are directed more against egoistic versions of this type of consequentialism</w:t>
      </w:r>
      <w:r w:rsidRPr="00A17106">
        <w:rPr>
          <w:rStyle w:val="StyleBoldUnderline"/>
        </w:rPr>
        <w:t>, but his arguments can be seen to be directed against collectivist ones as well</w:t>
      </w:r>
      <w:r w:rsidRPr="00A17106">
        <w:rPr>
          <w:sz w:val="16"/>
        </w:rPr>
        <w:t xml:space="preserve">. For one thing, </w:t>
      </w:r>
      <w:r w:rsidRPr="00736DFC">
        <w:rPr>
          <w:rStyle w:val="Emphasis"/>
          <w:highlight w:val="cyan"/>
        </w:rPr>
        <w:t>Kant was much too skeptical about our ability to predict what will bring about happiness</w:t>
      </w:r>
      <w:r w:rsidRPr="00A17106">
        <w:rPr>
          <w:sz w:val="16"/>
        </w:rPr>
        <w:t xml:space="preserve"> (be it our own or that of other people) to give it such a central place in his moral theory (see especially Ak 4: 393-97, and 8: 370). Kant is also adamant that man's morality should not be based upon anything depending on "the circumstances in which he is placed" (ibid., 389). And this is one of the main reasons why he held that "from the viewpoint of the people's welfare, no theory properly applies at all; instead, everything rests on practice submissive to experience" (Ak 8: 3o6). Van der Linden's reconstruction transforms Kant's theory into something Kant himself says is impossible. (iii) In one of the late historical pieces on which van der Linden relies so much, Kant expressis verbis rejects the highest good as a moral principle, saying, when "we ask about the principle of morals, the doctrine of the highest good as the ultimate end of a will that is in conformity to its laws can thus be wholly ignored and put aside as episodic" (On the Old Saw: That May Be Right in Theory; Ak 8: 28o). What Kant considers (and, according to the logic of his position, must consider) as inessential and "episodic," thus becomes central in van der Linden's reconstruction. When he tells us "I place politics, history, social conflict, and the moral commitment to change society at the core of Kant's practical philosophy, attempting to undercut the view of ethics as primarily concerned with the struggle between individual duty and inclination" (vii, emphasis mine), he himself tells us precisely what he does.</w:t>
      </w:r>
    </w:p>
    <w:p w:rsidR="0073612D" w:rsidRPr="0073612D" w:rsidRDefault="000B1BA4" w:rsidP="0073612D">
      <w:pPr>
        <w:pStyle w:val="Heading4"/>
      </w:pPr>
      <w:r>
        <w:t>**</w:t>
      </w:r>
      <w:r w:rsidR="0073612D" w:rsidRPr="0073612D">
        <w:t xml:space="preserve">Consequentialism trumps deontology </w:t>
      </w:r>
    </w:p>
    <w:p w:rsidR="0073612D" w:rsidRPr="0073612D" w:rsidRDefault="0073612D" w:rsidP="0073612D">
      <w:pPr>
        <w:widowControl w:val="0"/>
        <w:autoSpaceDE w:val="0"/>
        <w:autoSpaceDN w:val="0"/>
        <w:adjustRightInd w:val="0"/>
        <w:rPr>
          <w:sz w:val="16"/>
          <w:szCs w:val="16"/>
        </w:rPr>
      </w:pPr>
      <w:r w:rsidRPr="0073612D">
        <w:rPr>
          <w:rStyle w:val="StyleStyleBold12pt"/>
        </w:rPr>
        <w:t>Lindsay 5</w:t>
      </w:r>
      <w:r w:rsidRPr="0073612D">
        <w:rPr>
          <w:b/>
          <w:bCs/>
          <w:sz w:val="34"/>
          <w:szCs w:val="34"/>
        </w:rPr>
        <w:t xml:space="preserve"> </w:t>
      </w:r>
      <w:r w:rsidRPr="0073612D">
        <w:rPr>
          <w:sz w:val="16"/>
          <w:szCs w:val="16"/>
        </w:rPr>
        <w:t xml:space="preserve">– senior lecturer, faculty of law at Monash University (July 15, “AN EXPLORATION OF THE CONCEPTUAL BASIS OF PRIVACY AND THE IMPLICATIONS FOR THE FUTURE OF AUSTRALIAN PRIVACY LAW,” Melbourne University Law Review: Volume 29, 7/15/05, </w:t>
      </w:r>
      <w:hyperlink r:id="rId32" w:history="1">
        <w:r w:rsidRPr="0073612D">
          <w:rPr>
            <w:color w:val="6B006D"/>
            <w:sz w:val="16"/>
            <w:szCs w:val="16"/>
          </w:rPr>
          <w:t>https://www.law.unimelb.edu.au/files/dmfile/29_1_4.pdf</w:t>
        </w:r>
      </w:hyperlink>
      <w:r w:rsidRPr="0073612D">
        <w:rPr>
          <w:sz w:val="16"/>
          <w:szCs w:val="16"/>
        </w:rPr>
        <w:t>) mj</w:t>
      </w:r>
    </w:p>
    <w:p w:rsidR="0073612D" w:rsidRPr="0073612D" w:rsidRDefault="0073612D" w:rsidP="0073612D">
      <w:pPr>
        <w:widowControl w:val="0"/>
        <w:autoSpaceDE w:val="0"/>
        <w:autoSpaceDN w:val="0"/>
        <w:adjustRightInd w:val="0"/>
        <w:rPr>
          <w:sz w:val="16"/>
          <w:szCs w:val="30"/>
        </w:rPr>
      </w:pPr>
      <w:r w:rsidRPr="0073612D">
        <w:rPr>
          <w:sz w:val="16"/>
        </w:rPr>
        <w:t>Consequentialist accounts justify privacy insofar as it produces desirable outcomes. Rigorous versions of consequentialism are forms of utilitarianism, whereby outcomes are determined by an aggregation, or maximisation, of individual utilities.</w:t>
      </w:r>
      <w:r w:rsidRPr="0073612D">
        <w:rPr>
          <w:sz w:val="16"/>
          <w:szCs w:val="30"/>
        </w:rPr>
        <w:t xml:space="preserve"> </w:t>
      </w:r>
      <w:r w:rsidRPr="0073612D">
        <w:rPr>
          <w:sz w:val="16"/>
        </w:rPr>
        <w:t xml:space="preserve">Utilitarian-influenced approaches are well-suited to evaluating which of a number of competing interests should prevail by reference to overall results. For example, </w:t>
      </w:r>
      <w:r w:rsidRPr="0073612D">
        <w:rPr>
          <w:sz w:val="30"/>
          <w:szCs w:val="30"/>
          <w:u w:val="single"/>
        </w:rPr>
        <w:t xml:space="preserve">a strict consequentialist could have no objection to an invasion of privacy that was </w:t>
      </w:r>
      <w:r w:rsidRPr="0073612D">
        <w:rPr>
          <w:b/>
          <w:bCs/>
          <w:sz w:val="30"/>
          <w:szCs w:val="30"/>
          <w:u w:val="single"/>
        </w:rPr>
        <w:t>necessary to produce a desirable outcome</w:t>
      </w:r>
      <w:r w:rsidRPr="0073612D">
        <w:rPr>
          <w:sz w:val="30"/>
          <w:szCs w:val="30"/>
          <w:u w:val="single"/>
        </w:rPr>
        <w:t>, such as the preservation of life or an increase in economic welfare.</w:t>
      </w:r>
      <w:r w:rsidRPr="0073612D">
        <w:rPr>
          <w:sz w:val="16"/>
        </w:rPr>
        <w:t xml:space="preserve"> However, pure forms of consequentialism have considerable difficulties in dealing with arguments that rights should be respected regardless of the consequences.68 As a simple example, </w:t>
      </w:r>
      <w:r w:rsidRPr="0073612D">
        <w:rPr>
          <w:sz w:val="30"/>
          <w:szCs w:val="30"/>
          <w:u w:val="single"/>
        </w:rPr>
        <w:t>a consequentialist might consider acceptable the publication of intimate details of an intercepted telephone conversation</w:t>
      </w:r>
      <w:r w:rsidRPr="0073612D">
        <w:rPr>
          <w:sz w:val="16"/>
        </w:rPr>
        <w:t xml:space="preserve"> or, indeed, the placement of surveillance cameras inside a person’s home, </w:t>
      </w:r>
      <w:r w:rsidRPr="0073612D">
        <w:rPr>
          <w:sz w:val="30"/>
          <w:szCs w:val="30"/>
          <w:u w:val="single"/>
        </w:rPr>
        <w:t>if the invasion of privacy results in an increase in overall welfare.</w:t>
      </w:r>
      <w:r w:rsidRPr="0073612D">
        <w:rPr>
          <w:sz w:val="16"/>
          <w:szCs w:val="30"/>
        </w:rPr>
        <w:t xml:space="preserve"> </w:t>
      </w:r>
      <w:r w:rsidRPr="0073612D">
        <w:rPr>
          <w:sz w:val="16"/>
        </w:rPr>
        <w:t xml:space="preserve">However, those who have favoured explicitly consequentialist views of privacy have generally not been indirect utilitarians. H J McCloskey, for example, simply regarded the protection of privacy as justified to the extent that it promotes what are, for him, the more fundamental goods of human happiness, justice and liberty.72 This led him to conclude, in general terms, that </w:t>
      </w:r>
      <w:r w:rsidRPr="0073612D">
        <w:rPr>
          <w:sz w:val="30"/>
          <w:szCs w:val="30"/>
          <w:u w:val="single"/>
        </w:rPr>
        <w:t xml:space="preserve">if concerns about privacy come into conflict with more fundamental concerns regarding liberty of action, </w:t>
      </w:r>
      <w:r w:rsidRPr="0073612D">
        <w:rPr>
          <w:b/>
          <w:bCs/>
          <w:sz w:val="30"/>
          <w:szCs w:val="30"/>
          <w:u w:val="single"/>
        </w:rPr>
        <w:t>invasions of privacy should be accepted</w:t>
      </w:r>
      <w:r w:rsidRPr="0073612D">
        <w:rPr>
          <w:sz w:val="30"/>
          <w:szCs w:val="30"/>
          <w:u w:val="single"/>
        </w:rPr>
        <w:t>, and social attitudes adjusted accordingly.</w:t>
      </w:r>
      <w:r w:rsidRPr="0073612D">
        <w:rPr>
          <w:sz w:val="16"/>
          <w:szCs w:val="30"/>
        </w:rPr>
        <w:t xml:space="preserve"> </w:t>
      </w:r>
      <w:r w:rsidRPr="0073612D">
        <w:rPr>
          <w:sz w:val="16"/>
        </w:rPr>
        <w:t xml:space="preserve">If privacy is understood within the context of overall social processes of rationalisation and normalisation, and as integral to struggles over self-definition, the difficulties consequentialist accounts face in taking privacy seriously are comprehensible. In particular, by valuing a purely instrumental concept of reason, welfarism can be seen as privileging impersonal social objectives over human values, such as the ability of individual subjects to define themselves and respect for human dignity. </w:t>
      </w:r>
      <w:r w:rsidRPr="0073612D">
        <w:rPr>
          <w:sz w:val="30"/>
          <w:szCs w:val="30"/>
          <w:u w:val="single"/>
        </w:rPr>
        <w:t xml:space="preserve">Strict welfarist analysis is therefore completely implicated in processes of rationalisation and normalisation, suggesting that it is especially </w:t>
      </w:r>
      <w:r w:rsidRPr="0073612D">
        <w:rPr>
          <w:b/>
          <w:bCs/>
          <w:sz w:val="30"/>
          <w:szCs w:val="30"/>
          <w:u w:val="single"/>
        </w:rPr>
        <w:t>ill-suited as a means for analysing the value of privacy.</w:t>
      </w:r>
      <w:r w:rsidRPr="0073612D">
        <w:rPr>
          <w:sz w:val="16"/>
        </w:rPr>
        <w:t xml:space="preserve"> It is only if the models of the individual subject and of human reason underlying welfarism are enriched in ways suggested by Mill and Sen — by including values such as the ability of the individual to determine his or her own ends — that consequentialism is ever likely to be sympathetic to privacy. The implication of such a broad approach would be to constrain the untrammelled pursuit of welfarist objectives by the protection of individual rights, however formulated. However, broadening the approach in this way would seem to introduce the universalistic pretensions that plague deontological approaches to privacy.</w:t>
      </w:r>
    </w:p>
    <w:p w:rsidR="000B1BA4" w:rsidRPr="00ED526B" w:rsidRDefault="0073612D" w:rsidP="000B1BA4">
      <w:pPr>
        <w:pStyle w:val="Heading4"/>
      </w:pPr>
      <w:r w:rsidRPr="0073612D">
        <w:rPr>
          <w:rFonts w:cs="Times New Roman"/>
          <w:sz w:val="30"/>
          <w:szCs w:val="30"/>
        </w:rPr>
        <w:t> </w:t>
      </w:r>
      <w:r w:rsidR="000B1BA4">
        <w:t>**</w:t>
      </w:r>
      <w:r w:rsidR="000B1BA4" w:rsidRPr="00ED526B">
        <w:t xml:space="preserve">Human rights is the epitome of consequentialism </w:t>
      </w:r>
    </w:p>
    <w:p w:rsidR="000B1BA4" w:rsidRPr="00F840B9" w:rsidRDefault="000B1BA4" w:rsidP="000B1BA4">
      <w:pPr>
        <w:rPr>
          <w:sz w:val="20"/>
          <w:szCs w:val="20"/>
        </w:rPr>
      </w:pPr>
      <w:r w:rsidRPr="00651540">
        <w:rPr>
          <w:rStyle w:val="StyleStyleBold12pt"/>
        </w:rPr>
        <w:t>Çalı 7</w:t>
      </w:r>
      <w:r>
        <w:t xml:space="preserve">– </w:t>
      </w:r>
      <w:r w:rsidRPr="00B7373A">
        <w:rPr>
          <w:sz w:val="20"/>
          <w:szCs w:val="20"/>
        </w:rPr>
        <w:t xml:space="preserve">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[Başak Çalı, “Balancing Human Rights? Methodological Problems with Weights, Scales and Proportions”, Human Rights Quarterly 29.1 (2007) 251-270, project muse ] hk </w:t>
      </w:r>
    </w:p>
    <w:p w:rsidR="000B1BA4" w:rsidRPr="00A31FD0" w:rsidRDefault="000B1BA4" w:rsidP="000B1BA4">
      <w:pPr>
        <w:rPr>
          <w:sz w:val="16"/>
        </w:rPr>
      </w:pPr>
      <w:r w:rsidRPr="004A02CC">
        <w:rPr>
          <w:rStyle w:val="StyleBoldUnderline"/>
        </w:rPr>
        <w:t>A specific group of human rights are categorized as qualified rights in political and legal practice because it is a common understanding that such</w:t>
      </w:r>
      <w:r w:rsidRPr="00A31FD0">
        <w:rPr>
          <w:sz w:val="16"/>
        </w:rPr>
        <w:t xml:space="preserve"> [End Page 257] </w:t>
      </w:r>
      <w:r w:rsidRPr="004A02CC">
        <w:rPr>
          <w:rStyle w:val="StyleBoldUnderline"/>
        </w:rPr>
        <w:t>rights are not and should not be absolute.</w:t>
      </w:r>
      <w:r w:rsidRPr="00A31FD0">
        <w:rPr>
          <w:sz w:val="16"/>
        </w:rPr>
        <w:t xml:space="preserve">31 A human right is regarded as absolute when it cannot be overridden under any empirical circumstance whatsoever.32 Any competing consideration that may emerge according to circumstances is ruled out as irrelevant to upholding a human right in practice. The most common examples of absolute rights provisions in international law are freedom from torture, right to due process, and freedom from slavery.33 </w:t>
      </w:r>
      <w:r w:rsidRPr="00FA1549">
        <w:rPr>
          <w:rStyle w:val="Emphasis"/>
        </w:rPr>
        <w:t>These protections call for action from decision makers, independent of the circumstances.</w:t>
      </w:r>
      <w:r w:rsidRPr="00A31FD0">
        <w:rPr>
          <w:sz w:val="16"/>
        </w:rPr>
        <w:t xml:space="preserve"> Courts are also under an obligation to ensure that any measure taken by executive authorities does not infringe upon the absolute character of the right.34 Even the existence of exceptional circumstances, such as a state of emergency or an armed conflict, does not suspend this requirement of independent action.35 [End Page 258] Qualified rights, on the other hand, are marked by their lack of absoluteness. They may conflict with other interests that may or may not be protected by human rights. Whether the protection of such rights then should be subject to consequential forms of analysis remains unclear</w:t>
      </w:r>
      <w:r w:rsidRPr="00FA1549">
        <w:rPr>
          <w:rStyle w:val="StyleBoldUnderline"/>
        </w:rPr>
        <w:t>. Human rights protections precisely aim to act as constraints on consequentialist forms of reasoning.</w:t>
      </w:r>
      <w:r w:rsidRPr="00A31FD0">
        <w:rPr>
          <w:sz w:val="16"/>
        </w:rPr>
        <w:t xml:space="preserve"> Acts of balancing require identification of interests, assigning values to them and ultimately to deciding which interest yields the net benefit. This leads to a contradicting position of subjecting the constraint itself (human rights protections) to a test of consequentialism.36 This position can only be logical if qualified rights, such as that of freedom of expression, freedom of assembly, or freedom of association are thought to be intrinsically different from absolute rights such as freedom from torture and freedom from slavery. </w:t>
      </w:r>
      <w:r w:rsidRPr="00A31FD0">
        <w:rPr>
          <w:rStyle w:val="StyleBoldUnderline"/>
        </w:rPr>
        <w:t>This distinction would mean two things: First, qualified human rights are by their nature in a commensurate conflicting relationship with communal aims and interests and are, therefore, context-sensitive. Second, context-sensitive rights are by their nature subject to utilitarian calculations of net benefit.</w:t>
      </w:r>
      <w:r w:rsidRPr="00A31FD0">
        <w:rPr>
          <w:sz w:val="16"/>
        </w:rPr>
        <w:t xml:space="preserve"> None of these points, however, are coherent with the nature of human rights protections. It is clear that acts of balancing require this central assumption—that conflicts are commensurate. The case-law of the European Court of Human Rights reflects the strong influence of this assumption. The European Court of Human Rights takes striking a fair balance "between the competing interests of the individual and the community as a whole"37 as one of its interpretive principles in assessing qualified human rights claims. This view reduces important questions about human rights to a conflict between the rights claims of a particular individual against the community. Human rights protections do indeed benefit certain persons at certain times. </w:t>
      </w:r>
      <w:r w:rsidRPr="00A31FD0">
        <w:rPr>
          <w:rStyle w:val="Emphasis"/>
        </w:rPr>
        <w:t>The nature of human rights protections, however, is not about the interests of a specific person, but those of each and every person</w:t>
      </w:r>
      <w:r w:rsidRPr="00A31FD0">
        <w:rPr>
          <w:sz w:val="16"/>
        </w:rPr>
        <w:t>. Every time a human rights protection is upheld, this does mean that a common interest is simultaneously sacrificed. It also does not follow that more of human rights protections mean less protection of common interests. [End Page 259]</w:t>
      </w:r>
    </w:p>
    <w:p w:rsidR="000B1BA4" w:rsidRPr="00A31FD0" w:rsidRDefault="000B1BA4" w:rsidP="000B1BA4">
      <w:pPr>
        <w:pStyle w:val="Heading4"/>
        <w:rPr>
          <w:rStyle w:val="StyleStyleBold12pt"/>
          <w:rFonts w:ascii="Times" w:hAnsi="Times"/>
          <w:b/>
        </w:rPr>
      </w:pPr>
      <w:r>
        <w:rPr>
          <w:rStyle w:val="StyleStyleBold12pt"/>
          <w:rFonts w:ascii="Times" w:hAnsi="Times"/>
          <w:b/>
        </w:rPr>
        <w:t>**</w:t>
      </w:r>
      <w:r w:rsidRPr="00A31FD0">
        <w:rPr>
          <w:rStyle w:val="StyleStyleBold12pt"/>
          <w:rFonts w:ascii="Times" w:hAnsi="Times"/>
          <w:b/>
        </w:rPr>
        <w:t xml:space="preserve">Rights protection is necessary </w:t>
      </w:r>
      <w:r w:rsidRPr="00A31FD0">
        <w:rPr>
          <w:rStyle w:val="StyleStyleBold12pt"/>
          <w:rFonts w:ascii="Times" w:hAnsi="Times"/>
          <w:b/>
          <w:u w:val="single"/>
        </w:rPr>
        <w:t>irrespective</w:t>
      </w:r>
      <w:r w:rsidRPr="00A31FD0">
        <w:rPr>
          <w:rStyle w:val="StyleStyleBold12pt"/>
          <w:rFonts w:ascii="Times" w:hAnsi="Times"/>
          <w:b/>
        </w:rPr>
        <w:t xml:space="preserve"> of majority opinion</w:t>
      </w:r>
    </w:p>
    <w:p w:rsidR="000B1BA4" w:rsidRPr="00E53FCA" w:rsidRDefault="000B1BA4" w:rsidP="000B1BA4">
      <w:pPr>
        <w:rPr>
          <w:sz w:val="20"/>
          <w:szCs w:val="20"/>
        </w:rPr>
      </w:pPr>
      <w:r w:rsidRPr="00651540">
        <w:rPr>
          <w:rStyle w:val="StyleStyleBold12pt"/>
        </w:rPr>
        <w:t>Çalı 7</w:t>
      </w:r>
      <w:r>
        <w:t xml:space="preserve">– </w:t>
      </w:r>
      <w:r w:rsidRPr="00B7373A">
        <w:rPr>
          <w:sz w:val="20"/>
          <w:szCs w:val="20"/>
        </w:rPr>
        <w:t xml:space="preserve">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[Başak Çalı, “Balancing Human Rights? Methodological Problems with Weights, Scales and Proportions”, Human Rights Quarterly 29.1 (2007) 251-270, project muse ] hk </w:t>
      </w:r>
    </w:p>
    <w:p w:rsidR="000B1BA4" w:rsidRPr="00F53412" w:rsidRDefault="000B1BA4" w:rsidP="000B1BA4">
      <w:pPr>
        <w:rPr>
          <w:rStyle w:val="StyleBoldUnderline"/>
        </w:rPr>
      </w:pPr>
      <w:r w:rsidRPr="00B7373A">
        <w:rPr>
          <w:rStyle w:val="StyleBoldUnderline"/>
        </w:rPr>
        <w:t>Human rights protections are</w:t>
      </w:r>
      <w:r w:rsidRPr="00E53FCA">
        <w:rPr>
          <w:sz w:val="16"/>
        </w:rPr>
        <w:t xml:space="preserve"> best conceived, regardless of absolute or qualified forms, </w:t>
      </w:r>
      <w:r w:rsidRPr="00B7373A">
        <w:rPr>
          <w:rStyle w:val="StyleBoldUnderline"/>
        </w:rPr>
        <w:t>to serve their own purpose toward an understanding of common good</w:t>
      </w:r>
      <w:r w:rsidRPr="00E53FCA">
        <w:rPr>
          <w:sz w:val="16"/>
        </w:rPr>
        <w:t xml:space="preserve">. The deep values and considerations that back up human rights protections are not important because they maximize an overall good, but because they provide a space for individually-centered concerns in a political society.38 In international law, for example, human rights protections, by definition, concern everyone, obligations erga omnes.39 In arguing </w:t>
      </w:r>
      <w:r w:rsidRPr="00B7373A">
        <w:rPr>
          <w:rStyle w:val="Emphasis"/>
        </w:rPr>
        <w:t>that human rights are important for each and every individual</w:t>
      </w:r>
      <w:r w:rsidRPr="00E53FCA">
        <w:rPr>
          <w:sz w:val="16"/>
        </w:rPr>
        <w:t xml:space="preserve">, the emphasis should be on the separateness of individuals rather than their aggregate. The practice of the Inter-American Convention regarding freedom of expression,40 for example, suggests that this freedom has a "double effect," belonging to each individual to express and a collective to receive information and ideas.41 Even though this formulation might help to increase the rhetorical importance of freedom of expression, the risk of making rights vulnerable to their perceived importance to the community remains. For example, if a community overwhelmingly decides that it does not consider it to be important to receive information about climate change, should this have an effect on the right of individuals to freedom of expression? </w:t>
      </w:r>
      <w:r w:rsidRPr="00F53412">
        <w:rPr>
          <w:rStyle w:val="StyleBoldUnderline"/>
        </w:rPr>
        <w:t>When human rights are defined as belonging to each and every individual, it is clear that their existence does not depend on a collective need and the right should be protected despite the lack of collective need or interest</w:t>
      </w:r>
      <w:r w:rsidRPr="00E53FCA">
        <w:rPr>
          <w:sz w:val="16"/>
        </w:rPr>
        <w:t xml:space="preserve">. Additionally, balancing—identifying, quantifying, and weighing the interests—is not the only way to address these contextual considerations. Indeed, even the European Court of Human Rights, has employed a range of non-balancing approaches. For example, the European Court of Human [End Page 260] </w:t>
      </w:r>
      <w:r w:rsidRPr="00E53FCA">
        <w:rPr>
          <w:rStyle w:val="StyleBoldUnderline"/>
        </w:rPr>
        <w:t>Rights has considered the chilling effect caused by restricting the media's freedom of expression without balancing that right against communal interests.</w:t>
      </w:r>
      <w:r w:rsidRPr="00E53FCA">
        <w:rPr>
          <w:sz w:val="16"/>
        </w:rPr>
        <w:t xml:space="preserve">42 This shows a way of thinking about fundamental values behind freedom of expression without seeing this right in a head to head competition with a communal interest. When the Court says that the restriction of freedom of speech for a journalist would have a chilling effect, it is not weighing the right against other interests, but showing why it is important in its own end.43 </w:t>
      </w:r>
      <w:r w:rsidRPr="00F53412">
        <w:rPr>
          <w:rStyle w:val="StyleBoldUnderline"/>
        </w:rPr>
        <w:t xml:space="preserve">Engagement with the context, consequences, and history can be undertaken consistent with human rights aims, not necessarily at the expense of them. </w:t>
      </w:r>
    </w:p>
    <w:p w:rsidR="0073612D" w:rsidRPr="0073612D" w:rsidRDefault="0073612D" w:rsidP="0073612D"/>
    <w:p w:rsidR="000B1BA4" w:rsidRDefault="000B1BA4" w:rsidP="000B1BA4">
      <w:pPr>
        <w:pStyle w:val="Heading3"/>
      </w:pPr>
      <w:r>
        <w:t>Yes War</w:t>
      </w:r>
    </w:p>
    <w:p w:rsidR="000B1BA4" w:rsidRDefault="000B1BA4" w:rsidP="000B1BA4">
      <w:pPr>
        <w:pStyle w:val="Heading4"/>
      </w:pPr>
      <w:r>
        <w:t>U.S Russia war is uniquely likely</w:t>
      </w:r>
    </w:p>
    <w:p w:rsidR="000B1BA4" w:rsidRPr="0041312E" w:rsidRDefault="000B1BA4" w:rsidP="000B1BA4">
      <w:r w:rsidRPr="0083378E">
        <w:rPr>
          <w:rStyle w:val="StyleStyleBold12pt"/>
        </w:rPr>
        <w:t>DeBar 14</w:t>
      </w:r>
      <w:r>
        <w:t xml:space="preserve"> </w:t>
      </w:r>
      <w:r w:rsidRPr="0083378E">
        <w:rPr>
          <w:sz w:val="18"/>
          <w:szCs w:val="18"/>
        </w:rPr>
        <w:t xml:space="preserve">(Press.TV citing Don DeBar, political analyst, host and journalist at CPRmetro.org, “US encirclement of Russia setting stage for nuclear war: Analyst”, 11/9/14, </w:t>
      </w:r>
      <w:hyperlink r:id="rId33" w:history="1">
        <w:r w:rsidRPr="0083378E">
          <w:rPr>
            <w:sz w:val="18"/>
            <w:szCs w:val="18"/>
          </w:rPr>
          <w:t>http://www.presstv.com/detail/2014/11/09/385326/us-moves-make-nuclear-war-possible/</w:t>
        </w:r>
      </w:hyperlink>
      <w:r w:rsidRPr="0083378E">
        <w:rPr>
          <w:sz w:val="18"/>
          <w:szCs w:val="18"/>
        </w:rPr>
        <w:t>, AB)</w:t>
      </w:r>
    </w:p>
    <w:p w:rsidR="000B1BA4" w:rsidRDefault="000B1BA4" w:rsidP="000B1BA4">
      <w:pPr>
        <w:rPr>
          <w:sz w:val="16"/>
        </w:rPr>
      </w:pPr>
      <w:r w:rsidRPr="0041312E">
        <w:rPr>
          <w:rStyle w:val="StyleBoldUnderline"/>
        </w:rPr>
        <w:t>Political activis</w:t>
      </w:r>
      <w:r w:rsidRPr="0041312E">
        <w:rPr>
          <w:sz w:val="16"/>
        </w:rPr>
        <w:t xml:space="preserve">t Don </w:t>
      </w:r>
      <w:r w:rsidRPr="0041312E">
        <w:rPr>
          <w:rStyle w:val="StyleBoldUnderline"/>
        </w:rPr>
        <w:t>DeBar</w:t>
      </w:r>
      <w:r w:rsidRPr="0041312E">
        <w:rPr>
          <w:sz w:val="16"/>
        </w:rPr>
        <w:t xml:space="preserve"> </w:t>
      </w:r>
      <w:r w:rsidRPr="0041312E">
        <w:rPr>
          <w:rStyle w:val="StyleBoldUnderline"/>
        </w:rPr>
        <w:t>believes "</w:t>
      </w:r>
      <w:r w:rsidRPr="00736DFC">
        <w:rPr>
          <w:rStyle w:val="StyleBoldUnderline"/>
          <w:highlight w:val="cyan"/>
        </w:rPr>
        <w:t>the stakes are extremely" high for a nuclear war between Washington and Moscow due to US policy of military encirclement of Russia</w:t>
      </w:r>
      <w:r w:rsidRPr="0041312E">
        <w:rPr>
          <w:sz w:val="16"/>
        </w:rPr>
        <w:t xml:space="preserve">. </w:t>
      </w:r>
      <w:r w:rsidRPr="0041312E">
        <w:rPr>
          <w:rStyle w:val="StyleBoldUnderline"/>
        </w:rPr>
        <w:t>“The United States has been advancing towards Russia physically in terms of placement of military resources,</w:t>
      </w:r>
      <w:r w:rsidRPr="0041312E">
        <w:rPr>
          <w:sz w:val="16"/>
        </w:rPr>
        <w:t xml:space="preserve"> they are </w:t>
      </w:r>
      <w:r w:rsidRPr="0041312E">
        <w:rPr>
          <w:rStyle w:val="StyleBoldUnderline"/>
        </w:rPr>
        <w:t xml:space="preserve">now parked at the borders of Russia </w:t>
      </w:r>
      <w:r w:rsidRPr="0041312E">
        <w:rPr>
          <w:sz w:val="16"/>
        </w:rPr>
        <w:t>from the Baltics up in the Baltic Sea in the very northwest corner of Russia down to the middle of Ukraine at this point in the southwest part of Russia,” he told Press TV on Saturday. “</w:t>
      </w:r>
      <w:r w:rsidRPr="00736DFC">
        <w:rPr>
          <w:rStyle w:val="StyleBoldUnderline"/>
          <w:highlight w:val="cyan"/>
        </w:rPr>
        <w:t>The U</w:t>
      </w:r>
      <w:r w:rsidRPr="0041312E">
        <w:rPr>
          <w:rStyle w:val="StyleBoldUnderline"/>
        </w:rPr>
        <w:t xml:space="preserve">nited </w:t>
      </w:r>
      <w:r w:rsidRPr="00736DFC">
        <w:rPr>
          <w:rStyle w:val="StyleBoldUnderline"/>
          <w:highlight w:val="cyan"/>
        </w:rPr>
        <w:t>S</w:t>
      </w:r>
      <w:r w:rsidRPr="0041312E">
        <w:rPr>
          <w:rStyle w:val="StyleBoldUnderline"/>
        </w:rPr>
        <w:t xml:space="preserve">tates </w:t>
      </w:r>
      <w:r w:rsidRPr="00736DFC">
        <w:rPr>
          <w:rStyle w:val="StyleBoldUnderline"/>
          <w:highlight w:val="cyan"/>
        </w:rPr>
        <w:t>has been committing some very hostile acts towards Russia</w:t>
      </w:r>
      <w:r w:rsidRPr="0041312E">
        <w:rPr>
          <w:rStyle w:val="StyleBoldUnderline"/>
        </w:rPr>
        <w:t>,</w:t>
      </w:r>
      <w:r w:rsidRPr="0041312E">
        <w:rPr>
          <w:sz w:val="16"/>
        </w:rPr>
        <w:t xml:space="preserve"> attempting to tank its currency, attempting to isolate it economically in general, a</w:t>
      </w:r>
      <w:r w:rsidRPr="0041312E">
        <w:rPr>
          <w:rStyle w:val="StyleBoldUnderline"/>
        </w:rPr>
        <w:t>nd Russia has, in turn, been looking elsewhere to find partners for the development that it seeks for its own population,”</w:t>
      </w:r>
      <w:r w:rsidRPr="0041312E">
        <w:rPr>
          <w:sz w:val="16"/>
        </w:rPr>
        <w:t xml:space="preserve"> the activist added. </w:t>
      </w:r>
      <w:r w:rsidRPr="0041312E">
        <w:rPr>
          <w:rStyle w:val="StyleBoldUnderline"/>
        </w:rPr>
        <w:t>These hostile moves</w:t>
      </w:r>
      <w:r w:rsidRPr="0041312E">
        <w:rPr>
          <w:sz w:val="16"/>
        </w:rPr>
        <w:t>, DeBar said,</w:t>
      </w:r>
      <w:r w:rsidRPr="0041312E">
        <w:rPr>
          <w:rStyle w:val="StyleBoldUnderline"/>
        </w:rPr>
        <w:t xml:space="preserve"> have come </w:t>
      </w:r>
      <w:r w:rsidRPr="00736DFC">
        <w:rPr>
          <w:rStyle w:val="StyleBoldUnderline"/>
          <w:highlight w:val="cyan"/>
        </w:rPr>
        <w:t>at the same time</w:t>
      </w:r>
      <w:r w:rsidRPr="0041312E">
        <w:rPr>
          <w:rStyle w:val="StyleBoldUnderline"/>
        </w:rPr>
        <w:t xml:space="preserve"> that the </w:t>
      </w:r>
      <w:r w:rsidRPr="00736DFC">
        <w:rPr>
          <w:rStyle w:val="StyleBoldUnderline"/>
          <w:highlight w:val="cyan"/>
        </w:rPr>
        <w:t>Obama</w:t>
      </w:r>
      <w:r w:rsidRPr="0041312E">
        <w:rPr>
          <w:rStyle w:val="StyleBoldUnderline"/>
        </w:rPr>
        <w:t xml:space="preserve"> administration </w:t>
      </w:r>
      <w:r w:rsidRPr="00736DFC">
        <w:rPr>
          <w:rStyle w:val="StyleBoldUnderline"/>
          <w:highlight w:val="cyan"/>
        </w:rPr>
        <w:t>is</w:t>
      </w:r>
      <w:r w:rsidRPr="00736DFC">
        <w:rPr>
          <w:sz w:val="16"/>
          <w:highlight w:val="cyan"/>
        </w:rPr>
        <w:t xml:space="preserve"> </w:t>
      </w:r>
      <w:r w:rsidRPr="00736DFC">
        <w:rPr>
          <w:rStyle w:val="StyleBoldUnderline"/>
          <w:highlight w:val="cyan"/>
        </w:rPr>
        <w:t>pursuing its “pivot” to Asia</w:t>
      </w:r>
      <w:r w:rsidRPr="0041312E">
        <w:rPr>
          <w:rStyle w:val="StyleBoldUnderline"/>
        </w:rPr>
        <w:t xml:space="preserve"> </w:t>
      </w:r>
      <w:r w:rsidRPr="0041312E">
        <w:rPr>
          <w:sz w:val="16"/>
        </w:rPr>
        <w:t xml:space="preserve">which is </w:t>
      </w:r>
      <w:r w:rsidRPr="00736DFC">
        <w:rPr>
          <w:rStyle w:val="StyleBoldUnderline"/>
          <w:highlight w:val="cyan"/>
        </w:rPr>
        <w:t>aimed at containing China and giving rise to Japan</w:t>
      </w:r>
      <w:r w:rsidRPr="0041312E">
        <w:rPr>
          <w:sz w:val="16"/>
        </w:rPr>
        <w:t xml:space="preserve"> as a military power. DeBar made the comments after American philosopher Noam Chomsky said that the </w:t>
      </w:r>
      <w:r w:rsidRPr="00736DFC">
        <w:rPr>
          <w:rStyle w:val="StyleBoldUnderline"/>
          <w:highlight w:val="cyan"/>
        </w:rPr>
        <w:t>escalating tensions between the United States and Russia could spark a nuclear war.</w:t>
      </w:r>
      <w:r>
        <w:rPr>
          <w:rStyle w:val="StyleBoldUnderline"/>
        </w:rPr>
        <w:t xml:space="preserve"> </w:t>
      </w:r>
      <w:r w:rsidRPr="0041312E">
        <w:rPr>
          <w:rStyle w:val="StyleBoldUnderline"/>
        </w:rPr>
        <w:t xml:space="preserve">“China has risen as an economic power. </w:t>
      </w:r>
      <w:r w:rsidRPr="00736DFC">
        <w:rPr>
          <w:rStyle w:val="StyleBoldUnderline"/>
          <w:highlight w:val="cyan"/>
        </w:rPr>
        <w:t>Russia has come back as an economic power,</w:t>
      </w:r>
      <w:r w:rsidRPr="0041312E">
        <w:rPr>
          <w:rStyle w:val="StyleBoldUnderline"/>
        </w:rPr>
        <w:t xml:space="preserve"> [it]</w:t>
      </w:r>
      <w:r w:rsidRPr="00736DFC">
        <w:rPr>
          <w:rStyle w:val="StyleBoldUnderline"/>
          <w:highlight w:val="cyan"/>
        </w:rPr>
        <w:t>maintains its nuclear weaponry and</w:t>
      </w:r>
      <w:r w:rsidRPr="0041312E">
        <w:rPr>
          <w:rStyle w:val="StyleBoldUnderline"/>
        </w:rPr>
        <w:t xml:space="preserve"> has been </w:t>
      </w:r>
      <w:r w:rsidRPr="00736DFC">
        <w:rPr>
          <w:rStyle w:val="StyleBoldUnderline"/>
          <w:highlight w:val="cyan"/>
        </w:rPr>
        <w:t>upgrading its military</w:t>
      </w:r>
      <w:r w:rsidRPr="0041312E">
        <w:rPr>
          <w:sz w:val="16"/>
        </w:rPr>
        <w:t xml:space="preserve">,” DeBar said. </w:t>
      </w:r>
      <w:r w:rsidRPr="0041312E">
        <w:rPr>
          <w:rStyle w:val="StyleBoldUnderline"/>
        </w:rPr>
        <w:t>“As tensions rise, as the law of unintended consequences has greater and greater play and as</w:t>
      </w:r>
      <w:r w:rsidRPr="0041312E">
        <w:rPr>
          <w:sz w:val="16"/>
        </w:rPr>
        <w:t xml:space="preserve"> Chomsky cited </w:t>
      </w:r>
      <w:r w:rsidRPr="0041312E">
        <w:rPr>
          <w:rStyle w:val="StyleBoldUnderline"/>
        </w:rPr>
        <w:t>the low-risk individual incidents of accidental war-peace planning, as you keep rolling the dice, sooner or later you’ll get ‘7’ or ‘11’ and that’s the end of humanity</w:t>
      </w:r>
      <w:r w:rsidRPr="0041312E">
        <w:rPr>
          <w:sz w:val="16"/>
        </w:rPr>
        <w:t>,” the analyst noted. “</w:t>
      </w:r>
      <w:r w:rsidRPr="00736DFC">
        <w:rPr>
          <w:rStyle w:val="StyleBoldUnderline"/>
          <w:highlight w:val="cyan"/>
        </w:rPr>
        <w:t>The stakes are extremely high.</w:t>
      </w:r>
      <w:r w:rsidRPr="0041312E">
        <w:rPr>
          <w:rStyle w:val="StyleBoldUnderline"/>
        </w:rPr>
        <w:t xml:space="preserve"> T</w:t>
      </w:r>
      <w:r w:rsidRPr="0041312E">
        <w:rPr>
          <w:sz w:val="16"/>
        </w:rPr>
        <w:t>he ironic part is that President Barack Obama got a Nobel Peace Prize at the beginning of his presidency because he had spoken to the need to eliminate nuclear weapons and he is now spending what’s going to end up being a trillion dollars over the next 30 years, but hundreds of billions of dollars in the near term to upgrade and expand the power of the American nuclear arsenal,” DeBar explained.</w:t>
      </w:r>
    </w:p>
    <w:p w:rsidR="000B1BA4" w:rsidRDefault="000B1BA4" w:rsidP="000B1BA4">
      <w:pPr>
        <w:pStyle w:val="Heading4"/>
      </w:pPr>
      <w:r>
        <w:t>MAD doesn’t check</w:t>
      </w:r>
    </w:p>
    <w:p w:rsidR="000B1BA4" w:rsidRPr="0041312E" w:rsidRDefault="000B1BA4" w:rsidP="000B1BA4">
      <w:r w:rsidRPr="0083378E">
        <w:rPr>
          <w:rStyle w:val="StyleStyleBold12pt"/>
        </w:rPr>
        <w:t>Kroeig 14</w:t>
      </w:r>
      <w:r>
        <w:t xml:space="preserve"> </w:t>
      </w:r>
      <w:r w:rsidRPr="0083378E">
        <w:rPr>
          <w:sz w:val="18"/>
          <w:szCs w:val="18"/>
        </w:rPr>
        <w:t xml:space="preserve">(Matthew Kroenig, Associate Professor and International Relations Field Chair Department of Government Georgetown University &amp; Nonresident Senior Fellow Brent Scowcroft Center on International Security The Atlantic Council, “The History of Proliferation Optimism: Does It Have A Future?”, February 2014, </w:t>
      </w:r>
      <w:hyperlink r:id="rId34" w:history="1">
        <w:r w:rsidRPr="0083378E">
          <w:rPr>
            <w:sz w:val="18"/>
            <w:szCs w:val="18"/>
          </w:rPr>
          <w:t>http://www.matthewkroenig.com/The%20History%20of%20Proliferation%20Optimism_Feb2014.pdf</w:t>
        </w:r>
      </w:hyperlink>
      <w:r w:rsidRPr="0083378E">
        <w:rPr>
          <w:sz w:val="18"/>
          <w:szCs w:val="18"/>
        </w:rPr>
        <w:t>, AB)</w:t>
      </w:r>
    </w:p>
    <w:p w:rsidR="000B1BA4" w:rsidRDefault="000B1BA4" w:rsidP="000B1BA4">
      <w:pPr>
        <w:rPr>
          <w:rStyle w:val="StyleBoldUnderline"/>
        </w:rPr>
      </w:pPr>
      <w:r w:rsidRPr="0041312E">
        <w:rPr>
          <w:sz w:val="16"/>
        </w:rPr>
        <w:t xml:space="preserve">Scott Sagan and other contemporary proliferation pessimists have provided systematic and thoroughgoing critiques of the proliferation optimism position.32 Sagan shows that </w:t>
      </w:r>
      <w:r w:rsidRPr="00736DFC">
        <w:rPr>
          <w:rStyle w:val="StyleBoldUnderline"/>
          <w:highlight w:val="cyan"/>
        </w:rPr>
        <w:t>the spread of nuclear weapons leads to greater levels of international instability</w:t>
      </w:r>
      <w:r w:rsidRPr="0041312E">
        <w:rPr>
          <w:rStyle w:val="StyleBoldUnderline"/>
        </w:rPr>
        <w:t xml:space="preserve"> because: s</w:t>
      </w:r>
      <w:r w:rsidRPr="00736DFC">
        <w:rPr>
          <w:rStyle w:val="StyleBoldUnderline"/>
        </w:rPr>
        <w:t>tat</w:t>
      </w:r>
      <w:r w:rsidRPr="0041312E">
        <w:rPr>
          <w:rStyle w:val="StyleBoldUnderline"/>
        </w:rPr>
        <w:t>es might conduct preventive strikes on the nuclear facilities of proliferant states, proliferant states might not take the necessary steps to build a secure, second-strike capability, and organizational pathologies within nuclear states could lead to accidental or inadvertent nuclear launch</w:t>
      </w:r>
      <w:r w:rsidRPr="0041312E">
        <w:rPr>
          <w:sz w:val="16"/>
        </w:rPr>
        <w:t xml:space="preserve">.33 As Frank Gavin writes in his review of the optimism/pessimism debate, “The real problem, however, is that Sagan plays small ball in his debate with Waltz, conceding the big issues. Why not challenge Waltz on his core arguments about deterrence and stability?”34 Rather than repeat the substantial efforts of previous pessimists, therefore, I will take up Gavin’s challenge and focus on three big issues. In particular, this section maintains that </w:t>
      </w:r>
      <w:r w:rsidRPr="0041312E">
        <w:rPr>
          <w:rStyle w:val="StyleBoldUnderline"/>
        </w:rPr>
        <w:t>proliferation optimists: present an oversimplified version of nuclear deterrence theory, follow a line of argumentation that contains an internal logical contradiction, and do not address the concerns of U.S. foreign policymakers.</w:t>
      </w:r>
      <w:r>
        <w:rPr>
          <w:rStyle w:val="StyleBoldUnderline"/>
        </w:rPr>
        <w:t xml:space="preserve"> </w:t>
      </w:r>
      <w:r w:rsidRPr="0041312E">
        <w:rPr>
          <w:sz w:val="16"/>
        </w:rPr>
        <w:t xml:space="preserve">First and foremost, proliferation </w:t>
      </w:r>
      <w:r w:rsidRPr="007B4734">
        <w:rPr>
          <w:rStyle w:val="StyleBoldUnderline"/>
          <w:highlight w:val="cyan"/>
        </w:rPr>
        <w:t>optimists present an oversimplified view of nuclear deterrence theory</w:t>
      </w:r>
      <w:r w:rsidRPr="0041312E">
        <w:rPr>
          <w:rStyle w:val="StyleBoldUnderline"/>
        </w:rPr>
        <w:t>.</w:t>
      </w:r>
      <w:r w:rsidRPr="0041312E">
        <w:rPr>
          <w:sz w:val="16"/>
        </w:rPr>
        <w:t xml:space="preserve">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rational.35 Yet, these debate overlook the fact that, apart from the optimists,</w:t>
      </w:r>
      <w:r w:rsidRPr="0041312E">
        <w:rPr>
          <w:rStyle w:val="StyleBoldUnderline"/>
        </w:rPr>
        <w:t xml:space="preserve"> </w:t>
      </w:r>
      <w:r w:rsidRPr="007B4734">
        <w:rPr>
          <w:rStyle w:val="StyleBoldUnderline"/>
          <w:highlight w:val="cyan"/>
        </w:rPr>
        <w:t>leading nuclear deterrence theorists believe that nuclear proliferation</w:t>
      </w:r>
      <w:r w:rsidRPr="0041312E">
        <w:rPr>
          <w:rStyle w:val="StyleBoldUnderline"/>
        </w:rPr>
        <w:t xml:space="preserve"> contributes to a real risk of nuclear war </w:t>
      </w:r>
      <w:r w:rsidRPr="007B4734">
        <w:rPr>
          <w:rStyle w:val="StyleBoldUnderline"/>
          <w:highlight w:val="cyan"/>
        </w:rPr>
        <w:t>even in a situation of</w:t>
      </w:r>
      <w:r w:rsidRPr="0041312E">
        <w:rPr>
          <w:rStyle w:val="StyleBoldUnderline"/>
        </w:rPr>
        <w:t xml:space="preserve"> Mutually Assured Destruction (</w:t>
      </w:r>
      <w:r w:rsidRPr="007B4734">
        <w:rPr>
          <w:rStyle w:val="StyleBoldUnderline"/>
          <w:highlight w:val="cyan"/>
        </w:rPr>
        <w:t>MAD</w:t>
      </w:r>
      <w:r w:rsidRPr="0041312E">
        <w:rPr>
          <w:rStyle w:val="StyleBoldUnderline"/>
        </w:rPr>
        <w:t>) among rational state</w:t>
      </w:r>
      <w:r w:rsidRPr="0041312E">
        <w:rPr>
          <w:sz w:val="16"/>
        </w:rPr>
        <w:t xml:space="preserve">s.36 Moreover, realizing that nuclear war is possible does not depend on peculiar beliefs about the possibility of escaping MAD.37 Rather, as we will discuss below, these theorists understand that </w:t>
      </w:r>
      <w:r w:rsidRPr="00736DFC">
        <w:rPr>
          <w:rStyle w:val="StyleBoldUnderline"/>
          <w:highlight w:val="cyan"/>
        </w:rPr>
        <w:t>some risk of nuclear war is necessary in order for deterrence to function</w:t>
      </w:r>
      <w:r w:rsidRPr="0041312E">
        <w:rPr>
          <w:sz w:val="16"/>
        </w:rPr>
        <w:t xml:space="preserve">. To be sure, in the 1940s, Viner, Brodie, and others argued that MAD rendered war among major powers obsolete, but nuclear deterrence theory soon advanced beyond that simple understanding.38 After all, </w:t>
      </w:r>
      <w:r w:rsidRPr="00736DFC">
        <w:rPr>
          <w:rStyle w:val="StyleBoldUnderline"/>
          <w:highlight w:val="cyan"/>
        </w:rPr>
        <w:t>great power political competition does not end with nuclear weapons</w:t>
      </w:r>
      <w:r w:rsidRPr="0041312E">
        <w:rPr>
          <w:sz w:val="16"/>
        </w:rPr>
        <w:t xml:space="preserve">. And </w:t>
      </w:r>
      <w:r w:rsidRPr="00736DFC">
        <w:rPr>
          <w:rStyle w:val="StyleBoldUnderline"/>
          <w:highlight w:val="cyan"/>
        </w:rPr>
        <w:t>nuclear-armed states still seek to threaten nuclear-armed adversaries. States cannot credibly threaten to launch a suicidal nuclear war, but they still want to coerce their adversaries</w:t>
      </w:r>
      <w:r w:rsidRPr="0041312E">
        <w:rPr>
          <w:sz w:val="16"/>
        </w:rPr>
        <w:t xml:space="preserve">. This leads to a credibility problem: how can states credibly threaten a nuclear-armed opponent? Since the 1960s, academic nuclear deterrence theory has been devoted almost exclusively to answering this question.39 And </w:t>
      </w:r>
      <w:r w:rsidRPr="007B4734">
        <w:rPr>
          <w:rStyle w:val="StyleBoldUnderline"/>
        </w:rPr>
        <w:t>their answers do not give us reasons to be optimistic.</w:t>
      </w:r>
    </w:p>
    <w:p w:rsidR="000B1BA4" w:rsidRDefault="000B1BA4" w:rsidP="000B1BA4">
      <w:pPr>
        <w:pStyle w:val="Heading4"/>
        <w:contextualSpacing/>
      </w:pPr>
      <w:r>
        <w:t>It’s totally possible – seven independent reasons</w:t>
      </w:r>
    </w:p>
    <w:p w:rsidR="000B1BA4" w:rsidRDefault="000B1BA4" w:rsidP="000B1BA4">
      <w:pPr>
        <w:contextualSpacing/>
      </w:pPr>
      <w:r>
        <w:t>-structural rivalries and stress</w:t>
      </w:r>
    </w:p>
    <w:p w:rsidR="000B1BA4" w:rsidRDefault="000B1BA4" w:rsidP="000B1BA4">
      <w:pPr>
        <w:contextualSpacing/>
      </w:pPr>
      <w:r>
        <w:t>-belief that war is impossible</w:t>
      </w:r>
    </w:p>
    <w:p w:rsidR="000B1BA4" w:rsidRDefault="000B1BA4" w:rsidP="000B1BA4">
      <w:pPr>
        <w:contextualSpacing/>
      </w:pPr>
      <w:r>
        <w:t>-thick interdependence</w:t>
      </w:r>
    </w:p>
    <w:p w:rsidR="000B1BA4" w:rsidRDefault="000B1BA4" w:rsidP="000B1BA4">
      <w:pPr>
        <w:contextualSpacing/>
      </w:pPr>
      <w:r>
        <w:t>-rising nationalism and competing claims</w:t>
      </w:r>
    </w:p>
    <w:p w:rsidR="000B1BA4" w:rsidRDefault="000B1BA4" w:rsidP="000B1BA4">
      <w:pPr>
        <w:contextualSpacing/>
      </w:pPr>
      <w:r>
        <w:t>-powerful military establishments</w:t>
      </w:r>
    </w:p>
    <w:p w:rsidR="000B1BA4" w:rsidRDefault="000B1BA4" w:rsidP="000B1BA4">
      <w:pPr>
        <w:contextualSpacing/>
      </w:pPr>
      <w:r>
        <w:t>-diplomatic alliances</w:t>
      </w:r>
    </w:p>
    <w:p w:rsidR="000B1BA4" w:rsidRDefault="000B1BA4" w:rsidP="000B1BA4">
      <w:pPr>
        <w:contextualSpacing/>
      </w:pPr>
      <w:r>
        <w:t>-temptation to maintain dominance</w:t>
      </w:r>
    </w:p>
    <w:p w:rsidR="000B1BA4" w:rsidRPr="000755EC" w:rsidRDefault="000B1BA4" w:rsidP="000B1BA4">
      <w:pPr>
        <w:contextualSpacing/>
      </w:pPr>
      <w:r w:rsidRPr="0083378E">
        <w:rPr>
          <w:rStyle w:val="StyleStyleBold12pt"/>
        </w:rPr>
        <w:t>Allison 14</w:t>
      </w:r>
      <w:r>
        <w:t xml:space="preserve"> </w:t>
      </w:r>
      <w:r w:rsidRPr="0083378E">
        <w:rPr>
          <w:sz w:val="18"/>
          <w:szCs w:val="18"/>
        </w:rPr>
        <w:t xml:space="preserve">(Graham Allison, director of the Belfer Center for Science and International Affairs at the Harvard Kennedy School, “Just How Likely Is Another World War?”,  6/30/14, The Atlantic, </w:t>
      </w:r>
      <w:hyperlink r:id="rId35" w:history="1">
        <w:r w:rsidRPr="0083378E">
          <w:rPr>
            <w:sz w:val="18"/>
            <w:szCs w:val="18"/>
          </w:rPr>
          <w:t>http://www.theatlantic.com/international/archive/2014/07/just-how-likely-is-another-world-war/375320/</w:t>
        </w:r>
      </w:hyperlink>
      <w:r w:rsidRPr="0083378E">
        <w:rPr>
          <w:sz w:val="18"/>
          <w:szCs w:val="18"/>
        </w:rPr>
        <w:t>, AB)</w:t>
      </w:r>
    </w:p>
    <w:p w:rsidR="000B1BA4" w:rsidRPr="0089357A" w:rsidRDefault="000B1BA4" w:rsidP="000B1BA4">
      <w:pPr>
        <w:rPr>
          <w:sz w:val="16"/>
        </w:rPr>
      </w:pPr>
      <w:r w:rsidRPr="000755EC">
        <w:rPr>
          <w:sz w:val="16"/>
        </w:rPr>
        <w:t xml:space="preserve">This essay attempts to use the “May Method” to </w:t>
      </w:r>
      <w:r w:rsidRPr="000755EC">
        <w:rPr>
          <w:rStyle w:val="StyleBoldUnderline"/>
        </w:rPr>
        <w:t>highlight seven salient similarities</w:t>
      </w:r>
      <w:r w:rsidRPr="000755EC">
        <w:rPr>
          <w:sz w:val="16"/>
        </w:rPr>
        <w:t xml:space="preserve"> and seven instructive differences </w:t>
      </w:r>
      <w:r w:rsidRPr="000755EC">
        <w:rPr>
          <w:rStyle w:val="StyleBoldUnderline"/>
        </w:rPr>
        <w:t>between the challenges confronting Chinese and American leaders today and those facing world leaders in 1914</w:t>
      </w:r>
      <w:r w:rsidRPr="000755EC">
        <w:rPr>
          <w:sz w:val="16"/>
        </w:rPr>
        <w:t>. While most of the sim</w:t>
      </w:r>
      <w:r w:rsidRPr="000755EC">
        <w:rPr>
          <w:rStyle w:val="StyleBoldUnderline"/>
        </w:rPr>
        <w:t>ilarities make the possibility of conflict today more plausible that it might otherwise seem</w:t>
      </w:r>
      <w:r w:rsidRPr="000755EC">
        <w:rPr>
          <w:sz w:val="16"/>
        </w:rPr>
        <w:t xml:space="preserve">, and most of the differences make conflict seem less plausible, instructively, some have the opposite effect. 1. “Thucydides’s Trap”: </w:t>
      </w:r>
      <w:r w:rsidRPr="007B4734">
        <w:rPr>
          <w:rStyle w:val="StyleBoldUnderline"/>
          <w:highlight w:val="cyan"/>
        </w:rPr>
        <w:t>structural stress that inevitably occurs when a rapidly rising power rivals a ruling power</w:t>
      </w:r>
      <w:r w:rsidRPr="000755EC">
        <w:rPr>
          <w:sz w:val="16"/>
        </w:rPr>
        <w:t xml:space="preserve">. As Thucydides observed about ancient Greece, </w:t>
      </w:r>
      <w:r w:rsidRPr="000755EC">
        <w:rPr>
          <w:rStyle w:val="StyleBoldUnderline"/>
        </w:rPr>
        <w:t>an ascendant</w:t>
      </w:r>
      <w:r w:rsidRPr="000755EC">
        <w:rPr>
          <w:sz w:val="16"/>
        </w:rPr>
        <w:t xml:space="preserve"> Athens </w:t>
      </w:r>
      <w:r w:rsidRPr="000755EC">
        <w:rPr>
          <w:rStyle w:val="StyleBoldUnderline"/>
        </w:rPr>
        <w:t xml:space="preserve">naturally became more ambitious, assertive, arrogant, and even hubristic. Predictably, this instilled fear, anxiety, and defensiveness </w:t>
      </w:r>
      <w:r w:rsidRPr="000755EC">
        <w:rPr>
          <w:sz w:val="16"/>
        </w:rPr>
        <w:t xml:space="preserve">among the leaders of Sparta. Accustomed to economic primacy, naval dominance, and an empire on which the sun never set, Britain in 1914 viewed with alarm the unified German Reich that had overtaken it in industrial production and research, that was demanding a greater sphere of influence, and that was expanding its military capability to include a navy that could challenge Britain’s control of the seas. In the decade before the war, this led Britain to abandon a century of “splendid isolation” to tighten entanglements with France and then Russia. During the same period, German military planners watched with alarm as Russia rushed to complete railways that could allow it to move forces rapidly to the borders of Germany and its faltering Austro-Hungarian ally. </w:t>
      </w:r>
      <w:r w:rsidRPr="000755EC">
        <w:rPr>
          <w:rStyle w:val="StyleBoldUnderline"/>
        </w:rPr>
        <w:t xml:space="preserve">In 2014, what for most Americans is our natural, God-given position as “Number One” is being challenged by an emerging China on track to surpass the United States in the next decade as the world’s largest economy. </w:t>
      </w:r>
      <w:r w:rsidRPr="0083378E">
        <w:rPr>
          <w:rStyle w:val="StyleBoldUnderline"/>
          <w:highlight w:val="cyan"/>
        </w:rPr>
        <w:t>As China has grown more powerful, it has become more active and even aggressiv</w:t>
      </w:r>
      <w:r w:rsidRPr="000755EC">
        <w:rPr>
          <w:rStyle w:val="StyleBoldUnderline"/>
        </w:rPr>
        <w:t>e</w:t>
      </w:r>
      <w:r w:rsidRPr="000755EC">
        <w:rPr>
          <w:sz w:val="16"/>
        </w:rPr>
        <w:t xml:space="preserve"> in its neighborhood, particularly in what it believes are the rightly named “China” seas to its east and south</w:t>
      </w:r>
      <w:r w:rsidRPr="000755EC">
        <w:rPr>
          <w:rStyle w:val="StyleBoldUnderline"/>
        </w:rPr>
        <w:t>. Fearful neighbors</w:t>
      </w:r>
      <w:r w:rsidRPr="000755EC">
        <w:rPr>
          <w:sz w:val="16"/>
        </w:rPr>
        <w:t xml:space="preserve"> from Japan and the Philippines to Vietnam </w:t>
      </w:r>
      <w:r w:rsidRPr="0083378E">
        <w:rPr>
          <w:rStyle w:val="StyleBoldUnderline"/>
          <w:highlight w:val="cyan"/>
        </w:rPr>
        <w:t>naturally look to the U.S. for support in its role as the guardian</w:t>
      </w:r>
      <w:r w:rsidRPr="000755EC">
        <w:rPr>
          <w:rStyle w:val="StyleBoldUnderline"/>
        </w:rPr>
        <w:t xml:space="preserve"> of what since World War II has been an American Pax Pacifica</w:t>
      </w:r>
      <w:r w:rsidRPr="000755EC">
        <w:rPr>
          <w:sz w:val="16"/>
        </w:rPr>
        <w:t xml:space="preserve">. 2. </w:t>
      </w:r>
      <w:r w:rsidRPr="0083378E">
        <w:rPr>
          <w:rStyle w:val="StyleBoldUnderline"/>
          <w:highlight w:val="cyan"/>
        </w:rPr>
        <w:t>The virtual inconceivability of “total” war</w:t>
      </w:r>
      <w:r w:rsidRPr="000755EC">
        <w:rPr>
          <w:rStyle w:val="StyleBoldUnderline"/>
        </w:rPr>
        <w:t>.</w:t>
      </w:r>
      <w:r w:rsidRPr="000755EC">
        <w:rPr>
          <w:sz w:val="16"/>
        </w:rPr>
        <w:t xml:space="preserve"> </w:t>
      </w:r>
      <w:r w:rsidRPr="000755EC">
        <w:rPr>
          <w:rStyle w:val="StyleBoldUnderline"/>
        </w:rPr>
        <w:t>In 1914</w:t>
      </w:r>
      <w:r w:rsidRPr="000755EC">
        <w:rPr>
          <w:sz w:val="16"/>
        </w:rPr>
        <w:t xml:space="preserve">, aside from occasional small wars and colonial smackdowns, </w:t>
      </w:r>
      <w:r w:rsidRPr="000755EC">
        <w:rPr>
          <w:rStyle w:val="StyleBoldUnderline"/>
        </w:rPr>
        <w:t>war was “out of fashion</w:t>
      </w:r>
      <w:r w:rsidRPr="000755EC">
        <w:rPr>
          <w:sz w:val="16"/>
        </w:rPr>
        <w:t xml:space="preserve">.” The best-selling book of the era by Norman Angell </w:t>
      </w:r>
      <w:r w:rsidRPr="0083378E">
        <w:rPr>
          <w:rStyle w:val="StyleBoldUnderline"/>
          <w:highlight w:val="cyan"/>
        </w:rPr>
        <w:t>argued</w:t>
      </w:r>
      <w:r w:rsidRPr="000755EC">
        <w:rPr>
          <w:sz w:val="16"/>
        </w:rPr>
        <w:t xml:space="preserve"> that </w:t>
      </w:r>
      <w:r w:rsidRPr="0083378E">
        <w:rPr>
          <w:rStyle w:val="StyleBoldUnderline"/>
          <w:highlight w:val="cyan"/>
        </w:rPr>
        <w:t>war was a “great illusion</w:t>
      </w:r>
      <w:r w:rsidRPr="0083378E">
        <w:rPr>
          <w:sz w:val="16"/>
          <w:highlight w:val="cyan"/>
        </w:rPr>
        <w:t>,”</w:t>
      </w:r>
      <w:r w:rsidRPr="000755EC">
        <w:rPr>
          <w:sz w:val="16"/>
        </w:rPr>
        <w:t xml:space="preserve"> since the nominal winner would certainly lose more than it could possibly gain. </w:t>
      </w:r>
      <w:r w:rsidRPr="000755EC">
        <w:rPr>
          <w:rStyle w:val="StyleBoldUnderline"/>
        </w:rPr>
        <w:t>In 2014</w:t>
      </w:r>
      <w:r w:rsidRPr="000755EC">
        <w:rPr>
          <w:sz w:val="16"/>
        </w:rPr>
        <w:t>,</w:t>
      </w:r>
      <w:r w:rsidRPr="000755EC">
        <w:rPr>
          <w:rStyle w:val="StyleBoldUnderline"/>
        </w:rPr>
        <w:t xml:space="preserve"> </w:t>
      </w:r>
      <w:r w:rsidRPr="000755EC">
        <w:rPr>
          <w:sz w:val="16"/>
        </w:rPr>
        <w:t xml:space="preserve">the “long peace” since World War II, reinforced by nuclear weapons and economic globalization, </w:t>
      </w:r>
      <w:r w:rsidRPr="000755EC">
        <w:rPr>
          <w:rStyle w:val="StyleBoldUnderline"/>
        </w:rPr>
        <w:t xml:space="preserve">makes </w:t>
      </w:r>
      <w:r w:rsidRPr="007B4734">
        <w:rPr>
          <w:rStyle w:val="StyleBoldUnderline"/>
          <w:highlight w:val="cyan"/>
        </w:rPr>
        <w:t>all-out war between great powers so obviously self-defeating that it seems unthinkable</w:t>
      </w:r>
      <w:r w:rsidRPr="000755EC">
        <w:rPr>
          <w:rStyle w:val="StyleBoldUnderline"/>
        </w:rPr>
        <w:t>.</w:t>
      </w:r>
      <w:r>
        <w:rPr>
          <w:rStyle w:val="StyleBoldUnderline"/>
        </w:rPr>
        <w:t xml:space="preserve"> </w:t>
      </w:r>
      <w:r w:rsidRPr="000755EC">
        <w:rPr>
          <w:sz w:val="16"/>
        </w:rPr>
        <w:t xml:space="preserve">3. </w:t>
      </w:r>
      <w:r w:rsidRPr="007B4734">
        <w:rPr>
          <w:rStyle w:val="StyleBoldUnderline"/>
          <w:highlight w:val="cyan"/>
        </w:rPr>
        <w:t>Thick interdependence: economic, social, and political</w:t>
      </w:r>
      <w:r w:rsidRPr="000755EC">
        <w:rPr>
          <w:rStyle w:val="StyleBoldUnderline"/>
        </w:rPr>
        <w:t>.</w:t>
      </w:r>
      <w:r w:rsidRPr="000755EC">
        <w:rPr>
          <w:sz w:val="16"/>
        </w:rPr>
        <w:t xml:space="preserve"> In 1914, the U.K. and Germany were each other’s </w:t>
      </w:r>
      <w:r w:rsidRPr="000755EC">
        <w:rPr>
          <w:rStyle w:val="StyleBoldUnderline"/>
        </w:rPr>
        <w:t>major</w:t>
      </w:r>
      <w:r w:rsidRPr="000755EC">
        <w:rPr>
          <w:sz w:val="16"/>
        </w:rPr>
        <w:t xml:space="preserve"> European </w:t>
      </w:r>
      <w:r w:rsidRPr="000755EC">
        <w:rPr>
          <w:rStyle w:val="StyleBoldUnderline"/>
        </w:rPr>
        <w:t>trading partne</w:t>
      </w:r>
      <w:r w:rsidRPr="000755EC">
        <w:rPr>
          <w:sz w:val="16"/>
        </w:rPr>
        <w:t xml:space="preserve">r </w:t>
      </w:r>
      <w:r w:rsidRPr="000755EC">
        <w:rPr>
          <w:rStyle w:val="StyleBoldUnderline"/>
        </w:rPr>
        <w:t>and principal foreign investor</w:t>
      </w:r>
      <w:r w:rsidRPr="000755EC">
        <w:rPr>
          <w:sz w:val="16"/>
        </w:rPr>
        <w:t xml:space="preserve">. King George and Kaiser Wilhelm were first cousins, the latter having sat by the deathbed of his grandmother, Queen Victoria, in 1901, and marched as second only to George at the funeral of George’s father, King Edward VII, in 1910. </w:t>
      </w:r>
      <w:r w:rsidRPr="000755EC">
        <w:rPr>
          <w:rStyle w:val="StyleBoldUnderline"/>
        </w:rPr>
        <w:t>Elites</w:t>
      </w:r>
      <w:r w:rsidRPr="000755EC">
        <w:rPr>
          <w:sz w:val="16"/>
        </w:rPr>
        <w:t xml:space="preserve"> of both societies </w:t>
      </w:r>
      <w:r w:rsidRPr="000755EC">
        <w:rPr>
          <w:rStyle w:val="StyleBoldUnderline"/>
        </w:rPr>
        <w:t>studied</w:t>
      </w:r>
      <w:r w:rsidRPr="000755EC">
        <w:rPr>
          <w:sz w:val="16"/>
        </w:rPr>
        <w:t xml:space="preserve"> </w:t>
      </w:r>
      <w:r w:rsidRPr="000755EC">
        <w:rPr>
          <w:rStyle w:val="StyleBoldUnderline"/>
        </w:rPr>
        <w:t>at each other’s major universities, were partners in business, and socialized together</w:t>
      </w:r>
      <w:r w:rsidRPr="000755EC">
        <w:rPr>
          <w:sz w:val="16"/>
        </w:rPr>
        <w:t xml:space="preserve">. In 2014, </w:t>
      </w:r>
      <w:r w:rsidRPr="000755EC">
        <w:rPr>
          <w:rStyle w:val="StyleBoldUnderline"/>
        </w:rPr>
        <w:t>China is the United States’ second-largest trading partner, the U.S. the largest buyer of Chinese exports, and China the largest foreign holder of American debt. A quarter of a million Chinese students study annually</w:t>
      </w:r>
      <w:r w:rsidRPr="000755EC">
        <w:rPr>
          <w:sz w:val="16"/>
        </w:rPr>
        <w:t xml:space="preserve"> in American universities, including most recently Chinese President Xi Jinping’s only daughter. 4. </w:t>
      </w:r>
      <w:r w:rsidRPr="000755EC">
        <w:rPr>
          <w:rStyle w:val="StyleBoldUnderline"/>
        </w:rPr>
        <w:t>Rising nationalism that accentuates territorial disputes.</w:t>
      </w:r>
      <w:r w:rsidRPr="000755EC">
        <w:rPr>
          <w:sz w:val="16"/>
        </w:rPr>
        <w:t xml:space="preserve"> In 1914, as the Ottoman Empire unraveled, Serbian nationalists aspired to create a greater Serbia, and Russia and Austria-Hungary competed for influence among the Ottoman successor states in the Balkans. Meanwhile, resurgent Germans planned for a larger Germany and French patriots dreamed about recapturing Alsace-Lorraine, provinces taken by Germany from France after the Franco-Prussian War of 1870–71. In 2014, </w:t>
      </w:r>
      <w:r w:rsidRPr="007B4734">
        <w:rPr>
          <w:rStyle w:val="StyleBoldUnderline"/>
          <w:highlight w:val="cyan"/>
        </w:rPr>
        <w:t>China’s claim to the Senkaku Islands</w:t>
      </w:r>
      <w:r w:rsidRPr="000755EC">
        <w:rPr>
          <w:rStyle w:val="StyleBoldUnderline"/>
        </w:rPr>
        <w:t xml:space="preserve"> administered by Japan in the last China</w:t>
      </w:r>
      <w:r w:rsidRPr="000755EC">
        <w:rPr>
          <w:sz w:val="16"/>
        </w:rPr>
        <w:t xml:space="preserve"> </w:t>
      </w:r>
      <w:r w:rsidRPr="000755EC">
        <w:rPr>
          <w:rStyle w:val="StyleBoldUnderline"/>
        </w:rPr>
        <w:t>Sea, and the “9-dash line</w:t>
      </w:r>
      <w:r w:rsidRPr="000755EC">
        <w:rPr>
          <w:sz w:val="16"/>
        </w:rPr>
        <w:t xml:space="preserve">” by which it asserts ownership of the entire South China Sea, </w:t>
      </w:r>
      <w:r w:rsidRPr="007B4734">
        <w:rPr>
          <w:rStyle w:val="StyleBoldUnderline"/>
          <w:highlight w:val="cyan"/>
        </w:rPr>
        <w:t>are reflections</w:t>
      </w:r>
      <w:r w:rsidRPr="000755EC">
        <w:rPr>
          <w:rStyle w:val="StyleBoldUnderline"/>
        </w:rPr>
        <w:t xml:space="preserve"> of ambitions that are defining new facts in the surrounding waters, </w:t>
      </w:r>
      <w:r w:rsidRPr="007B4734">
        <w:rPr>
          <w:rStyle w:val="StyleBoldUnderline"/>
          <w:highlight w:val="cyan"/>
        </w:rPr>
        <w:t>exciting nationalism among its</w:t>
      </w:r>
      <w:r w:rsidRPr="000755EC">
        <w:rPr>
          <w:rStyle w:val="StyleBoldUnderline"/>
        </w:rPr>
        <w:t xml:space="preserve"> neighbors and in its </w:t>
      </w:r>
      <w:r w:rsidRPr="007B4734">
        <w:rPr>
          <w:rStyle w:val="StyleBoldUnderline"/>
          <w:highlight w:val="cyan"/>
        </w:rPr>
        <w:t>own population</w:t>
      </w:r>
      <w:r w:rsidRPr="000755EC">
        <w:rPr>
          <w:rStyle w:val="StyleBoldUnderline"/>
        </w:rPr>
        <w:t>.</w:t>
      </w:r>
      <w:r>
        <w:rPr>
          <w:rStyle w:val="StyleBoldUnderline"/>
        </w:rPr>
        <w:t xml:space="preserve"> </w:t>
      </w:r>
      <w:r w:rsidRPr="000755EC">
        <w:rPr>
          <w:sz w:val="16"/>
        </w:rPr>
        <w:t xml:space="preserve">5. </w:t>
      </w:r>
      <w:r w:rsidRPr="007B4734">
        <w:rPr>
          <w:rStyle w:val="StyleBoldUnderline"/>
          <w:highlight w:val="cyan"/>
        </w:rPr>
        <w:t>Powerful military establishments focused on a primary enemy for the purposes</w:t>
      </w:r>
      <w:r w:rsidRPr="000755EC">
        <w:rPr>
          <w:rStyle w:val="StyleBoldUnderline"/>
        </w:rPr>
        <w:t xml:space="preserve"> </w:t>
      </w:r>
      <w:r w:rsidRPr="000755EC">
        <w:rPr>
          <w:sz w:val="16"/>
        </w:rPr>
        <w:t>of</w:t>
      </w:r>
      <w:r w:rsidRPr="000755EC">
        <w:rPr>
          <w:rStyle w:val="StyleBoldUnderline"/>
        </w:rPr>
        <w:t xml:space="preserve"> </w:t>
      </w:r>
      <w:r w:rsidRPr="007B4734">
        <w:rPr>
          <w:rStyle w:val="StyleBoldUnderline"/>
          <w:highlight w:val="cyan"/>
        </w:rPr>
        <w:t>planning</w:t>
      </w:r>
      <w:r w:rsidRPr="000755EC">
        <w:rPr>
          <w:rStyle w:val="StyleBoldUnderline"/>
        </w:rPr>
        <w:t xml:space="preserve"> </w:t>
      </w:r>
      <w:r w:rsidRPr="000755EC">
        <w:rPr>
          <w:sz w:val="16"/>
        </w:rPr>
        <w:t>and</w:t>
      </w:r>
      <w:r w:rsidRPr="000755EC">
        <w:rPr>
          <w:rStyle w:val="StyleBoldUnderline"/>
        </w:rPr>
        <w:t xml:space="preserve"> </w:t>
      </w:r>
      <w:r w:rsidRPr="007B4734">
        <w:rPr>
          <w:rStyle w:val="StyleBoldUnderline"/>
          <w:highlight w:val="cyan"/>
        </w:rPr>
        <w:t>buying</w:t>
      </w:r>
      <w:r w:rsidRPr="007B4734">
        <w:rPr>
          <w:sz w:val="16"/>
          <w:highlight w:val="cyan"/>
        </w:rPr>
        <w:t xml:space="preserve"> (</w:t>
      </w:r>
      <w:r w:rsidRPr="007B4734">
        <w:rPr>
          <w:rStyle w:val="StyleBoldUnderline"/>
          <w:highlight w:val="cyan"/>
        </w:rPr>
        <w:t>and justifying defense budgets).</w:t>
      </w:r>
      <w:r>
        <w:rPr>
          <w:rStyle w:val="StyleBoldUnderline"/>
        </w:rPr>
        <w:t xml:space="preserve"> </w:t>
      </w:r>
      <w:r w:rsidRPr="000755EC">
        <w:rPr>
          <w:sz w:val="16"/>
        </w:rPr>
        <w:t xml:space="preserve">In 1914, Britain and Germany’s militaries viewed each other as major threats, Germany and Russia saw the other as major rivals, and France was focused on the danger posed by Germany. In 1907, as Germany’s naval expansion approached the point at which it could challenge British naval primacy, the British prime minister asked the leading analyst in the foreign ministry for a memorandum “on the present State of British relations with France and Germany.” That now-famous document written by Eyre Crowe predicted that Germany would not only establish the strongest army on the continent, but also “build as powerful a navy as she can afford.” Germany’s pursuit of what the memorandum called “political hegemony and maritime ascendency” would pose a threat to the “independence of her neighbors and ultimately the existence of England.” Today, </w:t>
      </w:r>
      <w:r w:rsidRPr="000755EC">
        <w:rPr>
          <w:rStyle w:val="StyleBoldUnderline"/>
        </w:rPr>
        <w:t>the U.S. Department of Defense plans against something it calls the “Anti-Access/Area Denial threat,”</w:t>
      </w:r>
      <w:r w:rsidRPr="000755EC">
        <w:rPr>
          <w:sz w:val="16"/>
        </w:rPr>
        <w:t xml:space="preserve"> </w:t>
      </w:r>
      <w:r w:rsidRPr="000755EC">
        <w:rPr>
          <w:rStyle w:val="StyleBoldUnderline"/>
        </w:rPr>
        <w:t>a thinly veiled “you know who” for China</w:t>
      </w:r>
      <w:r w:rsidRPr="000755EC">
        <w:rPr>
          <w:sz w:val="16"/>
        </w:rPr>
        <w:t xml:space="preserve">. Since its humiliation in 1996, when it was forced to back down from threats to Taiwan after the U.S. sent two aircraft carriers to support Taiwan, China has planned, built, and trained to push U.S. naval forces back beyond Taiwan to the first island chain and eventually to the second. 6. </w:t>
      </w:r>
      <w:r w:rsidRPr="007B4734">
        <w:rPr>
          <w:rStyle w:val="StyleBoldUnderline"/>
          <w:highlight w:val="cyan"/>
        </w:rPr>
        <w:t>Entangling alliances</w:t>
      </w:r>
      <w:r w:rsidRPr="000755EC">
        <w:rPr>
          <w:sz w:val="16"/>
        </w:rPr>
        <w:t xml:space="preserve"> that </w:t>
      </w:r>
      <w:r w:rsidRPr="007B4734">
        <w:rPr>
          <w:rStyle w:val="StyleBoldUnderline"/>
          <w:highlight w:val="cyan"/>
        </w:rPr>
        <w:t>create</w:t>
      </w:r>
      <w:r w:rsidRPr="000755EC">
        <w:rPr>
          <w:sz w:val="16"/>
        </w:rPr>
        <w:t xml:space="preserve"> what Henry Kissinger has called</w:t>
      </w:r>
      <w:r w:rsidRPr="000755EC">
        <w:rPr>
          <w:rStyle w:val="StyleBoldUnderline"/>
        </w:rPr>
        <w:t xml:space="preserve"> </w:t>
      </w:r>
      <w:r w:rsidRPr="007B4734">
        <w:rPr>
          <w:rStyle w:val="StyleBoldUnderline"/>
          <w:highlight w:val="cyan"/>
        </w:rPr>
        <w:t>a “diplomatic doomsday machine</w:t>
      </w:r>
      <w:r w:rsidRPr="000755EC">
        <w:rPr>
          <w:sz w:val="16"/>
        </w:rPr>
        <w:t>.” In 1914</w:t>
      </w:r>
      <w:r w:rsidRPr="000755EC">
        <w:rPr>
          <w:rStyle w:val="StyleBoldUnderline"/>
        </w:rPr>
        <w:t>, a web of complex alliance commitments t</w:t>
      </w:r>
      <w:r w:rsidRPr="007B4734">
        <w:rPr>
          <w:rStyle w:val="StyleBoldUnderline"/>
          <w:highlight w:val="cyan"/>
        </w:rPr>
        <w:t>hreaten</w:t>
      </w:r>
      <w:r w:rsidRPr="000755EC">
        <w:rPr>
          <w:rStyle w:val="StyleBoldUnderline"/>
        </w:rPr>
        <w:t xml:space="preserve">ed rapid </w:t>
      </w:r>
      <w:r w:rsidRPr="007B4734">
        <w:rPr>
          <w:rStyle w:val="StyleBoldUnderline"/>
          <w:highlight w:val="cyan"/>
        </w:rPr>
        <w:t>escalation into Great Power war</w:t>
      </w:r>
      <w:r w:rsidRPr="000755EC">
        <w:rPr>
          <w:sz w:val="16"/>
        </w:rPr>
        <w:t xml:space="preserve">. After unifying Germany in the late nineteenth century, Chancellor Otto von Bismarck constructed a network of alliances that would keep the peace in Europe while isolating Germany’s principal enemy, France. Kaiser Wilhelm wrecked Bismarck’s finely tuned alliance structure by refusing to extend Germany’s alliance with Russia in 1890. Two years later, Russia allied with France. This led Germany to strengthen its ties to Austria-Hungary, and Britain to entertain deeper entanglement with both France and Russia. In 2014, in East Asia, </w:t>
      </w:r>
      <w:r w:rsidRPr="000755EC">
        <w:rPr>
          <w:rStyle w:val="StyleBoldUnderline"/>
        </w:rPr>
        <w:t>the United States has many allies</w:t>
      </w:r>
      <w:r w:rsidRPr="000755EC">
        <w:rPr>
          <w:sz w:val="16"/>
        </w:rPr>
        <w:t xml:space="preserve">, China few. In 2014, in East Asia, the United States has many allies, China few. </w:t>
      </w:r>
      <w:r w:rsidRPr="000755EC">
        <w:rPr>
          <w:rStyle w:val="StyleBoldUnderline"/>
        </w:rPr>
        <w:t>American obligations and operational plans cover a spectrum from the U.S.-Japan Treaty of Mutual Cooperation and Security, which obligates the U.S. to regard any attack upon Japan as an attack on the U.S., to agreements with the Philippines and others that require only consultation and support</w:t>
      </w:r>
      <w:r w:rsidRPr="000755EC">
        <w:rPr>
          <w:sz w:val="16"/>
        </w:rPr>
        <w:t>. As an assertive China defines air identification zones, drills for oil and gas in contested areas, excludes other states’ ships from waters around disputed islands, and operates ships and aircraft to redraw “rules of the road</w:t>
      </w:r>
      <w:r w:rsidRPr="000755EC">
        <w:rPr>
          <w:rStyle w:val="StyleBoldUnderline"/>
        </w:rPr>
        <w:t xml:space="preserve">,” </w:t>
      </w:r>
      <w:r w:rsidRPr="007B4734">
        <w:rPr>
          <w:rStyle w:val="StyleBoldUnderline"/>
          <w:highlight w:val="cyan"/>
        </w:rPr>
        <w:t>it becomes easier to imagine scenarios in</w:t>
      </w:r>
      <w:r w:rsidRPr="000755EC">
        <w:rPr>
          <w:rStyle w:val="StyleBoldUnderline"/>
        </w:rPr>
        <w:t xml:space="preserve"> which mistakes or </w:t>
      </w:r>
      <w:r w:rsidRPr="007B4734">
        <w:rPr>
          <w:rStyle w:val="StyleBoldUnderline"/>
          <w:highlight w:val="cyan"/>
        </w:rPr>
        <w:t>miscalcu</w:t>
      </w:r>
      <w:r w:rsidRPr="000755EC">
        <w:rPr>
          <w:rStyle w:val="StyleBoldUnderline"/>
        </w:rPr>
        <w:t xml:space="preserve">lation </w:t>
      </w:r>
      <w:r w:rsidRPr="007B4734">
        <w:rPr>
          <w:rStyle w:val="StyleBoldUnderline"/>
          <w:highlight w:val="cyan"/>
        </w:rPr>
        <w:t>lead to results no one would have chosen</w:t>
      </w:r>
      <w:r w:rsidRPr="000755EC">
        <w:rPr>
          <w:rStyle w:val="StyleBoldUnderline"/>
        </w:rPr>
        <w:t>.</w:t>
      </w:r>
      <w:r>
        <w:rPr>
          <w:rStyle w:val="StyleBoldUnderline"/>
        </w:rPr>
        <w:t xml:space="preserve"> </w:t>
      </w:r>
      <w:r w:rsidRPr="000755EC">
        <w:rPr>
          <w:sz w:val="16"/>
        </w:rPr>
        <w:t xml:space="preserve">7. </w:t>
      </w:r>
      <w:r w:rsidRPr="000755EC">
        <w:rPr>
          <w:rStyle w:val="StyleBoldUnderline"/>
        </w:rPr>
        <w:t>Temptation of a coup de main to radically improve power and prestige</w:t>
      </w:r>
      <w:r w:rsidRPr="000755EC">
        <w:rPr>
          <w:sz w:val="16"/>
        </w:rPr>
        <w:t xml:space="preserve">. In 1914, a declining Austria-Hungary faced rising, Russian-backed Pan-Slavism in the Balkans. Seeing Serbia as the epicenter of Pan-Slavism, Emperor Franz Joseph imagined that this menace could be contained by a decisive defeat of Serbia. The assassination of his heir, Franz Ferdinand, provided an opportunity. In 2014, Shinzo Abe seeks to reverse </w:t>
      </w:r>
      <w:r w:rsidRPr="000755EC">
        <w:rPr>
          <w:rStyle w:val="StyleBoldUnderline"/>
        </w:rPr>
        <w:t>Japan’s</w:t>
      </w:r>
      <w:r w:rsidRPr="000755EC">
        <w:rPr>
          <w:sz w:val="16"/>
        </w:rPr>
        <w:t xml:space="preserve"> “lost decades.” A quarter-century ago, Japan appeared to be on the threshold of becoming “Number One.” Since then, it </w:t>
      </w:r>
      <w:r w:rsidRPr="000755EC">
        <w:rPr>
          <w:rStyle w:val="StyleBoldUnderline"/>
        </w:rPr>
        <w:t>has stagnated economically and become almost irrelevant in international politics. Abe’s program for revival</w:t>
      </w:r>
      <w:r w:rsidRPr="000755EC">
        <w:rPr>
          <w:sz w:val="16"/>
        </w:rPr>
        <w:t xml:space="preserve"> thus includes not only “Abenomics,” but </w:t>
      </w:r>
      <w:r w:rsidRPr="000755EC">
        <w:rPr>
          <w:rStyle w:val="StyleBoldUnderline"/>
        </w:rPr>
        <w:t xml:space="preserve">also </w:t>
      </w:r>
      <w:r w:rsidRPr="007B4734">
        <w:rPr>
          <w:rStyle w:val="StyleBoldUnderline"/>
          <w:highlight w:val="cyan"/>
        </w:rPr>
        <w:t>restoration of Japanese influence in the world</w:t>
      </w:r>
      <w:r w:rsidRPr="000755EC">
        <w:rPr>
          <w:rStyle w:val="StyleBoldUnderline"/>
        </w:rPr>
        <w:t xml:space="preserve">, </w:t>
      </w:r>
      <w:r w:rsidRPr="007B4734">
        <w:rPr>
          <w:rStyle w:val="StyleBoldUnderline"/>
          <w:highlight w:val="cyan"/>
        </w:rPr>
        <w:t>including</w:t>
      </w:r>
      <w:r w:rsidRPr="000755EC">
        <w:rPr>
          <w:rStyle w:val="StyleBoldUnderline"/>
        </w:rPr>
        <w:t xml:space="preserve"> revision of the constitution and </w:t>
      </w:r>
      <w:r w:rsidRPr="007B4734">
        <w:rPr>
          <w:rStyle w:val="StyleBoldUnderline"/>
          <w:highlight w:val="cyan"/>
        </w:rPr>
        <w:t>expansion of Japan’s military forces to meet</w:t>
      </w:r>
      <w:r w:rsidRPr="000755EC">
        <w:rPr>
          <w:rStyle w:val="StyleBoldUnderline"/>
        </w:rPr>
        <w:t xml:space="preserve"> what he explicitly calls </w:t>
      </w:r>
      <w:r w:rsidRPr="007B4734">
        <w:rPr>
          <w:rStyle w:val="StyleBoldUnderline"/>
          <w:highlight w:val="cyan"/>
        </w:rPr>
        <w:t>the “China threat.”</w:t>
      </w:r>
      <w:r>
        <w:rPr>
          <w:rStyle w:val="StyleBoldUnderline"/>
        </w:rPr>
        <w:t xml:space="preserve"> </w:t>
      </w:r>
      <w:r w:rsidRPr="000755EC">
        <w:rPr>
          <w:sz w:val="16"/>
        </w:rPr>
        <w:t xml:space="preserve">In sum, </w:t>
      </w:r>
      <w:r w:rsidRPr="000755EC">
        <w:rPr>
          <w:rStyle w:val="StyleBoldUnderline"/>
        </w:rPr>
        <w:t>those who see reminders of events a century ago in developments today are not deluded.</w:t>
      </w:r>
      <w:r>
        <w:rPr>
          <w:sz w:val="16"/>
        </w:rPr>
        <w:t xml:space="preserve"> </w:t>
      </w:r>
    </w:p>
    <w:p w:rsidR="000B1BA4" w:rsidRDefault="000B1BA4" w:rsidP="000B1BA4">
      <w:pPr>
        <w:spacing w:after="0"/>
        <w:rPr>
          <w:rFonts w:asciiTheme="minorHAnsi" w:eastAsiaTheme="minorEastAsia" w:hAnsiTheme="minorHAnsi"/>
          <w:sz w:val="24"/>
          <w:szCs w:val="24"/>
        </w:rPr>
      </w:pPr>
    </w:p>
    <w:p w:rsidR="000B1BA4" w:rsidRPr="001850C5" w:rsidRDefault="000B1BA4" w:rsidP="000B1BA4"/>
    <w:sectPr w:rsidR="000B1BA4" w:rsidRPr="001850C5" w:rsidSect="00890E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7"/>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5E3"/>
    <w:rsid w:val="000021C8"/>
    <w:rsid w:val="00002354"/>
    <w:rsid w:val="000040D7"/>
    <w:rsid w:val="00004290"/>
    <w:rsid w:val="00005404"/>
    <w:rsid w:val="0000575F"/>
    <w:rsid w:val="00006026"/>
    <w:rsid w:val="00006426"/>
    <w:rsid w:val="0001016B"/>
    <w:rsid w:val="00011514"/>
    <w:rsid w:val="00011726"/>
    <w:rsid w:val="000118B9"/>
    <w:rsid w:val="000137C1"/>
    <w:rsid w:val="00013DD7"/>
    <w:rsid w:val="00013F37"/>
    <w:rsid w:val="0001403B"/>
    <w:rsid w:val="0001432B"/>
    <w:rsid w:val="0001500C"/>
    <w:rsid w:val="000151E4"/>
    <w:rsid w:val="00015440"/>
    <w:rsid w:val="0001572A"/>
    <w:rsid w:val="0001602B"/>
    <w:rsid w:val="00016413"/>
    <w:rsid w:val="00016CC7"/>
    <w:rsid w:val="000177EC"/>
    <w:rsid w:val="00017A2E"/>
    <w:rsid w:val="0002063B"/>
    <w:rsid w:val="0002140C"/>
    <w:rsid w:val="0002175E"/>
    <w:rsid w:val="00022E6F"/>
    <w:rsid w:val="00022FC3"/>
    <w:rsid w:val="00024AFE"/>
    <w:rsid w:val="00024C33"/>
    <w:rsid w:val="000251EF"/>
    <w:rsid w:val="0002628F"/>
    <w:rsid w:val="0002729C"/>
    <w:rsid w:val="000275A8"/>
    <w:rsid w:val="00030E9F"/>
    <w:rsid w:val="000318F0"/>
    <w:rsid w:val="00031B34"/>
    <w:rsid w:val="000324B1"/>
    <w:rsid w:val="00032554"/>
    <w:rsid w:val="000331C1"/>
    <w:rsid w:val="000333AA"/>
    <w:rsid w:val="000340E7"/>
    <w:rsid w:val="00034334"/>
    <w:rsid w:val="00036CF1"/>
    <w:rsid w:val="00036EF9"/>
    <w:rsid w:val="00036F3A"/>
    <w:rsid w:val="00036FF1"/>
    <w:rsid w:val="00037ADC"/>
    <w:rsid w:val="00037F02"/>
    <w:rsid w:val="00041275"/>
    <w:rsid w:val="00041B72"/>
    <w:rsid w:val="00042155"/>
    <w:rsid w:val="00043BF0"/>
    <w:rsid w:val="00044711"/>
    <w:rsid w:val="000455C3"/>
    <w:rsid w:val="000459CE"/>
    <w:rsid w:val="0004658C"/>
    <w:rsid w:val="00047068"/>
    <w:rsid w:val="00047976"/>
    <w:rsid w:val="00053D24"/>
    <w:rsid w:val="00054746"/>
    <w:rsid w:val="00056218"/>
    <w:rsid w:val="00061C87"/>
    <w:rsid w:val="00062423"/>
    <w:rsid w:val="00063957"/>
    <w:rsid w:val="00065188"/>
    <w:rsid w:val="000669F3"/>
    <w:rsid w:val="00066C6B"/>
    <w:rsid w:val="00067E0B"/>
    <w:rsid w:val="000724D6"/>
    <w:rsid w:val="00072780"/>
    <w:rsid w:val="00073E4E"/>
    <w:rsid w:val="000742AC"/>
    <w:rsid w:val="00074953"/>
    <w:rsid w:val="00074ABB"/>
    <w:rsid w:val="000750B7"/>
    <w:rsid w:val="000763DC"/>
    <w:rsid w:val="00076C1A"/>
    <w:rsid w:val="000801B2"/>
    <w:rsid w:val="00080C20"/>
    <w:rsid w:val="00080DB3"/>
    <w:rsid w:val="000845D8"/>
    <w:rsid w:val="00084D65"/>
    <w:rsid w:val="00085AA0"/>
    <w:rsid w:val="00086AB8"/>
    <w:rsid w:val="00087DD7"/>
    <w:rsid w:val="000909F2"/>
    <w:rsid w:val="0009108A"/>
    <w:rsid w:val="00091A63"/>
    <w:rsid w:val="00092228"/>
    <w:rsid w:val="00092307"/>
    <w:rsid w:val="0009733E"/>
    <w:rsid w:val="0009778E"/>
    <w:rsid w:val="000A2BA3"/>
    <w:rsid w:val="000A41BD"/>
    <w:rsid w:val="000A4624"/>
    <w:rsid w:val="000A584B"/>
    <w:rsid w:val="000A5E39"/>
    <w:rsid w:val="000A6C96"/>
    <w:rsid w:val="000A7BB5"/>
    <w:rsid w:val="000B0B59"/>
    <w:rsid w:val="000B0F4F"/>
    <w:rsid w:val="000B1AE2"/>
    <w:rsid w:val="000B1BA4"/>
    <w:rsid w:val="000B1DD5"/>
    <w:rsid w:val="000B1EB3"/>
    <w:rsid w:val="000B264F"/>
    <w:rsid w:val="000B2E48"/>
    <w:rsid w:val="000B3BCA"/>
    <w:rsid w:val="000B3ED8"/>
    <w:rsid w:val="000B4AD6"/>
    <w:rsid w:val="000B541D"/>
    <w:rsid w:val="000B55C4"/>
    <w:rsid w:val="000C03CE"/>
    <w:rsid w:val="000C3E3A"/>
    <w:rsid w:val="000C4215"/>
    <w:rsid w:val="000C43C8"/>
    <w:rsid w:val="000C4D5D"/>
    <w:rsid w:val="000C6A09"/>
    <w:rsid w:val="000C7DB3"/>
    <w:rsid w:val="000D17DC"/>
    <w:rsid w:val="000D1F1A"/>
    <w:rsid w:val="000D3C43"/>
    <w:rsid w:val="000D4227"/>
    <w:rsid w:val="000D5497"/>
    <w:rsid w:val="000D55A1"/>
    <w:rsid w:val="000D70CA"/>
    <w:rsid w:val="000E0C9D"/>
    <w:rsid w:val="000E434D"/>
    <w:rsid w:val="000E509E"/>
    <w:rsid w:val="000E5AB9"/>
    <w:rsid w:val="000E7284"/>
    <w:rsid w:val="000F0E4C"/>
    <w:rsid w:val="000F1AB0"/>
    <w:rsid w:val="000F24EE"/>
    <w:rsid w:val="000F29EA"/>
    <w:rsid w:val="000F3D58"/>
    <w:rsid w:val="000F4D12"/>
    <w:rsid w:val="000F5195"/>
    <w:rsid w:val="000F6665"/>
    <w:rsid w:val="000F67AA"/>
    <w:rsid w:val="000F6C62"/>
    <w:rsid w:val="000F74A4"/>
    <w:rsid w:val="000F75D9"/>
    <w:rsid w:val="000F7C31"/>
    <w:rsid w:val="000F7CAA"/>
    <w:rsid w:val="00101DFF"/>
    <w:rsid w:val="00103C2B"/>
    <w:rsid w:val="00104A91"/>
    <w:rsid w:val="00105862"/>
    <w:rsid w:val="001058C8"/>
    <w:rsid w:val="00105F18"/>
    <w:rsid w:val="00106E1A"/>
    <w:rsid w:val="001076F0"/>
    <w:rsid w:val="0011115E"/>
    <w:rsid w:val="00112AD6"/>
    <w:rsid w:val="0011619E"/>
    <w:rsid w:val="00117212"/>
    <w:rsid w:val="001174B6"/>
    <w:rsid w:val="00117AE7"/>
    <w:rsid w:val="00120A84"/>
    <w:rsid w:val="001217D1"/>
    <w:rsid w:val="001222B4"/>
    <w:rsid w:val="00122E14"/>
    <w:rsid w:val="001252DE"/>
    <w:rsid w:val="0012756A"/>
    <w:rsid w:val="001275FE"/>
    <w:rsid w:val="00130364"/>
    <w:rsid w:val="00130BF4"/>
    <w:rsid w:val="0013150C"/>
    <w:rsid w:val="001315FB"/>
    <w:rsid w:val="001326CC"/>
    <w:rsid w:val="00132FD9"/>
    <w:rsid w:val="0013353F"/>
    <w:rsid w:val="001351FF"/>
    <w:rsid w:val="0013582A"/>
    <w:rsid w:val="001363C1"/>
    <w:rsid w:val="0014071E"/>
    <w:rsid w:val="001410AD"/>
    <w:rsid w:val="00141A3A"/>
    <w:rsid w:val="001428A2"/>
    <w:rsid w:val="00142B0A"/>
    <w:rsid w:val="00142E52"/>
    <w:rsid w:val="001430BE"/>
    <w:rsid w:val="00145B9D"/>
    <w:rsid w:val="00145FDD"/>
    <w:rsid w:val="00150A87"/>
    <w:rsid w:val="001514F7"/>
    <w:rsid w:val="00152370"/>
    <w:rsid w:val="00152503"/>
    <w:rsid w:val="001526BB"/>
    <w:rsid w:val="001534DA"/>
    <w:rsid w:val="001544E9"/>
    <w:rsid w:val="001545D6"/>
    <w:rsid w:val="00154663"/>
    <w:rsid w:val="00154AC7"/>
    <w:rsid w:val="001567CB"/>
    <w:rsid w:val="00156FFD"/>
    <w:rsid w:val="001579AC"/>
    <w:rsid w:val="0016045F"/>
    <w:rsid w:val="00160495"/>
    <w:rsid w:val="00162CF3"/>
    <w:rsid w:val="00163441"/>
    <w:rsid w:val="00166BE0"/>
    <w:rsid w:val="00167444"/>
    <w:rsid w:val="00167A04"/>
    <w:rsid w:val="001714FF"/>
    <w:rsid w:val="00171601"/>
    <w:rsid w:val="00171DAF"/>
    <w:rsid w:val="0017220A"/>
    <w:rsid w:val="00172780"/>
    <w:rsid w:val="001734D7"/>
    <w:rsid w:val="00173C63"/>
    <w:rsid w:val="00175568"/>
    <w:rsid w:val="00175BEF"/>
    <w:rsid w:val="0017797F"/>
    <w:rsid w:val="00180720"/>
    <w:rsid w:val="0018196E"/>
    <w:rsid w:val="00182423"/>
    <w:rsid w:val="001828A0"/>
    <w:rsid w:val="00183B93"/>
    <w:rsid w:val="0018466D"/>
    <w:rsid w:val="00185444"/>
    <w:rsid w:val="00185C13"/>
    <w:rsid w:val="0018657E"/>
    <w:rsid w:val="00190C5A"/>
    <w:rsid w:val="00192410"/>
    <w:rsid w:val="001926DA"/>
    <w:rsid w:val="00192970"/>
    <w:rsid w:val="00192A7E"/>
    <w:rsid w:val="00192D5C"/>
    <w:rsid w:val="001932EE"/>
    <w:rsid w:val="00193D42"/>
    <w:rsid w:val="0019576F"/>
    <w:rsid w:val="00196EF4"/>
    <w:rsid w:val="001A0505"/>
    <w:rsid w:val="001A133E"/>
    <w:rsid w:val="001A2496"/>
    <w:rsid w:val="001A2EE2"/>
    <w:rsid w:val="001A48A1"/>
    <w:rsid w:val="001A64AD"/>
    <w:rsid w:val="001A6E19"/>
    <w:rsid w:val="001A7988"/>
    <w:rsid w:val="001A7BE7"/>
    <w:rsid w:val="001B1C4F"/>
    <w:rsid w:val="001B1FC9"/>
    <w:rsid w:val="001B3DAD"/>
    <w:rsid w:val="001B4D62"/>
    <w:rsid w:val="001B6609"/>
    <w:rsid w:val="001B7C80"/>
    <w:rsid w:val="001C044E"/>
    <w:rsid w:val="001C43F5"/>
    <w:rsid w:val="001C612C"/>
    <w:rsid w:val="001C67FF"/>
    <w:rsid w:val="001D046C"/>
    <w:rsid w:val="001D0C62"/>
    <w:rsid w:val="001D17C5"/>
    <w:rsid w:val="001D1827"/>
    <w:rsid w:val="001D18BF"/>
    <w:rsid w:val="001D20D2"/>
    <w:rsid w:val="001D2DED"/>
    <w:rsid w:val="001D3027"/>
    <w:rsid w:val="001D39AA"/>
    <w:rsid w:val="001D43A6"/>
    <w:rsid w:val="001D69D8"/>
    <w:rsid w:val="001D6B43"/>
    <w:rsid w:val="001D70C1"/>
    <w:rsid w:val="001D7B40"/>
    <w:rsid w:val="001D7E49"/>
    <w:rsid w:val="001E54D9"/>
    <w:rsid w:val="001E60A0"/>
    <w:rsid w:val="001E6B45"/>
    <w:rsid w:val="001F0397"/>
    <w:rsid w:val="001F0C67"/>
    <w:rsid w:val="001F1313"/>
    <w:rsid w:val="001F16EE"/>
    <w:rsid w:val="001F1989"/>
    <w:rsid w:val="001F19B5"/>
    <w:rsid w:val="001F1CA5"/>
    <w:rsid w:val="001F321D"/>
    <w:rsid w:val="001F457B"/>
    <w:rsid w:val="001F48F7"/>
    <w:rsid w:val="001F52A5"/>
    <w:rsid w:val="001F76DC"/>
    <w:rsid w:val="002020C1"/>
    <w:rsid w:val="00203636"/>
    <w:rsid w:val="00203A23"/>
    <w:rsid w:val="002057FF"/>
    <w:rsid w:val="00206476"/>
    <w:rsid w:val="002100BB"/>
    <w:rsid w:val="00210A50"/>
    <w:rsid w:val="00211126"/>
    <w:rsid w:val="00211192"/>
    <w:rsid w:val="00212F59"/>
    <w:rsid w:val="002147F3"/>
    <w:rsid w:val="0021585E"/>
    <w:rsid w:val="00216392"/>
    <w:rsid w:val="00217270"/>
    <w:rsid w:val="00222B1B"/>
    <w:rsid w:val="00222F56"/>
    <w:rsid w:val="00224B2F"/>
    <w:rsid w:val="00225B30"/>
    <w:rsid w:val="002267B7"/>
    <w:rsid w:val="00227B74"/>
    <w:rsid w:val="00230930"/>
    <w:rsid w:val="00231A52"/>
    <w:rsid w:val="00231E74"/>
    <w:rsid w:val="00232293"/>
    <w:rsid w:val="00236720"/>
    <w:rsid w:val="002370E8"/>
    <w:rsid w:val="00237B97"/>
    <w:rsid w:val="0024001E"/>
    <w:rsid w:val="00240857"/>
    <w:rsid w:val="00240D64"/>
    <w:rsid w:val="00241D69"/>
    <w:rsid w:val="0024272B"/>
    <w:rsid w:val="00242F8D"/>
    <w:rsid w:val="00243700"/>
    <w:rsid w:val="00243C0D"/>
    <w:rsid w:val="0024418F"/>
    <w:rsid w:val="00244A6F"/>
    <w:rsid w:val="00245FA4"/>
    <w:rsid w:val="00246160"/>
    <w:rsid w:val="002467A8"/>
    <w:rsid w:val="0025081A"/>
    <w:rsid w:val="002515E4"/>
    <w:rsid w:val="002517FE"/>
    <w:rsid w:val="002525AC"/>
    <w:rsid w:val="00252836"/>
    <w:rsid w:val="002528E8"/>
    <w:rsid w:val="00254A7B"/>
    <w:rsid w:val="00256A4B"/>
    <w:rsid w:val="00256ED9"/>
    <w:rsid w:val="00257257"/>
    <w:rsid w:val="00263663"/>
    <w:rsid w:val="0026385A"/>
    <w:rsid w:val="00263B9D"/>
    <w:rsid w:val="002646CF"/>
    <w:rsid w:val="002647BA"/>
    <w:rsid w:val="0026527D"/>
    <w:rsid w:val="00270214"/>
    <w:rsid w:val="00270343"/>
    <w:rsid w:val="00271929"/>
    <w:rsid w:val="00272034"/>
    <w:rsid w:val="0027273B"/>
    <w:rsid w:val="002728D1"/>
    <w:rsid w:val="0027343D"/>
    <w:rsid w:val="002738F7"/>
    <w:rsid w:val="00275FB3"/>
    <w:rsid w:val="0027643F"/>
    <w:rsid w:val="002767A2"/>
    <w:rsid w:val="00276D36"/>
    <w:rsid w:val="00277433"/>
    <w:rsid w:val="002779DC"/>
    <w:rsid w:val="00280CFD"/>
    <w:rsid w:val="002819BD"/>
    <w:rsid w:val="00281C64"/>
    <w:rsid w:val="00281E04"/>
    <w:rsid w:val="00281FB1"/>
    <w:rsid w:val="002824E0"/>
    <w:rsid w:val="002828BD"/>
    <w:rsid w:val="00285173"/>
    <w:rsid w:val="0028526E"/>
    <w:rsid w:val="00285580"/>
    <w:rsid w:val="00285762"/>
    <w:rsid w:val="00285BDA"/>
    <w:rsid w:val="002862E9"/>
    <w:rsid w:val="0028690D"/>
    <w:rsid w:val="00286A37"/>
    <w:rsid w:val="002871FD"/>
    <w:rsid w:val="0028781E"/>
    <w:rsid w:val="0029060B"/>
    <w:rsid w:val="00291A32"/>
    <w:rsid w:val="002925B6"/>
    <w:rsid w:val="00296EC0"/>
    <w:rsid w:val="00297BC9"/>
    <w:rsid w:val="00297DED"/>
    <w:rsid w:val="002A04D4"/>
    <w:rsid w:val="002A0979"/>
    <w:rsid w:val="002A0BEA"/>
    <w:rsid w:val="002A2E32"/>
    <w:rsid w:val="002A4E6E"/>
    <w:rsid w:val="002A525E"/>
    <w:rsid w:val="002A7543"/>
    <w:rsid w:val="002A7592"/>
    <w:rsid w:val="002A7BC8"/>
    <w:rsid w:val="002B02C2"/>
    <w:rsid w:val="002B0F1E"/>
    <w:rsid w:val="002B3015"/>
    <w:rsid w:val="002B326C"/>
    <w:rsid w:val="002B360D"/>
    <w:rsid w:val="002B3B7B"/>
    <w:rsid w:val="002B429B"/>
    <w:rsid w:val="002B65DE"/>
    <w:rsid w:val="002B74A4"/>
    <w:rsid w:val="002B7A18"/>
    <w:rsid w:val="002C11D8"/>
    <w:rsid w:val="002C29AF"/>
    <w:rsid w:val="002C6109"/>
    <w:rsid w:val="002C7093"/>
    <w:rsid w:val="002C7AB4"/>
    <w:rsid w:val="002D1821"/>
    <w:rsid w:val="002D197B"/>
    <w:rsid w:val="002D3C91"/>
    <w:rsid w:val="002D47A4"/>
    <w:rsid w:val="002D603A"/>
    <w:rsid w:val="002D69D7"/>
    <w:rsid w:val="002D6F0B"/>
    <w:rsid w:val="002D7270"/>
    <w:rsid w:val="002E0295"/>
    <w:rsid w:val="002E05B2"/>
    <w:rsid w:val="002E117F"/>
    <w:rsid w:val="002E1873"/>
    <w:rsid w:val="002E1875"/>
    <w:rsid w:val="002E1CF0"/>
    <w:rsid w:val="002E512E"/>
    <w:rsid w:val="002E5D51"/>
    <w:rsid w:val="002E5F3E"/>
    <w:rsid w:val="002E6D32"/>
    <w:rsid w:val="002E7246"/>
    <w:rsid w:val="002E73C2"/>
    <w:rsid w:val="002F09A5"/>
    <w:rsid w:val="002F15D4"/>
    <w:rsid w:val="002F162B"/>
    <w:rsid w:val="002F171C"/>
    <w:rsid w:val="002F1C88"/>
    <w:rsid w:val="002F1CA8"/>
    <w:rsid w:val="002F1E58"/>
    <w:rsid w:val="002F29C0"/>
    <w:rsid w:val="002F3E99"/>
    <w:rsid w:val="002F5A72"/>
    <w:rsid w:val="002F5BBF"/>
    <w:rsid w:val="002F5CD2"/>
    <w:rsid w:val="002F6AD7"/>
    <w:rsid w:val="002F7C5B"/>
    <w:rsid w:val="00301D85"/>
    <w:rsid w:val="00303C81"/>
    <w:rsid w:val="00306651"/>
    <w:rsid w:val="00307BE4"/>
    <w:rsid w:val="0031022E"/>
    <w:rsid w:val="00310311"/>
    <w:rsid w:val="003105AC"/>
    <w:rsid w:val="00310DE8"/>
    <w:rsid w:val="00311544"/>
    <w:rsid w:val="00314ABF"/>
    <w:rsid w:val="00314E15"/>
    <w:rsid w:val="0031580C"/>
    <w:rsid w:val="00315CB4"/>
    <w:rsid w:val="00320ACD"/>
    <w:rsid w:val="00320E54"/>
    <w:rsid w:val="003219F0"/>
    <w:rsid w:val="00321C7C"/>
    <w:rsid w:val="00322A45"/>
    <w:rsid w:val="00322CBB"/>
    <w:rsid w:val="00323BDE"/>
    <w:rsid w:val="00323E95"/>
    <w:rsid w:val="00325429"/>
    <w:rsid w:val="00325C56"/>
    <w:rsid w:val="003272BB"/>
    <w:rsid w:val="00327511"/>
    <w:rsid w:val="003312DA"/>
    <w:rsid w:val="00331AD8"/>
    <w:rsid w:val="003321C5"/>
    <w:rsid w:val="00332CC2"/>
    <w:rsid w:val="00333E5F"/>
    <w:rsid w:val="003343B3"/>
    <w:rsid w:val="00335B65"/>
    <w:rsid w:val="00335BB1"/>
    <w:rsid w:val="0033615B"/>
    <w:rsid w:val="00337F28"/>
    <w:rsid w:val="00340353"/>
    <w:rsid w:val="00340D68"/>
    <w:rsid w:val="00345FA4"/>
    <w:rsid w:val="00346BA9"/>
    <w:rsid w:val="0034773B"/>
    <w:rsid w:val="00351974"/>
    <w:rsid w:val="00351B7E"/>
    <w:rsid w:val="0035239A"/>
    <w:rsid w:val="00352E7C"/>
    <w:rsid w:val="00354311"/>
    <w:rsid w:val="00356B8D"/>
    <w:rsid w:val="00356C57"/>
    <w:rsid w:val="00360A95"/>
    <w:rsid w:val="00360C14"/>
    <w:rsid w:val="003621C6"/>
    <w:rsid w:val="00364B23"/>
    <w:rsid w:val="00364CCA"/>
    <w:rsid w:val="00366CA8"/>
    <w:rsid w:val="00367213"/>
    <w:rsid w:val="00367BBA"/>
    <w:rsid w:val="0037008D"/>
    <w:rsid w:val="00371083"/>
    <w:rsid w:val="0037233B"/>
    <w:rsid w:val="003738AE"/>
    <w:rsid w:val="00373EA3"/>
    <w:rsid w:val="003770B5"/>
    <w:rsid w:val="00377BE5"/>
    <w:rsid w:val="00380D76"/>
    <w:rsid w:val="003817C5"/>
    <w:rsid w:val="00381D84"/>
    <w:rsid w:val="0038269E"/>
    <w:rsid w:val="00382C43"/>
    <w:rsid w:val="003832FC"/>
    <w:rsid w:val="00383C0D"/>
    <w:rsid w:val="00384E3D"/>
    <w:rsid w:val="0038636A"/>
    <w:rsid w:val="00387B0C"/>
    <w:rsid w:val="00387F47"/>
    <w:rsid w:val="00390621"/>
    <w:rsid w:val="0039087E"/>
    <w:rsid w:val="003924DB"/>
    <w:rsid w:val="00393AA5"/>
    <w:rsid w:val="0039572A"/>
    <w:rsid w:val="003A0B9D"/>
    <w:rsid w:val="003A287D"/>
    <w:rsid w:val="003A2F64"/>
    <w:rsid w:val="003A35FD"/>
    <w:rsid w:val="003A3E49"/>
    <w:rsid w:val="003A4A3D"/>
    <w:rsid w:val="003A660F"/>
    <w:rsid w:val="003B2120"/>
    <w:rsid w:val="003B35E3"/>
    <w:rsid w:val="003B3807"/>
    <w:rsid w:val="003B443E"/>
    <w:rsid w:val="003B4C91"/>
    <w:rsid w:val="003B4F23"/>
    <w:rsid w:val="003B7861"/>
    <w:rsid w:val="003B7895"/>
    <w:rsid w:val="003C071F"/>
    <w:rsid w:val="003C0DF2"/>
    <w:rsid w:val="003C13E3"/>
    <w:rsid w:val="003C2249"/>
    <w:rsid w:val="003C39C5"/>
    <w:rsid w:val="003C3B3D"/>
    <w:rsid w:val="003C52AE"/>
    <w:rsid w:val="003C5DC9"/>
    <w:rsid w:val="003C7634"/>
    <w:rsid w:val="003D0437"/>
    <w:rsid w:val="003D05B6"/>
    <w:rsid w:val="003D0D74"/>
    <w:rsid w:val="003D2623"/>
    <w:rsid w:val="003D4C9F"/>
    <w:rsid w:val="003D5006"/>
    <w:rsid w:val="003D63C9"/>
    <w:rsid w:val="003D6564"/>
    <w:rsid w:val="003D73BC"/>
    <w:rsid w:val="003E00DD"/>
    <w:rsid w:val="003E01D9"/>
    <w:rsid w:val="003E03C1"/>
    <w:rsid w:val="003E0D73"/>
    <w:rsid w:val="003E14C0"/>
    <w:rsid w:val="003E32BD"/>
    <w:rsid w:val="003E4D64"/>
    <w:rsid w:val="003E6D6F"/>
    <w:rsid w:val="003E79E9"/>
    <w:rsid w:val="003E7DD1"/>
    <w:rsid w:val="003F17BA"/>
    <w:rsid w:val="003F1BAF"/>
    <w:rsid w:val="003F27F5"/>
    <w:rsid w:val="003F393D"/>
    <w:rsid w:val="003F3C55"/>
    <w:rsid w:val="003F40FC"/>
    <w:rsid w:val="003F576B"/>
    <w:rsid w:val="004007C5"/>
    <w:rsid w:val="00401790"/>
    <w:rsid w:val="004020F4"/>
    <w:rsid w:val="0040227B"/>
    <w:rsid w:val="004059CA"/>
    <w:rsid w:val="004064BD"/>
    <w:rsid w:val="0041021F"/>
    <w:rsid w:val="0041082C"/>
    <w:rsid w:val="00410838"/>
    <w:rsid w:val="00410C83"/>
    <w:rsid w:val="004111B9"/>
    <w:rsid w:val="00412259"/>
    <w:rsid w:val="004126D1"/>
    <w:rsid w:val="00413E7E"/>
    <w:rsid w:val="004141DC"/>
    <w:rsid w:val="004165FB"/>
    <w:rsid w:val="00416958"/>
    <w:rsid w:val="00420648"/>
    <w:rsid w:val="004225B0"/>
    <w:rsid w:val="0042260A"/>
    <w:rsid w:val="00422BF9"/>
    <w:rsid w:val="00422CEC"/>
    <w:rsid w:val="00423953"/>
    <w:rsid w:val="00423BA8"/>
    <w:rsid w:val="0042413A"/>
    <w:rsid w:val="00424D81"/>
    <w:rsid w:val="004263FE"/>
    <w:rsid w:val="00427105"/>
    <w:rsid w:val="0042761C"/>
    <w:rsid w:val="00430060"/>
    <w:rsid w:val="00430B24"/>
    <w:rsid w:val="00431ADB"/>
    <w:rsid w:val="00431B2C"/>
    <w:rsid w:val="00431C55"/>
    <w:rsid w:val="004323E8"/>
    <w:rsid w:val="00432D59"/>
    <w:rsid w:val="00433BD8"/>
    <w:rsid w:val="004341C8"/>
    <w:rsid w:val="004359E2"/>
    <w:rsid w:val="004360B2"/>
    <w:rsid w:val="00436B47"/>
    <w:rsid w:val="00437BCE"/>
    <w:rsid w:val="00442DCC"/>
    <w:rsid w:val="00443E0A"/>
    <w:rsid w:val="00444C80"/>
    <w:rsid w:val="00444F46"/>
    <w:rsid w:val="00444F6F"/>
    <w:rsid w:val="00446E96"/>
    <w:rsid w:val="00450C9C"/>
    <w:rsid w:val="004523C8"/>
    <w:rsid w:val="00454070"/>
    <w:rsid w:val="00454BA5"/>
    <w:rsid w:val="00454C5B"/>
    <w:rsid w:val="00454C7F"/>
    <w:rsid w:val="00454D35"/>
    <w:rsid w:val="004557C1"/>
    <w:rsid w:val="00455C07"/>
    <w:rsid w:val="00455D27"/>
    <w:rsid w:val="00455DD3"/>
    <w:rsid w:val="00455E74"/>
    <w:rsid w:val="00456C9D"/>
    <w:rsid w:val="0046292D"/>
    <w:rsid w:val="0046309E"/>
    <w:rsid w:val="0046313B"/>
    <w:rsid w:val="004637BB"/>
    <w:rsid w:val="004643A3"/>
    <w:rsid w:val="00464A06"/>
    <w:rsid w:val="004654EA"/>
    <w:rsid w:val="00465978"/>
    <w:rsid w:val="0046683C"/>
    <w:rsid w:val="00466D88"/>
    <w:rsid w:val="00467FEC"/>
    <w:rsid w:val="004708F4"/>
    <w:rsid w:val="00470B24"/>
    <w:rsid w:val="00472C39"/>
    <w:rsid w:val="00473F29"/>
    <w:rsid w:val="00474268"/>
    <w:rsid w:val="0047452A"/>
    <w:rsid w:val="004745C9"/>
    <w:rsid w:val="004748E9"/>
    <w:rsid w:val="00476675"/>
    <w:rsid w:val="00477794"/>
    <w:rsid w:val="00480AB8"/>
    <w:rsid w:val="004822E4"/>
    <w:rsid w:val="004828FF"/>
    <w:rsid w:val="004833FB"/>
    <w:rsid w:val="00483AB3"/>
    <w:rsid w:val="0048558A"/>
    <w:rsid w:val="004869CE"/>
    <w:rsid w:val="00487208"/>
    <w:rsid w:val="004902E8"/>
    <w:rsid w:val="00490C07"/>
    <w:rsid w:val="004930E2"/>
    <w:rsid w:val="0049320A"/>
    <w:rsid w:val="004932EB"/>
    <w:rsid w:val="0049351B"/>
    <w:rsid w:val="00493FC4"/>
    <w:rsid w:val="00494867"/>
    <w:rsid w:val="0049544C"/>
    <w:rsid w:val="00495BF8"/>
    <w:rsid w:val="0049678F"/>
    <w:rsid w:val="004973DB"/>
    <w:rsid w:val="0049787E"/>
    <w:rsid w:val="004A0678"/>
    <w:rsid w:val="004A070D"/>
    <w:rsid w:val="004A0955"/>
    <w:rsid w:val="004A0CC7"/>
    <w:rsid w:val="004A28CB"/>
    <w:rsid w:val="004A33CA"/>
    <w:rsid w:val="004A461B"/>
    <w:rsid w:val="004A6F50"/>
    <w:rsid w:val="004A785E"/>
    <w:rsid w:val="004B2202"/>
    <w:rsid w:val="004B2617"/>
    <w:rsid w:val="004B313A"/>
    <w:rsid w:val="004B507C"/>
    <w:rsid w:val="004B5A7A"/>
    <w:rsid w:val="004B71AA"/>
    <w:rsid w:val="004B727F"/>
    <w:rsid w:val="004B74AE"/>
    <w:rsid w:val="004C00CD"/>
    <w:rsid w:val="004C0D19"/>
    <w:rsid w:val="004C1303"/>
    <w:rsid w:val="004C149F"/>
    <w:rsid w:val="004C47CE"/>
    <w:rsid w:val="004C5A59"/>
    <w:rsid w:val="004C5BD6"/>
    <w:rsid w:val="004C5BEC"/>
    <w:rsid w:val="004C5CF5"/>
    <w:rsid w:val="004C66C4"/>
    <w:rsid w:val="004C791D"/>
    <w:rsid w:val="004C7B6D"/>
    <w:rsid w:val="004D2152"/>
    <w:rsid w:val="004D3762"/>
    <w:rsid w:val="004D4896"/>
    <w:rsid w:val="004D4AB9"/>
    <w:rsid w:val="004D4D81"/>
    <w:rsid w:val="004D6657"/>
    <w:rsid w:val="004D6979"/>
    <w:rsid w:val="004E060C"/>
    <w:rsid w:val="004E0A64"/>
    <w:rsid w:val="004E126E"/>
    <w:rsid w:val="004E13A3"/>
    <w:rsid w:val="004E221A"/>
    <w:rsid w:val="004E2BAB"/>
    <w:rsid w:val="004E3A9B"/>
    <w:rsid w:val="004E4335"/>
    <w:rsid w:val="004E571C"/>
    <w:rsid w:val="004E57D6"/>
    <w:rsid w:val="004E5E50"/>
    <w:rsid w:val="004E6A6B"/>
    <w:rsid w:val="004E6BE8"/>
    <w:rsid w:val="004E73C1"/>
    <w:rsid w:val="004F05C3"/>
    <w:rsid w:val="004F15E1"/>
    <w:rsid w:val="004F16AB"/>
    <w:rsid w:val="004F2C21"/>
    <w:rsid w:val="004F44AA"/>
    <w:rsid w:val="004F4E7A"/>
    <w:rsid w:val="004F661D"/>
    <w:rsid w:val="004F6740"/>
    <w:rsid w:val="004F7726"/>
    <w:rsid w:val="004F7B16"/>
    <w:rsid w:val="005004A9"/>
    <w:rsid w:val="00500A91"/>
    <w:rsid w:val="005012B3"/>
    <w:rsid w:val="00501CDA"/>
    <w:rsid w:val="005035DC"/>
    <w:rsid w:val="0050460A"/>
    <w:rsid w:val="00504F95"/>
    <w:rsid w:val="00505195"/>
    <w:rsid w:val="00505E2E"/>
    <w:rsid w:val="00506C16"/>
    <w:rsid w:val="00510022"/>
    <w:rsid w:val="00510517"/>
    <w:rsid w:val="00511A34"/>
    <w:rsid w:val="00511FA3"/>
    <w:rsid w:val="00512B17"/>
    <w:rsid w:val="00512EE6"/>
    <w:rsid w:val="00513533"/>
    <w:rsid w:val="005138CC"/>
    <w:rsid w:val="00513DA8"/>
    <w:rsid w:val="00513EBE"/>
    <w:rsid w:val="00514724"/>
    <w:rsid w:val="00514EF4"/>
    <w:rsid w:val="005178AF"/>
    <w:rsid w:val="0052166F"/>
    <w:rsid w:val="005216FF"/>
    <w:rsid w:val="00521858"/>
    <w:rsid w:val="00521A05"/>
    <w:rsid w:val="005225D1"/>
    <w:rsid w:val="00523499"/>
    <w:rsid w:val="00523B2B"/>
    <w:rsid w:val="00523B3E"/>
    <w:rsid w:val="00524696"/>
    <w:rsid w:val="00525027"/>
    <w:rsid w:val="00525511"/>
    <w:rsid w:val="005278A6"/>
    <w:rsid w:val="00530402"/>
    <w:rsid w:val="0053190F"/>
    <w:rsid w:val="00531A14"/>
    <w:rsid w:val="00531E07"/>
    <w:rsid w:val="00531F13"/>
    <w:rsid w:val="00532DBE"/>
    <w:rsid w:val="005332EB"/>
    <w:rsid w:val="005343A9"/>
    <w:rsid w:val="0053484A"/>
    <w:rsid w:val="00535B91"/>
    <w:rsid w:val="005366A2"/>
    <w:rsid w:val="0053765B"/>
    <w:rsid w:val="00537D39"/>
    <w:rsid w:val="005405C0"/>
    <w:rsid w:val="00540A03"/>
    <w:rsid w:val="00540AFB"/>
    <w:rsid w:val="00541770"/>
    <w:rsid w:val="00542165"/>
    <w:rsid w:val="00542794"/>
    <w:rsid w:val="00542BF3"/>
    <w:rsid w:val="005433CB"/>
    <w:rsid w:val="0054578E"/>
    <w:rsid w:val="005464C1"/>
    <w:rsid w:val="005465E0"/>
    <w:rsid w:val="00546EDE"/>
    <w:rsid w:val="0054763E"/>
    <w:rsid w:val="00550AFD"/>
    <w:rsid w:val="005513D5"/>
    <w:rsid w:val="00551AB3"/>
    <w:rsid w:val="00551F87"/>
    <w:rsid w:val="00551FE6"/>
    <w:rsid w:val="00554682"/>
    <w:rsid w:val="005568F6"/>
    <w:rsid w:val="00556BD0"/>
    <w:rsid w:val="00556E5D"/>
    <w:rsid w:val="005611A6"/>
    <w:rsid w:val="005612A5"/>
    <w:rsid w:val="0056170C"/>
    <w:rsid w:val="00561A1D"/>
    <w:rsid w:val="00561C10"/>
    <w:rsid w:val="0056416C"/>
    <w:rsid w:val="0056433E"/>
    <w:rsid w:val="00564AC4"/>
    <w:rsid w:val="00566563"/>
    <w:rsid w:val="0056660A"/>
    <w:rsid w:val="00566715"/>
    <w:rsid w:val="00567E6E"/>
    <w:rsid w:val="0057200E"/>
    <w:rsid w:val="00572DD2"/>
    <w:rsid w:val="005744CC"/>
    <w:rsid w:val="005761AB"/>
    <w:rsid w:val="00576C46"/>
    <w:rsid w:val="00580CEF"/>
    <w:rsid w:val="00580F4E"/>
    <w:rsid w:val="00582B38"/>
    <w:rsid w:val="00582F2B"/>
    <w:rsid w:val="0058354F"/>
    <w:rsid w:val="00584215"/>
    <w:rsid w:val="0058659E"/>
    <w:rsid w:val="005865A6"/>
    <w:rsid w:val="00586C8A"/>
    <w:rsid w:val="005920EF"/>
    <w:rsid w:val="00592778"/>
    <w:rsid w:val="0059355B"/>
    <w:rsid w:val="005940DF"/>
    <w:rsid w:val="00594807"/>
    <w:rsid w:val="00594F26"/>
    <w:rsid w:val="005960B9"/>
    <w:rsid w:val="005970E1"/>
    <w:rsid w:val="005970F2"/>
    <w:rsid w:val="0059715D"/>
    <w:rsid w:val="00597D74"/>
    <w:rsid w:val="005A0261"/>
    <w:rsid w:val="005A282F"/>
    <w:rsid w:val="005A2D9A"/>
    <w:rsid w:val="005A39B4"/>
    <w:rsid w:val="005A3AD3"/>
    <w:rsid w:val="005A43D6"/>
    <w:rsid w:val="005A5614"/>
    <w:rsid w:val="005A5729"/>
    <w:rsid w:val="005A6D51"/>
    <w:rsid w:val="005A7916"/>
    <w:rsid w:val="005B19DA"/>
    <w:rsid w:val="005B1ECA"/>
    <w:rsid w:val="005B5DE7"/>
    <w:rsid w:val="005B70C6"/>
    <w:rsid w:val="005C023E"/>
    <w:rsid w:val="005C0A7C"/>
    <w:rsid w:val="005C0B9E"/>
    <w:rsid w:val="005C1242"/>
    <w:rsid w:val="005C2756"/>
    <w:rsid w:val="005C2900"/>
    <w:rsid w:val="005C355D"/>
    <w:rsid w:val="005C3A99"/>
    <w:rsid w:val="005C5135"/>
    <w:rsid w:val="005C69CE"/>
    <w:rsid w:val="005C6BC0"/>
    <w:rsid w:val="005D0EA4"/>
    <w:rsid w:val="005D19B7"/>
    <w:rsid w:val="005D1C4D"/>
    <w:rsid w:val="005D372E"/>
    <w:rsid w:val="005D374A"/>
    <w:rsid w:val="005D4CFF"/>
    <w:rsid w:val="005D4EC5"/>
    <w:rsid w:val="005E2319"/>
    <w:rsid w:val="005E3185"/>
    <w:rsid w:val="005E37D5"/>
    <w:rsid w:val="005E471B"/>
    <w:rsid w:val="005E484E"/>
    <w:rsid w:val="005E54A1"/>
    <w:rsid w:val="005E55D1"/>
    <w:rsid w:val="005E5618"/>
    <w:rsid w:val="005E5967"/>
    <w:rsid w:val="005E5BB8"/>
    <w:rsid w:val="005F0855"/>
    <w:rsid w:val="005F0D60"/>
    <w:rsid w:val="005F1D18"/>
    <w:rsid w:val="005F1F89"/>
    <w:rsid w:val="005F64EE"/>
    <w:rsid w:val="005F6B72"/>
    <w:rsid w:val="005F6EB7"/>
    <w:rsid w:val="006002CA"/>
    <w:rsid w:val="00600CF6"/>
    <w:rsid w:val="006038D6"/>
    <w:rsid w:val="00605C1C"/>
    <w:rsid w:val="0060619A"/>
    <w:rsid w:val="00606BD6"/>
    <w:rsid w:val="00606E95"/>
    <w:rsid w:val="00607A95"/>
    <w:rsid w:val="00607EB8"/>
    <w:rsid w:val="00607EBC"/>
    <w:rsid w:val="00610174"/>
    <w:rsid w:val="006109A4"/>
    <w:rsid w:val="00610EDC"/>
    <w:rsid w:val="00612B4F"/>
    <w:rsid w:val="006135FC"/>
    <w:rsid w:val="00613918"/>
    <w:rsid w:val="00613A2E"/>
    <w:rsid w:val="00616232"/>
    <w:rsid w:val="00616F7B"/>
    <w:rsid w:val="00617043"/>
    <w:rsid w:val="006207E6"/>
    <w:rsid w:val="00621EC7"/>
    <w:rsid w:val="00622791"/>
    <w:rsid w:val="00622D3B"/>
    <w:rsid w:val="00624C87"/>
    <w:rsid w:val="00625CA0"/>
    <w:rsid w:val="00625FEB"/>
    <w:rsid w:val="006260ED"/>
    <w:rsid w:val="006279BC"/>
    <w:rsid w:val="00627A9C"/>
    <w:rsid w:val="00627F6D"/>
    <w:rsid w:val="00630235"/>
    <w:rsid w:val="006318D0"/>
    <w:rsid w:val="00632ECA"/>
    <w:rsid w:val="00633298"/>
    <w:rsid w:val="0063332D"/>
    <w:rsid w:val="00633B84"/>
    <w:rsid w:val="00634392"/>
    <w:rsid w:val="00636A8C"/>
    <w:rsid w:val="00636D48"/>
    <w:rsid w:val="006373EC"/>
    <w:rsid w:val="00640317"/>
    <w:rsid w:val="00640A66"/>
    <w:rsid w:val="00641A1E"/>
    <w:rsid w:val="0064262E"/>
    <w:rsid w:val="00644C63"/>
    <w:rsid w:val="00646954"/>
    <w:rsid w:val="006475B9"/>
    <w:rsid w:val="00650CC1"/>
    <w:rsid w:val="00651AD0"/>
    <w:rsid w:val="00651D3D"/>
    <w:rsid w:val="00652EE3"/>
    <w:rsid w:val="006530D7"/>
    <w:rsid w:val="006533B5"/>
    <w:rsid w:val="006542FC"/>
    <w:rsid w:val="00656488"/>
    <w:rsid w:val="006626CB"/>
    <w:rsid w:val="00662E43"/>
    <w:rsid w:val="006645AC"/>
    <w:rsid w:val="0066630F"/>
    <w:rsid w:val="00667504"/>
    <w:rsid w:val="0066790E"/>
    <w:rsid w:val="00670129"/>
    <w:rsid w:val="006702C6"/>
    <w:rsid w:val="00671784"/>
    <w:rsid w:val="006726D6"/>
    <w:rsid w:val="00672B93"/>
    <w:rsid w:val="00672F6B"/>
    <w:rsid w:val="00673770"/>
    <w:rsid w:val="0067608F"/>
    <w:rsid w:val="00676E4D"/>
    <w:rsid w:val="00680261"/>
    <w:rsid w:val="0068143F"/>
    <w:rsid w:val="0068390E"/>
    <w:rsid w:val="00684A5A"/>
    <w:rsid w:val="00685D0F"/>
    <w:rsid w:val="006865F8"/>
    <w:rsid w:val="006866E1"/>
    <w:rsid w:val="006900E3"/>
    <w:rsid w:val="00690DE9"/>
    <w:rsid w:val="00692C31"/>
    <w:rsid w:val="00693A7E"/>
    <w:rsid w:val="006943C7"/>
    <w:rsid w:val="006966DB"/>
    <w:rsid w:val="00697CF7"/>
    <w:rsid w:val="006A1ED4"/>
    <w:rsid w:val="006A226B"/>
    <w:rsid w:val="006A400F"/>
    <w:rsid w:val="006A4DE5"/>
    <w:rsid w:val="006A6D78"/>
    <w:rsid w:val="006B00D7"/>
    <w:rsid w:val="006B0C4D"/>
    <w:rsid w:val="006B23A9"/>
    <w:rsid w:val="006B332A"/>
    <w:rsid w:val="006B4216"/>
    <w:rsid w:val="006B468D"/>
    <w:rsid w:val="006B54AA"/>
    <w:rsid w:val="006B5920"/>
    <w:rsid w:val="006B611C"/>
    <w:rsid w:val="006B6708"/>
    <w:rsid w:val="006B6FB5"/>
    <w:rsid w:val="006B7D05"/>
    <w:rsid w:val="006C0021"/>
    <w:rsid w:val="006C2A3D"/>
    <w:rsid w:val="006C37B3"/>
    <w:rsid w:val="006C48A5"/>
    <w:rsid w:val="006C49F9"/>
    <w:rsid w:val="006C52E8"/>
    <w:rsid w:val="006C56A0"/>
    <w:rsid w:val="006C598D"/>
    <w:rsid w:val="006C66B3"/>
    <w:rsid w:val="006C74AC"/>
    <w:rsid w:val="006C7EAE"/>
    <w:rsid w:val="006D0B18"/>
    <w:rsid w:val="006D12AE"/>
    <w:rsid w:val="006D2D6D"/>
    <w:rsid w:val="006D2E27"/>
    <w:rsid w:val="006D38D0"/>
    <w:rsid w:val="006D3CC7"/>
    <w:rsid w:val="006D3D4E"/>
    <w:rsid w:val="006D3FE1"/>
    <w:rsid w:val="006D4686"/>
    <w:rsid w:val="006D57A4"/>
    <w:rsid w:val="006D5F11"/>
    <w:rsid w:val="006D60D4"/>
    <w:rsid w:val="006D6330"/>
    <w:rsid w:val="006D7E33"/>
    <w:rsid w:val="006D7FF5"/>
    <w:rsid w:val="006E07E5"/>
    <w:rsid w:val="006E0C4B"/>
    <w:rsid w:val="006E132F"/>
    <w:rsid w:val="006E2836"/>
    <w:rsid w:val="006E3046"/>
    <w:rsid w:val="006E375F"/>
    <w:rsid w:val="006E4929"/>
    <w:rsid w:val="006E621E"/>
    <w:rsid w:val="006E68C5"/>
    <w:rsid w:val="006E7085"/>
    <w:rsid w:val="006E7FCC"/>
    <w:rsid w:val="006F026F"/>
    <w:rsid w:val="006F064C"/>
    <w:rsid w:val="006F1124"/>
    <w:rsid w:val="006F1E31"/>
    <w:rsid w:val="006F1FB5"/>
    <w:rsid w:val="006F4162"/>
    <w:rsid w:val="006F51B8"/>
    <w:rsid w:val="006F5F1C"/>
    <w:rsid w:val="006F7371"/>
    <w:rsid w:val="006F78ED"/>
    <w:rsid w:val="0070252E"/>
    <w:rsid w:val="007025F7"/>
    <w:rsid w:val="00703858"/>
    <w:rsid w:val="00703D5B"/>
    <w:rsid w:val="0070489D"/>
    <w:rsid w:val="00705482"/>
    <w:rsid w:val="00705BAA"/>
    <w:rsid w:val="00705D35"/>
    <w:rsid w:val="00706DF0"/>
    <w:rsid w:val="007070FC"/>
    <w:rsid w:val="007114E5"/>
    <w:rsid w:val="00712ADE"/>
    <w:rsid w:val="00714896"/>
    <w:rsid w:val="00714A75"/>
    <w:rsid w:val="007160A6"/>
    <w:rsid w:val="007164F3"/>
    <w:rsid w:val="00716554"/>
    <w:rsid w:val="00716A75"/>
    <w:rsid w:val="00717508"/>
    <w:rsid w:val="00717A21"/>
    <w:rsid w:val="007206BC"/>
    <w:rsid w:val="00720B41"/>
    <w:rsid w:val="00720E0E"/>
    <w:rsid w:val="00721568"/>
    <w:rsid w:val="0072216D"/>
    <w:rsid w:val="007222B8"/>
    <w:rsid w:val="007258A8"/>
    <w:rsid w:val="00725BB5"/>
    <w:rsid w:val="007274F9"/>
    <w:rsid w:val="00727E2C"/>
    <w:rsid w:val="00730C60"/>
    <w:rsid w:val="0073113A"/>
    <w:rsid w:val="00732D9C"/>
    <w:rsid w:val="00732E38"/>
    <w:rsid w:val="00733F2D"/>
    <w:rsid w:val="0073612D"/>
    <w:rsid w:val="00737E4B"/>
    <w:rsid w:val="00740043"/>
    <w:rsid w:val="007419D0"/>
    <w:rsid w:val="007419EE"/>
    <w:rsid w:val="00742155"/>
    <w:rsid w:val="00742FD9"/>
    <w:rsid w:val="00743395"/>
    <w:rsid w:val="007434E2"/>
    <w:rsid w:val="00745219"/>
    <w:rsid w:val="00746CCC"/>
    <w:rsid w:val="00747B5B"/>
    <w:rsid w:val="0075003B"/>
    <w:rsid w:val="00750280"/>
    <w:rsid w:val="00753464"/>
    <w:rsid w:val="00754025"/>
    <w:rsid w:val="007553D3"/>
    <w:rsid w:val="00755A6F"/>
    <w:rsid w:val="00756258"/>
    <w:rsid w:val="00757CF1"/>
    <w:rsid w:val="0076029F"/>
    <w:rsid w:val="00760331"/>
    <w:rsid w:val="00760EBF"/>
    <w:rsid w:val="00761394"/>
    <w:rsid w:val="00761896"/>
    <w:rsid w:val="0076542F"/>
    <w:rsid w:val="00765759"/>
    <w:rsid w:val="00766C80"/>
    <w:rsid w:val="00771BB2"/>
    <w:rsid w:val="00775C2A"/>
    <w:rsid w:val="00776A50"/>
    <w:rsid w:val="00776E91"/>
    <w:rsid w:val="00777ECF"/>
    <w:rsid w:val="0078098C"/>
    <w:rsid w:val="00780DBD"/>
    <w:rsid w:val="00781EDD"/>
    <w:rsid w:val="00784B8C"/>
    <w:rsid w:val="00784C0C"/>
    <w:rsid w:val="007856AF"/>
    <w:rsid w:val="00786D36"/>
    <w:rsid w:val="007872AE"/>
    <w:rsid w:val="00791805"/>
    <w:rsid w:val="00793811"/>
    <w:rsid w:val="00794E14"/>
    <w:rsid w:val="00796C75"/>
    <w:rsid w:val="007974C1"/>
    <w:rsid w:val="00797B66"/>
    <w:rsid w:val="007A163D"/>
    <w:rsid w:val="007A2131"/>
    <w:rsid w:val="007A22F0"/>
    <w:rsid w:val="007A2D57"/>
    <w:rsid w:val="007A3A78"/>
    <w:rsid w:val="007A414F"/>
    <w:rsid w:val="007A5B0B"/>
    <w:rsid w:val="007A5CAF"/>
    <w:rsid w:val="007A5D29"/>
    <w:rsid w:val="007A5D68"/>
    <w:rsid w:val="007A6BCF"/>
    <w:rsid w:val="007B2AC2"/>
    <w:rsid w:val="007B3D0A"/>
    <w:rsid w:val="007B3F4A"/>
    <w:rsid w:val="007B48B0"/>
    <w:rsid w:val="007B5D0C"/>
    <w:rsid w:val="007B6398"/>
    <w:rsid w:val="007B7660"/>
    <w:rsid w:val="007C027C"/>
    <w:rsid w:val="007C0E11"/>
    <w:rsid w:val="007C0F8C"/>
    <w:rsid w:val="007C10AA"/>
    <w:rsid w:val="007C25F4"/>
    <w:rsid w:val="007C355B"/>
    <w:rsid w:val="007C3C3B"/>
    <w:rsid w:val="007C47CB"/>
    <w:rsid w:val="007C5CF1"/>
    <w:rsid w:val="007C5FD4"/>
    <w:rsid w:val="007C6DE9"/>
    <w:rsid w:val="007C6EF9"/>
    <w:rsid w:val="007C7862"/>
    <w:rsid w:val="007D06A3"/>
    <w:rsid w:val="007D0E54"/>
    <w:rsid w:val="007D305D"/>
    <w:rsid w:val="007D3AD0"/>
    <w:rsid w:val="007D61DA"/>
    <w:rsid w:val="007D716E"/>
    <w:rsid w:val="007D7C28"/>
    <w:rsid w:val="007E2082"/>
    <w:rsid w:val="007E31AF"/>
    <w:rsid w:val="007E3FD9"/>
    <w:rsid w:val="007E4709"/>
    <w:rsid w:val="007E4E47"/>
    <w:rsid w:val="007E5253"/>
    <w:rsid w:val="007E5B2F"/>
    <w:rsid w:val="007E61DC"/>
    <w:rsid w:val="007F0A2C"/>
    <w:rsid w:val="007F27A5"/>
    <w:rsid w:val="007F305F"/>
    <w:rsid w:val="007F381B"/>
    <w:rsid w:val="007F4382"/>
    <w:rsid w:val="007F4546"/>
    <w:rsid w:val="007F54BD"/>
    <w:rsid w:val="007F5577"/>
    <w:rsid w:val="007F5915"/>
    <w:rsid w:val="007F5BF5"/>
    <w:rsid w:val="007F6630"/>
    <w:rsid w:val="007F77EF"/>
    <w:rsid w:val="00801120"/>
    <w:rsid w:val="0080158E"/>
    <w:rsid w:val="0080168C"/>
    <w:rsid w:val="0080256D"/>
    <w:rsid w:val="008051F4"/>
    <w:rsid w:val="0080555D"/>
    <w:rsid w:val="008067E2"/>
    <w:rsid w:val="008078AA"/>
    <w:rsid w:val="008103D9"/>
    <w:rsid w:val="00810A38"/>
    <w:rsid w:val="0081103E"/>
    <w:rsid w:val="00811F11"/>
    <w:rsid w:val="00812A74"/>
    <w:rsid w:val="00814337"/>
    <w:rsid w:val="008156C4"/>
    <w:rsid w:val="008178D9"/>
    <w:rsid w:val="00817C97"/>
    <w:rsid w:val="00817E9D"/>
    <w:rsid w:val="0082032D"/>
    <w:rsid w:val="00821040"/>
    <w:rsid w:val="0082145A"/>
    <w:rsid w:val="0082200C"/>
    <w:rsid w:val="00822B44"/>
    <w:rsid w:val="008254A7"/>
    <w:rsid w:val="00825FA5"/>
    <w:rsid w:val="00827BF8"/>
    <w:rsid w:val="0083368C"/>
    <w:rsid w:val="00834AAE"/>
    <w:rsid w:val="00835133"/>
    <w:rsid w:val="00836571"/>
    <w:rsid w:val="00836C93"/>
    <w:rsid w:val="00837C23"/>
    <w:rsid w:val="00840BD8"/>
    <w:rsid w:val="0084141B"/>
    <w:rsid w:val="008439E9"/>
    <w:rsid w:val="008450F6"/>
    <w:rsid w:val="0084661B"/>
    <w:rsid w:val="00846A0F"/>
    <w:rsid w:val="00846E0F"/>
    <w:rsid w:val="008478F3"/>
    <w:rsid w:val="00847B34"/>
    <w:rsid w:val="00850039"/>
    <w:rsid w:val="00852357"/>
    <w:rsid w:val="00852439"/>
    <w:rsid w:val="008543A0"/>
    <w:rsid w:val="00854445"/>
    <w:rsid w:val="00855086"/>
    <w:rsid w:val="0085569D"/>
    <w:rsid w:val="00855718"/>
    <w:rsid w:val="00855E1D"/>
    <w:rsid w:val="00856568"/>
    <w:rsid w:val="00861450"/>
    <w:rsid w:val="00862954"/>
    <w:rsid w:val="00862973"/>
    <w:rsid w:val="00864113"/>
    <w:rsid w:val="008641E8"/>
    <w:rsid w:val="008644CA"/>
    <w:rsid w:val="008658EC"/>
    <w:rsid w:val="008662D5"/>
    <w:rsid w:val="00866364"/>
    <w:rsid w:val="0086743A"/>
    <w:rsid w:val="00870FEA"/>
    <w:rsid w:val="00871D96"/>
    <w:rsid w:val="008721F1"/>
    <w:rsid w:val="00872CD6"/>
    <w:rsid w:val="00874862"/>
    <w:rsid w:val="00880511"/>
    <w:rsid w:val="00880F2F"/>
    <w:rsid w:val="00880FAC"/>
    <w:rsid w:val="00883D55"/>
    <w:rsid w:val="00883F16"/>
    <w:rsid w:val="00886014"/>
    <w:rsid w:val="0088623E"/>
    <w:rsid w:val="008866F8"/>
    <w:rsid w:val="00886CAD"/>
    <w:rsid w:val="00886F3E"/>
    <w:rsid w:val="00890E03"/>
    <w:rsid w:val="008923AD"/>
    <w:rsid w:val="008929C5"/>
    <w:rsid w:val="00893BF3"/>
    <w:rsid w:val="00893CF6"/>
    <w:rsid w:val="008974F3"/>
    <w:rsid w:val="008975A4"/>
    <w:rsid w:val="00897DA6"/>
    <w:rsid w:val="008A03A9"/>
    <w:rsid w:val="008A0741"/>
    <w:rsid w:val="008A081F"/>
    <w:rsid w:val="008A0AC2"/>
    <w:rsid w:val="008A2224"/>
    <w:rsid w:val="008A3F45"/>
    <w:rsid w:val="008A40F4"/>
    <w:rsid w:val="008A4BD8"/>
    <w:rsid w:val="008A4D7A"/>
    <w:rsid w:val="008A5D55"/>
    <w:rsid w:val="008A6528"/>
    <w:rsid w:val="008A6554"/>
    <w:rsid w:val="008A7E64"/>
    <w:rsid w:val="008B06AC"/>
    <w:rsid w:val="008B0D67"/>
    <w:rsid w:val="008B2151"/>
    <w:rsid w:val="008B2723"/>
    <w:rsid w:val="008B41A2"/>
    <w:rsid w:val="008B4774"/>
    <w:rsid w:val="008B495D"/>
    <w:rsid w:val="008B4C00"/>
    <w:rsid w:val="008B4F5D"/>
    <w:rsid w:val="008B58B4"/>
    <w:rsid w:val="008B6E1E"/>
    <w:rsid w:val="008C36EC"/>
    <w:rsid w:val="008C3CAE"/>
    <w:rsid w:val="008C6066"/>
    <w:rsid w:val="008C6486"/>
    <w:rsid w:val="008C6B40"/>
    <w:rsid w:val="008D1889"/>
    <w:rsid w:val="008D1B12"/>
    <w:rsid w:val="008D2F06"/>
    <w:rsid w:val="008D3E2C"/>
    <w:rsid w:val="008D4EAE"/>
    <w:rsid w:val="008D53D4"/>
    <w:rsid w:val="008D60E3"/>
    <w:rsid w:val="008D6E7B"/>
    <w:rsid w:val="008D7E1E"/>
    <w:rsid w:val="008E068F"/>
    <w:rsid w:val="008E1637"/>
    <w:rsid w:val="008E1A17"/>
    <w:rsid w:val="008E1C44"/>
    <w:rsid w:val="008E2DC4"/>
    <w:rsid w:val="008E326C"/>
    <w:rsid w:val="008E32B1"/>
    <w:rsid w:val="008E3563"/>
    <w:rsid w:val="008E4A09"/>
    <w:rsid w:val="008E7602"/>
    <w:rsid w:val="008E7826"/>
    <w:rsid w:val="008F1783"/>
    <w:rsid w:val="008F178F"/>
    <w:rsid w:val="008F2BC8"/>
    <w:rsid w:val="008F498B"/>
    <w:rsid w:val="008F4C86"/>
    <w:rsid w:val="008F54C1"/>
    <w:rsid w:val="008F679C"/>
    <w:rsid w:val="00900631"/>
    <w:rsid w:val="00900B95"/>
    <w:rsid w:val="00901F04"/>
    <w:rsid w:val="009026FB"/>
    <w:rsid w:val="009034ED"/>
    <w:rsid w:val="009037F0"/>
    <w:rsid w:val="00903A8D"/>
    <w:rsid w:val="00903D09"/>
    <w:rsid w:val="00905EA6"/>
    <w:rsid w:val="00906E86"/>
    <w:rsid w:val="0090770D"/>
    <w:rsid w:val="00907F22"/>
    <w:rsid w:val="00911A5B"/>
    <w:rsid w:val="00911A76"/>
    <w:rsid w:val="00911CBE"/>
    <w:rsid w:val="0091289E"/>
    <w:rsid w:val="00912956"/>
    <w:rsid w:val="00914276"/>
    <w:rsid w:val="00914B61"/>
    <w:rsid w:val="00915151"/>
    <w:rsid w:val="0091551E"/>
    <w:rsid w:val="00916B4A"/>
    <w:rsid w:val="00917BD6"/>
    <w:rsid w:val="00922AC6"/>
    <w:rsid w:val="00923327"/>
    <w:rsid w:val="00923A3D"/>
    <w:rsid w:val="009242C0"/>
    <w:rsid w:val="009256E5"/>
    <w:rsid w:val="00925CF8"/>
    <w:rsid w:val="00925ED5"/>
    <w:rsid w:val="00926649"/>
    <w:rsid w:val="009269AB"/>
    <w:rsid w:val="00931ADC"/>
    <w:rsid w:val="00933226"/>
    <w:rsid w:val="00934AC3"/>
    <w:rsid w:val="00934E70"/>
    <w:rsid w:val="0093656C"/>
    <w:rsid w:val="00936D11"/>
    <w:rsid w:val="00936EEA"/>
    <w:rsid w:val="00940116"/>
    <w:rsid w:val="00940435"/>
    <w:rsid w:val="00941203"/>
    <w:rsid w:val="00942DB3"/>
    <w:rsid w:val="00944009"/>
    <w:rsid w:val="00944461"/>
    <w:rsid w:val="00950DE1"/>
    <w:rsid w:val="00951BF0"/>
    <w:rsid w:val="00953130"/>
    <w:rsid w:val="00953E68"/>
    <w:rsid w:val="00955D8E"/>
    <w:rsid w:val="00956FE0"/>
    <w:rsid w:val="0095703E"/>
    <w:rsid w:val="00961210"/>
    <w:rsid w:val="009612A5"/>
    <w:rsid w:val="00962722"/>
    <w:rsid w:val="00963B46"/>
    <w:rsid w:val="0096476D"/>
    <w:rsid w:val="00967D86"/>
    <w:rsid w:val="0097060E"/>
    <w:rsid w:val="00971E11"/>
    <w:rsid w:val="009720AA"/>
    <w:rsid w:val="009737E2"/>
    <w:rsid w:val="0097400B"/>
    <w:rsid w:val="00974309"/>
    <w:rsid w:val="009746D9"/>
    <w:rsid w:val="00974809"/>
    <w:rsid w:val="00976E5D"/>
    <w:rsid w:val="00976FCC"/>
    <w:rsid w:val="0097760E"/>
    <w:rsid w:val="00977BBB"/>
    <w:rsid w:val="00981446"/>
    <w:rsid w:val="0098180A"/>
    <w:rsid w:val="00982388"/>
    <w:rsid w:val="00982D26"/>
    <w:rsid w:val="009837DB"/>
    <w:rsid w:val="00983D81"/>
    <w:rsid w:val="00983D91"/>
    <w:rsid w:val="00984CFD"/>
    <w:rsid w:val="00985FF6"/>
    <w:rsid w:val="00986F69"/>
    <w:rsid w:val="009872BE"/>
    <w:rsid w:val="0099004E"/>
    <w:rsid w:val="009901A9"/>
    <w:rsid w:val="00990396"/>
    <w:rsid w:val="00990BC4"/>
    <w:rsid w:val="00991EF1"/>
    <w:rsid w:val="00994DF4"/>
    <w:rsid w:val="0099531A"/>
    <w:rsid w:val="00995FA8"/>
    <w:rsid w:val="0099616C"/>
    <w:rsid w:val="00997692"/>
    <w:rsid w:val="009A02C0"/>
    <w:rsid w:val="009A042B"/>
    <w:rsid w:val="009A2F1C"/>
    <w:rsid w:val="009A3353"/>
    <w:rsid w:val="009A356F"/>
    <w:rsid w:val="009A3E01"/>
    <w:rsid w:val="009A78B3"/>
    <w:rsid w:val="009A79A4"/>
    <w:rsid w:val="009B0229"/>
    <w:rsid w:val="009B087E"/>
    <w:rsid w:val="009B0D69"/>
    <w:rsid w:val="009B3904"/>
    <w:rsid w:val="009B3B9C"/>
    <w:rsid w:val="009B470F"/>
    <w:rsid w:val="009B54A4"/>
    <w:rsid w:val="009B655C"/>
    <w:rsid w:val="009B703C"/>
    <w:rsid w:val="009B7792"/>
    <w:rsid w:val="009C1B0E"/>
    <w:rsid w:val="009C2ACB"/>
    <w:rsid w:val="009C5388"/>
    <w:rsid w:val="009C5391"/>
    <w:rsid w:val="009C6E76"/>
    <w:rsid w:val="009D0270"/>
    <w:rsid w:val="009D0401"/>
    <w:rsid w:val="009D147D"/>
    <w:rsid w:val="009D1E65"/>
    <w:rsid w:val="009D2C3F"/>
    <w:rsid w:val="009D4742"/>
    <w:rsid w:val="009D669F"/>
    <w:rsid w:val="009D6EC3"/>
    <w:rsid w:val="009E08FA"/>
    <w:rsid w:val="009E1A39"/>
    <w:rsid w:val="009E2691"/>
    <w:rsid w:val="009E2875"/>
    <w:rsid w:val="009E44D2"/>
    <w:rsid w:val="009E4D37"/>
    <w:rsid w:val="009E64B8"/>
    <w:rsid w:val="009E698D"/>
    <w:rsid w:val="009E703B"/>
    <w:rsid w:val="009E7805"/>
    <w:rsid w:val="009F2692"/>
    <w:rsid w:val="009F3913"/>
    <w:rsid w:val="009F53A8"/>
    <w:rsid w:val="009F6F74"/>
    <w:rsid w:val="00A02956"/>
    <w:rsid w:val="00A056F0"/>
    <w:rsid w:val="00A0640C"/>
    <w:rsid w:val="00A069FD"/>
    <w:rsid w:val="00A11BA9"/>
    <w:rsid w:val="00A14012"/>
    <w:rsid w:val="00A14304"/>
    <w:rsid w:val="00A147BC"/>
    <w:rsid w:val="00A154B2"/>
    <w:rsid w:val="00A1559B"/>
    <w:rsid w:val="00A15AD0"/>
    <w:rsid w:val="00A16487"/>
    <w:rsid w:val="00A17106"/>
    <w:rsid w:val="00A2084B"/>
    <w:rsid w:val="00A21CE3"/>
    <w:rsid w:val="00A23DBB"/>
    <w:rsid w:val="00A253C2"/>
    <w:rsid w:val="00A27EE9"/>
    <w:rsid w:val="00A30592"/>
    <w:rsid w:val="00A3289A"/>
    <w:rsid w:val="00A32C35"/>
    <w:rsid w:val="00A32D50"/>
    <w:rsid w:val="00A33F6A"/>
    <w:rsid w:val="00A3596E"/>
    <w:rsid w:val="00A36106"/>
    <w:rsid w:val="00A3619F"/>
    <w:rsid w:val="00A37FCD"/>
    <w:rsid w:val="00A40BAC"/>
    <w:rsid w:val="00A415D1"/>
    <w:rsid w:val="00A4199E"/>
    <w:rsid w:val="00A46520"/>
    <w:rsid w:val="00A50769"/>
    <w:rsid w:val="00A51804"/>
    <w:rsid w:val="00A51E27"/>
    <w:rsid w:val="00A52007"/>
    <w:rsid w:val="00A53794"/>
    <w:rsid w:val="00A53BD7"/>
    <w:rsid w:val="00A553DC"/>
    <w:rsid w:val="00A61FF1"/>
    <w:rsid w:val="00A63047"/>
    <w:rsid w:val="00A634E0"/>
    <w:rsid w:val="00A6451C"/>
    <w:rsid w:val="00A64CB4"/>
    <w:rsid w:val="00A65876"/>
    <w:rsid w:val="00A665E8"/>
    <w:rsid w:val="00A67DF2"/>
    <w:rsid w:val="00A70CF8"/>
    <w:rsid w:val="00A71CC6"/>
    <w:rsid w:val="00A802FF"/>
    <w:rsid w:val="00A82316"/>
    <w:rsid w:val="00A823D4"/>
    <w:rsid w:val="00A824D9"/>
    <w:rsid w:val="00A8338F"/>
    <w:rsid w:val="00A833FF"/>
    <w:rsid w:val="00A84D46"/>
    <w:rsid w:val="00A85466"/>
    <w:rsid w:val="00A85600"/>
    <w:rsid w:val="00A85BF2"/>
    <w:rsid w:val="00A8756A"/>
    <w:rsid w:val="00A91392"/>
    <w:rsid w:val="00A920ED"/>
    <w:rsid w:val="00A92E9D"/>
    <w:rsid w:val="00A9326C"/>
    <w:rsid w:val="00A94071"/>
    <w:rsid w:val="00A94B33"/>
    <w:rsid w:val="00A9544F"/>
    <w:rsid w:val="00A961FB"/>
    <w:rsid w:val="00A964EC"/>
    <w:rsid w:val="00A96D52"/>
    <w:rsid w:val="00AA06D5"/>
    <w:rsid w:val="00AA0B1C"/>
    <w:rsid w:val="00AA16CD"/>
    <w:rsid w:val="00AA199E"/>
    <w:rsid w:val="00AA1B24"/>
    <w:rsid w:val="00AA2B0F"/>
    <w:rsid w:val="00AA329C"/>
    <w:rsid w:val="00AA43A7"/>
    <w:rsid w:val="00AA711A"/>
    <w:rsid w:val="00AB0402"/>
    <w:rsid w:val="00AB1B0E"/>
    <w:rsid w:val="00AB22C6"/>
    <w:rsid w:val="00AB28D7"/>
    <w:rsid w:val="00AB765E"/>
    <w:rsid w:val="00AC103F"/>
    <w:rsid w:val="00AC4EB8"/>
    <w:rsid w:val="00AC5A6B"/>
    <w:rsid w:val="00AC7090"/>
    <w:rsid w:val="00AC7412"/>
    <w:rsid w:val="00AC77F2"/>
    <w:rsid w:val="00AD17A3"/>
    <w:rsid w:val="00AD301B"/>
    <w:rsid w:val="00AD40FE"/>
    <w:rsid w:val="00AD58D0"/>
    <w:rsid w:val="00AD6C5D"/>
    <w:rsid w:val="00AD73F5"/>
    <w:rsid w:val="00AD7A7C"/>
    <w:rsid w:val="00AE19AC"/>
    <w:rsid w:val="00AE233B"/>
    <w:rsid w:val="00AE3483"/>
    <w:rsid w:val="00AE3BB5"/>
    <w:rsid w:val="00AE6326"/>
    <w:rsid w:val="00AE645F"/>
    <w:rsid w:val="00AE7966"/>
    <w:rsid w:val="00AF0F2D"/>
    <w:rsid w:val="00AF16CC"/>
    <w:rsid w:val="00AF208F"/>
    <w:rsid w:val="00AF2731"/>
    <w:rsid w:val="00AF2A01"/>
    <w:rsid w:val="00AF2FA7"/>
    <w:rsid w:val="00AF3E86"/>
    <w:rsid w:val="00AF4AED"/>
    <w:rsid w:val="00AF516A"/>
    <w:rsid w:val="00AF5AFA"/>
    <w:rsid w:val="00AF64DF"/>
    <w:rsid w:val="00AF6ED2"/>
    <w:rsid w:val="00B004B8"/>
    <w:rsid w:val="00B00956"/>
    <w:rsid w:val="00B00A6E"/>
    <w:rsid w:val="00B0180E"/>
    <w:rsid w:val="00B01C05"/>
    <w:rsid w:val="00B03251"/>
    <w:rsid w:val="00B04BA0"/>
    <w:rsid w:val="00B054D1"/>
    <w:rsid w:val="00B0577C"/>
    <w:rsid w:val="00B06398"/>
    <w:rsid w:val="00B0784A"/>
    <w:rsid w:val="00B07FE1"/>
    <w:rsid w:val="00B10113"/>
    <w:rsid w:val="00B10550"/>
    <w:rsid w:val="00B106BC"/>
    <w:rsid w:val="00B11882"/>
    <w:rsid w:val="00B13448"/>
    <w:rsid w:val="00B13897"/>
    <w:rsid w:val="00B13D9E"/>
    <w:rsid w:val="00B13EBE"/>
    <w:rsid w:val="00B14DBE"/>
    <w:rsid w:val="00B154D0"/>
    <w:rsid w:val="00B16368"/>
    <w:rsid w:val="00B16A98"/>
    <w:rsid w:val="00B20313"/>
    <w:rsid w:val="00B20527"/>
    <w:rsid w:val="00B207D4"/>
    <w:rsid w:val="00B21797"/>
    <w:rsid w:val="00B217AC"/>
    <w:rsid w:val="00B226B1"/>
    <w:rsid w:val="00B24933"/>
    <w:rsid w:val="00B24C46"/>
    <w:rsid w:val="00B308AB"/>
    <w:rsid w:val="00B310DB"/>
    <w:rsid w:val="00B3164A"/>
    <w:rsid w:val="00B35588"/>
    <w:rsid w:val="00B35726"/>
    <w:rsid w:val="00B35961"/>
    <w:rsid w:val="00B36514"/>
    <w:rsid w:val="00B3655E"/>
    <w:rsid w:val="00B36B65"/>
    <w:rsid w:val="00B36FDE"/>
    <w:rsid w:val="00B37793"/>
    <w:rsid w:val="00B40319"/>
    <w:rsid w:val="00B4188D"/>
    <w:rsid w:val="00B41B72"/>
    <w:rsid w:val="00B432E7"/>
    <w:rsid w:val="00B44AA5"/>
    <w:rsid w:val="00B50F97"/>
    <w:rsid w:val="00B51242"/>
    <w:rsid w:val="00B524E7"/>
    <w:rsid w:val="00B5275B"/>
    <w:rsid w:val="00B53080"/>
    <w:rsid w:val="00B54AAA"/>
    <w:rsid w:val="00B559A1"/>
    <w:rsid w:val="00B55EAB"/>
    <w:rsid w:val="00B564BE"/>
    <w:rsid w:val="00B56808"/>
    <w:rsid w:val="00B57AAF"/>
    <w:rsid w:val="00B62295"/>
    <w:rsid w:val="00B645FF"/>
    <w:rsid w:val="00B660D1"/>
    <w:rsid w:val="00B667FE"/>
    <w:rsid w:val="00B66A0A"/>
    <w:rsid w:val="00B66E7D"/>
    <w:rsid w:val="00B702E0"/>
    <w:rsid w:val="00B70491"/>
    <w:rsid w:val="00B7125B"/>
    <w:rsid w:val="00B7166F"/>
    <w:rsid w:val="00B71C80"/>
    <w:rsid w:val="00B720E5"/>
    <w:rsid w:val="00B7368B"/>
    <w:rsid w:val="00B7592C"/>
    <w:rsid w:val="00B773C8"/>
    <w:rsid w:val="00B77FDE"/>
    <w:rsid w:val="00B8087E"/>
    <w:rsid w:val="00B81B7C"/>
    <w:rsid w:val="00B81BF6"/>
    <w:rsid w:val="00B84847"/>
    <w:rsid w:val="00B853DF"/>
    <w:rsid w:val="00B85470"/>
    <w:rsid w:val="00B858FC"/>
    <w:rsid w:val="00B87BA7"/>
    <w:rsid w:val="00B92CD6"/>
    <w:rsid w:val="00B92FAF"/>
    <w:rsid w:val="00B935E5"/>
    <w:rsid w:val="00B93A7A"/>
    <w:rsid w:val="00B954BF"/>
    <w:rsid w:val="00B96751"/>
    <w:rsid w:val="00BA094C"/>
    <w:rsid w:val="00BA2104"/>
    <w:rsid w:val="00BA3DC9"/>
    <w:rsid w:val="00BA4A83"/>
    <w:rsid w:val="00BA5217"/>
    <w:rsid w:val="00BA7BFD"/>
    <w:rsid w:val="00BB09BE"/>
    <w:rsid w:val="00BB10E3"/>
    <w:rsid w:val="00BB14E9"/>
    <w:rsid w:val="00BB24E2"/>
    <w:rsid w:val="00BB29B9"/>
    <w:rsid w:val="00BB2E8F"/>
    <w:rsid w:val="00BB2FB9"/>
    <w:rsid w:val="00BB36FD"/>
    <w:rsid w:val="00BB6370"/>
    <w:rsid w:val="00BB64D2"/>
    <w:rsid w:val="00BB7038"/>
    <w:rsid w:val="00BC10BE"/>
    <w:rsid w:val="00BC4D29"/>
    <w:rsid w:val="00BC5F3A"/>
    <w:rsid w:val="00BC7114"/>
    <w:rsid w:val="00BC7A59"/>
    <w:rsid w:val="00BC7D80"/>
    <w:rsid w:val="00BD036D"/>
    <w:rsid w:val="00BD0908"/>
    <w:rsid w:val="00BD0B6A"/>
    <w:rsid w:val="00BD3632"/>
    <w:rsid w:val="00BD37E1"/>
    <w:rsid w:val="00BD6680"/>
    <w:rsid w:val="00BD6AFF"/>
    <w:rsid w:val="00BD71B5"/>
    <w:rsid w:val="00BD7A4C"/>
    <w:rsid w:val="00BD7CA9"/>
    <w:rsid w:val="00BE0085"/>
    <w:rsid w:val="00BE017C"/>
    <w:rsid w:val="00BE03D9"/>
    <w:rsid w:val="00BE3345"/>
    <w:rsid w:val="00BF065F"/>
    <w:rsid w:val="00BF09E8"/>
    <w:rsid w:val="00BF238C"/>
    <w:rsid w:val="00BF24E9"/>
    <w:rsid w:val="00BF3FA0"/>
    <w:rsid w:val="00BF507B"/>
    <w:rsid w:val="00BF7E05"/>
    <w:rsid w:val="00C007B9"/>
    <w:rsid w:val="00C02043"/>
    <w:rsid w:val="00C0288F"/>
    <w:rsid w:val="00C02EF2"/>
    <w:rsid w:val="00C04CFB"/>
    <w:rsid w:val="00C051B5"/>
    <w:rsid w:val="00C054A2"/>
    <w:rsid w:val="00C05636"/>
    <w:rsid w:val="00C06FA8"/>
    <w:rsid w:val="00C104A4"/>
    <w:rsid w:val="00C108B9"/>
    <w:rsid w:val="00C12747"/>
    <w:rsid w:val="00C139DB"/>
    <w:rsid w:val="00C1414A"/>
    <w:rsid w:val="00C143AD"/>
    <w:rsid w:val="00C15B72"/>
    <w:rsid w:val="00C169E3"/>
    <w:rsid w:val="00C17215"/>
    <w:rsid w:val="00C21112"/>
    <w:rsid w:val="00C23186"/>
    <w:rsid w:val="00C259DC"/>
    <w:rsid w:val="00C26D94"/>
    <w:rsid w:val="00C30F58"/>
    <w:rsid w:val="00C31056"/>
    <w:rsid w:val="00C3134F"/>
    <w:rsid w:val="00C318D7"/>
    <w:rsid w:val="00C3199C"/>
    <w:rsid w:val="00C3299F"/>
    <w:rsid w:val="00C34AB2"/>
    <w:rsid w:val="00C34AE0"/>
    <w:rsid w:val="00C34C64"/>
    <w:rsid w:val="00C35BB8"/>
    <w:rsid w:val="00C35D70"/>
    <w:rsid w:val="00C3654A"/>
    <w:rsid w:val="00C36D7D"/>
    <w:rsid w:val="00C3713B"/>
    <w:rsid w:val="00C37BC1"/>
    <w:rsid w:val="00C37D2A"/>
    <w:rsid w:val="00C41FB2"/>
    <w:rsid w:val="00C425E5"/>
    <w:rsid w:val="00C43748"/>
    <w:rsid w:val="00C44AE7"/>
    <w:rsid w:val="00C458DE"/>
    <w:rsid w:val="00C46621"/>
    <w:rsid w:val="00C469E7"/>
    <w:rsid w:val="00C46B9D"/>
    <w:rsid w:val="00C53DB6"/>
    <w:rsid w:val="00C53EB4"/>
    <w:rsid w:val="00C55425"/>
    <w:rsid w:val="00C567D3"/>
    <w:rsid w:val="00C61248"/>
    <w:rsid w:val="00C61AE7"/>
    <w:rsid w:val="00C61FA3"/>
    <w:rsid w:val="00C626BF"/>
    <w:rsid w:val="00C62FE6"/>
    <w:rsid w:val="00C63012"/>
    <w:rsid w:val="00C63C11"/>
    <w:rsid w:val="00C63E0C"/>
    <w:rsid w:val="00C640CC"/>
    <w:rsid w:val="00C640FA"/>
    <w:rsid w:val="00C642F6"/>
    <w:rsid w:val="00C6480A"/>
    <w:rsid w:val="00C64854"/>
    <w:rsid w:val="00C65A8E"/>
    <w:rsid w:val="00C6635A"/>
    <w:rsid w:val="00C6646C"/>
    <w:rsid w:val="00C66781"/>
    <w:rsid w:val="00C67F46"/>
    <w:rsid w:val="00C7074D"/>
    <w:rsid w:val="00C74BA6"/>
    <w:rsid w:val="00C76E19"/>
    <w:rsid w:val="00C77EB9"/>
    <w:rsid w:val="00C81AFE"/>
    <w:rsid w:val="00C83378"/>
    <w:rsid w:val="00C8476E"/>
    <w:rsid w:val="00C868AE"/>
    <w:rsid w:val="00C86938"/>
    <w:rsid w:val="00C87173"/>
    <w:rsid w:val="00C87316"/>
    <w:rsid w:val="00C90765"/>
    <w:rsid w:val="00C90E43"/>
    <w:rsid w:val="00C90E54"/>
    <w:rsid w:val="00C9104D"/>
    <w:rsid w:val="00C91F00"/>
    <w:rsid w:val="00C91F10"/>
    <w:rsid w:val="00C9447D"/>
    <w:rsid w:val="00C94BEF"/>
    <w:rsid w:val="00C9524E"/>
    <w:rsid w:val="00C966AA"/>
    <w:rsid w:val="00C96A30"/>
    <w:rsid w:val="00C96C76"/>
    <w:rsid w:val="00C96F28"/>
    <w:rsid w:val="00C97994"/>
    <w:rsid w:val="00CA08EA"/>
    <w:rsid w:val="00CA261A"/>
    <w:rsid w:val="00CA3498"/>
    <w:rsid w:val="00CA3AAD"/>
    <w:rsid w:val="00CA3B05"/>
    <w:rsid w:val="00CA3E9C"/>
    <w:rsid w:val="00CA4C8B"/>
    <w:rsid w:val="00CA5762"/>
    <w:rsid w:val="00CA591A"/>
    <w:rsid w:val="00CA7E86"/>
    <w:rsid w:val="00CB08B3"/>
    <w:rsid w:val="00CB1531"/>
    <w:rsid w:val="00CB1929"/>
    <w:rsid w:val="00CB1E81"/>
    <w:rsid w:val="00CB1E90"/>
    <w:rsid w:val="00CB2F3C"/>
    <w:rsid w:val="00CB3944"/>
    <w:rsid w:val="00CB3C32"/>
    <w:rsid w:val="00CB4A32"/>
    <w:rsid w:val="00CB52E2"/>
    <w:rsid w:val="00CB5E23"/>
    <w:rsid w:val="00CB6FAC"/>
    <w:rsid w:val="00CC0959"/>
    <w:rsid w:val="00CC1B6A"/>
    <w:rsid w:val="00CC1FFB"/>
    <w:rsid w:val="00CC25CB"/>
    <w:rsid w:val="00CC2E69"/>
    <w:rsid w:val="00CC589F"/>
    <w:rsid w:val="00CC5C51"/>
    <w:rsid w:val="00CC5E0A"/>
    <w:rsid w:val="00CC6657"/>
    <w:rsid w:val="00CD0D69"/>
    <w:rsid w:val="00CD1D23"/>
    <w:rsid w:val="00CD2750"/>
    <w:rsid w:val="00CD30E8"/>
    <w:rsid w:val="00CD3FBC"/>
    <w:rsid w:val="00CD41E8"/>
    <w:rsid w:val="00CD48C0"/>
    <w:rsid w:val="00CD5340"/>
    <w:rsid w:val="00CD642D"/>
    <w:rsid w:val="00CD7531"/>
    <w:rsid w:val="00CD77A9"/>
    <w:rsid w:val="00CE022D"/>
    <w:rsid w:val="00CE13C7"/>
    <w:rsid w:val="00CE13D0"/>
    <w:rsid w:val="00CE28BC"/>
    <w:rsid w:val="00CE4AF5"/>
    <w:rsid w:val="00CE5BAA"/>
    <w:rsid w:val="00CF0EE6"/>
    <w:rsid w:val="00CF1A54"/>
    <w:rsid w:val="00CF3D15"/>
    <w:rsid w:val="00CF3F0F"/>
    <w:rsid w:val="00CF48FA"/>
    <w:rsid w:val="00CF4CDA"/>
    <w:rsid w:val="00CF5042"/>
    <w:rsid w:val="00CF550A"/>
    <w:rsid w:val="00CF5D5F"/>
    <w:rsid w:val="00CF5ED9"/>
    <w:rsid w:val="00CF68B0"/>
    <w:rsid w:val="00D0018C"/>
    <w:rsid w:val="00D02F3C"/>
    <w:rsid w:val="00D034B4"/>
    <w:rsid w:val="00D05E1C"/>
    <w:rsid w:val="00D108BA"/>
    <w:rsid w:val="00D13555"/>
    <w:rsid w:val="00D137D9"/>
    <w:rsid w:val="00D13D3E"/>
    <w:rsid w:val="00D141B5"/>
    <w:rsid w:val="00D14F72"/>
    <w:rsid w:val="00D1537A"/>
    <w:rsid w:val="00D1546A"/>
    <w:rsid w:val="00D1629F"/>
    <w:rsid w:val="00D16F58"/>
    <w:rsid w:val="00D17165"/>
    <w:rsid w:val="00D178DD"/>
    <w:rsid w:val="00D203A4"/>
    <w:rsid w:val="00D215F0"/>
    <w:rsid w:val="00D21FB1"/>
    <w:rsid w:val="00D22A32"/>
    <w:rsid w:val="00D254BB"/>
    <w:rsid w:val="00D260D4"/>
    <w:rsid w:val="00D2766A"/>
    <w:rsid w:val="00D304A8"/>
    <w:rsid w:val="00D30E94"/>
    <w:rsid w:val="00D3170B"/>
    <w:rsid w:val="00D3290C"/>
    <w:rsid w:val="00D33117"/>
    <w:rsid w:val="00D331F4"/>
    <w:rsid w:val="00D33474"/>
    <w:rsid w:val="00D346A8"/>
    <w:rsid w:val="00D35236"/>
    <w:rsid w:val="00D364BB"/>
    <w:rsid w:val="00D368C5"/>
    <w:rsid w:val="00D368E0"/>
    <w:rsid w:val="00D37410"/>
    <w:rsid w:val="00D41001"/>
    <w:rsid w:val="00D41B04"/>
    <w:rsid w:val="00D438EB"/>
    <w:rsid w:val="00D47172"/>
    <w:rsid w:val="00D474EA"/>
    <w:rsid w:val="00D47767"/>
    <w:rsid w:val="00D51A61"/>
    <w:rsid w:val="00D536AD"/>
    <w:rsid w:val="00D539F8"/>
    <w:rsid w:val="00D55C07"/>
    <w:rsid w:val="00D56C49"/>
    <w:rsid w:val="00D57502"/>
    <w:rsid w:val="00D607A9"/>
    <w:rsid w:val="00D6144E"/>
    <w:rsid w:val="00D615F8"/>
    <w:rsid w:val="00D61E95"/>
    <w:rsid w:val="00D648A9"/>
    <w:rsid w:val="00D66DD1"/>
    <w:rsid w:val="00D67A20"/>
    <w:rsid w:val="00D70B86"/>
    <w:rsid w:val="00D71DAD"/>
    <w:rsid w:val="00D734F0"/>
    <w:rsid w:val="00D746B6"/>
    <w:rsid w:val="00D74D0C"/>
    <w:rsid w:val="00D758D8"/>
    <w:rsid w:val="00D76AB4"/>
    <w:rsid w:val="00D802A7"/>
    <w:rsid w:val="00D80B55"/>
    <w:rsid w:val="00D81BDA"/>
    <w:rsid w:val="00D82185"/>
    <w:rsid w:val="00D8246B"/>
    <w:rsid w:val="00D8396B"/>
    <w:rsid w:val="00D850E1"/>
    <w:rsid w:val="00D8555E"/>
    <w:rsid w:val="00D857FF"/>
    <w:rsid w:val="00D85C7D"/>
    <w:rsid w:val="00D86439"/>
    <w:rsid w:val="00D87474"/>
    <w:rsid w:val="00D87DDB"/>
    <w:rsid w:val="00D907B9"/>
    <w:rsid w:val="00D91479"/>
    <w:rsid w:val="00D918EB"/>
    <w:rsid w:val="00D92385"/>
    <w:rsid w:val="00D93949"/>
    <w:rsid w:val="00D95D69"/>
    <w:rsid w:val="00D96F28"/>
    <w:rsid w:val="00D97394"/>
    <w:rsid w:val="00D974A0"/>
    <w:rsid w:val="00D974E8"/>
    <w:rsid w:val="00DA00E6"/>
    <w:rsid w:val="00DA117A"/>
    <w:rsid w:val="00DA1B96"/>
    <w:rsid w:val="00DA2E2F"/>
    <w:rsid w:val="00DA5C2C"/>
    <w:rsid w:val="00DA6182"/>
    <w:rsid w:val="00DA6860"/>
    <w:rsid w:val="00DA6FAA"/>
    <w:rsid w:val="00DA74D9"/>
    <w:rsid w:val="00DA76F9"/>
    <w:rsid w:val="00DA7B9D"/>
    <w:rsid w:val="00DB4118"/>
    <w:rsid w:val="00DB68E8"/>
    <w:rsid w:val="00DB7808"/>
    <w:rsid w:val="00DC0AC3"/>
    <w:rsid w:val="00DC1C30"/>
    <w:rsid w:val="00DC26E5"/>
    <w:rsid w:val="00DC2B15"/>
    <w:rsid w:val="00DC35D1"/>
    <w:rsid w:val="00DC44EE"/>
    <w:rsid w:val="00DC4CAE"/>
    <w:rsid w:val="00DC5C32"/>
    <w:rsid w:val="00DC5E1B"/>
    <w:rsid w:val="00DC6A7D"/>
    <w:rsid w:val="00DC6C45"/>
    <w:rsid w:val="00DC6FC5"/>
    <w:rsid w:val="00DD148B"/>
    <w:rsid w:val="00DD2D0B"/>
    <w:rsid w:val="00DD32E3"/>
    <w:rsid w:val="00DD3753"/>
    <w:rsid w:val="00DD49D9"/>
    <w:rsid w:val="00DD4DC8"/>
    <w:rsid w:val="00DD6323"/>
    <w:rsid w:val="00DD6CCF"/>
    <w:rsid w:val="00DD7B5C"/>
    <w:rsid w:val="00DE054D"/>
    <w:rsid w:val="00DE1573"/>
    <w:rsid w:val="00DE15F8"/>
    <w:rsid w:val="00DE3157"/>
    <w:rsid w:val="00DE3CE8"/>
    <w:rsid w:val="00DE6A3E"/>
    <w:rsid w:val="00DE75EF"/>
    <w:rsid w:val="00DF07A9"/>
    <w:rsid w:val="00DF1BEF"/>
    <w:rsid w:val="00DF2DC2"/>
    <w:rsid w:val="00DF3507"/>
    <w:rsid w:val="00DF64E0"/>
    <w:rsid w:val="00E00710"/>
    <w:rsid w:val="00E0362F"/>
    <w:rsid w:val="00E05998"/>
    <w:rsid w:val="00E0653E"/>
    <w:rsid w:val="00E067F9"/>
    <w:rsid w:val="00E06B2A"/>
    <w:rsid w:val="00E0720E"/>
    <w:rsid w:val="00E07F15"/>
    <w:rsid w:val="00E11B61"/>
    <w:rsid w:val="00E12C99"/>
    <w:rsid w:val="00E12D5F"/>
    <w:rsid w:val="00E13226"/>
    <w:rsid w:val="00E132C0"/>
    <w:rsid w:val="00E14513"/>
    <w:rsid w:val="00E1522D"/>
    <w:rsid w:val="00E15815"/>
    <w:rsid w:val="00E15963"/>
    <w:rsid w:val="00E159D7"/>
    <w:rsid w:val="00E15B04"/>
    <w:rsid w:val="00E1635B"/>
    <w:rsid w:val="00E204A6"/>
    <w:rsid w:val="00E216FE"/>
    <w:rsid w:val="00E21787"/>
    <w:rsid w:val="00E23ADE"/>
    <w:rsid w:val="00E24486"/>
    <w:rsid w:val="00E24B67"/>
    <w:rsid w:val="00E2616F"/>
    <w:rsid w:val="00E263D1"/>
    <w:rsid w:val="00E263D3"/>
    <w:rsid w:val="00E26B1F"/>
    <w:rsid w:val="00E2704C"/>
    <w:rsid w:val="00E301E6"/>
    <w:rsid w:val="00E3024D"/>
    <w:rsid w:val="00E30AC4"/>
    <w:rsid w:val="00E30B71"/>
    <w:rsid w:val="00E30ECA"/>
    <w:rsid w:val="00E314CB"/>
    <w:rsid w:val="00E333AC"/>
    <w:rsid w:val="00E340F2"/>
    <w:rsid w:val="00E35F60"/>
    <w:rsid w:val="00E370B3"/>
    <w:rsid w:val="00E4071B"/>
    <w:rsid w:val="00E4270F"/>
    <w:rsid w:val="00E42913"/>
    <w:rsid w:val="00E46600"/>
    <w:rsid w:val="00E47AC9"/>
    <w:rsid w:val="00E47EDC"/>
    <w:rsid w:val="00E50C96"/>
    <w:rsid w:val="00E5118E"/>
    <w:rsid w:val="00E515ED"/>
    <w:rsid w:val="00E51CCC"/>
    <w:rsid w:val="00E52B02"/>
    <w:rsid w:val="00E5384F"/>
    <w:rsid w:val="00E54BD6"/>
    <w:rsid w:val="00E55182"/>
    <w:rsid w:val="00E56355"/>
    <w:rsid w:val="00E56B93"/>
    <w:rsid w:val="00E60025"/>
    <w:rsid w:val="00E61FA2"/>
    <w:rsid w:val="00E650E9"/>
    <w:rsid w:val="00E65317"/>
    <w:rsid w:val="00E668A5"/>
    <w:rsid w:val="00E67F26"/>
    <w:rsid w:val="00E729CC"/>
    <w:rsid w:val="00E743B4"/>
    <w:rsid w:val="00E7737B"/>
    <w:rsid w:val="00E82803"/>
    <w:rsid w:val="00E8444E"/>
    <w:rsid w:val="00E862A9"/>
    <w:rsid w:val="00E86506"/>
    <w:rsid w:val="00E87B70"/>
    <w:rsid w:val="00E90569"/>
    <w:rsid w:val="00E91838"/>
    <w:rsid w:val="00E94086"/>
    <w:rsid w:val="00E948A2"/>
    <w:rsid w:val="00E94AC3"/>
    <w:rsid w:val="00E94E4D"/>
    <w:rsid w:val="00E9519A"/>
    <w:rsid w:val="00E97A47"/>
    <w:rsid w:val="00EA2A7D"/>
    <w:rsid w:val="00EA3AB1"/>
    <w:rsid w:val="00EA4AF5"/>
    <w:rsid w:val="00EA56EE"/>
    <w:rsid w:val="00EA5715"/>
    <w:rsid w:val="00EA68F9"/>
    <w:rsid w:val="00EA6A8F"/>
    <w:rsid w:val="00EA6AA5"/>
    <w:rsid w:val="00EB473A"/>
    <w:rsid w:val="00EB56D7"/>
    <w:rsid w:val="00EB5D4C"/>
    <w:rsid w:val="00EB5EAA"/>
    <w:rsid w:val="00EB63F9"/>
    <w:rsid w:val="00EB7186"/>
    <w:rsid w:val="00EB75EC"/>
    <w:rsid w:val="00EB7A38"/>
    <w:rsid w:val="00EB7D7C"/>
    <w:rsid w:val="00EB7E9F"/>
    <w:rsid w:val="00EC0E2B"/>
    <w:rsid w:val="00EC1539"/>
    <w:rsid w:val="00EC1880"/>
    <w:rsid w:val="00EC2D70"/>
    <w:rsid w:val="00EC3185"/>
    <w:rsid w:val="00EC378D"/>
    <w:rsid w:val="00EC5495"/>
    <w:rsid w:val="00EC5EA3"/>
    <w:rsid w:val="00EC6C15"/>
    <w:rsid w:val="00EC74C0"/>
    <w:rsid w:val="00EC763D"/>
    <w:rsid w:val="00ED1FA4"/>
    <w:rsid w:val="00ED21A5"/>
    <w:rsid w:val="00ED26DE"/>
    <w:rsid w:val="00ED291D"/>
    <w:rsid w:val="00ED29AE"/>
    <w:rsid w:val="00ED310F"/>
    <w:rsid w:val="00ED3EBD"/>
    <w:rsid w:val="00ED6605"/>
    <w:rsid w:val="00ED7CA4"/>
    <w:rsid w:val="00ED7DC8"/>
    <w:rsid w:val="00EE0F56"/>
    <w:rsid w:val="00EE12E4"/>
    <w:rsid w:val="00EE2672"/>
    <w:rsid w:val="00EE3DA6"/>
    <w:rsid w:val="00EE51F7"/>
    <w:rsid w:val="00EE53C6"/>
    <w:rsid w:val="00EE5922"/>
    <w:rsid w:val="00EE6E11"/>
    <w:rsid w:val="00EE7C85"/>
    <w:rsid w:val="00EF0C7E"/>
    <w:rsid w:val="00EF3709"/>
    <w:rsid w:val="00EF4297"/>
    <w:rsid w:val="00EF4A50"/>
    <w:rsid w:val="00EF6960"/>
    <w:rsid w:val="00F01427"/>
    <w:rsid w:val="00F0174A"/>
    <w:rsid w:val="00F02A1E"/>
    <w:rsid w:val="00F02D3A"/>
    <w:rsid w:val="00F06202"/>
    <w:rsid w:val="00F0660A"/>
    <w:rsid w:val="00F06975"/>
    <w:rsid w:val="00F107F6"/>
    <w:rsid w:val="00F1104E"/>
    <w:rsid w:val="00F13201"/>
    <w:rsid w:val="00F16E99"/>
    <w:rsid w:val="00F17FF5"/>
    <w:rsid w:val="00F20535"/>
    <w:rsid w:val="00F21BFF"/>
    <w:rsid w:val="00F22341"/>
    <w:rsid w:val="00F224D4"/>
    <w:rsid w:val="00F23352"/>
    <w:rsid w:val="00F23DE7"/>
    <w:rsid w:val="00F256DB"/>
    <w:rsid w:val="00F260FA"/>
    <w:rsid w:val="00F274EC"/>
    <w:rsid w:val="00F2767C"/>
    <w:rsid w:val="00F320A2"/>
    <w:rsid w:val="00F356AA"/>
    <w:rsid w:val="00F36BAE"/>
    <w:rsid w:val="00F41D85"/>
    <w:rsid w:val="00F41E28"/>
    <w:rsid w:val="00F423EB"/>
    <w:rsid w:val="00F434CB"/>
    <w:rsid w:val="00F436AE"/>
    <w:rsid w:val="00F43CC6"/>
    <w:rsid w:val="00F44F10"/>
    <w:rsid w:val="00F44FCB"/>
    <w:rsid w:val="00F459EB"/>
    <w:rsid w:val="00F460D0"/>
    <w:rsid w:val="00F46B89"/>
    <w:rsid w:val="00F503CC"/>
    <w:rsid w:val="00F51BBD"/>
    <w:rsid w:val="00F52212"/>
    <w:rsid w:val="00F52466"/>
    <w:rsid w:val="00F5271E"/>
    <w:rsid w:val="00F52AD7"/>
    <w:rsid w:val="00F52F2A"/>
    <w:rsid w:val="00F561E8"/>
    <w:rsid w:val="00F5792D"/>
    <w:rsid w:val="00F60A2E"/>
    <w:rsid w:val="00F6206E"/>
    <w:rsid w:val="00F6223F"/>
    <w:rsid w:val="00F63794"/>
    <w:rsid w:val="00F63B6D"/>
    <w:rsid w:val="00F6594C"/>
    <w:rsid w:val="00F665BD"/>
    <w:rsid w:val="00F669D0"/>
    <w:rsid w:val="00F674BC"/>
    <w:rsid w:val="00F70A78"/>
    <w:rsid w:val="00F70FF9"/>
    <w:rsid w:val="00F71FBD"/>
    <w:rsid w:val="00F724EA"/>
    <w:rsid w:val="00F725F1"/>
    <w:rsid w:val="00F72F10"/>
    <w:rsid w:val="00F74190"/>
    <w:rsid w:val="00F74C20"/>
    <w:rsid w:val="00F80516"/>
    <w:rsid w:val="00F80767"/>
    <w:rsid w:val="00F80B9F"/>
    <w:rsid w:val="00F80C0F"/>
    <w:rsid w:val="00F81FA3"/>
    <w:rsid w:val="00F83A9B"/>
    <w:rsid w:val="00F83BF8"/>
    <w:rsid w:val="00F84C12"/>
    <w:rsid w:val="00F90D6A"/>
    <w:rsid w:val="00F90FA3"/>
    <w:rsid w:val="00F911F5"/>
    <w:rsid w:val="00F935C1"/>
    <w:rsid w:val="00FA15DC"/>
    <w:rsid w:val="00FA4BED"/>
    <w:rsid w:val="00FA51E9"/>
    <w:rsid w:val="00FA672D"/>
    <w:rsid w:val="00FB0B00"/>
    <w:rsid w:val="00FB0D18"/>
    <w:rsid w:val="00FB10F6"/>
    <w:rsid w:val="00FB29DD"/>
    <w:rsid w:val="00FB2D67"/>
    <w:rsid w:val="00FB3571"/>
    <w:rsid w:val="00FB3EC1"/>
    <w:rsid w:val="00FB4E98"/>
    <w:rsid w:val="00FB6481"/>
    <w:rsid w:val="00FB7413"/>
    <w:rsid w:val="00FC0C37"/>
    <w:rsid w:val="00FC290C"/>
    <w:rsid w:val="00FC2A03"/>
    <w:rsid w:val="00FC3E78"/>
    <w:rsid w:val="00FC43E4"/>
    <w:rsid w:val="00FC43F2"/>
    <w:rsid w:val="00FC5BD3"/>
    <w:rsid w:val="00FC5D56"/>
    <w:rsid w:val="00FC73E6"/>
    <w:rsid w:val="00FC79EA"/>
    <w:rsid w:val="00FD08AE"/>
    <w:rsid w:val="00FD2FE4"/>
    <w:rsid w:val="00FD43BB"/>
    <w:rsid w:val="00FD58A0"/>
    <w:rsid w:val="00FD5A0A"/>
    <w:rsid w:val="00FD5E8F"/>
    <w:rsid w:val="00FD5F96"/>
    <w:rsid w:val="00FD66F9"/>
    <w:rsid w:val="00FD6CD6"/>
    <w:rsid w:val="00FD6EF8"/>
    <w:rsid w:val="00FD7123"/>
    <w:rsid w:val="00FE0320"/>
    <w:rsid w:val="00FE049E"/>
    <w:rsid w:val="00FE05AF"/>
    <w:rsid w:val="00FE249D"/>
    <w:rsid w:val="00FE24CE"/>
    <w:rsid w:val="00FE3BC5"/>
    <w:rsid w:val="00FE4070"/>
    <w:rsid w:val="00FE56B4"/>
    <w:rsid w:val="00FE70A7"/>
    <w:rsid w:val="00FF034C"/>
    <w:rsid w:val="00FF07F9"/>
    <w:rsid w:val="00FF2294"/>
    <w:rsid w:val="00FF4A8B"/>
    <w:rsid w:val="00FF51B5"/>
    <w:rsid w:val="00FF5EB2"/>
    <w:rsid w:val="00FF71CB"/>
    <w:rsid w:val="00FF76C2"/>
    <w:rsid w:val="00FF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D500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3D50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50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D50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D50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D50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50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500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D5006"/>
    <w:rPr>
      <w:rFonts w:ascii="Calibri" w:eastAsiaTheme="majorEastAsia" w:hAnsi="Calibri" w:cstheme="majorBidi"/>
      <w:b/>
      <w:iCs/>
      <w:sz w:val="26"/>
      <w:szCs w:val="22"/>
    </w:rPr>
  </w:style>
  <w:style w:type="character" w:styleId="Emphasis">
    <w:name w:val="Emphasis"/>
    <w:basedOn w:val="DefaultParagraphFont"/>
    <w:uiPriority w:val="7"/>
    <w:qFormat/>
    <w:rsid w:val="003D5006"/>
    <w:rPr>
      <w:rFonts w:ascii="Calibri" w:hAnsi="Calibri" w:cs="Calibri"/>
      <w:b/>
      <w:i w:val="0"/>
      <w:iCs/>
      <w:sz w:val="22"/>
      <w:u w:val="single"/>
      <w:bdr w:val="single" w:sz="8" w:space="0" w:color="auto"/>
    </w:rPr>
  </w:style>
  <w:style w:type="paragraph" w:styleId="NoSpacing">
    <w:name w:val="No Spacing"/>
    <w:uiPriority w:val="1"/>
    <w:rsid w:val="003B35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D5006"/>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3D5006"/>
    <w:rPr>
      <w:b/>
      <w:sz w:val="22"/>
      <w:u w:val="single"/>
    </w:rPr>
  </w:style>
  <w:style w:type="paragraph" w:styleId="DocumentMap">
    <w:name w:val="Document Map"/>
    <w:basedOn w:val="Normal"/>
    <w:link w:val="DocumentMapChar"/>
    <w:uiPriority w:val="99"/>
    <w:semiHidden/>
    <w:unhideWhenUsed/>
    <w:rsid w:val="003B35E3"/>
    <w:rPr>
      <w:rFonts w:ascii="Lucida Grande" w:hAnsi="Lucida Grande" w:cs="Lucida Grande"/>
    </w:rPr>
  </w:style>
  <w:style w:type="character" w:customStyle="1" w:styleId="DocumentMapChar">
    <w:name w:val="Document Map Char"/>
    <w:basedOn w:val="DefaultParagraphFont"/>
    <w:link w:val="DocumentMap"/>
    <w:uiPriority w:val="99"/>
    <w:semiHidden/>
    <w:rsid w:val="003B35E3"/>
    <w:rPr>
      <w:rFonts w:ascii="Lucida Grande" w:hAnsi="Lucida Grande" w:cs="Lucida Grande"/>
      <w:sz w:val="22"/>
    </w:rPr>
  </w:style>
  <w:style w:type="paragraph" w:styleId="ListParagraph">
    <w:name w:val="List Paragraph"/>
    <w:basedOn w:val="Normal"/>
    <w:uiPriority w:val="34"/>
    <w:rsid w:val="003B35E3"/>
    <w:pPr>
      <w:ind w:left="720"/>
      <w:contextualSpacing/>
    </w:pPr>
  </w:style>
  <w:style w:type="paragraph" w:styleId="Header">
    <w:name w:val="header"/>
    <w:basedOn w:val="Normal"/>
    <w:link w:val="HeaderChar"/>
    <w:uiPriority w:val="99"/>
    <w:unhideWhenUsed/>
    <w:rsid w:val="003B35E3"/>
    <w:pPr>
      <w:tabs>
        <w:tab w:val="center" w:pos="4320"/>
        <w:tab w:val="right" w:pos="8640"/>
      </w:tabs>
    </w:pPr>
  </w:style>
  <w:style w:type="character" w:customStyle="1" w:styleId="HeaderChar">
    <w:name w:val="Header Char"/>
    <w:basedOn w:val="DefaultParagraphFont"/>
    <w:link w:val="Header"/>
    <w:uiPriority w:val="99"/>
    <w:rsid w:val="003B35E3"/>
    <w:rPr>
      <w:rFonts w:ascii="Times New Roman" w:hAnsi="Times New Roman" w:cs="Times New Roman"/>
      <w:sz w:val="22"/>
    </w:rPr>
  </w:style>
  <w:style w:type="paragraph" w:styleId="Footer">
    <w:name w:val="footer"/>
    <w:basedOn w:val="Normal"/>
    <w:link w:val="FooterChar"/>
    <w:uiPriority w:val="99"/>
    <w:unhideWhenUsed/>
    <w:rsid w:val="003B35E3"/>
    <w:pPr>
      <w:tabs>
        <w:tab w:val="center" w:pos="4320"/>
        <w:tab w:val="right" w:pos="8640"/>
      </w:tabs>
    </w:pPr>
  </w:style>
  <w:style w:type="character" w:customStyle="1" w:styleId="FooterChar">
    <w:name w:val="Footer Char"/>
    <w:basedOn w:val="DefaultParagraphFont"/>
    <w:link w:val="Footer"/>
    <w:uiPriority w:val="99"/>
    <w:rsid w:val="003B35E3"/>
    <w:rPr>
      <w:rFonts w:ascii="Times New Roman" w:hAnsi="Times New Roman" w:cs="Times New Roman"/>
      <w:sz w:val="22"/>
    </w:rPr>
  </w:style>
  <w:style w:type="character" w:styleId="PageNumber">
    <w:name w:val="page number"/>
    <w:basedOn w:val="DefaultParagraphFont"/>
    <w:uiPriority w:val="99"/>
    <w:semiHidden/>
    <w:unhideWhenUsed/>
    <w:rsid w:val="003B35E3"/>
  </w:style>
  <w:style w:type="character" w:styleId="Hyperlink">
    <w:name w:val="Hyperlink"/>
    <w:basedOn w:val="DefaultParagraphFont"/>
    <w:uiPriority w:val="99"/>
    <w:unhideWhenUsed/>
    <w:rsid w:val="003D5006"/>
    <w:rPr>
      <w:color w:val="auto"/>
      <w:u w:val="none"/>
    </w:rPr>
  </w:style>
  <w:style w:type="character" w:styleId="FollowedHyperlink">
    <w:name w:val="FollowedHyperlink"/>
    <w:basedOn w:val="DefaultParagraphFont"/>
    <w:uiPriority w:val="99"/>
    <w:semiHidden/>
    <w:unhideWhenUsed/>
    <w:rsid w:val="003D5006"/>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D500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3D50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50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D50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D50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D50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50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500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D5006"/>
    <w:rPr>
      <w:rFonts w:ascii="Calibri" w:eastAsiaTheme="majorEastAsia" w:hAnsi="Calibri" w:cstheme="majorBidi"/>
      <w:b/>
      <w:iCs/>
      <w:sz w:val="26"/>
      <w:szCs w:val="22"/>
    </w:rPr>
  </w:style>
  <w:style w:type="character" w:styleId="Emphasis">
    <w:name w:val="Emphasis"/>
    <w:basedOn w:val="DefaultParagraphFont"/>
    <w:uiPriority w:val="7"/>
    <w:qFormat/>
    <w:rsid w:val="003D5006"/>
    <w:rPr>
      <w:rFonts w:ascii="Calibri" w:hAnsi="Calibri" w:cs="Calibri"/>
      <w:b/>
      <w:i w:val="0"/>
      <w:iCs/>
      <w:sz w:val="22"/>
      <w:u w:val="single"/>
      <w:bdr w:val="single" w:sz="8" w:space="0" w:color="auto"/>
    </w:rPr>
  </w:style>
  <w:style w:type="paragraph" w:styleId="NoSpacing">
    <w:name w:val="No Spacing"/>
    <w:uiPriority w:val="1"/>
    <w:rsid w:val="003B35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D5006"/>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3D5006"/>
    <w:rPr>
      <w:b/>
      <w:sz w:val="22"/>
      <w:u w:val="single"/>
    </w:rPr>
  </w:style>
  <w:style w:type="paragraph" w:styleId="DocumentMap">
    <w:name w:val="Document Map"/>
    <w:basedOn w:val="Normal"/>
    <w:link w:val="DocumentMapChar"/>
    <w:uiPriority w:val="99"/>
    <w:semiHidden/>
    <w:unhideWhenUsed/>
    <w:rsid w:val="003B35E3"/>
    <w:rPr>
      <w:rFonts w:ascii="Lucida Grande" w:hAnsi="Lucida Grande" w:cs="Lucida Grande"/>
    </w:rPr>
  </w:style>
  <w:style w:type="character" w:customStyle="1" w:styleId="DocumentMapChar">
    <w:name w:val="Document Map Char"/>
    <w:basedOn w:val="DefaultParagraphFont"/>
    <w:link w:val="DocumentMap"/>
    <w:uiPriority w:val="99"/>
    <w:semiHidden/>
    <w:rsid w:val="003B35E3"/>
    <w:rPr>
      <w:rFonts w:ascii="Lucida Grande" w:hAnsi="Lucida Grande" w:cs="Lucida Grande"/>
      <w:sz w:val="22"/>
    </w:rPr>
  </w:style>
  <w:style w:type="paragraph" w:styleId="ListParagraph">
    <w:name w:val="List Paragraph"/>
    <w:basedOn w:val="Normal"/>
    <w:uiPriority w:val="34"/>
    <w:rsid w:val="003B35E3"/>
    <w:pPr>
      <w:ind w:left="720"/>
      <w:contextualSpacing/>
    </w:pPr>
  </w:style>
  <w:style w:type="paragraph" w:styleId="Header">
    <w:name w:val="header"/>
    <w:basedOn w:val="Normal"/>
    <w:link w:val="HeaderChar"/>
    <w:uiPriority w:val="99"/>
    <w:unhideWhenUsed/>
    <w:rsid w:val="003B35E3"/>
    <w:pPr>
      <w:tabs>
        <w:tab w:val="center" w:pos="4320"/>
        <w:tab w:val="right" w:pos="8640"/>
      </w:tabs>
    </w:pPr>
  </w:style>
  <w:style w:type="character" w:customStyle="1" w:styleId="HeaderChar">
    <w:name w:val="Header Char"/>
    <w:basedOn w:val="DefaultParagraphFont"/>
    <w:link w:val="Header"/>
    <w:uiPriority w:val="99"/>
    <w:rsid w:val="003B35E3"/>
    <w:rPr>
      <w:rFonts w:ascii="Times New Roman" w:hAnsi="Times New Roman" w:cs="Times New Roman"/>
      <w:sz w:val="22"/>
    </w:rPr>
  </w:style>
  <w:style w:type="paragraph" w:styleId="Footer">
    <w:name w:val="footer"/>
    <w:basedOn w:val="Normal"/>
    <w:link w:val="FooterChar"/>
    <w:uiPriority w:val="99"/>
    <w:unhideWhenUsed/>
    <w:rsid w:val="003B35E3"/>
    <w:pPr>
      <w:tabs>
        <w:tab w:val="center" w:pos="4320"/>
        <w:tab w:val="right" w:pos="8640"/>
      </w:tabs>
    </w:pPr>
  </w:style>
  <w:style w:type="character" w:customStyle="1" w:styleId="FooterChar">
    <w:name w:val="Footer Char"/>
    <w:basedOn w:val="DefaultParagraphFont"/>
    <w:link w:val="Footer"/>
    <w:uiPriority w:val="99"/>
    <w:rsid w:val="003B35E3"/>
    <w:rPr>
      <w:rFonts w:ascii="Times New Roman" w:hAnsi="Times New Roman" w:cs="Times New Roman"/>
      <w:sz w:val="22"/>
    </w:rPr>
  </w:style>
  <w:style w:type="character" w:styleId="PageNumber">
    <w:name w:val="page number"/>
    <w:basedOn w:val="DefaultParagraphFont"/>
    <w:uiPriority w:val="99"/>
    <w:semiHidden/>
    <w:unhideWhenUsed/>
    <w:rsid w:val="003B35E3"/>
  </w:style>
  <w:style w:type="character" w:styleId="Hyperlink">
    <w:name w:val="Hyperlink"/>
    <w:basedOn w:val="DefaultParagraphFont"/>
    <w:uiPriority w:val="99"/>
    <w:unhideWhenUsed/>
    <w:rsid w:val="003D5006"/>
    <w:rPr>
      <w:color w:val="auto"/>
      <w:u w:val="none"/>
    </w:rPr>
  </w:style>
  <w:style w:type="character" w:styleId="FollowedHyperlink">
    <w:name w:val="FollowedHyperlink"/>
    <w:basedOn w:val="DefaultParagraphFont"/>
    <w:uiPriority w:val="99"/>
    <w:semiHidden/>
    <w:unhideWhenUsed/>
    <w:rsid w:val="003D500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lawdigitalcommons.bc.edu/cgi/viewcontent.cgi?article=1758&amp;context=lsfp" TargetMode="External"/><Relationship Id="rId21" Type="http://schemas.openxmlformats.org/officeDocument/2006/relationships/hyperlink" Target="http://www.ohchr.org/Documents/Publications/Factsheet32EN.pdf" TargetMode="External"/><Relationship Id="rId22" Type="http://schemas.openxmlformats.org/officeDocument/2006/relationships/hyperlink" Target="https://privacyassociation.org/news/a/do-we-need-a-constitutional-amendment-restricting-private-sector-data-colle" TargetMode="External"/><Relationship Id="rId23" Type="http://schemas.openxmlformats.org/officeDocument/2006/relationships/hyperlink" Target="https://privacyassociation.org/news/a/do-we-need-a-constitutional-amendment-restricting-private-sector-data-colle" TargetMode="External"/><Relationship Id="rId24" Type="http://schemas.openxmlformats.org/officeDocument/2006/relationships/hyperlink" Target="http://queensu.ca/lawjournal/issues/pastissues/Volume37a/5-Hunt.pdf" TargetMode="External"/><Relationship Id="rId25" Type="http://schemas.openxmlformats.org/officeDocument/2006/relationships/hyperlink" Target="http://queensu.ca/lawjournal/issues/pastissues/Volume37a/5-Hunt.pdf" TargetMode="External"/><Relationship Id="rId26" Type="http://schemas.openxmlformats.org/officeDocument/2006/relationships/hyperlink" Target="http://queensu.ca/lawjournal/issues/pastissues/Volume37a/5-Hunt.pdf" TargetMode="External"/><Relationship Id="rId27" Type="http://schemas.openxmlformats.org/officeDocument/2006/relationships/hyperlink" Target="http://queensu.ca/lawjournal/issues/pastissues/Volume37a/5-Hunt.pdf" TargetMode="External"/><Relationship Id="rId28" Type="http://schemas.openxmlformats.org/officeDocument/2006/relationships/hyperlink" Target="http://www.ourmidland.com/opinion/editorials/post-usa-freedom-act-there-s-more-to-be-done/article_6676dd8c-7565-5ba4-8387-0158caae0784.html" TargetMode="External"/><Relationship Id="rId29" Type="http://schemas.openxmlformats.org/officeDocument/2006/relationships/hyperlink" Target="http://www.mondaq.com/unitedstates/x/407006/Data+Protection+Privacy/US+Supreme+Court+Issues+Significant+Ruling+Protecting+Privacy+Rights+of+Hotel+Owners+and+Guest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org.law.rutgers.edu/publications/lawjournal/issues/37_4/Shaman.pdf" TargetMode="External"/><Relationship Id="rId31" Type="http://schemas.openxmlformats.org/officeDocument/2006/relationships/hyperlink" Target="https://www.regent.edu/admin/stusrv/writingcenter/docs/APSA7thedSamplePaper(PoliticalScienceStudentWriter'sManual).pdf" TargetMode="External"/><Relationship Id="rId32" Type="http://schemas.openxmlformats.org/officeDocument/2006/relationships/hyperlink" Target="https://www.law.unimelb.edu.au/files/dmfile/29_1_4.pdf" TargetMode="External"/><Relationship Id="rId9" Type="http://schemas.openxmlformats.org/officeDocument/2006/relationships/hyperlink" Target="http://www.virginialawreview.org/sites/virginialawreview.org/files/1509_1.pdf" TargetMode="External"/><Relationship Id="rId6" Type="http://schemas.openxmlformats.org/officeDocument/2006/relationships/hyperlink" Target="http://fas.org/sgp/crs/misc/R43586.pdf" TargetMode="External"/><Relationship Id="rId7" Type="http://schemas.openxmlformats.org/officeDocument/2006/relationships/hyperlink" Target="http://www.virginialawreview.org/sites/virginialawreview.org/files/1509_1.pdf" TargetMode="External"/><Relationship Id="rId8" Type="http://schemas.openxmlformats.org/officeDocument/2006/relationships/hyperlink" Target="http://www.virginialawreview.org/sites/virginialawreview.org/files/1509_1.pdf" TargetMode="External"/><Relationship Id="rId33" Type="http://schemas.openxmlformats.org/officeDocument/2006/relationships/hyperlink" Target="http://www.presstv.com/detail/2014/11/09/385326/us-moves-make-nuclear-war-possible/" TargetMode="External"/><Relationship Id="rId34" Type="http://schemas.openxmlformats.org/officeDocument/2006/relationships/hyperlink" Target="http://www.matthewkroenig.com/The%20History%20of%20Proliferation%20Optimism_Feb2014.pdf" TargetMode="External"/><Relationship Id="rId35" Type="http://schemas.openxmlformats.org/officeDocument/2006/relationships/hyperlink" Target="http://www.theatlantic.com/international/archive/2014/07/just-how-likely-is-another-world-war/375320/" TargetMode="External"/><Relationship Id="rId36" Type="http://schemas.openxmlformats.org/officeDocument/2006/relationships/fontTable" Target="fontTable.xml"/><Relationship Id="rId10" Type="http://schemas.openxmlformats.org/officeDocument/2006/relationships/hyperlink" Target="http://www.virginialawreview.org/sites/virginialawreview.org/files/1509_1.pdf" TargetMode="External"/><Relationship Id="rId11" Type="http://schemas.openxmlformats.org/officeDocument/2006/relationships/hyperlink" Target="http://www.virginialawreview.org/sites/virginialawreview.org/files/1509_1.pdf" TargetMode="External"/><Relationship Id="rId12" Type="http://schemas.openxmlformats.org/officeDocument/2006/relationships/hyperlink" Target="http://www.virginialawreview.org/sites/virginialawreview.org/files/1509_1.pdf" TargetMode="External"/><Relationship Id="rId13" Type="http://schemas.openxmlformats.org/officeDocument/2006/relationships/hyperlink" Target="http://www.virginialawreview.org/sites/virginialawreview.org/files/1509_1.pdf" TargetMode="External"/><Relationship Id="rId14" Type="http://schemas.openxmlformats.org/officeDocument/2006/relationships/hyperlink" Target="http://www.npr.org/sections/itsallpolitics/2013/02/20/172495803/failure-to-ratify-during-amendment-battles-some-states-opt-to-watch" TargetMode="External"/><Relationship Id="rId15" Type="http://schemas.openxmlformats.org/officeDocument/2006/relationships/hyperlink" Target="https://www.law.gonzaga.edu/law-review/files/2011/02/Parness.pdf" TargetMode="External"/><Relationship Id="rId16" Type="http://schemas.openxmlformats.org/officeDocument/2006/relationships/hyperlink" Target="https://www.law.gonzaga.edu/law-review/files/2011/02/Parness.pdf" TargetMode="External"/><Relationship Id="rId17" Type="http://schemas.openxmlformats.org/officeDocument/2006/relationships/hyperlink" Target="https://ipp.mit.edu/sites/default/files/documents/MITBigDataPrivacyComments.pdf" TargetMode="External"/><Relationship Id="rId18" Type="http://schemas.openxmlformats.org/officeDocument/2006/relationships/hyperlink" Target="http://www.heinonline.org.turing.library.northwestern.edu/HOL/Page?page=705&amp;handle=hein.journals%2Fhurq18&amp;collection=journals" TargetMode="External"/><Relationship Id="rId19" Type="http://schemas.openxmlformats.org/officeDocument/2006/relationships/hyperlink" Target="http://lawdigitalcommons.bc.edu/cgi/viewcontent.cgi?article=1758&amp;context=lsfp"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1</TotalTime>
  <Pages>11</Pages>
  <Words>26451</Words>
  <Characters>150777</Characters>
  <Application>Microsoft Macintosh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Ku</dc:creator>
  <cp:keywords/>
  <dc:description/>
  <cp:lastModifiedBy>Garrett Abelkop</cp:lastModifiedBy>
  <cp:revision>2</cp:revision>
  <dcterms:created xsi:type="dcterms:W3CDTF">2015-07-14T16:32:00Z</dcterms:created>
  <dcterms:modified xsi:type="dcterms:W3CDTF">2015-07-14T16:32:00Z</dcterms:modified>
</cp:coreProperties>
</file>