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717" w:rsidRPr="008D1F92" w:rsidRDefault="00476717" w:rsidP="00476717">
      <w:pPr>
        <w:pStyle w:val="Heading2"/>
      </w:pPr>
      <w:bookmarkStart w:id="0" w:name="_GoBack"/>
      <w:bookmarkEnd w:id="0"/>
      <w:r w:rsidRPr="008D1F92">
        <w:t xml:space="preserve">A2: Complexity </w:t>
      </w:r>
    </w:p>
    <w:p w:rsidR="00476717" w:rsidRPr="008D1F92" w:rsidRDefault="00476717" w:rsidP="00476717">
      <w:pPr>
        <w:pStyle w:val="Heading3"/>
      </w:pPr>
      <w:r w:rsidRPr="008D1F92">
        <w:t>Frontline</w:t>
      </w:r>
    </w:p>
    <w:p w:rsidR="00476717" w:rsidRPr="008D1F92" w:rsidRDefault="00476717" w:rsidP="00476717">
      <w:pPr>
        <w:pStyle w:val="Heading4"/>
      </w:pPr>
      <w:r w:rsidRPr="008D1F92">
        <w:t>Scenario planning is key to decision making—it’s a reliable method for creating policies that anticipate future events</w:t>
      </w:r>
    </w:p>
    <w:p w:rsidR="00476717" w:rsidRPr="008D1F92" w:rsidRDefault="00476717" w:rsidP="00476717">
      <w:pPr>
        <w:pStyle w:val="Citation"/>
      </w:pPr>
      <w:r w:rsidRPr="008D1F92">
        <w:t xml:space="preserve">Han, Institute of Foreign Affairs and National Security research fellow, 11 </w:t>
      </w:r>
    </w:p>
    <w:p w:rsidR="00476717" w:rsidRPr="008D1F92" w:rsidRDefault="00476717" w:rsidP="00476717">
      <w:r w:rsidRPr="008D1F92">
        <w:t xml:space="preserve">(Dong-ho, PhD in political science from University of Nebraska, June 2011, “Scenario Construction and Its Implications for International Relations,” Research Korean Journal of International Studies, Vol. 9.1, da 7-20-15, </w:t>
      </w:r>
      <w:hyperlink r:id="rId6" w:history="1">
        <w:r w:rsidRPr="008D1F92">
          <w:rPr>
            <w:rStyle w:val="Hyperlink"/>
          </w:rPr>
          <w:t>http://www.kaisnet.or.kr/resource/down/9_1_02.pdf</w:t>
        </w:r>
      </w:hyperlink>
      <w:r w:rsidRPr="008D1F92">
        <w:t xml:space="preserve">, </w:t>
      </w:r>
      <w:proofErr w:type="spellStart"/>
      <w:r w:rsidRPr="008D1F92">
        <w:t>mee</w:t>
      </w:r>
      <w:proofErr w:type="spellEnd"/>
      <w:r w:rsidRPr="008D1F92">
        <w:t>)</w:t>
      </w:r>
    </w:p>
    <w:p w:rsidR="00476717" w:rsidRPr="008D1F92" w:rsidRDefault="00476717" w:rsidP="00476717"/>
    <w:p w:rsidR="00476717" w:rsidRPr="008D1F92" w:rsidRDefault="00476717" w:rsidP="00476717">
      <w:pPr>
        <w:rPr>
          <w:sz w:val="14"/>
        </w:rPr>
      </w:pPr>
      <w:r w:rsidRPr="008D1F92">
        <w:rPr>
          <w:sz w:val="14"/>
        </w:rPr>
        <w:t xml:space="preserve">How do we assess future possibilities with existing data and information? Do we have a systematic approach to analyze the future events of world politics? </w:t>
      </w:r>
      <w:r w:rsidRPr="008D1F92">
        <w:rPr>
          <w:rStyle w:val="StyleUnderline"/>
        </w:rPr>
        <w:t xml:space="preserve">If the problem of uncertainty in future world politics is increasing and future international relations are hard to predict, then </w:t>
      </w:r>
      <w:r w:rsidRPr="008D1F92">
        <w:rPr>
          <w:rStyle w:val="BoldUnderlineChar"/>
          <w:rFonts w:eastAsia="Calibri"/>
        </w:rPr>
        <w:t>it is necessary to devise a useful tool to effectively deal with upcoming events so that policy makers can reduce the risks of future uncertainties</w:t>
      </w:r>
      <w:r w:rsidRPr="008D1F92">
        <w:rPr>
          <w:sz w:val="14"/>
        </w:rPr>
        <w:t xml:space="preserve">. In this paper, I argue that </w:t>
      </w:r>
      <w:r w:rsidRPr="008D1F92">
        <w:rPr>
          <w:rStyle w:val="StyleUnderline"/>
        </w:rPr>
        <w:t>the scenario methodology is one of the most effective methods to connect theory to practice, thereby leading to a better understanding of future world events.</w:t>
      </w:r>
      <w:r w:rsidRPr="008D1F92">
        <w:rPr>
          <w:sz w:val="14"/>
        </w:rPr>
        <w:t xml:space="preserve"> The purpose of this paper is to introduce the scenario methodology to the field of IR in a more acceptable fashion and to explore its implications for a real policy world. To achieve this goal, I will explain the scenario methodology and why it is adequate to provide a better understanding of future world events. More specifically, I will clarify what the scenario method is and what its core components are and explain the importance and implications of the scenario method in IR by analyzing existing IR literature with an emphasis on security studies that primarily provide the prospect of future security issues. 1. Introduction </w:t>
      </w:r>
      <w:r w:rsidRPr="008D1F92">
        <w:rPr>
          <w:rStyle w:val="StyleUnderline"/>
        </w:rPr>
        <w:t>How do we assess future possibilities with existing data and information? Do we have a systematic approach to analyze the future events of world politics? Given various theoretical ideas for predicting and analyzing future events in the field of international relations (IR), to understand these events properly it is important both to cast out all plausible outcomes and to think through a relevant theory, or a combination of each major theory, in connection with those outcomes</w:t>
      </w:r>
      <w:r w:rsidRPr="008D1F92">
        <w:rPr>
          <w:sz w:val="14"/>
        </w:rPr>
        <w:t xml:space="preserve">. This paper aims to explain the scenario methodology and why </w:t>
      </w:r>
      <w:r w:rsidRPr="008D1F92">
        <w:rPr>
          <w:rStyle w:val="StyleUnderline"/>
        </w:rPr>
        <w:t>it is adequate to provide a better understanding of future world events</w:t>
      </w:r>
      <w:r w:rsidRPr="008D1F92">
        <w:rPr>
          <w:sz w:val="14"/>
        </w:rPr>
        <w:t>. After clarifying the scenario methodology, its core components, and its processes and purposes, I will explore other field’s use of this methodology. Then I will explain the importance and implications of the scenario method in the field of IR. I will conclude with summarizing the advantage of the scenario method in a real world of policy making. 2. What is the Scenario Methodology? This section begins with one major question – what is the scenario methodology? To answer this, some history regarding the development of this method should be mentioned.1 Herman Kahn, a pioneer of the scenario method, in his famous 1962 book Thinking about the Unthinkable, argued that th</w:t>
      </w:r>
      <w:r w:rsidRPr="008D1F92">
        <w:rPr>
          <w:rStyle w:val="StyleUnderline"/>
        </w:rPr>
        <w:t>e decision makers in the United States should think of and prepare for all possible sequences of events with regard to nuclear war</w:t>
      </w:r>
      <w:r w:rsidRPr="008D1F92">
        <w:rPr>
          <w:sz w:val="14"/>
        </w:rPr>
        <w:t xml:space="preserve"> with the Soviet Union.2 Using scenarios and connecting them with various war games, Kahn showed the importance of thinking ahead in time and using the scenario method based upon imagination for the future.3 According to Kahn and his colleagues, </w:t>
      </w:r>
      <w:r w:rsidRPr="008D1F92">
        <w:rPr>
          <w:rStyle w:val="StyleUnderline"/>
        </w:rPr>
        <w:t>scenarios are “attempts to describe in some detail a hypothetical sequence of events that could lead plausibly to the situation envisaged</w:t>
      </w:r>
      <w:r w:rsidRPr="008D1F92">
        <w:rPr>
          <w:sz w:val="14"/>
        </w:rPr>
        <w:t xml:space="preserve">.”4 Similarly, Peter Schwartz defines scenarios as “stories about the way the world might turn out tomorrow, </w:t>
      </w:r>
      <w:r w:rsidRPr="008D1F92">
        <w:rPr>
          <w:rStyle w:val="StyleUnderline"/>
        </w:rPr>
        <w:t>stories</w:t>
      </w:r>
      <w:r w:rsidRPr="008D1F92">
        <w:rPr>
          <w:sz w:val="14"/>
        </w:rPr>
        <w:t xml:space="preserve"> that </w:t>
      </w:r>
      <w:r w:rsidRPr="008D1F92">
        <w:rPr>
          <w:rStyle w:val="StyleUnderline"/>
        </w:rPr>
        <w:t>can help us recognize and adapt to changing aspects of our present environment</w:t>
      </w:r>
      <w:r w:rsidRPr="008D1F92">
        <w:rPr>
          <w:sz w:val="14"/>
        </w:rPr>
        <w:t>.”5 Given a variety of definitions of scenarios</w:t>
      </w:r>
      <w:proofErr w:type="gramStart"/>
      <w:r w:rsidRPr="008D1F92">
        <w:rPr>
          <w:sz w:val="14"/>
        </w:rPr>
        <w:t>,6</w:t>
      </w:r>
      <w:proofErr w:type="gramEnd"/>
      <w:r w:rsidRPr="008D1F92">
        <w:rPr>
          <w:sz w:val="14"/>
        </w:rPr>
        <w:t xml:space="preserve"> for the purpose of this research, I refer to the scenario-building methodology as a means by which </w:t>
      </w:r>
      <w:r w:rsidRPr="008D1F92">
        <w:rPr>
          <w:rStyle w:val="StyleUnderline"/>
        </w:rPr>
        <w:t>people can articulate different futures with trends, uncertainties, and rules over a certain amount of time. Showing all plausible future stories and clarifying important trends, scenario thinking enables decision makers to make an important decision at the present time</w:t>
      </w:r>
      <w:r w:rsidRPr="008D1F92">
        <w:rPr>
          <w:sz w:val="14"/>
        </w:rPr>
        <w:t xml:space="preserve">. Key Terms in the Scenario Methodology </w:t>
      </w:r>
      <w:r w:rsidRPr="008D1F92">
        <w:rPr>
          <w:rStyle w:val="StyleUnderline"/>
        </w:rPr>
        <w:t>The core of the scenario method lies in enabling policy makers to reach a critical decision at the present time based on thinking about all plausible future possibilities. Key concepts in the scenario method include: driving forces, predetermined elements, critical uncertainties, wild cards and scenario plot lines</w:t>
      </w:r>
      <w:r w:rsidRPr="008D1F92">
        <w:rPr>
          <w:sz w:val="14"/>
        </w:rPr>
        <w:t xml:space="preserve">.7 </w:t>
      </w:r>
      <w:r w:rsidRPr="008D1F92">
        <w:rPr>
          <w:rStyle w:val="StyleUnderline"/>
        </w:rPr>
        <w:t>Driving forces are defined as “the causal elements that surround a problem, event or decision,” which could be many factors, including those “that can be the basis, in different combinations, for diverse chains of connections and outcomes</w:t>
      </w:r>
      <w:r w:rsidRPr="008D1F92">
        <w:rPr>
          <w:sz w:val="14"/>
        </w:rPr>
        <w:t xml:space="preserve">.”8 Schwartz defines driving forces as “the elements that move the plot of a scenario, that determine the story’s outcome.”9 In a word, </w:t>
      </w:r>
      <w:r w:rsidRPr="008D1F92">
        <w:rPr>
          <w:rStyle w:val="StyleUnderline"/>
        </w:rPr>
        <w:t>driving forces constitute the basic structure of each scenario plot line in the scenario-making process. Predetermined elements refer to “events that have already occurred or that almost certainly will occur but whose consequences have not yet unfolded</w:t>
      </w:r>
      <w:r w:rsidRPr="008D1F92">
        <w:rPr>
          <w:sz w:val="14"/>
        </w:rPr>
        <w:t xml:space="preserve">.”10 </w:t>
      </w:r>
      <w:r w:rsidRPr="008D1F92">
        <w:rPr>
          <w:rStyle w:val="StyleUnderline"/>
        </w:rPr>
        <w:t>Predetermined elements are “givens” which could be safely assumed and understood in the scenario-building process</w:t>
      </w:r>
      <w:r w:rsidRPr="008D1F92">
        <w:rPr>
          <w:sz w:val="14"/>
        </w:rPr>
        <w:t xml:space="preserve">. Although predetermined elements impact outcomes, they do not have a direct causal impact on a given outcome. Critical uncertainties “describe important determinants of events whose character, magnitude or consequences are unknown.”11 Exploring critical uncertainties lies at the heart of scenario construction in the sense that the most important task of scenario analysts is to discover the elements that are most uncertain and most important to a specific decision or event.12 Wild cards are “conceivable, if low probability, events or actions that might undermine or modify radically the chains of logic or narrative plot lines.”13 In John Peterson’s terms, wild cards are “not simple trends, nor are they byproducts of anything else. They are events on their own. They are characterized by their scope, and a speed of change that challenges the outermost capabilities of today’s human capabilities.”14 Wild cards might be extremely important in that in the process of scenario planning their emergence could change the entire direction of each scenario plot line. </w:t>
      </w:r>
      <w:r w:rsidRPr="008D1F92">
        <w:rPr>
          <w:rStyle w:val="StyleUnderline"/>
        </w:rPr>
        <w:t>A scenario plot line is “a compelling story about how things happen” and it describes “how driving forces might plausibly behave as they interact with predetermined elements and different combinations of critical uncertainties</w:t>
      </w:r>
      <w:r w:rsidRPr="008D1F92">
        <w:rPr>
          <w:sz w:val="14"/>
        </w:rPr>
        <w:t xml:space="preserve">.”15 Narratives and/or stories are an essential part of the scenario method due to the identical structure of analytical narratives and scenarios: “both are sequential descriptions of a situation with the passage of time and explain the process of events from the base situation into the situation questioned.”16 Process and Purpose of Scenario Analysis </w:t>
      </w:r>
      <w:r w:rsidRPr="008D1F92">
        <w:rPr>
          <w:rStyle w:val="StyleUnderline"/>
        </w:rPr>
        <w:t>Scenario analysis begins with the exploration of driving forces including some uncertainties. However, scenario building is more than just organizing future uncertainties; rather, it is a thorough understanding of uncertainties, thereby distinguishing between something clear and unclear in the process of decision making</w:t>
      </w:r>
      <w:r w:rsidRPr="008D1F92">
        <w:rPr>
          <w:sz w:val="14"/>
        </w:rPr>
        <w:t xml:space="preserve">.17 As Pierre </w:t>
      </w:r>
      <w:proofErr w:type="spellStart"/>
      <w:r w:rsidRPr="008D1F92">
        <w:rPr>
          <w:sz w:val="14"/>
        </w:rPr>
        <w:t>Wack</w:t>
      </w:r>
      <w:proofErr w:type="spellEnd"/>
      <w:r w:rsidRPr="008D1F92">
        <w:rPr>
          <w:sz w:val="14"/>
        </w:rPr>
        <w:t xml:space="preserve"> has pointed out, “By carefully studying some uncertainties, we gained a deeper understanding of their interplay, which, paradoxically, led us to learn what was certain and inevitable and what was not.” In other words, </w:t>
      </w:r>
      <w:r w:rsidRPr="008D1F92">
        <w:rPr>
          <w:rStyle w:val="StyleUnderline"/>
        </w:rPr>
        <w:t>a careful investigation of raw uncertainties helps people figure out more “critical uncertainties” by showing that “what may appear in some cases to be uncertain might actually be predetermined – that many outcomes were simply not possible</w:t>
      </w:r>
      <w:r w:rsidRPr="008D1F92">
        <w:rPr>
          <w:sz w:val="14"/>
        </w:rPr>
        <w:t xml:space="preserve">.”18 Exploring future uncertainties thoroughly is one of the most important factors in scenario analysis. </w:t>
      </w:r>
      <w:proofErr w:type="spellStart"/>
      <w:r w:rsidRPr="008D1F92">
        <w:rPr>
          <w:sz w:val="14"/>
        </w:rPr>
        <w:t>Kees</w:t>
      </w:r>
      <w:proofErr w:type="spellEnd"/>
      <w:r w:rsidRPr="008D1F92">
        <w:rPr>
          <w:sz w:val="14"/>
        </w:rPr>
        <w:t xml:space="preserve"> van der </w:t>
      </w:r>
      <w:proofErr w:type="spellStart"/>
      <w:r w:rsidRPr="008D1F92">
        <w:rPr>
          <w:sz w:val="14"/>
        </w:rPr>
        <w:t>Heijden</w:t>
      </w:r>
      <w:proofErr w:type="spellEnd"/>
      <w:r w:rsidRPr="008D1F92">
        <w:rPr>
          <w:sz w:val="14"/>
        </w:rPr>
        <w:t xml:space="preserve"> argues that in the process of separating “knowns” from “unknowns” analysts could clarify driving forces because the process of separation between “</w:t>
      </w:r>
      <w:proofErr w:type="spellStart"/>
      <w:r w:rsidRPr="008D1F92">
        <w:rPr>
          <w:sz w:val="14"/>
        </w:rPr>
        <w:t>predetermineds</w:t>
      </w:r>
      <w:proofErr w:type="spellEnd"/>
      <w:r w:rsidRPr="008D1F92">
        <w:rPr>
          <w:sz w:val="14"/>
        </w:rPr>
        <w:t xml:space="preserve">” and uncertainties demands a fair amount of knowledge of causal relationships surrounding the issue at stake.19 Thus, in scenario analysis a thorough understanding of critical uncertainties leads to a well-established knowledge of driving forces and causal relations.20 Robert </w:t>
      </w:r>
      <w:proofErr w:type="spellStart"/>
      <w:r w:rsidRPr="008D1F92">
        <w:rPr>
          <w:sz w:val="14"/>
        </w:rPr>
        <w:t>Lempert</w:t>
      </w:r>
      <w:proofErr w:type="spellEnd"/>
      <w:r w:rsidRPr="008D1F92">
        <w:rPr>
          <w:sz w:val="14"/>
        </w:rPr>
        <w:t xml:space="preserve"> succinctly summarized the scenario-construction process as follows: “</w:t>
      </w:r>
      <w:r w:rsidRPr="008D1F92">
        <w:rPr>
          <w:rStyle w:val="StyleUnderline"/>
        </w:rPr>
        <w:t>scenario practice begins with the challenge facing the decision-makers, ranks the most significant driving forces according to their level of uncertainty and their impact on trends seemingly relevant to that decision, and then creates a handful of scenarios that explore different manifestations of those driving forces</w:t>
      </w:r>
      <w:r w:rsidRPr="008D1F92">
        <w:rPr>
          <w:sz w:val="14"/>
        </w:rPr>
        <w:t xml:space="preserve">.”21 </w:t>
      </w:r>
    </w:p>
    <w:p w:rsidR="00476717" w:rsidRPr="008D1F92" w:rsidRDefault="00476717" w:rsidP="00476717">
      <w:pPr>
        <w:pStyle w:val="Heading3"/>
      </w:pPr>
      <w:r w:rsidRPr="008D1F92">
        <w:t>A2: Predictions Fail</w:t>
      </w:r>
    </w:p>
    <w:p w:rsidR="00476717" w:rsidRPr="008D1F92" w:rsidRDefault="00476717" w:rsidP="00476717">
      <w:pPr>
        <w:pStyle w:val="Heading4"/>
      </w:pPr>
      <w:r w:rsidRPr="008D1F92">
        <w:t>We can use past events to predict future outcomes</w:t>
      </w:r>
    </w:p>
    <w:p w:rsidR="00476717" w:rsidRPr="008D1F92" w:rsidRDefault="00476717" w:rsidP="00476717">
      <w:pPr>
        <w:pStyle w:val="Citation"/>
      </w:pPr>
      <w:r w:rsidRPr="008D1F92">
        <w:t xml:space="preserve">Dekker </w:t>
      </w:r>
      <w:proofErr w:type="gramStart"/>
      <w:r w:rsidRPr="008D1F92">
        <w:t>et</w:t>
      </w:r>
      <w:proofErr w:type="gramEnd"/>
      <w:r w:rsidRPr="008D1F92">
        <w:t xml:space="preserve">. </w:t>
      </w:r>
      <w:proofErr w:type="gramStart"/>
      <w:r w:rsidRPr="008D1F92">
        <w:t>al</w:t>
      </w:r>
      <w:proofErr w:type="gramEnd"/>
      <w:r w:rsidRPr="008D1F92">
        <w:t>, Griffith University, 11</w:t>
      </w:r>
    </w:p>
    <w:p w:rsidR="00476717" w:rsidRPr="008D1F92" w:rsidRDefault="00476717" w:rsidP="00476717">
      <w:r w:rsidRPr="008D1F92">
        <w:t xml:space="preserve">(Sidney Dekker, Key Centre for Ethics, Law, Justice and Governance at Griffith University, Paul </w:t>
      </w:r>
      <w:proofErr w:type="spellStart"/>
      <w:r w:rsidRPr="008D1F92">
        <w:t>Cilliers</w:t>
      </w:r>
      <w:proofErr w:type="spellEnd"/>
      <w:r w:rsidRPr="008D1F92">
        <w:t xml:space="preserve">, Centre for Studies in Complexity, Departments of Philosophy and Biochemistry at the University of Stellenbosch, and  Jan-Hendrik </w:t>
      </w:r>
      <w:proofErr w:type="spellStart"/>
      <w:r w:rsidRPr="008D1F92">
        <w:t>Hofmeyr</w:t>
      </w:r>
      <w:proofErr w:type="spellEnd"/>
      <w:r w:rsidRPr="008D1F92">
        <w:t xml:space="preserve">, Centre for Studies in Complexity, Departments of Philosophy and Biochemistry at the University of Stellenbosch, 02-21-11, “The complexity of failure: Implications of complexity theory for safety investigations,” Safety Science, Vol. 49, accessed Science Direct 07-20-15, </w:t>
      </w:r>
      <w:proofErr w:type="spellStart"/>
      <w:r w:rsidRPr="008D1F92">
        <w:t>mee</w:t>
      </w:r>
      <w:proofErr w:type="spellEnd"/>
      <w:r w:rsidRPr="008D1F92">
        <w:t>)</w:t>
      </w:r>
    </w:p>
    <w:p w:rsidR="00476717" w:rsidRPr="008D1F92" w:rsidRDefault="00476717" w:rsidP="00476717"/>
    <w:p w:rsidR="00476717" w:rsidRPr="008D1F92" w:rsidRDefault="00476717" w:rsidP="00476717">
      <w:r w:rsidRPr="008D1F92">
        <w:rPr>
          <w:sz w:val="14"/>
        </w:rPr>
        <w:t>In the Newtonian vision of the world, everything that happens has a definitive, identifiable cause and a definitive effect. There is symmetry between cause and effect (they are equal but opposite). The determination of the ‘</w:t>
      </w:r>
      <w:proofErr w:type="spellStart"/>
      <w:r w:rsidRPr="008D1F92">
        <w:rPr>
          <w:sz w:val="14"/>
        </w:rPr>
        <w:t>‘cause</w:t>
      </w:r>
      <w:proofErr w:type="spellEnd"/>
      <w:r w:rsidRPr="008D1F92">
        <w:rPr>
          <w:sz w:val="14"/>
        </w:rPr>
        <w:t>’’ or ‘‘causes’’ is of course seen as the most important function of accident investigation, but assumes that physical effects can be traced back to physical causes (or a chain of causes-effects) (</w:t>
      </w:r>
      <w:proofErr w:type="spellStart"/>
      <w:r w:rsidRPr="008D1F92">
        <w:rPr>
          <w:sz w:val="14"/>
        </w:rPr>
        <w:t>Leveson</w:t>
      </w:r>
      <w:proofErr w:type="spellEnd"/>
      <w:r w:rsidRPr="008D1F92">
        <w:rPr>
          <w:sz w:val="14"/>
        </w:rPr>
        <w:t>, 2002). The assumption that effects cannot occur without specific causes influences legal reasoning in the wake of accidents too. For example, to raise a question of negligence in an accident, harm must be caused by the negligent action (GAIN, 2004). Assumptions about cause-effect symmetry can be seen in what is known as the outcome bias (</w:t>
      </w:r>
      <w:proofErr w:type="spellStart"/>
      <w:r w:rsidRPr="008D1F92">
        <w:rPr>
          <w:sz w:val="14"/>
        </w:rPr>
        <w:t>Fischhoff</w:t>
      </w:r>
      <w:proofErr w:type="spellEnd"/>
      <w:r w:rsidRPr="008D1F92">
        <w:rPr>
          <w:sz w:val="14"/>
        </w:rPr>
        <w:t xml:space="preserve">, 1975). </w:t>
      </w:r>
      <w:r w:rsidRPr="008D1F92">
        <w:rPr>
          <w:rStyle w:val="StyleUnderline"/>
        </w:rPr>
        <w:t>The worse the consequences, the more any preceding acts are seen as blameworthy</w:t>
      </w:r>
      <w:r w:rsidRPr="008D1F92">
        <w:rPr>
          <w:sz w:val="14"/>
        </w:rPr>
        <w:t xml:space="preserve"> (Hugh and Dekker, 2009). Newtonian ontology is materialistic: all phenomena, whether physical, psychological or social, can be reduced to (or understood in terms of) matter, that is, the movement of physical components inside three-dimensional Euclidean space. The only property that distinguishes particles is where they are in that space. </w:t>
      </w:r>
      <w:r w:rsidRPr="008D1F92">
        <w:rPr>
          <w:rStyle w:val="StyleUnderline"/>
        </w:rPr>
        <w:t>Change, evolution, and indeed accidents, can be reduced to the geometrical arrangement (or misalignment) of fundamentally equivalent pieces of matter, whose interactive movements are governed exhaustively by linear laws of motion, of cause and effect</w:t>
      </w:r>
      <w:r w:rsidRPr="008D1F92">
        <w:rPr>
          <w:sz w:val="14"/>
        </w:rPr>
        <w:t xml:space="preserve">. The Newtonian model may have become so pervasive and coincident with ‘‘scientific’’ thinking that, if analytic reduction to determinate cause-effect relationships cannot be achieved, then the accident analysis method or agency isn’t entirely worthy. The Chairman of the NTSB at the time, Jim Hall, raised the specter of his agency not being able to find the Eureka part in TWA 200, which would challenge its entire reputation (p. 119): ‘‘What you’re dealing with here is much more than an aviation accident... What you have at stake here is the credibility of this agency and the credibility of the government to run an investigation’’ (Dekker, 2011). 2.3. The foreseeability of harm According to Newton’s image of the universe, the future of any part of it can be predicted with absolute certainty if its state at any time was known in all details. </w:t>
      </w:r>
      <w:r w:rsidRPr="008D1F92">
        <w:rPr>
          <w:rStyle w:val="StyleUnderline"/>
        </w:rPr>
        <w:t>With enough knowledge of the initial conditions of the particles and the laws that govern their motion, all subsequent events can be foreseen. In other words, if somebody can be shown to have known (or should have known) the initial positions and momentum of the components constituting a system, as well as the forces acting on those components (which are not only external forces but also those determined by the positions of these and other particles), then this person could, in principle, have predicted the further evolution of the system with complete certainty and accuracy. If such knowledge is in principle attainable, then harmful outcomes are foreseeable too.</w:t>
      </w:r>
      <w:r w:rsidRPr="008D1F92">
        <w:rPr>
          <w:sz w:val="14"/>
        </w:rPr>
        <w:t xml:space="preserve"> Where people have a duty of care to apply such knowledge in the prediction of the effects of their interventions, it is consistent with the Newtonian model to ask how they failed to foresee the effects. Did they not know the laws governing their part of the universe (i.e. were they incompetent, unknowledgeable)? Did they fail to plot out the possible effects of their actions? Indeed</w:t>
      </w:r>
      <w:r w:rsidRPr="008D1F92">
        <w:rPr>
          <w:rStyle w:val="StyleUnderline"/>
        </w:rPr>
        <w:t xml:space="preserve">, legal rationality in the determination of negligence follows </w:t>
      </w:r>
      <w:r w:rsidRPr="008D1F92">
        <w:rPr>
          <w:sz w:val="14"/>
        </w:rPr>
        <w:t xml:space="preserve">this feature of the Newtonian model (p. 6): </w:t>
      </w:r>
      <w:proofErr w:type="gramStart"/>
      <w:r w:rsidRPr="008D1F92">
        <w:rPr>
          <w:sz w:val="14"/>
        </w:rPr>
        <w:t>‘‘</w:t>
      </w:r>
      <w:r w:rsidRPr="008D1F92">
        <w:rPr>
          <w:rStyle w:val="StyleUnderline"/>
        </w:rPr>
        <w:t>Where</w:t>
      </w:r>
      <w:proofErr w:type="gramEnd"/>
      <w:r w:rsidRPr="008D1F92">
        <w:rPr>
          <w:rStyle w:val="StyleUnderline"/>
        </w:rPr>
        <w:t xml:space="preserve"> there is a duty to exercise care, reasonable care must be taken to avoid acts or omissions which can reasonably be foreseen to be likely to cause harm. If, as a result of a failure to act in this reasonably skillful way, harm is caused, the person whose action caused the harm, is negligent</w:t>
      </w:r>
      <w:r w:rsidRPr="008D1F92">
        <w:rPr>
          <w:sz w:val="14"/>
        </w:rPr>
        <w:t xml:space="preserve">’’ (GAIN, 2004). In other words, </w:t>
      </w:r>
      <w:r w:rsidRPr="008D1F92">
        <w:rPr>
          <w:rStyle w:val="StyleUnderline"/>
        </w:rPr>
        <w:t>people can be construed as negligent if the person did not avoid actions that could be foreseen to lead to effects— effects that would have been predictable and thereby avoidable if the person had sunk more effort into understanding the starting conditions and the laws governing the subsequent motions</w:t>
      </w:r>
      <w:r w:rsidRPr="008D1F92">
        <w:rPr>
          <w:sz w:val="14"/>
        </w:rPr>
        <w:t xml:space="preserve"> of the elements in that Newtonian sub-universe. Most road traffic </w:t>
      </w:r>
      <w:r w:rsidRPr="008D1F92">
        <w:rPr>
          <w:rStyle w:val="StyleUnderline"/>
        </w:rPr>
        <w:t>legislation is based on this Newtonian commitment to foreseeability</w:t>
      </w:r>
      <w:r w:rsidRPr="008D1F92">
        <w:rPr>
          <w:sz w:val="14"/>
        </w:rPr>
        <w:t xml:space="preserve"> too. For example, a road traffic law in a typical Western country might specify how a motorist should adjust speed so as to be able stop the vehicle before colliding with some obstacle, at the same time remaining aware of the circumstances that could influence such selection of speed</w:t>
      </w:r>
      <w:r w:rsidRPr="008D1F92">
        <w:rPr>
          <w:rStyle w:val="StyleUnderline"/>
        </w:rPr>
        <w:t>. Both the foreseeability of all possible hindrances and the awareness of circumstances (initial conditions) critical for determining speed are steeped in Newtonian epistemology. Both are also heavily subject to outcome bias: if an accident suggests that an obstacle or particular circumstance was not foreseen, then speed was surely too high</w:t>
      </w:r>
      <w:r w:rsidRPr="008D1F92">
        <w:rPr>
          <w:sz w:val="14"/>
        </w:rPr>
        <w:t>. The system’s user, as a consequence, is always wrong (</w:t>
      </w:r>
      <w:proofErr w:type="spellStart"/>
      <w:r w:rsidRPr="008D1F92">
        <w:rPr>
          <w:sz w:val="14"/>
        </w:rPr>
        <w:t>Tingvall</w:t>
      </w:r>
      <w:proofErr w:type="spellEnd"/>
      <w:r w:rsidRPr="008D1F92">
        <w:rPr>
          <w:sz w:val="14"/>
        </w:rPr>
        <w:t xml:space="preserve"> and Lie, 2010). The </w:t>
      </w:r>
      <w:r w:rsidRPr="008D1F92">
        <w:rPr>
          <w:rStyle w:val="StyleUnderline"/>
        </w:rPr>
        <w:t>trajectory</w:t>
      </w:r>
      <w:r w:rsidRPr="008D1F92">
        <w:rPr>
          <w:sz w:val="14"/>
        </w:rPr>
        <w:t xml:space="preserve"> of a Newtonian system </w:t>
      </w:r>
      <w:r w:rsidRPr="008D1F92">
        <w:rPr>
          <w:rStyle w:val="StyleUnderline"/>
        </w:rPr>
        <w:t>is not only determined towards the future, but also towards the past</w:t>
      </w:r>
      <w:r w:rsidRPr="008D1F92">
        <w:rPr>
          <w:sz w:val="14"/>
        </w:rPr>
        <w:t>. Given its present state, we can in principle reverse the evolution to reconstruct any earlier state that it has gone through. Such assumptio</w:t>
      </w:r>
      <w:r w:rsidRPr="008D1F92">
        <w:rPr>
          <w:rStyle w:val="StyleUnderline"/>
        </w:rPr>
        <w:t>ns give accident investigators the confidence that an event sequence can be reconstructed by starting with the outcome and then tracing its causal chain back into time</w:t>
      </w:r>
      <w:r w:rsidRPr="008D1F92">
        <w:rPr>
          <w:sz w:val="14"/>
        </w:rPr>
        <w:t xml:space="preserve">. The notion of reconstruction reaffirms and instantiates Newtonian physics: </w:t>
      </w:r>
      <w:r w:rsidRPr="008D1F92">
        <w:rPr>
          <w:rStyle w:val="StyleUnderline"/>
        </w:rPr>
        <w:t>knowledge about past events is not original, but merely the result of uncovering a pre-existing order. The only thing between an investigator and a good reconstruction are the limits on the accuracy of the representation of what happened</w:t>
      </w:r>
      <w:r w:rsidRPr="008D1F92">
        <w:rPr>
          <w:sz w:val="14"/>
        </w:rPr>
        <w:t>. It follows that accuracy can be improved by ‘‘better’’ methods of investigation (</w:t>
      </w:r>
      <w:proofErr w:type="spellStart"/>
      <w:r w:rsidRPr="008D1F92">
        <w:rPr>
          <w:sz w:val="14"/>
        </w:rPr>
        <w:t>Shappell</w:t>
      </w:r>
      <w:proofErr w:type="spellEnd"/>
      <w:r w:rsidRPr="008D1F92">
        <w:rPr>
          <w:sz w:val="14"/>
        </w:rPr>
        <w:t xml:space="preserve"> and </w:t>
      </w:r>
      <w:proofErr w:type="spellStart"/>
      <w:r w:rsidRPr="008D1F92">
        <w:rPr>
          <w:sz w:val="14"/>
        </w:rPr>
        <w:t>Wiegmann</w:t>
      </w:r>
      <w:proofErr w:type="spellEnd"/>
      <w:r w:rsidRPr="008D1F92">
        <w:rPr>
          <w:sz w:val="14"/>
        </w:rPr>
        <w:t>, 2001).</w:t>
      </w:r>
      <w:r w:rsidRPr="008D1F92">
        <w:t xml:space="preserve"> </w:t>
      </w:r>
    </w:p>
    <w:p w:rsidR="00476717" w:rsidRPr="008D1F92" w:rsidRDefault="00476717" w:rsidP="00476717">
      <w:pPr>
        <w:pStyle w:val="Heading4"/>
      </w:pPr>
      <w:r w:rsidRPr="008D1F92">
        <w:t>Even if our scenarios are wrong, there is still necessary utility in attempting to plan policies for the future—only attempts to identify future problems allows us to solve preventable catastrophes</w:t>
      </w:r>
    </w:p>
    <w:p w:rsidR="00476717" w:rsidRPr="008D1F92" w:rsidRDefault="00476717" w:rsidP="00476717">
      <w:pPr>
        <w:pStyle w:val="Citation"/>
      </w:pPr>
      <w:r w:rsidRPr="008D1F92">
        <w:t>Garrett, Atlantic Council, 12</w:t>
      </w:r>
    </w:p>
    <w:p w:rsidR="00476717" w:rsidRPr="008D1F92" w:rsidRDefault="00476717" w:rsidP="00476717">
      <w:r w:rsidRPr="008D1F92">
        <w:t xml:space="preserve">(Banning, director of the Asia Program and Strategic Foresight Initiative at the Atlantic Council, 01-23-12, “In Search of Sand Piles and Butterflies,” da 7-20-15, </w:t>
      </w:r>
      <w:hyperlink r:id="rId7" w:history="1">
        <w:r w:rsidRPr="008D1F92">
          <w:rPr>
            <w:rStyle w:val="Hyperlink"/>
          </w:rPr>
          <w:t>http://www.atlanticcouncil.org/careers/blogs/futuresource/in-search-of-sand-piles-and-butterflies</w:t>
        </w:r>
      </w:hyperlink>
      <w:r w:rsidRPr="008D1F92">
        <w:t xml:space="preserve">, </w:t>
      </w:r>
      <w:proofErr w:type="spellStart"/>
      <w:r w:rsidRPr="008D1F92">
        <w:t>mee</w:t>
      </w:r>
      <w:proofErr w:type="spellEnd"/>
      <w:r w:rsidRPr="008D1F92">
        <w:t>)</w:t>
      </w:r>
    </w:p>
    <w:p w:rsidR="00476717" w:rsidRPr="008D1F92" w:rsidRDefault="00476717" w:rsidP="00476717"/>
    <w:p w:rsidR="00476717" w:rsidRPr="008D1F92" w:rsidRDefault="00476717" w:rsidP="00476717">
      <w:pPr>
        <w:rPr>
          <w:sz w:val="14"/>
        </w:rPr>
      </w:pPr>
      <w:r w:rsidRPr="008D1F92">
        <w:rPr>
          <w:sz w:val="14"/>
        </w:rPr>
        <w:t xml:space="preserve">“Disruptive change” that produces “strategic shocks” has become an increasing concern for policymakers, shaken by momentous events of the last couple of decades that were not on their radar screens – from the fall of the Berlin Wall and the 9/11 terrorist attacks to the 2008 financial crisis and the “Arab Spring.” These were all shocks to the international system, predictable perhaps in retrospect but predicted by very few experts or officials on the eve of their occurrence. This </w:t>
      </w:r>
      <w:r w:rsidRPr="008D1F92">
        <w:rPr>
          <w:rStyle w:val="StyleUnderline"/>
        </w:rPr>
        <w:t xml:space="preserve">“failure” to predict specific strategic shocks does not mean we should abandon efforts to foresee disruptive change or look at all possible shocks as equally plausible. Most strategic shocks do not “come out of the blue.” </w:t>
      </w:r>
      <w:r w:rsidRPr="008D1F92">
        <w:rPr>
          <w:rStyle w:val="BoldUnderlineChar"/>
          <w:rFonts w:eastAsia="Calibri"/>
        </w:rPr>
        <w:t>We can understand and project long-term global trends and foresee at least some of their potential effects, including potential shocks and disruptive change</w:t>
      </w:r>
      <w:r w:rsidRPr="008D1F92">
        <w:rPr>
          <w:sz w:val="14"/>
        </w:rPr>
        <w:t xml:space="preserve">. </w:t>
      </w:r>
      <w:r w:rsidRPr="008D1F92">
        <w:rPr>
          <w:rStyle w:val="BoldUnderlineChar"/>
          <w:rFonts w:eastAsia="Calibri"/>
        </w:rPr>
        <w:t>We can construct alternative futures scenarios to envision potential change</w:t>
      </w:r>
      <w:r w:rsidRPr="008D1F92">
        <w:rPr>
          <w:sz w:val="14"/>
        </w:rPr>
        <w:t xml:space="preserve">, including strategic shocks. </w:t>
      </w:r>
      <w:r w:rsidRPr="008D1F92">
        <w:rPr>
          <w:rStyle w:val="StyleUnderline"/>
        </w:rPr>
        <w:t xml:space="preserve">Based on trends and scenarios, we can take actions to avert possible undesirable outcomes or limit the damage should they occur. </w:t>
      </w:r>
      <w:r w:rsidRPr="008D1F92">
        <w:rPr>
          <w:rStyle w:val="BoldUnderlineChar"/>
          <w:rFonts w:eastAsia="Calibri"/>
        </w:rPr>
        <w:t>We can</w:t>
      </w:r>
      <w:r w:rsidRPr="008D1F92">
        <w:rPr>
          <w:rStyle w:val="StyleUnderline"/>
        </w:rPr>
        <w:t xml:space="preserve"> also </w:t>
      </w:r>
      <w:r w:rsidRPr="008D1F92">
        <w:rPr>
          <w:rStyle w:val="BoldUnderlineChar"/>
          <w:rFonts w:eastAsia="Calibri"/>
        </w:rPr>
        <w:t>identify</w:t>
      </w:r>
      <w:r w:rsidRPr="008D1F92">
        <w:rPr>
          <w:rStyle w:val="StyleUnderline"/>
        </w:rPr>
        <w:t xml:space="preserve"> potential opportunities or at least </w:t>
      </w:r>
      <w:r w:rsidRPr="008D1F92">
        <w:rPr>
          <w:rStyle w:val="BoldUnderlineChar"/>
          <w:rFonts w:eastAsia="Calibri"/>
        </w:rPr>
        <w:t>more desirable futures</w:t>
      </w:r>
      <w:r w:rsidRPr="008D1F92">
        <w:rPr>
          <w:rStyle w:val="StyleUnderline"/>
        </w:rPr>
        <w:t xml:space="preserve"> that we seek to seize </w:t>
      </w:r>
      <w:r w:rsidRPr="008D1F92">
        <w:rPr>
          <w:rStyle w:val="BoldUnderlineChar"/>
          <w:rFonts w:eastAsia="Calibri"/>
        </w:rPr>
        <w:t>through policy</w:t>
      </w:r>
      <w:r w:rsidRPr="008D1F92">
        <w:rPr>
          <w:rStyle w:val="StyleUnderline"/>
        </w:rPr>
        <w:t xml:space="preserve"> course corrections</w:t>
      </w:r>
      <w:r w:rsidRPr="008D1F92">
        <w:rPr>
          <w:sz w:val="14"/>
        </w:rPr>
        <w:t xml:space="preserve">. We should distinguish “strategic shocks” that are developments that could happen at any time and yet may never occur. </w:t>
      </w:r>
      <w:r w:rsidRPr="008D1F92">
        <w:rPr>
          <w:rStyle w:val="StyleUnderline"/>
        </w:rPr>
        <w:t>This would include such plausible possibilities as use of a nuclear device by terrorists or the emergence of an airborne human-to-human virus that could kill millions</w:t>
      </w:r>
      <w:r w:rsidRPr="008D1F92">
        <w:rPr>
          <w:sz w:val="14"/>
        </w:rPr>
        <w:t xml:space="preserve">. Such possible but not inevitable developments would not necessarily be the result of worsening long-term trends. Like possible terrorist attacks, </w:t>
      </w:r>
      <w:r w:rsidRPr="008D1F92">
        <w:rPr>
          <w:rStyle w:val="StyleUnderline"/>
        </w:rPr>
        <w:t>governments need to try to prepare for such possible catastrophes though they may never happen</w:t>
      </w:r>
      <w:r w:rsidRPr="008D1F92">
        <w:rPr>
          <w:sz w:val="14"/>
        </w:rPr>
        <w:t xml:space="preserve">. But there are other potential disruptive changes, including those that create strategic shocks to the international system, that can result from identifiable trends that make them more likely in the future—for example, growing demand for food, water, energy and other resources with supplies failing to keep pace. </w:t>
      </w:r>
      <w:r w:rsidRPr="008D1F92">
        <w:rPr>
          <w:rStyle w:val="StyleUnderline"/>
        </w:rPr>
        <w:t>We need to look for the “sand piles” that the trends are building and are subject to collapse at some point with an additional but indeterminable additional “grain of sand” and identify the potential for the sudden appearance of “butterflies” that might flap their wings and set off hurricanes</w:t>
      </w:r>
      <w:r w:rsidRPr="008D1F92">
        <w:rPr>
          <w:sz w:val="14"/>
        </w:rPr>
        <w:t xml:space="preserve">. Mohamed </w:t>
      </w:r>
      <w:proofErr w:type="spellStart"/>
      <w:r w:rsidRPr="008D1F92">
        <w:rPr>
          <w:sz w:val="14"/>
        </w:rPr>
        <w:t>Bouazizi</w:t>
      </w:r>
      <w:proofErr w:type="spellEnd"/>
      <w:r w:rsidRPr="008D1F92">
        <w:rPr>
          <w:sz w:val="14"/>
        </w:rPr>
        <w:t xml:space="preserve">, who immolated himself December 17, 2010 in </w:t>
      </w:r>
      <w:proofErr w:type="spellStart"/>
      <w:r w:rsidRPr="008D1F92">
        <w:rPr>
          <w:sz w:val="14"/>
        </w:rPr>
        <w:t>Sidi</w:t>
      </w:r>
      <w:proofErr w:type="spellEnd"/>
      <w:r w:rsidRPr="008D1F92">
        <w:rPr>
          <w:sz w:val="14"/>
        </w:rPr>
        <w:t xml:space="preserve"> </w:t>
      </w:r>
      <w:proofErr w:type="spellStart"/>
      <w:r w:rsidRPr="008D1F92">
        <w:rPr>
          <w:sz w:val="14"/>
        </w:rPr>
        <w:t>Bouzid</w:t>
      </w:r>
      <w:proofErr w:type="spellEnd"/>
      <w:r w:rsidRPr="008D1F92">
        <w:rPr>
          <w:sz w:val="14"/>
        </w:rPr>
        <w:t xml:space="preserve">, Tunisia, was the butterfly who flapped his wings and (with the “force multiplier” of social media) set off a hurricane that is still blowing throughout the Middle East. Perhaps the metaphors are mixed, but the butterfly’s delicate flapping destabilized the sand piles (of rising food prices, unemployed students, corrupt government, etc.) that had been building in Tunisia, Egypt, and much of the region. The result was a sudden collapse and disruptive change that has created a strategic shock that is still producing tremors throughout the region. But the collapse was due to cumulative effects of identifiable and converging trends. When and what form change will take may be difficult if not impossible to foresee, but </w:t>
      </w:r>
      <w:r w:rsidRPr="008D1F92">
        <w:rPr>
          <w:rStyle w:val="StyleUnderline"/>
        </w:rPr>
        <w:t>the likelihood of a tipping point being reached—that linear continuation of the present into the future is increasingly unlikely—can be foreseen. Foreseeing the direction of change and the likelihood of discontinuities, both sudden and protracted, is thus not beyond our capabilities. While efforts to understand and project long-term global trends cannot provide accurate predictions, for example, of the GDPs of China, India, and the United States in 2030, looking at economic and GDP growth trends, can provide insights into a wide range of possible outcomes. For example, it is a useful to assess the implications if the GDPs of these three countries each grew at currently projected average rates – even if one understands that there are many factors that can and likely will alter their trajectories.</w:t>
      </w:r>
      <w:r w:rsidRPr="008D1F92">
        <w:rPr>
          <w:sz w:val="14"/>
        </w:rPr>
        <w:t xml:space="preserve"> The projected growth trends of the three countries suggest that at some point in the next few decades, perhaps between 2015 and 2030, China’s GDP will surpass that of the United States. And by adding consideration of the economic impact of demographic trends (China’s aging and India’s youth bulge), there is a possibility that India will surpass both China and the US, perhaps by 2040 or 2050, to become the world’s largest economy. These </w:t>
      </w:r>
      <w:r w:rsidRPr="008D1F92">
        <w:rPr>
          <w:rStyle w:val="StyleUnderline"/>
        </w:rPr>
        <w:t>potential shifts of economic power from the United States to China then to India would likely prove strategically disruptive on a global scale. Although slowly developing, such disruptive change would likely have an even greater strategic impact than the Arab Spring</w:t>
      </w:r>
      <w:r w:rsidRPr="008D1F92">
        <w:rPr>
          <w:sz w:val="14"/>
        </w:rPr>
        <w:t xml:space="preserve">. The “rise” of China has already proved strategically disruptive, creating a potential China-United States regional rivalry in Asia two decades after Americans fretted about an emerging US conflict with a then-rising Japan challenging American economic supremacy. Despite uncertainty surrounding projections, </w:t>
      </w:r>
      <w:r w:rsidRPr="008D1F92">
        <w:rPr>
          <w:rStyle w:val="StyleUnderline"/>
        </w:rPr>
        <w:t>foreseeing the possibility (some would say high likelihood) that China and then India will replace the United States as the largest global economy has near-term policy implications for the US and Europe. The potential long-term shift in economic clout and concomitant shift in political power and strategic position away from the US and the West and toward the East has implications for near-term policy choices.</w:t>
      </w:r>
      <w:r w:rsidRPr="008D1F92">
        <w:rPr>
          <w:sz w:val="14"/>
        </w:rPr>
        <w:t xml:space="preserve"> </w:t>
      </w:r>
      <w:r w:rsidRPr="008D1F92">
        <w:rPr>
          <w:rStyle w:val="StyleUnderline"/>
        </w:rPr>
        <w:t>Policymakers could conclude, for example, that the West should make greater efforts to bring the emerging (or re-emerging) great powers into close consultation on the “rules of the game” and global governance as the West’s influence in shaping institutions and behavior is likely to significantly diminish over the next few decades</w:t>
      </w:r>
      <w:r w:rsidRPr="008D1F92">
        <w:rPr>
          <w:sz w:val="14"/>
        </w:rPr>
        <w:t xml:space="preserve">. </w:t>
      </w:r>
      <w:r w:rsidRPr="008D1F92">
        <w:rPr>
          <w:rStyle w:val="StyleUnderline"/>
        </w:rPr>
        <w:t>The alternative to finding such a near-term accommodation could be increasing mutual suspicions and hostility rather than trust and growing cooperation between rising and established powers</w:t>
      </w:r>
      <w:r w:rsidRPr="008D1F92">
        <w:rPr>
          <w:sz w:val="14"/>
        </w:rPr>
        <w:t>—especially between China and the United States—</w:t>
      </w:r>
      <w:r w:rsidRPr="008D1F92">
        <w:rPr>
          <w:rStyle w:val="StyleUnderline"/>
        </w:rPr>
        <w:t>leading to a fragmented, zero-sum world in which major global challenges like climate change and resource scarcities are not addressed and conflict over dwindling resources and markets intensifies and even bleeds into the military realm among the major actors.</w:t>
      </w:r>
      <w:r w:rsidRPr="008D1F92">
        <w:rPr>
          <w:sz w:val="14"/>
        </w:rPr>
        <w:t xml:space="preserve"> Neither of these scenarios may play out, of course. Other global trends suggest that sometime in the next several decades, the world could encounter a “hard ceiling” on resources availability and that climate change could throw the global economy into a tailspin, harming China and India even more than the United States. In this case, perhaps India and China would falter economically leading to internal instability and crises of governance, significantly reducing their rates of economic growth and their ability to project power and play a significant international role than might otherwise have been expected. But </w:t>
      </w:r>
      <w:r w:rsidRPr="008D1F92">
        <w:rPr>
          <w:rStyle w:val="StyleUnderline"/>
        </w:rPr>
        <w:t>this scenario has other implications for policymakers, including dangers posed to Western interests from “failure” of China and/or India, which could produce huge strategic shocks to the global system, including a prolonged economic downturn in the West as well as the East.</w:t>
      </w:r>
      <w:r w:rsidRPr="008D1F92">
        <w:rPr>
          <w:sz w:val="14"/>
        </w:rPr>
        <w:t xml:space="preserve"> Thus, </w:t>
      </w:r>
      <w:r w:rsidRPr="008D1F92">
        <w:rPr>
          <w:rStyle w:val="BoldUnderlineChar"/>
          <w:rFonts w:eastAsia="Calibri"/>
        </w:rPr>
        <w:t>looking at relatively slowly developing trends can provide foresight for necessary course corrections now to avert catastrophic disruptive change or prepare to be more resilient if foreseeable but unavoidable shocks occur.</w:t>
      </w:r>
      <w:r w:rsidRPr="008D1F92">
        <w:rPr>
          <w:sz w:val="14"/>
        </w:rPr>
        <w:t xml:space="preserve"> </w:t>
      </w:r>
      <w:r w:rsidRPr="008D1F92">
        <w:rPr>
          <w:rStyle w:val="StyleUnderline"/>
        </w:rPr>
        <w:t>Policymakers and the public will press for predictions and criticize government officials and intelligence agencies when momentous events “catch us by surprise.”</w:t>
      </w:r>
      <w:r w:rsidRPr="008D1F92">
        <w:rPr>
          <w:sz w:val="14"/>
        </w:rPr>
        <w:t xml:space="preserve"> But unfortunately, as both Yogi Berra and </w:t>
      </w:r>
      <w:proofErr w:type="spellStart"/>
      <w:r w:rsidRPr="008D1F92">
        <w:rPr>
          <w:sz w:val="14"/>
        </w:rPr>
        <w:t>Neils</w:t>
      </w:r>
      <w:proofErr w:type="spellEnd"/>
      <w:r w:rsidRPr="008D1F92">
        <w:rPr>
          <w:sz w:val="14"/>
        </w:rPr>
        <w:t xml:space="preserve"> Bohr are credited with saying, “prediction is very hard, especially about the future.” One can predict with great accuracy many natural events such as sunrise and the boiling point of water at sea level. We can rely on the infallible predictability of the laws of physics to build airplanes and automobiles and iPhones. And we can calculate with great precision the destruction footprint of a given nuclear weapon. Yet even physical systems like the weather as they become more complex, become increasingly difficult and even inherently impossible to predict with precision. With human behavior, specific predictions are not just hard, but impossible as uncertainty is inherent in the human universe. As futurist Paul </w:t>
      </w:r>
      <w:proofErr w:type="spellStart"/>
      <w:r w:rsidRPr="008D1F92">
        <w:rPr>
          <w:sz w:val="14"/>
        </w:rPr>
        <w:t>Saffo</w:t>
      </w:r>
      <w:proofErr w:type="spellEnd"/>
      <w:r w:rsidRPr="008D1F92">
        <w:rPr>
          <w:sz w:val="14"/>
        </w:rPr>
        <w:t xml:space="preserve"> wrote in the Harvard Business Review in 2007, “</w:t>
      </w:r>
      <w:proofErr w:type="gramStart"/>
      <w:r w:rsidRPr="008D1F92">
        <w:rPr>
          <w:sz w:val="14"/>
        </w:rPr>
        <w:t>prediction</w:t>
      </w:r>
      <w:proofErr w:type="gramEnd"/>
      <w:r w:rsidRPr="008D1F92">
        <w:rPr>
          <w:sz w:val="14"/>
        </w:rPr>
        <w:t xml:space="preserve"> is possible only in a world in which events are preordained and no amount of actions in the present can influence the future outcome.” One cannot know for certain what actions he or she will take in the future much less the actions of another person, a group of people or a nation state. This obvious point is made to dismiss any idea of trying to “predict” what will occur in the future with accuracy, especially the outcomes of the interplay of many complex factors, including the interaction of human and natural systems. More broadly, </w:t>
      </w:r>
      <w:r w:rsidRPr="008D1F92">
        <w:rPr>
          <w:rStyle w:val="StyleUnderline"/>
        </w:rPr>
        <w:t xml:space="preserve">the human future is not predetermined but rather depends on human choices at every turning point, cumulatively leading to different alternative outcomes. This uncertainty about the future also means the future is amenable to human choice and leadership. </w:t>
      </w:r>
      <w:r w:rsidRPr="008D1F92">
        <w:rPr>
          <w:rStyle w:val="BoldUnderlineChar"/>
          <w:rFonts w:eastAsia="Calibri"/>
        </w:rPr>
        <w:t>Trends analyses</w:t>
      </w:r>
      <w:r w:rsidRPr="008D1F92">
        <w:rPr>
          <w:rStyle w:val="StyleUnderline"/>
        </w:rPr>
        <w:t>—including foreseeing trends leading to disruptive change—</w:t>
      </w:r>
      <w:r w:rsidRPr="008D1F92">
        <w:rPr>
          <w:rStyle w:val="BoldUnderlineChar"/>
          <w:rFonts w:eastAsia="Calibri"/>
        </w:rPr>
        <w:t>are</w:t>
      </w:r>
      <w:r w:rsidRPr="008D1F92">
        <w:rPr>
          <w:rStyle w:val="StyleUnderline"/>
        </w:rPr>
        <w:t xml:space="preserve"> thus </w:t>
      </w:r>
      <w:r w:rsidRPr="008D1F92">
        <w:rPr>
          <w:rStyle w:val="BoldUnderlineChar"/>
          <w:rFonts w:eastAsia="Calibri"/>
        </w:rPr>
        <w:t>essential to provide</w:t>
      </w:r>
      <w:r w:rsidRPr="008D1F92">
        <w:rPr>
          <w:rStyle w:val="StyleUnderline"/>
        </w:rPr>
        <w:t xml:space="preserve"> individuals, organizations and </w:t>
      </w:r>
      <w:r w:rsidRPr="008D1F92">
        <w:rPr>
          <w:rStyle w:val="BoldUnderlineChar"/>
          <w:rFonts w:eastAsia="Calibri"/>
        </w:rPr>
        <w:t>political leaders with the strategic foresight to take steps mitigate the dangers ahead</w:t>
      </w:r>
      <w:r w:rsidRPr="008D1F92">
        <w:rPr>
          <w:rStyle w:val="StyleUnderline"/>
        </w:rPr>
        <w:t xml:space="preserve"> and seize the opportunities for shaping the human destiny</w:t>
      </w:r>
      <w:r w:rsidRPr="008D1F92">
        <w:rPr>
          <w:sz w:val="14"/>
        </w:rPr>
        <w:t xml:space="preserve">. Peter Schwartz nearly a decade ago characterized the convergence of trends and disruptive change as “inevitable surprises.” He wrote in Inevitable Surprises that “in the coming decades we face many more inevitable surprises: major discontinuities in the economic, political and social spheres of our world, each one changing the ‘rules of the game’ as </w:t>
      </w:r>
      <w:proofErr w:type="gramStart"/>
      <w:r w:rsidRPr="008D1F92">
        <w:rPr>
          <w:sz w:val="14"/>
        </w:rPr>
        <w:t>its</w:t>
      </w:r>
      <w:proofErr w:type="gramEnd"/>
      <w:r w:rsidRPr="008D1F92">
        <w:rPr>
          <w:sz w:val="14"/>
        </w:rPr>
        <w:t xml:space="preserve"> played today. If anything, there will be more, no fewer, surprises in the future, and they will all be interconnected. Together, they will lead us into a world, ten to fifteen years </w:t>
      </w:r>
      <w:proofErr w:type="gramStart"/>
      <w:r w:rsidRPr="008D1F92">
        <w:rPr>
          <w:sz w:val="14"/>
        </w:rPr>
        <w:t>hence, that</w:t>
      </w:r>
      <w:proofErr w:type="gramEnd"/>
      <w:r w:rsidRPr="008D1F92">
        <w:rPr>
          <w:sz w:val="14"/>
        </w:rPr>
        <w:t xml:space="preserve"> is fundamentally different from the one we know today. </w:t>
      </w:r>
      <w:r w:rsidRPr="008D1F92">
        <w:rPr>
          <w:rStyle w:val="StyleUnderline"/>
        </w:rPr>
        <w:t>Understanding these inevitable surprises in our future is critical for the decisions we have to make today</w:t>
      </w:r>
      <w:r w:rsidRPr="008D1F92">
        <w:rPr>
          <w:sz w:val="14"/>
        </w:rPr>
        <w:t xml:space="preserve"> …. </w:t>
      </w:r>
      <w:r w:rsidRPr="008D1F92">
        <w:rPr>
          <w:rStyle w:val="StyleUnderline"/>
        </w:rPr>
        <w:t>We may not be able to prevent catastrophe (although sometimes we can), but we can certainly increase our ability to respond, and our ability to see opportunities that we would otherwise miss</w:t>
      </w:r>
      <w:r w:rsidRPr="008D1F92">
        <w:rPr>
          <w:sz w:val="14"/>
        </w:rPr>
        <w:t xml:space="preserve">.” </w:t>
      </w:r>
    </w:p>
    <w:p w:rsidR="00476717" w:rsidRPr="008D1F92" w:rsidRDefault="00476717" w:rsidP="00476717">
      <w:pPr>
        <w:pStyle w:val="Heading2"/>
      </w:pPr>
      <w:r w:rsidRPr="008D1F92">
        <w:t>A2: Security</w:t>
      </w:r>
    </w:p>
    <w:p w:rsidR="00476717" w:rsidRPr="008D1F92" w:rsidRDefault="00476717" w:rsidP="00476717">
      <w:pPr>
        <w:pStyle w:val="Heading3"/>
      </w:pPr>
      <w:r w:rsidRPr="008D1F92">
        <w:t>Link Defense/A2: Discourse Matters</w:t>
      </w:r>
    </w:p>
    <w:p w:rsidR="00476717" w:rsidRPr="008D1F92" w:rsidRDefault="00476717" w:rsidP="00476717">
      <w:pPr>
        <w:pStyle w:val="Heading4"/>
        <w:rPr>
          <w:b w:val="0"/>
        </w:rPr>
      </w:pPr>
      <w:r w:rsidRPr="008D1F92">
        <w:t xml:space="preserve">No link – </w:t>
      </w:r>
      <w:proofErr w:type="spellStart"/>
      <w:r w:rsidRPr="008D1F92">
        <w:t>intersubjectivity</w:t>
      </w:r>
      <w:proofErr w:type="spellEnd"/>
      <w:r w:rsidRPr="008D1F92">
        <w:t xml:space="preserve"> means there’s no monolithic understanding of security and speech acts are never singular </w:t>
      </w:r>
      <w:r w:rsidRPr="008D1F92">
        <w:rPr>
          <w:b w:val="0"/>
        </w:rPr>
        <w:t>– that means dialogue solves our bad reps</w:t>
      </w:r>
    </w:p>
    <w:p w:rsidR="00476717" w:rsidRPr="008D1F92" w:rsidRDefault="00476717" w:rsidP="00476717">
      <w:r w:rsidRPr="008D1F92">
        <w:rPr>
          <w:rStyle w:val="Style13ptBold"/>
        </w:rPr>
        <w:t xml:space="preserve">Roe 12 </w:t>
      </w:r>
      <w:r w:rsidRPr="008D1F92">
        <w:t>{Paul, Associate Professor of International Relations and European Studies (Central European University), “Is Securitization a ‘Negative’ Concept? Revisiting the Normative Debate over Normal versus Extraordinary Politics,” Security Dialogue, 43.3, SAGE</w:t>
      </w:r>
      <w:r w:rsidRPr="008D1F92">
        <w:t>#THUR</w:t>
      </w:r>
      <w:r w:rsidRPr="008D1F92">
        <w:t>}</w:t>
      </w:r>
    </w:p>
    <w:p w:rsidR="00476717" w:rsidRPr="008D1F92" w:rsidRDefault="00476717" w:rsidP="00476717">
      <w:pPr>
        <w:rPr>
          <w:b/>
          <w:bCs/>
          <w:sz w:val="26"/>
        </w:rPr>
      </w:pPr>
    </w:p>
    <w:p w:rsidR="00476717" w:rsidRPr="008D1F92" w:rsidRDefault="00476717" w:rsidP="00476717">
      <w:pPr>
        <w:rPr>
          <w:rStyle w:val="StyleUnderline"/>
        </w:rPr>
      </w:pPr>
      <w:r w:rsidRPr="008D1F92">
        <w:rPr>
          <w:rStyle w:val="Emphasis"/>
        </w:rPr>
        <w:t xml:space="preserve">Is securitization always about silence and speed? </w:t>
      </w:r>
      <w:r w:rsidRPr="008D1F92">
        <w:rPr>
          <w:rStyle w:val="StyleUnderline"/>
        </w:rPr>
        <w:t>For</w:t>
      </w:r>
      <w:r w:rsidRPr="008D1F92">
        <w:rPr>
          <w:sz w:val="12"/>
        </w:rPr>
        <w:t xml:space="preserve"> the </w:t>
      </w:r>
      <w:r w:rsidRPr="008D1F92">
        <w:rPr>
          <w:rStyle w:val="StyleUnderline"/>
        </w:rPr>
        <w:t>Copenhagen</w:t>
      </w:r>
      <w:r w:rsidRPr="008D1F92">
        <w:rPr>
          <w:sz w:val="12"/>
        </w:rPr>
        <w:t xml:space="preserve"> School, </w:t>
      </w:r>
      <w:r w:rsidRPr="008D1F92">
        <w:rPr>
          <w:rStyle w:val="StyleUnderline"/>
        </w:rPr>
        <w:t>securitization represents a panic politics:</w:t>
      </w:r>
      <w:r w:rsidRPr="008D1F92">
        <w:rPr>
          <w:sz w:val="12"/>
        </w:rPr>
        <w:t xml:space="preserve"> we must do something now, as our very survival is at stake. In such a scenario, it is hardly surprising that </w:t>
      </w:r>
      <w:proofErr w:type="spellStart"/>
      <w:r w:rsidRPr="008D1F92">
        <w:rPr>
          <w:sz w:val="12"/>
        </w:rPr>
        <w:t>Aradau</w:t>
      </w:r>
      <w:proofErr w:type="spellEnd"/>
      <w:r w:rsidRPr="008D1F92">
        <w:rPr>
          <w:sz w:val="12"/>
        </w:rPr>
        <w:t xml:space="preserve"> and Huysmans both see the possibilities for debate and deliberation as being minimal: normal procedures must be circumvented, otherwise it might all be too late. The speed of </w:t>
      </w:r>
      <w:proofErr w:type="spellStart"/>
      <w:r w:rsidRPr="008D1F92">
        <w:rPr>
          <w:sz w:val="12"/>
        </w:rPr>
        <w:t>decisionmaking</w:t>
      </w:r>
      <w:proofErr w:type="spellEnd"/>
      <w:r w:rsidRPr="008D1F92">
        <w:rPr>
          <w:sz w:val="12"/>
        </w:rPr>
        <w:t xml:space="preserve"> and the accompanying silence on the part of those outside the relevant elite are made all the more salient by the so-called </w:t>
      </w:r>
      <w:proofErr w:type="spellStart"/>
      <w:r w:rsidRPr="008D1F92">
        <w:rPr>
          <w:sz w:val="12"/>
        </w:rPr>
        <w:t>internalist</w:t>
      </w:r>
      <w:proofErr w:type="spellEnd"/>
      <w:r w:rsidRPr="008D1F92">
        <w:rPr>
          <w:sz w:val="12"/>
        </w:rPr>
        <w:t xml:space="preserve"> (</w:t>
      </w:r>
      <w:proofErr w:type="spellStart"/>
      <w:r w:rsidRPr="008D1F92">
        <w:rPr>
          <w:sz w:val="12"/>
        </w:rPr>
        <w:t>Stritzel</w:t>
      </w:r>
      <w:proofErr w:type="spellEnd"/>
      <w:r w:rsidRPr="008D1F92">
        <w:rPr>
          <w:sz w:val="12"/>
        </w:rPr>
        <w:t>, 2007) or philosophical (</w:t>
      </w:r>
      <w:proofErr w:type="spellStart"/>
      <w:r w:rsidRPr="008D1F92">
        <w:rPr>
          <w:sz w:val="12"/>
        </w:rPr>
        <w:t>Balzacq</w:t>
      </w:r>
      <w:proofErr w:type="spellEnd"/>
      <w:r w:rsidRPr="008D1F92">
        <w:rPr>
          <w:sz w:val="12"/>
        </w:rPr>
        <w:t xml:space="preserve">, 2011) view of securitization, whereby the security speech act possesses its own performative power. The </w:t>
      </w:r>
      <w:proofErr w:type="spellStart"/>
      <w:r w:rsidRPr="008D1F92">
        <w:rPr>
          <w:sz w:val="12"/>
        </w:rPr>
        <w:t>internalist</w:t>
      </w:r>
      <w:proofErr w:type="spellEnd"/>
      <w:r w:rsidRPr="008D1F92">
        <w:rPr>
          <w:sz w:val="12"/>
        </w:rPr>
        <w:t xml:space="preserve"> reading is characteristic of </w:t>
      </w:r>
      <w:proofErr w:type="spellStart"/>
      <w:r w:rsidRPr="008D1F92">
        <w:rPr>
          <w:sz w:val="12"/>
        </w:rPr>
        <w:t>Wæver’s</w:t>
      </w:r>
      <w:proofErr w:type="spellEnd"/>
      <w:r w:rsidRPr="008D1F92">
        <w:rPr>
          <w:sz w:val="12"/>
        </w:rPr>
        <w:t xml:space="preserve"> (1995) earlier work on securitization and accords with the notion of performativity. Performativity corresponds to John L. Austin’s illocutionary act. Here, uttering security is more than just describing something: it is performing an action that creates new realities (</w:t>
      </w:r>
      <w:proofErr w:type="spellStart"/>
      <w:r w:rsidRPr="008D1F92">
        <w:rPr>
          <w:sz w:val="12"/>
        </w:rPr>
        <w:t>Balzacq</w:t>
      </w:r>
      <w:proofErr w:type="spellEnd"/>
      <w:r w:rsidRPr="008D1F92">
        <w:rPr>
          <w:sz w:val="12"/>
        </w:rPr>
        <w:t xml:space="preserve">, 2005: 177, 2011: 20; </w:t>
      </w:r>
      <w:proofErr w:type="spellStart"/>
      <w:r w:rsidRPr="008D1F92">
        <w:rPr>
          <w:sz w:val="12"/>
        </w:rPr>
        <w:t>Stritzel</w:t>
      </w:r>
      <w:proofErr w:type="spellEnd"/>
      <w:r w:rsidRPr="008D1F92">
        <w:rPr>
          <w:sz w:val="12"/>
        </w:rPr>
        <w:t xml:space="preserve">, 2007: 361). The security speech act thus has the power to enable emergency measures and to (re)order sociopolitical relations (friend/enemy, us/them). In other words, security is a self-referential practice. The </w:t>
      </w:r>
      <w:proofErr w:type="spellStart"/>
      <w:r w:rsidRPr="008D1F92">
        <w:rPr>
          <w:sz w:val="12"/>
        </w:rPr>
        <w:t>internalist</w:t>
      </w:r>
      <w:proofErr w:type="spellEnd"/>
      <w:r w:rsidRPr="008D1F92">
        <w:rPr>
          <w:sz w:val="12"/>
        </w:rPr>
        <w:t xml:space="preserve"> reading of securitization closely resembles the </w:t>
      </w:r>
      <w:proofErr w:type="spellStart"/>
      <w:r w:rsidRPr="008D1F92">
        <w:rPr>
          <w:sz w:val="12"/>
        </w:rPr>
        <w:t>Schmittian</w:t>
      </w:r>
      <w:proofErr w:type="spellEnd"/>
      <w:r w:rsidRPr="008D1F92">
        <w:rPr>
          <w:sz w:val="12"/>
        </w:rPr>
        <w:t xml:space="preserve"> conception of the political inasmuch as both are </w:t>
      </w:r>
      <w:proofErr w:type="spellStart"/>
      <w:r w:rsidRPr="008D1F92">
        <w:rPr>
          <w:sz w:val="12"/>
        </w:rPr>
        <w:t>decisionist</w:t>
      </w:r>
      <w:proofErr w:type="spellEnd"/>
      <w:r w:rsidRPr="008D1F92">
        <w:rPr>
          <w:sz w:val="12"/>
        </w:rPr>
        <w:t xml:space="preserve">: the securitizing actor, like Schmitt’s sovereign, defines what is exceptional. The silence that arguably marks the </w:t>
      </w:r>
      <w:proofErr w:type="spellStart"/>
      <w:r w:rsidRPr="008D1F92">
        <w:rPr>
          <w:sz w:val="12"/>
        </w:rPr>
        <w:t>internalist</w:t>
      </w:r>
      <w:proofErr w:type="spellEnd"/>
      <w:r w:rsidRPr="008D1F92">
        <w:rPr>
          <w:sz w:val="12"/>
        </w:rPr>
        <w:t xml:space="preserve"> reading therefore reflects the lack of oversight to which the securitizing actor is subject, while, with regard to speed, there is a distinct sense of automaticity in the moment when a political issue is rapidly transformed into a matter of security by virtue of its very utterance as such. </w:t>
      </w:r>
      <w:r w:rsidRPr="008D1F92">
        <w:rPr>
          <w:rStyle w:val="StyleUnderline"/>
        </w:rPr>
        <w:t xml:space="preserve">This is </w:t>
      </w:r>
      <w:r w:rsidRPr="008D1F92">
        <w:rPr>
          <w:rStyle w:val="Emphasis"/>
        </w:rPr>
        <w:t>problematized</w:t>
      </w:r>
      <w:r w:rsidRPr="008D1F92">
        <w:rPr>
          <w:rStyle w:val="StyleUnderline"/>
        </w:rPr>
        <w:t>,</w:t>
      </w:r>
      <w:r w:rsidRPr="008D1F92">
        <w:rPr>
          <w:sz w:val="12"/>
        </w:rPr>
        <w:t xml:space="preserve"> however, </w:t>
      </w:r>
      <w:r w:rsidRPr="008D1F92">
        <w:rPr>
          <w:rStyle w:val="StyleUnderline"/>
        </w:rPr>
        <w:t xml:space="preserve">by </w:t>
      </w:r>
      <w:r w:rsidRPr="008D1F92">
        <w:rPr>
          <w:sz w:val="12"/>
        </w:rPr>
        <w:t>the so-called externalist (</w:t>
      </w:r>
      <w:proofErr w:type="spellStart"/>
      <w:r w:rsidRPr="008D1F92">
        <w:rPr>
          <w:sz w:val="12"/>
        </w:rPr>
        <w:t>Stritzel</w:t>
      </w:r>
      <w:proofErr w:type="spellEnd"/>
      <w:r w:rsidRPr="008D1F92">
        <w:rPr>
          <w:sz w:val="12"/>
        </w:rPr>
        <w:t>, 2007) or sociological (</w:t>
      </w:r>
      <w:proofErr w:type="spellStart"/>
      <w:r w:rsidRPr="008D1F92">
        <w:rPr>
          <w:sz w:val="12"/>
        </w:rPr>
        <w:t>Balzacq</w:t>
      </w:r>
      <w:proofErr w:type="spellEnd"/>
      <w:r w:rsidRPr="008D1F92">
        <w:rPr>
          <w:sz w:val="12"/>
        </w:rPr>
        <w:t xml:space="preserve">, 2011) view, which emphasizes instead the </w:t>
      </w:r>
      <w:proofErr w:type="spellStart"/>
      <w:r w:rsidRPr="008D1F92">
        <w:rPr>
          <w:rStyle w:val="StyleUnderline"/>
        </w:rPr>
        <w:t>intersubjectivity</w:t>
      </w:r>
      <w:proofErr w:type="spellEnd"/>
      <w:r w:rsidRPr="008D1F92">
        <w:rPr>
          <w:sz w:val="12"/>
        </w:rPr>
        <w:t xml:space="preserve"> of the securitization process. </w:t>
      </w:r>
      <w:r w:rsidRPr="008D1F92">
        <w:rPr>
          <w:rStyle w:val="StyleUnderline"/>
        </w:rPr>
        <w:t xml:space="preserve">With the externalist reading, </w:t>
      </w:r>
      <w:r w:rsidRPr="008D1F92">
        <w:rPr>
          <w:sz w:val="12"/>
        </w:rPr>
        <w:t xml:space="preserve">the </w:t>
      </w:r>
      <w:r w:rsidRPr="008D1F92">
        <w:rPr>
          <w:rStyle w:val="StyleUnderline"/>
        </w:rPr>
        <w:t>authority</w:t>
      </w:r>
      <w:r w:rsidRPr="008D1F92">
        <w:rPr>
          <w:sz w:val="12"/>
        </w:rPr>
        <w:t xml:space="preserve"> to speak </w:t>
      </w:r>
      <w:r w:rsidRPr="008D1F92">
        <w:rPr>
          <w:rStyle w:val="StyleUnderline"/>
        </w:rPr>
        <w:t>and</w:t>
      </w:r>
      <w:r w:rsidRPr="008D1F92">
        <w:rPr>
          <w:sz w:val="12"/>
        </w:rPr>
        <w:t xml:space="preserve"> the</w:t>
      </w:r>
      <w:r w:rsidRPr="008D1F92">
        <w:rPr>
          <w:rStyle w:val="StyleUnderline"/>
        </w:rPr>
        <w:t xml:space="preserve"> power </w:t>
      </w:r>
      <w:r w:rsidRPr="008D1F92">
        <w:rPr>
          <w:sz w:val="12"/>
        </w:rPr>
        <w:t xml:space="preserve">of the speech act itself </w:t>
      </w:r>
      <w:r w:rsidRPr="008D1F92">
        <w:rPr>
          <w:rStyle w:val="StyleUnderline"/>
        </w:rPr>
        <w:t>are subject to the context</w:t>
      </w:r>
      <w:r w:rsidRPr="008D1F92">
        <w:rPr>
          <w:sz w:val="12"/>
        </w:rPr>
        <w:t xml:space="preserve"> in which security is uttered. Most importantly, </w:t>
      </w:r>
      <w:r w:rsidRPr="008D1F92">
        <w:rPr>
          <w:rStyle w:val="StyleUnderline"/>
        </w:rPr>
        <w:t>the framing of something as a security issue</w:t>
      </w:r>
      <w:r w:rsidRPr="008D1F92">
        <w:rPr>
          <w:sz w:val="12"/>
        </w:rPr>
        <w:t xml:space="preserve"> is not the sole preserve of the securitizing actor but </w:t>
      </w:r>
      <w:r w:rsidRPr="008D1F92">
        <w:rPr>
          <w:rStyle w:val="Emphasis"/>
        </w:rPr>
        <w:t>must also be accepted by a relevant audience</w:t>
      </w:r>
      <w:r w:rsidRPr="008D1F92">
        <w:rPr>
          <w:sz w:val="12"/>
        </w:rPr>
        <w:t xml:space="preserve">. As </w:t>
      </w:r>
      <w:proofErr w:type="spellStart"/>
      <w:r w:rsidRPr="008D1F92">
        <w:rPr>
          <w:sz w:val="12"/>
        </w:rPr>
        <w:t>Buzan</w:t>
      </w:r>
      <w:proofErr w:type="spellEnd"/>
      <w:r w:rsidRPr="008D1F92">
        <w:rPr>
          <w:sz w:val="12"/>
        </w:rPr>
        <w:t xml:space="preserve"> et al. (1998: 25) make clear, presenting something as an existential threat is merely a ‘securitizing move’, as ‘the issue is [successfully] securitized only if and when the audience accepts it as such’. </w:t>
      </w:r>
      <w:r w:rsidRPr="008D1F92">
        <w:rPr>
          <w:rStyle w:val="StyleUnderline"/>
        </w:rPr>
        <w:t xml:space="preserve">Accordingly, with its emphasis on the intersubjective establishment </w:t>
      </w:r>
      <w:r w:rsidRPr="008D1F92">
        <w:rPr>
          <w:sz w:val="12"/>
        </w:rPr>
        <w:t>of threat,</w:t>
      </w:r>
      <w:r w:rsidRPr="008D1F92">
        <w:rPr>
          <w:rStyle w:val="StyleUnderline"/>
        </w:rPr>
        <w:t xml:space="preserve"> the externalist rendering </w:t>
      </w:r>
      <w:r w:rsidRPr="008D1F92">
        <w:rPr>
          <w:sz w:val="12"/>
        </w:rPr>
        <w:t>of securitization</w:t>
      </w:r>
      <w:r w:rsidRPr="008D1F92">
        <w:rPr>
          <w:rStyle w:val="StyleUnderline"/>
        </w:rPr>
        <w:t xml:space="preserve"> </w:t>
      </w:r>
      <w:r w:rsidRPr="008D1F92">
        <w:rPr>
          <w:rStyle w:val="Emphasis"/>
        </w:rPr>
        <w:t>makes problematic</w:t>
      </w:r>
      <w:r w:rsidRPr="008D1F92">
        <w:rPr>
          <w:rStyle w:val="StyleUnderline"/>
        </w:rPr>
        <w:t xml:space="preserve"> </w:t>
      </w:r>
      <w:proofErr w:type="spellStart"/>
      <w:r w:rsidRPr="008D1F92">
        <w:rPr>
          <w:rStyle w:val="StyleUnderline"/>
        </w:rPr>
        <w:t>Wæver’s</w:t>
      </w:r>
      <w:proofErr w:type="spellEnd"/>
      <w:r w:rsidRPr="008D1F92">
        <w:rPr>
          <w:rStyle w:val="StyleUnderline"/>
        </w:rPr>
        <w:t xml:space="preserve"> </w:t>
      </w:r>
      <w:r w:rsidRPr="008D1F92">
        <w:rPr>
          <w:sz w:val="12"/>
        </w:rPr>
        <w:t>earlier</w:t>
      </w:r>
      <w:r w:rsidRPr="008D1F92">
        <w:rPr>
          <w:rStyle w:val="StyleUnderline"/>
        </w:rPr>
        <w:t xml:space="preserve"> assertion of security as a self-referential practice. </w:t>
      </w:r>
      <w:r w:rsidRPr="008D1F92">
        <w:rPr>
          <w:sz w:val="12"/>
        </w:rPr>
        <w:t xml:space="preserve">And </w:t>
      </w:r>
      <w:r w:rsidRPr="008D1F92">
        <w:rPr>
          <w:rStyle w:val="StyleUnderline"/>
        </w:rPr>
        <w:t>this conceptual tension is reflected in the specific debate over the nature of the speech act itself.</w:t>
      </w:r>
      <w:r w:rsidRPr="008D1F92">
        <w:rPr>
          <w:sz w:val="12"/>
        </w:rPr>
        <w:t xml:space="preserve"> For both Thierry </w:t>
      </w:r>
      <w:proofErr w:type="spellStart"/>
      <w:r w:rsidRPr="008D1F92">
        <w:rPr>
          <w:sz w:val="12"/>
        </w:rPr>
        <w:t>Balzacq</w:t>
      </w:r>
      <w:proofErr w:type="spellEnd"/>
      <w:r w:rsidRPr="008D1F92">
        <w:rPr>
          <w:sz w:val="12"/>
        </w:rPr>
        <w:t xml:space="preserve"> and Holger </w:t>
      </w:r>
      <w:proofErr w:type="spellStart"/>
      <w:r w:rsidRPr="008D1F92">
        <w:rPr>
          <w:sz w:val="12"/>
        </w:rPr>
        <w:t>Stritzel</w:t>
      </w:r>
      <w:proofErr w:type="spellEnd"/>
      <w:r w:rsidRPr="008D1F92">
        <w:rPr>
          <w:sz w:val="12"/>
        </w:rPr>
        <w:t xml:space="preserve">, </w:t>
      </w:r>
      <w:proofErr w:type="spellStart"/>
      <w:r w:rsidRPr="008D1F92">
        <w:rPr>
          <w:sz w:val="12"/>
        </w:rPr>
        <w:t>Wæver</w:t>
      </w:r>
      <w:proofErr w:type="spellEnd"/>
      <w:r w:rsidRPr="008D1F92">
        <w:rPr>
          <w:sz w:val="12"/>
        </w:rPr>
        <w:t xml:space="preserve">/the Copenhagen School thus present securitization as both an illocutionary act and a </w:t>
      </w:r>
      <w:proofErr w:type="spellStart"/>
      <w:r w:rsidRPr="008D1F92">
        <w:rPr>
          <w:sz w:val="12"/>
        </w:rPr>
        <w:t>perlocutionary</w:t>
      </w:r>
      <w:proofErr w:type="spellEnd"/>
      <w:r w:rsidRPr="008D1F92">
        <w:rPr>
          <w:sz w:val="12"/>
        </w:rPr>
        <w:t xml:space="preserve"> act – that is, they discuss what is done in saying security, as well as what is done by saying security. </w:t>
      </w:r>
      <w:proofErr w:type="spellStart"/>
      <w:r w:rsidRPr="008D1F92">
        <w:rPr>
          <w:sz w:val="12"/>
        </w:rPr>
        <w:t>Perlocutionary</w:t>
      </w:r>
      <w:proofErr w:type="spellEnd"/>
      <w:r w:rsidRPr="008D1F92">
        <w:rPr>
          <w:sz w:val="12"/>
        </w:rPr>
        <w:t xml:space="preserve"> acts are external to the performative aspect of the speech act and thereby correspond not to the utterance itself but to its effects: did the securitizing actor manage to convince the relevant audience. </w:t>
      </w:r>
      <w:proofErr w:type="spellStart"/>
      <w:r w:rsidRPr="008D1F92">
        <w:rPr>
          <w:sz w:val="12"/>
        </w:rPr>
        <w:t>Balzacq</w:t>
      </w:r>
      <w:proofErr w:type="spellEnd"/>
      <w:r w:rsidRPr="008D1F92">
        <w:rPr>
          <w:sz w:val="12"/>
        </w:rPr>
        <w:t xml:space="preserve"> (2005: 177–8) sums up the situation thus: either we argue that securitization is a self-referential practice, in which case we forsake </w:t>
      </w:r>
      <w:proofErr w:type="spellStart"/>
      <w:r w:rsidRPr="008D1F92">
        <w:rPr>
          <w:sz w:val="12"/>
        </w:rPr>
        <w:t>perlocution</w:t>
      </w:r>
      <w:proofErr w:type="spellEnd"/>
      <w:r w:rsidRPr="008D1F92">
        <w:rPr>
          <w:sz w:val="12"/>
        </w:rPr>
        <w:t xml:space="preserve"> with the related acquiescence of the audience … or we hold fast to the creed that using the conception of security also produces a </w:t>
      </w:r>
      <w:proofErr w:type="spellStart"/>
      <w:r w:rsidRPr="008D1F92">
        <w:rPr>
          <w:sz w:val="12"/>
        </w:rPr>
        <w:t>perlocutionary</w:t>
      </w:r>
      <w:proofErr w:type="spellEnd"/>
      <w:r w:rsidRPr="008D1F92">
        <w:rPr>
          <w:sz w:val="12"/>
        </w:rPr>
        <w:t xml:space="preserve"> effect, in which case we abandon self-</w:t>
      </w:r>
      <w:proofErr w:type="spellStart"/>
      <w:r w:rsidRPr="008D1F92">
        <w:rPr>
          <w:sz w:val="12"/>
        </w:rPr>
        <w:t>referentiality</w:t>
      </w:r>
      <w:proofErr w:type="spellEnd"/>
      <w:r w:rsidRPr="008D1F92">
        <w:rPr>
          <w:sz w:val="12"/>
        </w:rPr>
        <w:t>. He goes on: I suspect instead that the CS [Copenhagen School] leans towards the first option…. [A]</w:t>
      </w:r>
      <w:proofErr w:type="spellStart"/>
      <w:r w:rsidRPr="008D1F92">
        <w:rPr>
          <w:sz w:val="12"/>
        </w:rPr>
        <w:t>lthough</w:t>
      </w:r>
      <w:proofErr w:type="spellEnd"/>
      <w:r w:rsidRPr="008D1F92">
        <w:rPr>
          <w:sz w:val="12"/>
        </w:rPr>
        <w:t xml:space="preserve"> the CS appeals to an audience, its framework ignores the audience, which suggests that the CS opts for an illocutionary view of security yielding a ‘magical efficiency’ rather than a fully-fledged model encompassing </w:t>
      </w:r>
      <w:proofErr w:type="spellStart"/>
      <w:r w:rsidRPr="008D1F92">
        <w:rPr>
          <w:sz w:val="12"/>
        </w:rPr>
        <w:t>perlocution</w:t>
      </w:r>
      <w:proofErr w:type="spellEnd"/>
      <w:r w:rsidRPr="008D1F92">
        <w:rPr>
          <w:sz w:val="12"/>
        </w:rPr>
        <w:t xml:space="preserve"> as well (</w:t>
      </w:r>
      <w:proofErr w:type="spellStart"/>
      <w:r w:rsidRPr="008D1F92">
        <w:rPr>
          <w:sz w:val="12"/>
        </w:rPr>
        <w:t>Balzacq</w:t>
      </w:r>
      <w:proofErr w:type="spellEnd"/>
      <w:r w:rsidRPr="008D1F92">
        <w:rPr>
          <w:sz w:val="12"/>
        </w:rPr>
        <w:t xml:space="preserve">, 2005: 177–8).9 It is indeed the case that the </w:t>
      </w:r>
      <w:r w:rsidRPr="008D1F92">
        <w:rPr>
          <w:rStyle w:val="StyleUnderline"/>
        </w:rPr>
        <w:t>Copenhagen</w:t>
      </w:r>
      <w:r w:rsidRPr="008D1F92">
        <w:rPr>
          <w:sz w:val="12"/>
        </w:rPr>
        <w:t xml:space="preserve"> School </w:t>
      </w:r>
      <w:r w:rsidRPr="008D1F92">
        <w:rPr>
          <w:rStyle w:val="StyleUnderline"/>
        </w:rPr>
        <w:t xml:space="preserve">has </w:t>
      </w:r>
      <w:proofErr w:type="spellStart"/>
      <w:r w:rsidRPr="008D1F92">
        <w:rPr>
          <w:rStyle w:val="Emphasis"/>
        </w:rPr>
        <w:t>underconceptualized</w:t>
      </w:r>
      <w:proofErr w:type="spellEnd"/>
      <w:r w:rsidRPr="008D1F92">
        <w:rPr>
          <w:rStyle w:val="StyleUnderline"/>
        </w:rPr>
        <w:t xml:space="preserve"> the role of the audience</w:t>
      </w:r>
      <w:r w:rsidRPr="008D1F92">
        <w:rPr>
          <w:sz w:val="12"/>
        </w:rPr>
        <w:t xml:space="preserve">.10 This is </w:t>
      </w:r>
      <w:r w:rsidRPr="008D1F92">
        <w:rPr>
          <w:rStyle w:val="StyleUnderline"/>
        </w:rPr>
        <w:t xml:space="preserve">something of which </w:t>
      </w:r>
      <w:proofErr w:type="spellStart"/>
      <w:r w:rsidRPr="008D1F92">
        <w:rPr>
          <w:rStyle w:val="StyleUnderline"/>
        </w:rPr>
        <w:t>Wæver</w:t>
      </w:r>
      <w:proofErr w:type="spellEnd"/>
      <w:r w:rsidRPr="008D1F92">
        <w:rPr>
          <w:sz w:val="12"/>
        </w:rPr>
        <w:t xml:space="preserve"> (2003) himself </w:t>
      </w:r>
      <w:r w:rsidRPr="008D1F92">
        <w:rPr>
          <w:rStyle w:val="StyleUnderline"/>
        </w:rPr>
        <w:t xml:space="preserve">is </w:t>
      </w:r>
      <w:r w:rsidRPr="008D1F92">
        <w:rPr>
          <w:rStyle w:val="Emphasis"/>
        </w:rPr>
        <w:t>well aware</w:t>
      </w:r>
      <w:r w:rsidRPr="008D1F92">
        <w:rPr>
          <w:sz w:val="12"/>
        </w:rPr>
        <w:t xml:space="preserve">. But, it is debatable whether the Copenhagen School </w:t>
      </w:r>
      <w:proofErr w:type="spellStart"/>
      <w:r w:rsidRPr="008D1F92">
        <w:rPr>
          <w:sz w:val="12"/>
        </w:rPr>
        <w:t>favours</w:t>
      </w:r>
      <w:proofErr w:type="spellEnd"/>
      <w:r w:rsidRPr="008D1F92">
        <w:rPr>
          <w:sz w:val="12"/>
        </w:rPr>
        <w:t xml:space="preserve"> an </w:t>
      </w:r>
      <w:proofErr w:type="spellStart"/>
      <w:r w:rsidRPr="008D1F92">
        <w:rPr>
          <w:sz w:val="12"/>
        </w:rPr>
        <w:t>internalist</w:t>
      </w:r>
      <w:proofErr w:type="spellEnd"/>
      <w:r w:rsidRPr="008D1F92">
        <w:rPr>
          <w:sz w:val="12"/>
        </w:rPr>
        <w:t xml:space="preserve"> reading of the securitization concept. Although </w:t>
      </w:r>
      <w:proofErr w:type="spellStart"/>
      <w:r w:rsidRPr="008D1F92">
        <w:rPr>
          <w:sz w:val="12"/>
        </w:rPr>
        <w:t>Wæver</w:t>
      </w:r>
      <w:proofErr w:type="spellEnd"/>
      <w:r w:rsidRPr="008D1F92">
        <w:rPr>
          <w:sz w:val="12"/>
        </w:rPr>
        <w:t xml:space="preserve"> is keen to stress the importance of the ‘moment’ of the speech act, and thus retain its illocutionary force, he nevertheless also leans towards the importance of the relationship between securitizing actor and audience. </w:t>
      </w:r>
      <w:proofErr w:type="spellStart"/>
      <w:r w:rsidRPr="008D1F92">
        <w:rPr>
          <w:sz w:val="12"/>
        </w:rPr>
        <w:t>Wæver</w:t>
      </w:r>
      <w:proofErr w:type="spellEnd"/>
      <w:r w:rsidRPr="008D1F92">
        <w:rPr>
          <w:sz w:val="12"/>
        </w:rPr>
        <w:t xml:space="preserve"> warns of viewing securitization as a ‘unilateral performance’ – that undertaken only by the sovereign – and thus its equivalence to a ‘</w:t>
      </w:r>
      <w:proofErr w:type="spellStart"/>
      <w:r w:rsidRPr="008D1F92">
        <w:rPr>
          <w:sz w:val="12"/>
        </w:rPr>
        <w:t>Schmittian</w:t>
      </w:r>
      <w:proofErr w:type="spellEnd"/>
      <w:r w:rsidRPr="008D1F92">
        <w:rPr>
          <w:sz w:val="12"/>
        </w:rPr>
        <w:t xml:space="preserve"> anti-democratic </w:t>
      </w:r>
      <w:proofErr w:type="spellStart"/>
      <w:r w:rsidRPr="008D1F92">
        <w:rPr>
          <w:sz w:val="12"/>
        </w:rPr>
        <w:t>decisionism</w:t>
      </w:r>
      <w:proofErr w:type="spellEnd"/>
      <w:r w:rsidRPr="008D1F92">
        <w:rPr>
          <w:sz w:val="12"/>
        </w:rPr>
        <w:t xml:space="preserve">’. Rather: We [members of the Copenhagen School] preserve the event-ness of the speech act and the performative moment, but locate it in-between the actors…. This might look like </w:t>
      </w:r>
      <w:proofErr w:type="spellStart"/>
      <w:r w:rsidRPr="008D1F92">
        <w:rPr>
          <w:sz w:val="12"/>
        </w:rPr>
        <w:t>perlocution</w:t>
      </w:r>
      <w:proofErr w:type="spellEnd"/>
      <w:r w:rsidRPr="008D1F92">
        <w:rPr>
          <w:sz w:val="12"/>
        </w:rPr>
        <w:t xml:space="preserve"> because it includes something after the speaker’s first action, but if the speech act is viewed as a larger whole including audience, it is more appropriate to see securitization as what is done in the (collective) act, rather than dissolving the move into one component of a larger complex social explanation of processes (</w:t>
      </w:r>
      <w:proofErr w:type="spellStart"/>
      <w:r w:rsidRPr="008D1F92">
        <w:rPr>
          <w:sz w:val="12"/>
        </w:rPr>
        <w:t>Wæver</w:t>
      </w:r>
      <w:proofErr w:type="spellEnd"/>
      <w:r w:rsidRPr="008D1F92">
        <w:rPr>
          <w:sz w:val="12"/>
        </w:rPr>
        <w:t xml:space="preserve">, 2007: 4). </w:t>
      </w:r>
      <w:r w:rsidRPr="008D1F92">
        <w:rPr>
          <w:rStyle w:val="StyleUnderline"/>
        </w:rPr>
        <w:t>The important point</w:t>
      </w:r>
      <w:r w:rsidRPr="008D1F92">
        <w:rPr>
          <w:sz w:val="12"/>
        </w:rPr>
        <w:t xml:space="preserve"> here </w:t>
      </w:r>
      <w:r w:rsidRPr="008D1F92">
        <w:rPr>
          <w:rStyle w:val="StyleUnderline"/>
        </w:rPr>
        <w:t xml:space="preserve">is how the security speech act moves away from a </w:t>
      </w:r>
      <w:proofErr w:type="spellStart"/>
      <w:r w:rsidRPr="008D1F92">
        <w:rPr>
          <w:rStyle w:val="StyleUnderline"/>
        </w:rPr>
        <w:t>Schmittian</w:t>
      </w:r>
      <w:proofErr w:type="spellEnd"/>
      <w:r w:rsidRPr="008D1F92">
        <w:rPr>
          <w:rStyle w:val="StyleUnderline"/>
        </w:rPr>
        <w:t xml:space="preserve"> to an </w:t>
      </w:r>
      <w:proofErr w:type="spellStart"/>
      <w:r w:rsidRPr="008D1F92">
        <w:rPr>
          <w:rStyle w:val="StyleUnderline"/>
        </w:rPr>
        <w:t>Arendtian</w:t>
      </w:r>
      <w:proofErr w:type="spellEnd"/>
      <w:r w:rsidRPr="008D1F92">
        <w:rPr>
          <w:rStyle w:val="StyleUnderline"/>
        </w:rPr>
        <w:t xml:space="preserve"> conception of politics, ‘because the theory places power in-between humans</w:t>
      </w:r>
      <w:r w:rsidRPr="008D1F92">
        <w:rPr>
          <w:sz w:val="12"/>
        </w:rPr>
        <w:t xml:space="preserve"> … and insists on </w:t>
      </w:r>
      <w:proofErr w:type="spellStart"/>
      <w:r w:rsidRPr="008D1F92">
        <w:rPr>
          <w:sz w:val="12"/>
        </w:rPr>
        <w:t>securityness</w:t>
      </w:r>
      <w:proofErr w:type="spellEnd"/>
      <w:r w:rsidRPr="008D1F92">
        <w:rPr>
          <w:sz w:val="12"/>
        </w:rPr>
        <w:t xml:space="preserve"> being a quality not of threats but of their handling, that is, the theory places power not with “things” external to a community but internal to it’ (</w:t>
      </w:r>
      <w:proofErr w:type="spellStart"/>
      <w:r w:rsidRPr="008D1F92">
        <w:rPr>
          <w:sz w:val="12"/>
        </w:rPr>
        <w:t>Wæver</w:t>
      </w:r>
      <w:proofErr w:type="spellEnd"/>
      <w:r w:rsidRPr="008D1F92">
        <w:rPr>
          <w:sz w:val="12"/>
        </w:rPr>
        <w:t>, 2011: 468</w:t>
      </w:r>
      <w:r w:rsidRPr="008D1F92">
        <w:rPr>
          <w:rStyle w:val="StyleUnderline"/>
        </w:rPr>
        <w:t xml:space="preserve">). For </w:t>
      </w:r>
      <w:proofErr w:type="spellStart"/>
      <w:r w:rsidRPr="008D1F92">
        <w:rPr>
          <w:rStyle w:val="StyleUnderline"/>
        </w:rPr>
        <w:t>Wæver</w:t>
      </w:r>
      <w:proofErr w:type="spellEnd"/>
      <w:r w:rsidRPr="008D1F92">
        <w:rPr>
          <w:rStyle w:val="StyleUnderline"/>
        </w:rPr>
        <w:t xml:space="preserve">, securitization thus takes place in a context where there is space for open politics: actors and audiences together agree as to what constitutes security and what does not. </w:t>
      </w:r>
      <w:r w:rsidRPr="008D1F92">
        <w:rPr>
          <w:sz w:val="12"/>
        </w:rPr>
        <w:t xml:space="preserve">This is not to say that agreement is necessarily reached on an equal basis, as actors often possess, and indeed employ, the resources to cajole and bully audiences into acquiescing to their depiction of events. But, </w:t>
      </w:r>
      <w:r w:rsidRPr="008D1F92">
        <w:rPr>
          <w:rStyle w:val="StyleUnderline"/>
        </w:rPr>
        <w:t xml:space="preserve">it is to say that </w:t>
      </w:r>
      <w:r w:rsidRPr="008D1F92">
        <w:rPr>
          <w:rStyle w:val="Emphasis"/>
        </w:rPr>
        <w:t>some kind of agreement is nevertheless required</w:t>
      </w:r>
      <w:r w:rsidRPr="008D1F92">
        <w:rPr>
          <w:rStyle w:val="StyleUnderline"/>
        </w:rPr>
        <w:t xml:space="preserve">. Indeed, the potential for securitization to avoid its </w:t>
      </w:r>
      <w:proofErr w:type="spellStart"/>
      <w:r w:rsidRPr="008D1F92">
        <w:rPr>
          <w:rStyle w:val="StyleUnderline"/>
        </w:rPr>
        <w:t>Schmittian</w:t>
      </w:r>
      <w:proofErr w:type="spellEnd"/>
      <w:r w:rsidRPr="008D1F92">
        <w:rPr>
          <w:rStyle w:val="StyleUnderline"/>
        </w:rPr>
        <w:t xml:space="preserve"> connotations</w:t>
      </w:r>
      <w:r w:rsidRPr="008D1F92">
        <w:rPr>
          <w:sz w:val="12"/>
        </w:rPr>
        <w:t xml:space="preserve"> in this way </w:t>
      </w:r>
      <w:r w:rsidRPr="008D1F92">
        <w:rPr>
          <w:rStyle w:val="Emphasis"/>
        </w:rPr>
        <w:t>is also recognized</w:t>
      </w:r>
      <w:r w:rsidRPr="008D1F92">
        <w:rPr>
          <w:sz w:val="12"/>
        </w:rPr>
        <w:t xml:space="preserve"> by Williams. For Williams, </w:t>
      </w:r>
      <w:r w:rsidRPr="008D1F92">
        <w:rPr>
          <w:rStyle w:val="StyleUnderline"/>
        </w:rPr>
        <w:t xml:space="preserve">the </w:t>
      </w:r>
      <w:r w:rsidRPr="008D1F92">
        <w:rPr>
          <w:rStyle w:val="Emphasis"/>
        </w:rPr>
        <w:t>importance of the audience</w:t>
      </w:r>
      <w:r w:rsidRPr="008D1F92">
        <w:rPr>
          <w:rStyle w:val="StyleUnderline"/>
        </w:rPr>
        <w:t xml:space="preserve"> relates to a ‘discursive ethics’ that goes against the </w:t>
      </w:r>
      <w:proofErr w:type="spellStart"/>
      <w:r w:rsidRPr="008D1F92">
        <w:rPr>
          <w:rStyle w:val="StyleUnderline"/>
        </w:rPr>
        <w:t>decisionist</w:t>
      </w:r>
      <w:proofErr w:type="spellEnd"/>
      <w:r w:rsidRPr="008D1F92">
        <w:rPr>
          <w:rStyle w:val="StyleUnderline"/>
        </w:rPr>
        <w:t xml:space="preserve"> account of securitization. The</w:t>
      </w:r>
      <w:r w:rsidRPr="008D1F92">
        <w:rPr>
          <w:sz w:val="12"/>
        </w:rPr>
        <w:t xml:space="preserve"> security </w:t>
      </w:r>
      <w:r w:rsidRPr="008D1F92">
        <w:rPr>
          <w:rStyle w:val="StyleUnderline"/>
        </w:rPr>
        <w:t xml:space="preserve">speech act entails the </w:t>
      </w:r>
      <w:r w:rsidRPr="008D1F92">
        <w:rPr>
          <w:rStyle w:val="Emphasis"/>
        </w:rPr>
        <w:t xml:space="preserve">possibility of dialogue and thereby </w:t>
      </w:r>
      <w:r w:rsidRPr="008D1F92">
        <w:rPr>
          <w:rStyle w:val="Emphasis"/>
          <w:sz w:val="28"/>
        </w:rPr>
        <w:t>also the potential for the transformation of security</w:t>
      </w:r>
      <w:r w:rsidRPr="008D1F92">
        <w:rPr>
          <w:sz w:val="16"/>
        </w:rPr>
        <w:t xml:space="preserve"> </w:t>
      </w:r>
      <w:r w:rsidRPr="008D1F92">
        <w:rPr>
          <w:sz w:val="12"/>
        </w:rPr>
        <w:t xml:space="preserve">(Williams, 2003: 522–3). </w:t>
      </w:r>
      <w:r w:rsidRPr="008D1F92">
        <w:rPr>
          <w:rStyle w:val="StyleUnderline"/>
        </w:rPr>
        <w:t>And although Williams</w:t>
      </w:r>
      <w:r w:rsidRPr="008D1F92">
        <w:rPr>
          <w:sz w:val="12"/>
        </w:rPr>
        <w:t xml:space="preserve"> (2003: 524) </w:t>
      </w:r>
      <w:r w:rsidRPr="008D1F92">
        <w:rPr>
          <w:rStyle w:val="StyleUnderline"/>
        </w:rPr>
        <w:t xml:space="preserve">seems somewhat </w:t>
      </w:r>
      <w:proofErr w:type="spellStart"/>
      <w:r w:rsidRPr="008D1F92">
        <w:rPr>
          <w:rStyle w:val="StyleUnderline"/>
        </w:rPr>
        <w:t>sceptical</w:t>
      </w:r>
      <w:proofErr w:type="spellEnd"/>
      <w:r w:rsidRPr="008D1F92">
        <w:rPr>
          <w:sz w:val="12"/>
        </w:rPr>
        <w:t xml:space="preserve"> as to the extent to which securitizations are subject to such ‘discursive legitimation’ – also noting how security issues often ‘operate in the realm of secrecy, of “national security”, of decision’ – </w:t>
      </w:r>
      <w:r w:rsidRPr="008D1F92">
        <w:rPr>
          <w:rStyle w:val="StyleUnderline"/>
        </w:rPr>
        <w:t xml:space="preserve">he nonetheless </w:t>
      </w:r>
      <w:r w:rsidRPr="008D1F92">
        <w:rPr>
          <w:rStyle w:val="Emphasis"/>
        </w:rPr>
        <w:t>makes clear</w:t>
      </w:r>
      <w:r w:rsidRPr="008D1F92">
        <w:rPr>
          <w:rStyle w:val="StyleUnderline"/>
        </w:rPr>
        <w:t xml:space="preserve"> the </w:t>
      </w:r>
      <w:r w:rsidRPr="008D1F92">
        <w:rPr>
          <w:rStyle w:val="Emphasis"/>
        </w:rPr>
        <w:t>potential for securitizations to be ‘pulled back’</w:t>
      </w:r>
      <w:r w:rsidRPr="008D1F92">
        <w:rPr>
          <w:sz w:val="12"/>
        </w:rPr>
        <w:t xml:space="preserve"> into the public realm, ‘</w:t>
      </w:r>
      <w:r w:rsidRPr="008D1F92">
        <w:rPr>
          <w:rStyle w:val="StyleUnderline"/>
        </w:rPr>
        <w:t xml:space="preserve">particularly when the social consensus underlying the capacity for decision is challenged, either </w:t>
      </w:r>
      <w:r w:rsidRPr="008D1F92">
        <w:rPr>
          <w:rStyle w:val="Emphasis"/>
        </w:rPr>
        <w:t>by questioning the policies, or by disputing the threat,</w:t>
      </w:r>
      <w:r w:rsidRPr="008D1F92">
        <w:rPr>
          <w:rStyle w:val="StyleUnderline"/>
        </w:rPr>
        <w:t xml:space="preserve"> or both’.</w:t>
      </w:r>
    </w:p>
    <w:p w:rsidR="00476717" w:rsidRPr="008D1F92" w:rsidRDefault="00476717" w:rsidP="00476717">
      <w:pPr>
        <w:pStyle w:val="Heading3"/>
      </w:pPr>
      <w:r w:rsidRPr="008D1F92">
        <w:t>No Impact</w:t>
      </w:r>
    </w:p>
    <w:p w:rsidR="00476717" w:rsidRPr="008D1F92" w:rsidRDefault="00476717" w:rsidP="00476717">
      <w:pPr>
        <w:pStyle w:val="Heading4"/>
      </w:pPr>
      <w:r w:rsidRPr="008D1F92">
        <w:t>Their K of</w:t>
      </w:r>
      <w:r w:rsidRPr="008D1F92">
        <w:t xml:space="preserve"> security</w:t>
      </w:r>
      <w:r w:rsidRPr="008D1F92">
        <w:t xml:space="preserve"> is overly </w:t>
      </w:r>
      <w:proofErr w:type="spellStart"/>
      <w:r w:rsidRPr="008D1F92">
        <w:t>essentialized</w:t>
      </w:r>
      <w:proofErr w:type="spellEnd"/>
      <w:r w:rsidRPr="008D1F92">
        <w:t xml:space="preserve"> – our form doesn’t produce bad policy or scapegoating </w:t>
      </w:r>
    </w:p>
    <w:p w:rsidR="00476717" w:rsidRPr="008D1F92" w:rsidRDefault="00476717" w:rsidP="00476717">
      <w:r w:rsidRPr="008D1F92">
        <w:t>-Liberal democracy provides checks vs bad policy</w:t>
      </w:r>
    </w:p>
    <w:p w:rsidR="00476717" w:rsidRPr="008D1F92" w:rsidRDefault="00476717" w:rsidP="00476717">
      <w:r w:rsidRPr="008D1F92">
        <w:t>-Security spurs cooperation solving scapegoating (i.e. the emancipatory community)</w:t>
      </w:r>
    </w:p>
    <w:p w:rsidR="00476717" w:rsidRPr="008D1F92" w:rsidRDefault="00476717" w:rsidP="00476717">
      <w:r w:rsidRPr="008D1F92">
        <w:rPr>
          <w:rStyle w:val="Style13ptBold"/>
        </w:rPr>
        <w:t xml:space="preserve">Roe 12 </w:t>
      </w:r>
      <w:r w:rsidRPr="008D1F92">
        <w:t>{Paul, Associate Professor of International Relations and European Studies (Central European University), “Is Securitization a ‘Negative’ Concept? Revisiting the Normative Debate over Normal versus Extraordinary Politics,” Security Dialogue, 43.3, SAGE</w:t>
      </w:r>
      <w:r w:rsidRPr="008D1F92">
        <w:t>#THUR</w:t>
      </w:r>
      <w:r w:rsidRPr="008D1F92">
        <w:t>}</w:t>
      </w:r>
    </w:p>
    <w:p w:rsidR="00476717" w:rsidRPr="008D1F92" w:rsidRDefault="00476717" w:rsidP="00476717">
      <w:pPr>
        <w:rPr>
          <w:rStyle w:val="Style13ptBold"/>
        </w:rPr>
      </w:pPr>
    </w:p>
    <w:p w:rsidR="00476717" w:rsidRPr="008D1F92" w:rsidRDefault="00476717" w:rsidP="00476717">
      <w:pPr>
        <w:rPr>
          <w:sz w:val="14"/>
        </w:rPr>
      </w:pPr>
      <w:r w:rsidRPr="008D1F92">
        <w:rPr>
          <w:sz w:val="14"/>
        </w:rPr>
        <w:t xml:space="preserve">In a 2004 article, Claudia </w:t>
      </w:r>
      <w:proofErr w:type="spellStart"/>
      <w:r w:rsidRPr="008D1F92">
        <w:rPr>
          <w:sz w:val="14"/>
        </w:rPr>
        <w:t>Aradau</w:t>
      </w:r>
      <w:proofErr w:type="spellEnd"/>
      <w:r w:rsidRPr="008D1F92">
        <w:rPr>
          <w:sz w:val="14"/>
        </w:rPr>
        <w:t xml:space="preserve"> (2004) set out the terms for a normatively defined debate over securitization/</w:t>
      </w:r>
      <w:proofErr w:type="spellStart"/>
      <w:r w:rsidRPr="008D1F92">
        <w:rPr>
          <w:sz w:val="14"/>
        </w:rPr>
        <w:t>desecuritization</w:t>
      </w:r>
      <w:proofErr w:type="spellEnd"/>
      <w:r w:rsidRPr="008D1F92">
        <w:rPr>
          <w:sz w:val="14"/>
        </w:rPr>
        <w:t xml:space="preserve"> as negative/positive conceptions. In the article, </w:t>
      </w:r>
      <w:proofErr w:type="spellStart"/>
      <w:r w:rsidRPr="008D1F92">
        <w:rPr>
          <w:rStyle w:val="StyleUnderline"/>
        </w:rPr>
        <w:t>Aradau</w:t>
      </w:r>
      <w:proofErr w:type="spellEnd"/>
      <w:r w:rsidRPr="008D1F92">
        <w:rPr>
          <w:rStyle w:val="StyleUnderline"/>
        </w:rPr>
        <w:t xml:space="preserve"> defines securitization as negative inasmuch as it</w:t>
      </w:r>
      <w:r w:rsidRPr="008D1F92">
        <w:rPr>
          <w:sz w:val="14"/>
        </w:rPr>
        <w:t xml:space="preserve">s mode of extraordinary politics necessarily both institutionalizes </w:t>
      </w:r>
      <w:r w:rsidRPr="008D1F92">
        <w:rPr>
          <w:rStyle w:val="StyleUnderline"/>
        </w:rPr>
        <w:t xml:space="preserve">fast-track </w:t>
      </w:r>
      <w:proofErr w:type="spellStart"/>
      <w:r w:rsidRPr="008D1F92">
        <w:rPr>
          <w:rStyle w:val="StyleUnderline"/>
        </w:rPr>
        <w:t>decisionmaking</w:t>
      </w:r>
      <w:proofErr w:type="spellEnd"/>
      <w:r w:rsidRPr="008D1F92">
        <w:rPr>
          <w:sz w:val="14"/>
        </w:rPr>
        <w:t xml:space="preserve"> (‘process’) </w:t>
      </w:r>
      <w:r w:rsidRPr="008D1F92">
        <w:rPr>
          <w:rStyle w:val="StyleUnderline"/>
        </w:rPr>
        <w:t>and produces</w:t>
      </w:r>
      <w:r w:rsidRPr="008D1F92">
        <w:rPr>
          <w:sz w:val="14"/>
        </w:rPr>
        <w:t xml:space="preserve"> categories of </w:t>
      </w:r>
      <w:r w:rsidRPr="008D1F92">
        <w:rPr>
          <w:rStyle w:val="StyleUnderline"/>
        </w:rPr>
        <w:t>enemy others</w:t>
      </w:r>
      <w:r w:rsidRPr="008D1F92">
        <w:rPr>
          <w:sz w:val="14"/>
        </w:rPr>
        <w:t xml:space="preserve"> (‘outcome’). Additionally, while </w:t>
      </w:r>
      <w:proofErr w:type="spellStart"/>
      <w:r w:rsidRPr="008D1F92">
        <w:rPr>
          <w:sz w:val="14"/>
        </w:rPr>
        <w:t>desecuritization</w:t>
      </w:r>
      <w:proofErr w:type="spellEnd"/>
      <w:r w:rsidRPr="008D1F92">
        <w:rPr>
          <w:sz w:val="14"/>
        </w:rPr>
        <w:t xml:space="preserve"> (i.e. maintaining issues in, or returning issues to, the realm of ‘normal’ politics)1 thereby offers the possibility of a more positive conception, </w:t>
      </w:r>
      <w:proofErr w:type="spellStart"/>
      <w:r w:rsidRPr="008D1F92">
        <w:rPr>
          <w:sz w:val="14"/>
        </w:rPr>
        <w:t>Aradau</w:t>
      </w:r>
      <w:proofErr w:type="spellEnd"/>
      <w:r w:rsidRPr="008D1F92">
        <w:rPr>
          <w:sz w:val="14"/>
        </w:rPr>
        <w:t xml:space="preserve"> argues that its </w:t>
      </w:r>
      <w:proofErr w:type="spellStart"/>
      <w:r w:rsidRPr="008D1F92">
        <w:rPr>
          <w:sz w:val="14"/>
        </w:rPr>
        <w:t>transformatory</w:t>
      </w:r>
      <w:proofErr w:type="spellEnd"/>
      <w:r w:rsidRPr="008D1F92">
        <w:rPr>
          <w:sz w:val="14"/>
        </w:rPr>
        <w:t xml:space="preserve"> potential is severely circumscribed, as the normal political mode is itself invariably subject to the same institutional sovereign authority and domination as securitization. For </w:t>
      </w:r>
      <w:proofErr w:type="spellStart"/>
      <w:r w:rsidRPr="008D1F92">
        <w:rPr>
          <w:sz w:val="14"/>
        </w:rPr>
        <w:t>Aradau</w:t>
      </w:r>
      <w:proofErr w:type="spellEnd"/>
      <w:r w:rsidRPr="008D1F92">
        <w:rPr>
          <w:sz w:val="14"/>
        </w:rPr>
        <w:t xml:space="preserve">, </w:t>
      </w:r>
      <w:r w:rsidRPr="008D1F92">
        <w:rPr>
          <w:rStyle w:val="StyleUnderline"/>
        </w:rPr>
        <w:t xml:space="preserve">the solution to this predicament was therefore to escape security and </w:t>
      </w:r>
      <w:proofErr w:type="spellStart"/>
      <w:r w:rsidRPr="008D1F92">
        <w:rPr>
          <w:rStyle w:val="StyleUnderline"/>
        </w:rPr>
        <w:t>reconceptualize</w:t>
      </w:r>
      <w:proofErr w:type="spellEnd"/>
      <w:r w:rsidRPr="008D1F92">
        <w:rPr>
          <w:rStyle w:val="StyleUnderline"/>
        </w:rPr>
        <w:t xml:space="preserve"> politics according to a different logic, one ‘based on universal address and recognition</w:t>
      </w:r>
      <w:r w:rsidRPr="008D1F92">
        <w:rPr>
          <w:sz w:val="14"/>
        </w:rPr>
        <w:t xml:space="preserve">. Such a logic disrupts the exclusionary logic of security and, at the same time, furnishes a principle upon which a new </w:t>
      </w:r>
      <w:proofErr w:type="spellStart"/>
      <w:r w:rsidRPr="008D1F92">
        <w:rPr>
          <w:sz w:val="14"/>
        </w:rPr>
        <w:t>relationality</w:t>
      </w:r>
      <w:proofErr w:type="spellEnd"/>
      <w:r w:rsidRPr="008D1F92">
        <w:rPr>
          <w:sz w:val="14"/>
        </w:rPr>
        <w:t xml:space="preserve"> with the other can be conceived’ (</w:t>
      </w:r>
      <w:proofErr w:type="spellStart"/>
      <w:r w:rsidRPr="008D1F92">
        <w:rPr>
          <w:sz w:val="14"/>
        </w:rPr>
        <w:t>Aradau</w:t>
      </w:r>
      <w:proofErr w:type="spellEnd"/>
      <w:r w:rsidRPr="008D1F92">
        <w:rPr>
          <w:sz w:val="14"/>
        </w:rPr>
        <w:t xml:space="preserve">, 2004: 401; see also </w:t>
      </w:r>
      <w:proofErr w:type="spellStart"/>
      <w:r w:rsidRPr="008D1F92">
        <w:rPr>
          <w:sz w:val="14"/>
        </w:rPr>
        <w:t>Aradau</w:t>
      </w:r>
      <w:proofErr w:type="spellEnd"/>
      <w:r w:rsidRPr="008D1F92">
        <w:rPr>
          <w:sz w:val="14"/>
        </w:rPr>
        <w:t xml:space="preserve">, 2008). </w:t>
      </w:r>
      <w:proofErr w:type="spellStart"/>
      <w:r w:rsidRPr="008D1F92">
        <w:rPr>
          <w:rStyle w:val="StyleUnderline"/>
        </w:rPr>
        <w:t>Aradau’s</w:t>
      </w:r>
      <w:proofErr w:type="spellEnd"/>
      <w:r w:rsidRPr="008D1F92">
        <w:rPr>
          <w:rStyle w:val="StyleUnderline"/>
        </w:rPr>
        <w:t xml:space="preserve"> critique of security</w:t>
      </w:r>
      <w:r w:rsidRPr="008D1F92">
        <w:rPr>
          <w:sz w:val="14"/>
        </w:rPr>
        <w:t xml:space="preserve">/securitization, </w:t>
      </w:r>
      <w:r w:rsidRPr="008D1F92">
        <w:rPr>
          <w:rStyle w:val="StyleUnderline"/>
        </w:rPr>
        <w:t xml:space="preserve">particularly her claim that the concept indeed corresponds to </w:t>
      </w:r>
      <w:r w:rsidRPr="008D1F92">
        <w:rPr>
          <w:sz w:val="14"/>
        </w:rPr>
        <w:t xml:space="preserve">Carl </w:t>
      </w:r>
      <w:r w:rsidRPr="008D1F92">
        <w:rPr>
          <w:rStyle w:val="StyleUnderline"/>
        </w:rPr>
        <w:t>Schmitt’s notion of the political</w:t>
      </w:r>
      <w:r w:rsidRPr="008D1F92">
        <w:rPr>
          <w:sz w:val="14"/>
        </w:rPr>
        <w:t xml:space="preserve"> (</w:t>
      </w:r>
      <w:proofErr w:type="spellStart"/>
      <w:r w:rsidRPr="008D1F92">
        <w:rPr>
          <w:sz w:val="14"/>
        </w:rPr>
        <w:t>decisionist</w:t>
      </w:r>
      <w:proofErr w:type="spellEnd"/>
      <w:r w:rsidRPr="008D1F92">
        <w:rPr>
          <w:sz w:val="14"/>
        </w:rPr>
        <w:t xml:space="preserve">/exclusionary), </w:t>
      </w:r>
      <w:r w:rsidRPr="008D1F92">
        <w:rPr>
          <w:rStyle w:val="StyleUnderline"/>
        </w:rPr>
        <w:t>reflects an increasing concern with the notion of ‘positive’ security</w:t>
      </w:r>
      <w:r w:rsidRPr="008D1F92">
        <w:rPr>
          <w:sz w:val="14"/>
        </w:rPr>
        <w:t xml:space="preserve">/securitization. While </w:t>
      </w:r>
      <w:proofErr w:type="spellStart"/>
      <w:r w:rsidRPr="008D1F92">
        <w:rPr>
          <w:sz w:val="14"/>
        </w:rPr>
        <w:t>Aradau</w:t>
      </w:r>
      <w:proofErr w:type="spellEnd"/>
      <w:r w:rsidRPr="008D1F92">
        <w:rPr>
          <w:sz w:val="14"/>
        </w:rPr>
        <w:t xml:space="preserve"> argues that securitization inevitably produces categories of ‘haves’ and ‘have-nots’ – those that belong to the political community and those that do not; as she succinctly puts it, ‘we cannot all be equal sharers of security’ (</w:t>
      </w:r>
      <w:proofErr w:type="spellStart"/>
      <w:r w:rsidRPr="008D1F92">
        <w:rPr>
          <w:sz w:val="14"/>
        </w:rPr>
        <w:t>Aradau</w:t>
      </w:r>
      <w:proofErr w:type="spellEnd"/>
      <w:r w:rsidRPr="008D1F92">
        <w:rPr>
          <w:sz w:val="14"/>
        </w:rPr>
        <w:t xml:space="preserve">, 2008: 73) – </w:t>
      </w:r>
      <w:r w:rsidRPr="008D1F92">
        <w:rPr>
          <w:rStyle w:val="StyleUnderline"/>
        </w:rPr>
        <w:t>other writers</w:t>
      </w:r>
      <w:r w:rsidRPr="008D1F92">
        <w:rPr>
          <w:sz w:val="14"/>
        </w:rPr>
        <w:t xml:space="preserve"> (e.g. </w:t>
      </w:r>
      <w:proofErr w:type="spellStart"/>
      <w:r w:rsidRPr="008D1F92">
        <w:rPr>
          <w:sz w:val="14"/>
        </w:rPr>
        <w:t>McSweeney</w:t>
      </w:r>
      <w:proofErr w:type="spellEnd"/>
      <w:r w:rsidRPr="008D1F92">
        <w:rPr>
          <w:sz w:val="14"/>
        </w:rPr>
        <w:t xml:space="preserve">, 1999; Booth, 2005, 2007; McDonald, 2008) </w:t>
      </w:r>
      <w:r w:rsidRPr="008D1F92">
        <w:rPr>
          <w:rStyle w:val="StyleUnderline"/>
        </w:rPr>
        <w:t xml:space="preserve">offer different formulations that are </w:t>
      </w:r>
      <w:r w:rsidRPr="008D1F92">
        <w:rPr>
          <w:rStyle w:val="Emphasis"/>
        </w:rPr>
        <w:t xml:space="preserve">critical of an </w:t>
      </w:r>
      <w:proofErr w:type="spellStart"/>
      <w:r w:rsidRPr="008D1F92">
        <w:rPr>
          <w:rStyle w:val="Emphasis"/>
        </w:rPr>
        <w:t>essentialization</w:t>
      </w:r>
      <w:proofErr w:type="spellEnd"/>
      <w:r w:rsidRPr="008D1F92">
        <w:rPr>
          <w:rStyle w:val="Emphasis"/>
        </w:rPr>
        <w:t xml:space="preserve"> of security</w:t>
      </w:r>
      <w:r w:rsidRPr="008D1F92">
        <w:rPr>
          <w:rStyle w:val="StyleUnderline"/>
        </w:rPr>
        <w:t xml:space="preserve"> that reflects the </w:t>
      </w:r>
      <w:proofErr w:type="spellStart"/>
      <w:r w:rsidRPr="008D1F92">
        <w:rPr>
          <w:rStyle w:val="StyleUnderline"/>
        </w:rPr>
        <w:t>Schmittian</w:t>
      </w:r>
      <w:proofErr w:type="spellEnd"/>
      <w:r w:rsidRPr="008D1F92">
        <w:rPr>
          <w:rStyle w:val="StyleUnderline"/>
        </w:rPr>
        <w:t xml:space="preserve"> mode of politics. For</w:t>
      </w:r>
      <w:r w:rsidRPr="008D1F92">
        <w:rPr>
          <w:sz w:val="14"/>
        </w:rPr>
        <w:t xml:space="preserve"> Ken </w:t>
      </w:r>
      <w:r w:rsidRPr="008D1F92">
        <w:rPr>
          <w:rStyle w:val="StyleUnderline"/>
        </w:rPr>
        <w:t>Booth</w:t>
      </w:r>
      <w:r w:rsidRPr="008D1F92">
        <w:rPr>
          <w:sz w:val="14"/>
        </w:rPr>
        <w:t xml:space="preserve"> (2007: 138), for instance, </w:t>
      </w:r>
      <w:r w:rsidRPr="008D1F92">
        <w:rPr>
          <w:rStyle w:val="StyleUnderline"/>
        </w:rPr>
        <w:t xml:space="preserve">an exclusionary sense of ‘us’ and ‘them’ is </w:t>
      </w:r>
      <w:r w:rsidRPr="008D1F92">
        <w:rPr>
          <w:rStyle w:val="Emphasis"/>
        </w:rPr>
        <w:t>brought into question</w:t>
      </w:r>
      <w:r w:rsidRPr="008D1F92">
        <w:rPr>
          <w:rStyle w:val="StyleUnderline"/>
        </w:rPr>
        <w:t xml:space="preserve"> by what he calls an ‘emancipatory community’: </w:t>
      </w:r>
      <w:r w:rsidRPr="008D1F92">
        <w:rPr>
          <w:sz w:val="14"/>
        </w:rPr>
        <w:t xml:space="preserve">An emancipatory community recognizes </w:t>
      </w:r>
      <w:r w:rsidRPr="008D1F92">
        <w:rPr>
          <w:rStyle w:val="StyleUnderline"/>
        </w:rPr>
        <w:t>that people have multiple identities</w:t>
      </w:r>
      <w:r w:rsidRPr="008D1F92">
        <w:rPr>
          <w:sz w:val="14"/>
        </w:rPr>
        <w:t xml:space="preserve">, that a person’s identity cannot be satisfactorily defined by any single attribution … </w:t>
      </w:r>
      <w:r w:rsidRPr="008D1F92">
        <w:rPr>
          <w:rStyle w:val="StyleUnderline"/>
        </w:rPr>
        <w:t>and that people must be allowed to live simultaneously in a variety of communities</w:t>
      </w:r>
      <w:r w:rsidRPr="008D1F92">
        <w:rPr>
          <w:sz w:val="14"/>
        </w:rPr>
        <w:t xml:space="preserve"> expressing their multifaceted lives.2 On the one hand, </w:t>
      </w:r>
      <w:r w:rsidRPr="008D1F92">
        <w:rPr>
          <w:rStyle w:val="StyleUnderline"/>
        </w:rPr>
        <w:t>the present</w:t>
      </w:r>
      <w:r w:rsidRPr="008D1F92">
        <w:rPr>
          <w:sz w:val="14"/>
        </w:rPr>
        <w:t xml:space="preserve"> article resides firmly within the context of this general debate inasmuch as it is concerned with particular understandings of ‘negative’ (and thus also ‘positive’) in attempts to define the meaning of security. On the other hand, however, it also has a more specific focus, in that its </w:t>
      </w:r>
      <w:r w:rsidRPr="008D1F92">
        <w:rPr>
          <w:rStyle w:val="StyleUnderline"/>
        </w:rPr>
        <w:t xml:space="preserve">argument is set </w:t>
      </w:r>
      <w:r w:rsidRPr="008D1F92">
        <w:rPr>
          <w:rStyle w:val="Emphasis"/>
        </w:rPr>
        <w:t>squarely against the Copenhagen School’s notion of securitization</w:t>
      </w:r>
      <w:r w:rsidRPr="008D1F92">
        <w:rPr>
          <w:sz w:val="14"/>
        </w:rPr>
        <w:t>. There are a couple of reasons for the adoption of such an approach. First</w:t>
      </w:r>
      <w:r w:rsidRPr="008D1F92">
        <w:rPr>
          <w:rStyle w:val="StyleUnderline"/>
        </w:rPr>
        <w:t>, a focus on securitization illuminates some assumptions in a particular way</w:t>
      </w:r>
      <w:r w:rsidRPr="008D1F92">
        <w:rPr>
          <w:sz w:val="14"/>
        </w:rPr>
        <w:t xml:space="preserve">. </w:t>
      </w:r>
      <w:r w:rsidRPr="008D1F92">
        <w:rPr>
          <w:rStyle w:val="StyleUnderline"/>
        </w:rPr>
        <w:t>For example</w:t>
      </w:r>
      <w:r w:rsidRPr="008D1F92">
        <w:rPr>
          <w:sz w:val="14"/>
        </w:rPr>
        <w:t xml:space="preserve">, Rita’s </w:t>
      </w:r>
      <w:r w:rsidRPr="008D1F92">
        <w:rPr>
          <w:rStyle w:val="StyleUnderline"/>
        </w:rPr>
        <w:t>Floyd’s</w:t>
      </w:r>
      <w:r w:rsidRPr="008D1F92">
        <w:rPr>
          <w:sz w:val="14"/>
        </w:rPr>
        <w:t xml:space="preserve"> (2010) most recent </w:t>
      </w:r>
      <w:r w:rsidRPr="008D1F92">
        <w:rPr>
          <w:rStyle w:val="StyleUnderline"/>
        </w:rPr>
        <w:t>work</w:t>
      </w:r>
      <w:r w:rsidRPr="008D1F92">
        <w:rPr>
          <w:sz w:val="14"/>
        </w:rPr>
        <w:t xml:space="preserve"> on the </w:t>
      </w:r>
      <w:proofErr w:type="spellStart"/>
      <w:r w:rsidRPr="008D1F92">
        <w:rPr>
          <w:sz w:val="14"/>
        </w:rPr>
        <w:t>positiveness</w:t>
      </w:r>
      <w:proofErr w:type="spellEnd"/>
      <w:r w:rsidRPr="008D1F92">
        <w:rPr>
          <w:sz w:val="14"/>
        </w:rPr>
        <w:t>/</w:t>
      </w:r>
      <w:proofErr w:type="spellStart"/>
      <w:r w:rsidRPr="008D1F92">
        <w:rPr>
          <w:sz w:val="14"/>
        </w:rPr>
        <w:t>negativeness</w:t>
      </w:r>
      <w:proofErr w:type="spellEnd"/>
      <w:r w:rsidRPr="008D1F92">
        <w:rPr>
          <w:sz w:val="14"/>
        </w:rPr>
        <w:t xml:space="preserve"> of environmental </w:t>
      </w:r>
      <w:r w:rsidRPr="008D1F92">
        <w:rPr>
          <w:rStyle w:val="StyleUnderline"/>
        </w:rPr>
        <w:t>security is predicated on</w:t>
      </w:r>
      <w:r w:rsidRPr="008D1F92">
        <w:rPr>
          <w:sz w:val="14"/>
        </w:rPr>
        <w:t xml:space="preserve"> an understanding of, and certain revisions to, </w:t>
      </w:r>
      <w:r w:rsidRPr="008D1F92">
        <w:rPr>
          <w:rStyle w:val="StyleUnderline"/>
        </w:rPr>
        <w:t>the securitization concept with regard to ‘outcome’</w:t>
      </w:r>
      <w:r w:rsidRPr="008D1F92">
        <w:rPr>
          <w:sz w:val="14"/>
        </w:rPr>
        <w:t xml:space="preserve">. Second, </w:t>
      </w:r>
      <w:r w:rsidRPr="008D1F92">
        <w:rPr>
          <w:rStyle w:val="StyleUnderline"/>
        </w:rPr>
        <w:t xml:space="preserve">a focus on securitization also brings with it other assumptions that are largely absent from the more general debate, assumptions related to ‘process’ </w:t>
      </w:r>
      <w:r w:rsidRPr="008D1F92">
        <w:rPr>
          <w:sz w:val="14"/>
        </w:rPr>
        <w:t xml:space="preserve">and to the proposition that (successful) securitizations are bad for democracy. In other words, the normative critique of securitization has also generated more particular thinking over what is considered positive and negative. Accordingly, my intention is to make evident the terms of the debate that have served to inform securitization as a negative concept. In my attempt to do so, </w:t>
      </w:r>
      <w:r w:rsidRPr="008D1F92">
        <w:rPr>
          <w:rStyle w:val="StyleUnderline"/>
        </w:rPr>
        <w:t>I make two main arguments</w:t>
      </w:r>
      <w:r w:rsidRPr="008D1F92">
        <w:rPr>
          <w:sz w:val="14"/>
        </w:rPr>
        <w:t xml:space="preserve">. The first, which relates to </w:t>
      </w:r>
      <w:proofErr w:type="spellStart"/>
      <w:r w:rsidRPr="008D1F92">
        <w:rPr>
          <w:sz w:val="14"/>
        </w:rPr>
        <w:t>to</w:t>
      </w:r>
      <w:proofErr w:type="spellEnd"/>
      <w:r w:rsidRPr="008D1F92">
        <w:rPr>
          <w:sz w:val="14"/>
        </w:rPr>
        <w:t xml:space="preserve"> process, is that </w:t>
      </w:r>
      <w:r w:rsidRPr="008D1F92">
        <w:rPr>
          <w:rStyle w:val="StyleUnderline"/>
        </w:rPr>
        <w:t xml:space="preserve">the extent to which securitization necessitates a lack of openness and deliberation </w:t>
      </w:r>
      <w:r w:rsidRPr="008D1F92">
        <w:rPr>
          <w:rStyle w:val="Emphasis"/>
        </w:rPr>
        <w:t xml:space="preserve">has been </w:t>
      </w:r>
      <w:proofErr w:type="spellStart"/>
      <w:r w:rsidRPr="008D1F92">
        <w:rPr>
          <w:rStyle w:val="Emphasis"/>
        </w:rPr>
        <w:t>overexaggerated</w:t>
      </w:r>
      <w:proofErr w:type="spellEnd"/>
      <w:r w:rsidRPr="008D1F92">
        <w:rPr>
          <w:rStyle w:val="StyleUnderline"/>
        </w:rPr>
        <w:t xml:space="preserve">: in </w:t>
      </w:r>
      <w:r w:rsidRPr="008D1F92">
        <w:rPr>
          <w:sz w:val="14"/>
        </w:rPr>
        <w:t xml:space="preserve">the context of </w:t>
      </w:r>
      <w:r w:rsidRPr="008D1F92">
        <w:rPr>
          <w:rStyle w:val="StyleUnderline"/>
        </w:rPr>
        <w:t xml:space="preserve">liberal democracies, legislation is </w:t>
      </w:r>
      <w:r w:rsidRPr="008D1F92">
        <w:rPr>
          <w:rStyle w:val="Emphasis"/>
          <w:sz w:val="28"/>
        </w:rPr>
        <w:t xml:space="preserve">invariably marked by a greater semblance of oversight </w:t>
      </w:r>
      <w:r w:rsidRPr="008D1F92">
        <w:rPr>
          <w:rStyle w:val="Emphasis"/>
        </w:rPr>
        <w:t xml:space="preserve">than that assumed </w:t>
      </w:r>
      <w:r w:rsidRPr="008D1F92">
        <w:rPr>
          <w:rStyle w:val="StyleUnderline"/>
        </w:rPr>
        <w:t xml:space="preserve">by </w:t>
      </w:r>
      <w:proofErr w:type="spellStart"/>
      <w:r w:rsidRPr="008D1F92">
        <w:rPr>
          <w:rStyle w:val="StyleUnderline"/>
        </w:rPr>
        <w:t>Aradau</w:t>
      </w:r>
      <w:proofErr w:type="spellEnd"/>
      <w:r w:rsidRPr="008D1F92">
        <w:rPr>
          <w:rStyle w:val="StyleUnderline"/>
        </w:rPr>
        <w:t xml:space="preserve"> and others. The second </w:t>
      </w:r>
      <w:r w:rsidRPr="008D1F92">
        <w:rPr>
          <w:sz w:val="14"/>
        </w:rPr>
        <w:t xml:space="preserve">main </w:t>
      </w:r>
      <w:r w:rsidRPr="008D1F92">
        <w:rPr>
          <w:rStyle w:val="StyleUnderline"/>
        </w:rPr>
        <w:t xml:space="preserve">argument, which relates to outcome, is that although securitization might indeed function in accordance with </w:t>
      </w:r>
      <w:r w:rsidRPr="008D1F92">
        <w:rPr>
          <w:sz w:val="14"/>
        </w:rPr>
        <w:t xml:space="preserve">what Ole </w:t>
      </w:r>
      <w:proofErr w:type="spellStart"/>
      <w:r w:rsidRPr="008D1F92">
        <w:rPr>
          <w:sz w:val="14"/>
        </w:rPr>
        <w:t>Wæver</w:t>
      </w:r>
      <w:proofErr w:type="spellEnd"/>
      <w:r w:rsidRPr="008D1F92">
        <w:rPr>
          <w:sz w:val="14"/>
        </w:rPr>
        <w:t xml:space="preserve"> (1995) has called </w:t>
      </w:r>
      <w:r w:rsidRPr="008D1F92">
        <w:rPr>
          <w:rStyle w:val="StyleUnderline"/>
        </w:rPr>
        <w:t xml:space="preserve">the ‘logic of war’, its mode of extraordinary politics belies an engagement with different constructions </w:t>
      </w:r>
      <w:r w:rsidRPr="008D1F92">
        <w:rPr>
          <w:rStyle w:val="Emphasis"/>
        </w:rPr>
        <w:t>that also serve to reveal more non-divisive referents and cooperative practices</w:t>
      </w:r>
      <w:r w:rsidRPr="008D1F92">
        <w:rPr>
          <w:sz w:val="14"/>
        </w:rPr>
        <w:t>. In the first part of the article, I set out the terms of the debate according to the concerns with process and outcome, before moving on in the second part to make clear the aforementioned arguments.</w:t>
      </w:r>
    </w:p>
    <w:p w:rsidR="00476717" w:rsidRPr="008D1F92" w:rsidRDefault="00476717" w:rsidP="00476717">
      <w:pPr>
        <w:pStyle w:val="Heading4"/>
      </w:pPr>
      <w:r w:rsidRPr="008D1F92">
        <w:t>NO SPF – liberal demo provides sufficient checks, sometimes extraordinary politics are good, and their evidence assumes Cold War politics</w:t>
      </w:r>
    </w:p>
    <w:p w:rsidR="00476717" w:rsidRPr="008D1F92" w:rsidRDefault="00476717" w:rsidP="00476717">
      <w:pPr>
        <w:rPr>
          <w:rStyle w:val="Style13ptBold"/>
        </w:rPr>
      </w:pPr>
      <w:r w:rsidRPr="008D1F92">
        <w:rPr>
          <w:rStyle w:val="Style13ptBold"/>
        </w:rPr>
        <w:t xml:space="preserve">Roe 12 </w:t>
      </w:r>
      <w:r w:rsidRPr="008D1F92">
        <w:t>{Paul, Associate Professor of International Relations and European Studies (Central European University), “Is Securitization a ‘Negative’ Concept? Revisiting the Normative Debate over Normal versus Extraordinary Politics,” Security Dialogue, 43.3, SAGE}</w:t>
      </w:r>
    </w:p>
    <w:p w:rsidR="00476717" w:rsidRPr="008D1F92" w:rsidRDefault="00476717" w:rsidP="00476717">
      <w:pPr>
        <w:rPr>
          <w:sz w:val="16"/>
        </w:rPr>
      </w:pPr>
      <w:r w:rsidRPr="008D1F92">
        <w:rPr>
          <w:sz w:val="16"/>
        </w:rPr>
        <w:t xml:space="preserve">Securitized issues indeed have the potential to disrupt the processes of open and accountable government: through its very nature, fast-tracking serves to limit the proper functioning of normal politics. But, </w:t>
      </w:r>
      <w:r w:rsidRPr="008D1F92">
        <w:rPr>
          <w:rStyle w:val="StyleUnderline"/>
        </w:rPr>
        <w:t>extraordinary politics</w:t>
      </w:r>
      <w:r w:rsidRPr="008D1F92">
        <w:rPr>
          <w:sz w:val="16"/>
        </w:rPr>
        <w:t xml:space="preserve"> (in the form of the expedition of legislation) </w:t>
      </w:r>
      <w:r w:rsidRPr="008D1F92">
        <w:rPr>
          <w:rStyle w:val="Emphasis"/>
        </w:rPr>
        <w:t>does not mean an abandonment of legislative mechanisms</w:t>
      </w:r>
      <w:r w:rsidRPr="008D1F92">
        <w:rPr>
          <w:sz w:val="16"/>
        </w:rPr>
        <w:t xml:space="preserve">: </w:t>
      </w:r>
      <w:r w:rsidRPr="008D1F92">
        <w:rPr>
          <w:rStyle w:val="StyleUnderline"/>
        </w:rPr>
        <w:t>while the</w:t>
      </w:r>
      <w:r w:rsidRPr="008D1F92">
        <w:rPr>
          <w:sz w:val="16"/>
        </w:rPr>
        <w:t xml:space="preserve"> legislative process </w:t>
      </w:r>
      <w:r w:rsidRPr="008D1F92">
        <w:rPr>
          <w:rStyle w:val="StyleUnderline"/>
        </w:rPr>
        <w:t xml:space="preserve">is surely accelerated, a degree of </w:t>
      </w:r>
      <w:r w:rsidRPr="008D1F92">
        <w:rPr>
          <w:rStyle w:val="Emphasis"/>
        </w:rPr>
        <w:t>scrutiny and oversight nevertheless remains</w:t>
      </w:r>
      <w:r w:rsidRPr="008D1F92">
        <w:rPr>
          <w:sz w:val="16"/>
        </w:rPr>
        <w:t xml:space="preserve">. As a result, </w:t>
      </w:r>
      <w:r w:rsidRPr="008D1F92">
        <w:rPr>
          <w:rStyle w:val="StyleUnderline"/>
        </w:rPr>
        <w:t>in</w:t>
      </w:r>
      <w:r w:rsidRPr="008D1F92">
        <w:rPr>
          <w:sz w:val="16"/>
        </w:rPr>
        <w:t xml:space="preserve"> the context of </w:t>
      </w:r>
      <w:r w:rsidRPr="008D1F92">
        <w:rPr>
          <w:rStyle w:val="StyleUnderline"/>
        </w:rPr>
        <w:t xml:space="preserve">liberal democracies, securitization rarely resembles </w:t>
      </w:r>
      <w:proofErr w:type="spellStart"/>
      <w:r w:rsidRPr="008D1F92">
        <w:rPr>
          <w:rStyle w:val="StyleUnderline"/>
        </w:rPr>
        <w:t>Schmittian</w:t>
      </w:r>
      <w:proofErr w:type="spellEnd"/>
      <w:r w:rsidRPr="008D1F92">
        <w:rPr>
          <w:rStyle w:val="StyleUnderline"/>
        </w:rPr>
        <w:t xml:space="preserve"> </w:t>
      </w:r>
      <w:proofErr w:type="spellStart"/>
      <w:r w:rsidRPr="008D1F92">
        <w:rPr>
          <w:rStyle w:val="StyleUnderline"/>
        </w:rPr>
        <w:t>decisionism</w:t>
      </w:r>
      <w:proofErr w:type="spellEnd"/>
      <w:r w:rsidRPr="008D1F92">
        <w:rPr>
          <w:rStyle w:val="StyleUnderline"/>
        </w:rPr>
        <w:t>.</w:t>
      </w:r>
      <w:r w:rsidRPr="008D1F92">
        <w:rPr>
          <w:sz w:val="16"/>
        </w:rPr>
        <w:t xml:space="preserve"> Rather, the commitment to maintaining openness and deliberation in the relationship between the executive and the legislature equates the concept far more with </w:t>
      </w:r>
      <w:proofErr w:type="spellStart"/>
      <w:r w:rsidRPr="008D1F92">
        <w:rPr>
          <w:sz w:val="16"/>
        </w:rPr>
        <w:t>Wæver’s</w:t>
      </w:r>
      <w:proofErr w:type="spellEnd"/>
      <w:r w:rsidRPr="008D1F92">
        <w:rPr>
          <w:sz w:val="16"/>
        </w:rPr>
        <w:t xml:space="preserve"> own preferred </w:t>
      </w:r>
      <w:proofErr w:type="spellStart"/>
      <w:r w:rsidRPr="008D1F92">
        <w:rPr>
          <w:sz w:val="16"/>
        </w:rPr>
        <w:t>Arendtian</w:t>
      </w:r>
      <w:proofErr w:type="spellEnd"/>
      <w:r w:rsidRPr="008D1F92">
        <w:rPr>
          <w:sz w:val="16"/>
        </w:rPr>
        <w:t xml:space="preserve"> politics. </w:t>
      </w:r>
      <w:r w:rsidRPr="008D1F92">
        <w:rPr>
          <w:rStyle w:val="StyleUnderline"/>
        </w:rPr>
        <w:t>Indeed</w:t>
      </w:r>
      <w:r w:rsidRPr="008D1F92">
        <w:rPr>
          <w:sz w:val="16"/>
        </w:rPr>
        <w:t xml:space="preserve"> (Paris School contentions aside),25 </w:t>
      </w:r>
      <w:r w:rsidRPr="008D1F92">
        <w:rPr>
          <w:rStyle w:val="StyleUnderline"/>
        </w:rPr>
        <w:t>as</w:t>
      </w:r>
      <w:r w:rsidRPr="008D1F92">
        <w:rPr>
          <w:sz w:val="16"/>
        </w:rPr>
        <w:t xml:space="preserve"> Olav Knudsen </w:t>
      </w:r>
      <w:r w:rsidRPr="008D1F92">
        <w:rPr>
          <w:rStyle w:val="StyleUnderline"/>
        </w:rPr>
        <w:t xml:space="preserve">makes clear, the speed and silence of securitization is largely characteristic of the military sector, </w:t>
      </w:r>
      <w:r w:rsidRPr="008D1F92">
        <w:rPr>
          <w:sz w:val="16"/>
        </w:rPr>
        <w:t xml:space="preserve">particularly during the Cold War period. </w:t>
      </w:r>
      <w:r w:rsidRPr="008D1F92">
        <w:rPr>
          <w:rStyle w:val="StyleUnderline"/>
        </w:rPr>
        <w:t xml:space="preserve">However, things ‘just aren’t so any more. In the post-Cold War period, </w:t>
      </w:r>
      <w:r w:rsidRPr="008D1F92">
        <w:rPr>
          <w:rStyle w:val="Emphasis"/>
        </w:rPr>
        <w:t>agenda-setting has been much easier to influence</w:t>
      </w:r>
      <w:r w:rsidRPr="008D1F92">
        <w:rPr>
          <w:rStyle w:val="StyleUnderline"/>
        </w:rPr>
        <w:t xml:space="preserve"> than the securitization approach assumes’</w:t>
      </w:r>
      <w:r w:rsidRPr="008D1F92">
        <w:rPr>
          <w:sz w:val="16"/>
        </w:rPr>
        <w:t xml:space="preserve"> (Knudsen, 2001: 359). </w:t>
      </w:r>
      <w:r w:rsidRPr="008D1F92">
        <w:rPr>
          <w:rStyle w:val="StyleUnderline"/>
        </w:rPr>
        <w:t>Besides which, in certain circumstances there are also dangers involved in not expediting legislation</w:t>
      </w:r>
      <w:r w:rsidRPr="008D1F92">
        <w:rPr>
          <w:sz w:val="16"/>
        </w:rPr>
        <w:t xml:space="preserve">. In highlighting how securitization can give the necessary prominence to some problems, for example, </w:t>
      </w:r>
      <w:r w:rsidRPr="008D1F92">
        <w:rPr>
          <w:rStyle w:val="StyleUnderline"/>
        </w:rPr>
        <w:t>Booth</w:t>
      </w:r>
      <w:r w:rsidRPr="008D1F92">
        <w:rPr>
          <w:sz w:val="16"/>
        </w:rPr>
        <w:t xml:space="preserve"> (2007: 168) </w:t>
      </w:r>
      <w:r w:rsidRPr="008D1F92">
        <w:rPr>
          <w:rStyle w:val="StyleUnderline"/>
        </w:rPr>
        <w:t xml:space="preserve">warns against the general recourse to </w:t>
      </w:r>
      <w:proofErr w:type="spellStart"/>
      <w:r w:rsidRPr="008D1F92">
        <w:rPr>
          <w:rStyle w:val="StyleUnderline"/>
        </w:rPr>
        <w:t>desecuritization</w:t>
      </w:r>
      <w:proofErr w:type="spellEnd"/>
      <w:r w:rsidRPr="008D1F92">
        <w:rPr>
          <w:sz w:val="16"/>
        </w:rPr>
        <w:t xml:space="preserve"> (politicization): </w:t>
      </w:r>
      <w:proofErr w:type="spellStart"/>
      <w:r w:rsidRPr="008D1F92">
        <w:rPr>
          <w:rStyle w:val="Emphasis"/>
        </w:rPr>
        <w:t>Desecuritisation</w:t>
      </w:r>
      <w:proofErr w:type="spellEnd"/>
      <w:r w:rsidRPr="008D1F92">
        <w:rPr>
          <w:rStyle w:val="Emphasis"/>
        </w:rPr>
        <w:t xml:space="preserve"> can disempower. </w:t>
      </w:r>
      <w:r w:rsidRPr="008D1F92">
        <w:rPr>
          <w:rStyle w:val="StyleUnderline"/>
        </w:rPr>
        <w:t xml:space="preserve">Having issues settled by ‘ordinary’ politics is a nice idea: who would not prefer it to the threat of political violence? But ‘ordinary’ politics </w:t>
      </w:r>
      <w:r w:rsidRPr="008D1F92">
        <w:rPr>
          <w:rStyle w:val="Emphasis"/>
        </w:rPr>
        <w:t>might not help in extraordinary circumstances</w:t>
      </w:r>
      <w:r w:rsidRPr="008D1F92">
        <w:rPr>
          <w:rStyle w:val="StyleUnderline"/>
        </w:rPr>
        <w:t>;</w:t>
      </w:r>
      <w:r w:rsidRPr="008D1F92">
        <w:rPr>
          <w:sz w:val="16"/>
        </w:rPr>
        <w:t xml:space="preserve"> indeed, treating extraordinary issues as ordinary politics is a problem, not a solution.</w:t>
      </w:r>
    </w:p>
    <w:p w:rsidR="00476717" w:rsidRPr="008D1F92" w:rsidRDefault="00476717" w:rsidP="00476717">
      <w:pPr>
        <w:pStyle w:val="Heading3"/>
      </w:pPr>
      <w:r w:rsidRPr="008D1F92">
        <w:t>Security Inevitable</w:t>
      </w:r>
    </w:p>
    <w:p w:rsidR="00476717" w:rsidRPr="008D1F92" w:rsidRDefault="00476717" w:rsidP="00476717">
      <w:pPr>
        <w:pStyle w:val="Heading4"/>
      </w:pPr>
      <w:r w:rsidRPr="008D1F92">
        <w:t>Security inevitable – their approach is overly reductionist</w:t>
      </w:r>
    </w:p>
    <w:p w:rsidR="00476717" w:rsidRPr="008D1F92" w:rsidRDefault="00476717" w:rsidP="008D1F92">
      <w:r w:rsidRPr="008D1F92">
        <w:rPr>
          <w:rStyle w:val="Style13ptBold"/>
        </w:rPr>
        <w:t xml:space="preserve">Ling ‘97 </w:t>
      </w:r>
      <w:r w:rsidRPr="008D1F92">
        <w:t xml:space="preserve">(et al – LL.H.M. Ling is Associate Professor on the Graduate Program in International Affairs at The New School. She graduated from Wellesley College, and from Massachusetts Institute of Technology with a Ph.D.;  along with Anna M. </w:t>
      </w:r>
      <w:proofErr w:type="spellStart"/>
      <w:r w:rsidRPr="008D1F92">
        <w:t>Agathangelou</w:t>
      </w:r>
      <w:proofErr w:type="spellEnd"/>
      <w:r w:rsidRPr="008D1F92">
        <w:t xml:space="preserve"> and , Director of the Global Change Institute in Nicosia and Former Assistant Professor of Women’s Studies and Politics at Oberlin; Studies in Political Economy, v54, Fall, p. 7-8)</w:t>
      </w:r>
      <w:r w:rsidRPr="008D1F92">
        <w:br/>
      </w:r>
    </w:p>
    <w:p w:rsidR="00476717" w:rsidRPr="008D1F92" w:rsidRDefault="00476717" w:rsidP="00476717">
      <w:pPr>
        <w:rPr>
          <w:rFonts w:eastAsia="Times New Roman"/>
          <w:sz w:val="16"/>
          <w:szCs w:val="20"/>
        </w:rPr>
      </w:pPr>
      <w:r w:rsidRPr="008D1F92">
        <w:rPr>
          <w:rFonts w:eastAsia="Times New Roman"/>
          <w:sz w:val="16"/>
          <w:szCs w:val="20"/>
        </w:rPr>
        <w:t xml:space="preserve">Given these concerns with political transformation, post-colonialism exposes several internal ironies in dissident IR. </w:t>
      </w:r>
      <w:proofErr w:type="spellStart"/>
      <w:r w:rsidRPr="008D1F92">
        <w:rPr>
          <w:rFonts w:eastAsia="Times New Roman"/>
          <w:sz w:val="16"/>
          <w:szCs w:val="20"/>
        </w:rPr>
        <w:t>Sankaran</w:t>
      </w:r>
      <w:proofErr w:type="spellEnd"/>
      <w:r w:rsidRPr="008D1F92">
        <w:rPr>
          <w:rFonts w:eastAsia="Times New Roman"/>
          <w:sz w:val="16"/>
          <w:szCs w:val="20"/>
        </w:rPr>
        <w:t xml:space="preserve"> Krishna summarizes them accordingly</w:t>
      </w:r>
      <w:proofErr w:type="gramStart"/>
      <w:r w:rsidRPr="008D1F92">
        <w:rPr>
          <w:rFonts w:eastAsia="Times New Roman"/>
          <w:sz w:val="16"/>
          <w:szCs w:val="20"/>
        </w:rPr>
        <w:t>:46</w:t>
      </w:r>
      <w:proofErr w:type="gramEnd"/>
      <w:r w:rsidRPr="008D1F92">
        <w:rPr>
          <w:rFonts w:eastAsia="Times New Roman"/>
          <w:sz w:val="16"/>
          <w:szCs w:val="20"/>
        </w:rPr>
        <w:t xml:space="preserve"> *A Fixation on the West </w:t>
      </w:r>
      <w:r w:rsidRPr="008D1F92">
        <w:rPr>
          <w:rStyle w:val="StyleUnderline"/>
        </w:rPr>
        <w:t>Dissident</w:t>
      </w:r>
      <w:r w:rsidRPr="008D1F92">
        <w:rPr>
          <w:rFonts w:eastAsia="Times New Roman"/>
          <w:b/>
          <w:szCs w:val="20"/>
          <w:u w:val="single"/>
        </w:rPr>
        <w:t xml:space="preserve"> </w:t>
      </w:r>
      <w:r w:rsidRPr="008D1F92">
        <w:rPr>
          <w:rFonts w:eastAsia="Times New Roman"/>
          <w:sz w:val="16"/>
          <w:szCs w:val="20"/>
        </w:rPr>
        <w:t xml:space="preserve">IR claims to recognize all identities in the study and practice of international life but </w:t>
      </w:r>
      <w:r w:rsidRPr="008D1F92">
        <w:rPr>
          <w:rStyle w:val="StyleUnderline"/>
        </w:rPr>
        <w:t>perpetuates a "remarkably self-contained and self-referential view of the West that</w:t>
      </w:r>
      <w:r w:rsidRPr="008D1F92">
        <w:rPr>
          <w:rFonts w:eastAsia="Times New Roman"/>
          <w:b/>
          <w:szCs w:val="20"/>
          <w:u w:val="single"/>
        </w:rPr>
        <w:t xml:space="preserve"> </w:t>
      </w:r>
      <w:r w:rsidRPr="008D1F92">
        <w:rPr>
          <w:rFonts w:eastAsia="Times New Roman"/>
          <w:sz w:val="16"/>
          <w:szCs w:val="20"/>
        </w:rPr>
        <w:t xml:space="preserve">is] oblivious to the intimate dialogue between 'Western' and 'non-Western' economies, societies, and philosophies that underwrite the disenchantment with modernity that characterizes the present epoch." 'Absence of Materiality </w:t>
      </w:r>
      <w:r w:rsidRPr="008D1F92">
        <w:rPr>
          <w:rStyle w:val="StyleUnderline"/>
        </w:rPr>
        <w:t>Despite</w:t>
      </w:r>
      <w:r w:rsidRPr="008D1F92">
        <w:rPr>
          <w:rFonts w:eastAsia="Times New Roman"/>
          <w:b/>
          <w:szCs w:val="20"/>
          <w:u w:val="single"/>
        </w:rPr>
        <w:t xml:space="preserve"> </w:t>
      </w:r>
      <w:r w:rsidRPr="008D1F92">
        <w:rPr>
          <w:rFonts w:eastAsia="Times New Roman"/>
          <w:sz w:val="16"/>
          <w:szCs w:val="20"/>
        </w:rPr>
        <w:t xml:space="preserve">its emancipatory </w:t>
      </w:r>
      <w:r w:rsidRPr="008D1F92">
        <w:rPr>
          <w:rStyle w:val="StyleUnderline"/>
        </w:rPr>
        <w:t>intentions, dissident IR tends to gloss over</w:t>
      </w:r>
      <w:r w:rsidRPr="008D1F92">
        <w:rPr>
          <w:rFonts w:eastAsia="Times New Roman"/>
          <w:b/>
          <w:szCs w:val="20"/>
          <w:u w:val="single"/>
        </w:rPr>
        <w:t xml:space="preserve"> </w:t>
      </w:r>
      <w:r w:rsidRPr="008D1F92">
        <w:rPr>
          <w:sz w:val="16"/>
        </w:rPr>
        <w:t xml:space="preserve">"a vital and </w:t>
      </w:r>
      <w:proofErr w:type="spellStart"/>
      <w:r w:rsidRPr="008D1F92">
        <w:rPr>
          <w:sz w:val="16"/>
        </w:rPr>
        <w:t>phvsicalistic</w:t>
      </w:r>
      <w:proofErr w:type="spellEnd"/>
      <w:r w:rsidRPr="008D1F92">
        <w:rPr>
          <w:sz w:val="16"/>
        </w:rPr>
        <w:t xml:space="preserve"> sense" of life's injustices (as in</w:t>
      </w:r>
      <w:r w:rsidRPr="008D1F92">
        <w:rPr>
          <w:rFonts w:eastAsia="Times New Roman"/>
          <w:b/>
          <w:szCs w:val="20"/>
          <w:u w:val="single"/>
        </w:rPr>
        <w:t xml:space="preserve"> </w:t>
      </w:r>
      <w:r w:rsidRPr="008D1F92">
        <w:rPr>
          <w:rStyle w:val="StyleUnderline"/>
        </w:rPr>
        <w:t>war) when</w:t>
      </w:r>
      <w:r w:rsidRPr="008D1F92">
        <w:rPr>
          <w:rFonts w:eastAsia="Times New Roman"/>
          <w:b/>
          <w:szCs w:val="20"/>
          <w:u w:val="single"/>
        </w:rPr>
        <w:t xml:space="preserve"> </w:t>
      </w:r>
      <w:r w:rsidRPr="008D1F92">
        <w:rPr>
          <w:rFonts w:eastAsia="Times New Roman"/>
          <w:sz w:val="16"/>
          <w:szCs w:val="20"/>
        </w:rPr>
        <w:t xml:space="preserve">"so </w:t>
      </w:r>
      <w:r w:rsidRPr="008D1F92">
        <w:rPr>
          <w:rStyle w:val="StyleUnderline"/>
        </w:rPr>
        <w:t>preoccupied with practices of representation</w:t>
      </w:r>
      <w:r w:rsidRPr="008D1F92">
        <w:rPr>
          <w:rFonts w:eastAsia="Times New Roman"/>
          <w:b/>
          <w:szCs w:val="20"/>
          <w:u w:val="single"/>
        </w:rPr>
        <w:t xml:space="preserve"> </w:t>
      </w:r>
      <w:r w:rsidRPr="008D1F92">
        <w:rPr>
          <w:rFonts w:eastAsia="Times New Roman"/>
          <w:sz w:val="16"/>
          <w:szCs w:val="20"/>
        </w:rPr>
        <w:t xml:space="preserve">and signification." 'Binding Dualisms </w:t>
      </w:r>
      <w:r w:rsidRPr="008D1F92">
        <w:rPr>
          <w:rStyle w:val="StyleUnderline"/>
        </w:rPr>
        <w:t>While denouncing</w:t>
      </w:r>
      <w:r w:rsidRPr="008D1F92">
        <w:rPr>
          <w:rFonts w:eastAsia="Times New Roman"/>
          <w:b/>
          <w:szCs w:val="20"/>
          <w:u w:val="single"/>
        </w:rPr>
        <w:t xml:space="preserve"> </w:t>
      </w:r>
      <w:r w:rsidRPr="008D1F92">
        <w:rPr>
          <w:rFonts w:eastAsia="Times New Roman"/>
          <w:sz w:val="16"/>
          <w:szCs w:val="20"/>
        </w:rPr>
        <w:t xml:space="preserve">the </w:t>
      </w:r>
      <w:r w:rsidRPr="008D1F92">
        <w:rPr>
          <w:rStyle w:val="StyleUnderline"/>
        </w:rPr>
        <w:t>dualisms that shackle sovereign international relations (e.g., order vs. chaos</w:t>
      </w:r>
      <w:r w:rsidRPr="008D1F92">
        <w:rPr>
          <w:rFonts w:eastAsia="Times New Roman"/>
          <w:sz w:val="16"/>
          <w:szCs w:val="20"/>
        </w:rPr>
        <w:t xml:space="preserve">, domestic vs. international, objectivity vs. subjectivity), </w:t>
      </w:r>
      <w:r w:rsidRPr="008D1F92">
        <w:rPr>
          <w:rStyle w:val="StyleUnderline"/>
        </w:rPr>
        <w:t>dissident IR</w:t>
      </w:r>
      <w:r w:rsidRPr="008D1F92">
        <w:t xml:space="preserve"> itself</w:t>
      </w:r>
      <w:r w:rsidRPr="008D1F92">
        <w:rPr>
          <w:rFonts w:eastAsia="Times New Roman"/>
          <w:sz w:val="16"/>
          <w:szCs w:val="20"/>
        </w:rPr>
        <w:t xml:space="preserve"> </w:t>
      </w:r>
      <w:r w:rsidRPr="008D1F92">
        <w:rPr>
          <w:rStyle w:val="StyleUnderline"/>
        </w:rPr>
        <w:t xml:space="preserve">reproduces </w:t>
      </w:r>
      <w:r w:rsidRPr="008D1F92">
        <w:rPr>
          <w:sz w:val="16"/>
        </w:rPr>
        <w:t>dichotomies such as</w:t>
      </w:r>
      <w:r w:rsidRPr="008D1F92">
        <w:rPr>
          <w:rFonts w:eastAsia="Times New Roman"/>
          <w:b/>
          <w:szCs w:val="20"/>
          <w:u w:val="single"/>
        </w:rPr>
        <w:t xml:space="preserve"> </w:t>
      </w:r>
      <w:r w:rsidRPr="008D1F92">
        <w:rPr>
          <w:rStyle w:val="StyleUnderline"/>
        </w:rPr>
        <w:t xml:space="preserve">a totalizing critique vs. a </w:t>
      </w:r>
      <w:proofErr w:type="spellStart"/>
      <w:r w:rsidRPr="008D1F92">
        <w:rPr>
          <w:rStyle w:val="StyleUnderline"/>
        </w:rPr>
        <w:t>capitulationist</w:t>
      </w:r>
      <w:proofErr w:type="spellEnd"/>
      <w:r w:rsidRPr="008D1F92">
        <w:rPr>
          <w:rStyle w:val="StyleUnderline"/>
        </w:rPr>
        <w:t xml:space="preserve"> narrative, dissidence vs. sovereignty, good vs. bad</w:t>
      </w:r>
      <w:r w:rsidRPr="008D1F92">
        <w:rPr>
          <w:rFonts w:eastAsia="Times New Roman"/>
          <w:sz w:val="16"/>
          <w:szCs w:val="20"/>
        </w:rPr>
        <w:t xml:space="preserve">. 'Disabling Politics in </w:t>
      </w:r>
      <w:r w:rsidRPr="008D1F92">
        <w:rPr>
          <w:rStyle w:val="StyleUnderline"/>
        </w:rPr>
        <w:t>its deep suspicion of a stable subjectivity</w:t>
      </w:r>
      <w:r w:rsidRPr="008D1F92">
        <w:rPr>
          <w:rFonts w:eastAsia="Times New Roman"/>
          <w:b/>
          <w:szCs w:val="20"/>
          <w:u w:val="single"/>
        </w:rPr>
        <w:t xml:space="preserve"> </w:t>
      </w:r>
      <w:r w:rsidRPr="008D1F92">
        <w:rPr>
          <w:rFonts w:eastAsia="Times New Roman"/>
          <w:sz w:val="16"/>
          <w:szCs w:val="20"/>
        </w:rPr>
        <w:t xml:space="preserve">and unitary agency, </w:t>
      </w:r>
      <w:r w:rsidRPr="008D1F92">
        <w:rPr>
          <w:rStyle w:val="StyleUnderline"/>
        </w:rPr>
        <w:t>dissident IR undermines an enabling politics for an emancipatory future</w:t>
      </w:r>
      <w:r w:rsidRPr="008D1F92">
        <w:rPr>
          <w:rFonts w:eastAsia="Times New Roman"/>
          <w:sz w:val="16"/>
          <w:szCs w:val="20"/>
        </w:rPr>
        <w:t xml:space="preserve">. Left unresolved, </w:t>
      </w:r>
      <w:r w:rsidRPr="008D1F92">
        <w:rPr>
          <w:rStyle w:val="StyleUnderline"/>
        </w:rPr>
        <w:t>these internal ironies may lead to a "new recipe of discipline and dominance."</w:t>
      </w:r>
      <w:r w:rsidRPr="008D1F92">
        <w:t>47</w:t>
      </w:r>
      <w:r w:rsidRPr="008D1F92">
        <w:rPr>
          <w:rFonts w:eastAsia="Times New Roman"/>
          <w:sz w:val="16"/>
          <w:szCs w:val="20"/>
        </w:rPr>
        <w:t xml:space="preserve"> </w:t>
      </w:r>
      <w:r w:rsidRPr="008D1F92">
        <w:rPr>
          <w:sz w:val="16"/>
        </w:rPr>
        <w:t xml:space="preserve">Dissident IR's fixation with the West offers little analytical room for an interactive, articulating, and self-generating </w:t>
      </w:r>
      <w:proofErr w:type="gramStart"/>
      <w:r w:rsidRPr="008D1F92">
        <w:rPr>
          <w:sz w:val="16"/>
        </w:rPr>
        <w:t>Other</w:t>
      </w:r>
      <w:proofErr w:type="gramEnd"/>
      <w:r w:rsidRPr="008D1F92">
        <w:rPr>
          <w:sz w:val="16"/>
        </w:rPr>
        <w:t xml:space="preserve"> in international relations. It relegates to the Other</w:t>
      </w:r>
      <w:r w:rsidRPr="008D1F92">
        <w:rPr>
          <w:b/>
          <w:sz w:val="16"/>
        </w:rPr>
        <w:t xml:space="preserve">, </w:t>
      </w:r>
      <w:r w:rsidRPr="008D1F92">
        <w:rPr>
          <w:sz w:val="16"/>
        </w:rPr>
        <w:t>instead, an identity assigned by sovereign IR: i.e., as a mute, passive reflection of the West or as an Utopian projection based solely on its Otherness</w:t>
      </w:r>
      <w:r w:rsidRPr="008D1F92">
        <w:rPr>
          <w:b/>
          <w:sz w:val="16"/>
          <w:u w:val="single"/>
        </w:rPr>
        <w:t xml:space="preserve"> </w:t>
      </w:r>
      <w:r w:rsidRPr="008D1F92">
        <w:rPr>
          <w:sz w:val="16"/>
        </w:rPr>
        <w:t>from the West With this construction of Self-Other relations</w:t>
      </w:r>
      <w:r w:rsidRPr="008D1F92">
        <w:rPr>
          <w:rFonts w:eastAsia="Times New Roman"/>
          <w:sz w:val="16"/>
          <w:szCs w:val="20"/>
        </w:rPr>
        <w:t xml:space="preserve">, </w:t>
      </w:r>
      <w:r w:rsidRPr="008D1F92">
        <w:rPr>
          <w:rStyle w:val="StyleUnderline"/>
        </w:rPr>
        <w:t>dissident IR tends to romanticize the dangers of its</w:t>
      </w:r>
      <w:r w:rsidRPr="008D1F92">
        <w:rPr>
          <w:rFonts w:eastAsia="Times New Roman"/>
          <w:b/>
          <w:szCs w:val="20"/>
          <w:u w:val="single"/>
        </w:rPr>
        <w:t xml:space="preserve"> </w:t>
      </w:r>
      <w:r w:rsidRPr="008D1F92">
        <w:rPr>
          <w:sz w:val="16"/>
        </w:rPr>
        <w:t>self-isolation into a</w:t>
      </w:r>
      <w:r w:rsidRPr="008D1F92">
        <w:rPr>
          <w:rFonts w:eastAsia="Times New Roman"/>
          <w:b/>
          <w:szCs w:val="20"/>
          <w:u w:val="single"/>
        </w:rPr>
        <w:t xml:space="preserve"> </w:t>
      </w:r>
      <w:r w:rsidRPr="008D1F92">
        <w:rPr>
          <w:rStyle w:val="StyleUnderline"/>
        </w:rPr>
        <w:t>totalizing critique — especially for those who must bear the brunt of its repercussions</w:t>
      </w:r>
      <w:r w:rsidRPr="008D1F92">
        <w:rPr>
          <w:rFonts w:eastAsia="Times New Roman"/>
          <w:sz w:val="16"/>
          <w:szCs w:val="20"/>
        </w:rPr>
        <w:t xml:space="preserve">. Indeed, dissident IR's distaste for a singular, "sovereign" subjectivity further accentuates its elitism. After all, </w:t>
      </w:r>
      <w:r w:rsidRPr="008D1F92">
        <w:rPr>
          <w:sz w:val="16"/>
        </w:rPr>
        <w:t>who can afford to not negotiate with sovereignty while refusing a coherent identity? As bell hooks writes. "Should we not be suspicious of postmodern critiques of the 'subject' when they surface at a historical moment</w:t>
      </w:r>
      <w:r w:rsidRPr="008D1F92">
        <w:rPr>
          <w:b/>
          <w:sz w:val="16"/>
        </w:rPr>
        <w:t xml:space="preserve"> </w:t>
      </w:r>
      <w:r w:rsidRPr="008D1F92">
        <w:rPr>
          <w:sz w:val="16"/>
        </w:rPr>
        <w:t>when many subjugated people feel themselves coming to voice for the first time</w:t>
      </w:r>
      <w:r w:rsidRPr="008D1F92">
        <w:rPr>
          <w:b/>
          <w:sz w:val="16"/>
        </w:rPr>
        <w:t>?"</w:t>
      </w:r>
      <w:r w:rsidRPr="008D1F92">
        <w:rPr>
          <w:rFonts w:eastAsia="Times New Roman"/>
          <w:sz w:val="16"/>
          <w:szCs w:val="20"/>
        </w:rPr>
        <w:t xml:space="preserve">48 In short, these internal ironies of </w:t>
      </w:r>
      <w:r w:rsidRPr="008D1F92">
        <w:rPr>
          <w:rStyle w:val="StyleUnderline"/>
        </w:rPr>
        <w:t xml:space="preserve">dissident IR continue to marginalize, silence, and exile precisely those it seeks to embrace. Worse yet, adds </w:t>
      </w:r>
      <w:r w:rsidRPr="008D1F92">
        <w:t>Ro</w:t>
      </w:r>
      <w:r w:rsidRPr="008D1F92">
        <w:rPr>
          <w:rFonts w:eastAsia="Times New Roman"/>
          <w:sz w:val="16"/>
          <w:szCs w:val="20"/>
        </w:rPr>
        <w:t xml:space="preserve">ger </w:t>
      </w:r>
      <w:proofErr w:type="spellStart"/>
      <w:r w:rsidRPr="008D1F92">
        <w:rPr>
          <w:rStyle w:val="StyleUnderline"/>
        </w:rPr>
        <w:t>Spegele</w:t>
      </w:r>
      <w:proofErr w:type="spellEnd"/>
      <w:r w:rsidRPr="008D1F92">
        <w:rPr>
          <w:rFonts w:eastAsia="Times New Roman"/>
          <w:sz w:val="16"/>
          <w:szCs w:val="20"/>
        </w:rPr>
        <w:t xml:space="preserve">, </w:t>
      </w:r>
      <w:r w:rsidRPr="008D1F92">
        <w:rPr>
          <w:rStyle w:val="StyleUnderline"/>
        </w:rPr>
        <w:t xml:space="preserve">dissidence as offshore observation "frees us from </w:t>
      </w:r>
      <w:r w:rsidRPr="008D1F92">
        <w:rPr>
          <w:sz w:val="16"/>
        </w:rPr>
        <w:t xml:space="preserve">the recognition that we have a </w:t>
      </w:r>
      <w:r w:rsidRPr="008D1F92">
        <w:rPr>
          <w:rStyle w:val="StyleUnderline"/>
        </w:rPr>
        <w:t>moral obligation to do anything</w:t>
      </w:r>
      <w:r w:rsidRPr="008D1F92">
        <w:rPr>
          <w:rFonts w:eastAsia="Times New Roman"/>
          <w:b/>
          <w:szCs w:val="20"/>
          <w:u w:val="single"/>
        </w:rPr>
        <w:t xml:space="preserve"> </w:t>
      </w:r>
      <w:r w:rsidRPr="008D1F92">
        <w:rPr>
          <w:sz w:val="16"/>
        </w:rPr>
        <w:t>about it</w:t>
      </w:r>
      <w:r w:rsidRPr="008D1F92">
        <w:rPr>
          <w:b/>
          <w:sz w:val="16"/>
        </w:rPr>
        <w:t>."</w:t>
      </w:r>
      <w:r w:rsidRPr="008D1F92">
        <w:rPr>
          <w:sz w:val="16"/>
        </w:rPr>
        <w:t>49</w:t>
      </w:r>
    </w:p>
    <w:p w:rsidR="00476717" w:rsidRPr="008D1F92" w:rsidRDefault="00476717" w:rsidP="00476717"/>
    <w:p w:rsidR="00476717" w:rsidRPr="008D1F92" w:rsidRDefault="00476717" w:rsidP="00476717">
      <w:pPr>
        <w:pStyle w:val="Heading3"/>
      </w:pPr>
      <w:r w:rsidRPr="008D1F92">
        <w:t>A2: Mack</w:t>
      </w:r>
    </w:p>
    <w:p w:rsidR="00476717" w:rsidRPr="008D1F92" w:rsidRDefault="00476717" w:rsidP="00476717">
      <w:pPr>
        <w:pStyle w:val="Heading4"/>
      </w:pPr>
      <w:r w:rsidRPr="008D1F92">
        <w:t xml:space="preserve">Psychoanalysis wrong </w:t>
      </w:r>
    </w:p>
    <w:p w:rsidR="00476717" w:rsidRDefault="00476717" w:rsidP="008D1F92">
      <w:pPr>
        <w:widowControl w:val="0"/>
      </w:pPr>
      <w:r w:rsidRPr="008D1F92">
        <w:rPr>
          <w:rStyle w:val="Style13ptBold"/>
        </w:rPr>
        <w:t xml:space="preserve">Robinson ‘5 </w:t>
      </w:r>
      <w:r w:rsidRPr="008D1F92">
        <w:t>(Andrew, Early Career Fellow in the School of Politics – University of Nottingham, “The Political Theory of Constitutive Lack: A Critique”, Theory &amp; Event, 8(1))</w:t>
      </w:r>
    </w:p>
    <w:p w:rsidR="008D1F92" w:rsidRPr="008D1F92" w:rsidRDefault="008D1F92" w:rsidP="008D1F92"/>
    <w:p w:rsidR="00476717" w:rsidRPr="008D1F92" w:rsidRDefault="00476717" w:rsidP="00476717">
      <w:pPr>
        <w:widowControl w:val="0"/>
        <w:rPr>
          <w:rFonts w:eastAsia="Times New Roman"/>
          <w:sz w:val="14"/>
          <w:szCs w:val="20"/>
        </w:rPr>
      </w:pPr>
      <w:proofErr w:type="gramStart"/>
      <w:r w:rsidRPr="008D1F92">
        <w:rPr>
          <w:rFonts w:eastAsia="Times New Roman"/>
          <w:sz w:val="14"/>
          <w:szCs w:val="20"/>
        </w:rPr>
        <w:t>  Lacanian</w:t>
      </w:r>
      <w:proofErr w:type="gramEnd"/>
      <w:r w:rsidRPr="008D1F92">
        <w:rPr>
          <w:rFonts w:eastAsia="Times New Roman"/>
          <w:sz w:val="14"/>
          <w:szCs w:val="20"/>
        </w:rPr>
        <w:t xml:space="preserve"> analysis consists mainly of an exercise in projection.  As a result, </w:t>
      </w:r>
      <w:r w:rsidRPr="008D1F92">
        <w:rPr>
          <w:rFonts w:eastAsia="Times New Roman" w:cs="Arial"/>
          <w:bCs/>
          <w:szCs w:val="26"/>
          <w:u w:val="single"/>
        </w:rPr>
        <w:t>Lacanian "explanations"</w:t>
      </w:r>
      <w:r w:rsidRPr="008D1F92">
        <w:rPr>
          <w:rFonts w:eastAsia="Times New Roman"/>
          <w:sz w:val="14"/>
          <w:szCs w:val="20"/>
        </w:rPr>
        <w:t xml:space="preserve"> often </w:t>
      </w:r>
      <w:r w:rsidRPr="008D1F92">
        <w:rPr>
          <w:rFonts w:eastAsia="Times New Roman" w:cs="Arial"/>
          <w:bCs/>
          <w:szCs w:val="26"/>
          <w:u w:val="single"/>
        </w:rPr>
        <w:t>look more</w:t>
      </w:r>
      <w:r w:rsidRPr="008D1F92">
        <w:rPr>
          <w:rFonts w:eastAsia="Times New Roman"/>
          <w:sz w:val="14"/>
          <w:szCs w:val="20"/>
        </w:rPr>
        <w:t xml:space="preserve"> </w:t>
      </w:r>
      <w:r w:rsidRPr="008D1F92">
        <w:rPr>
          <w:rFonts w:eastAsia="Times New Roman" w:cs="Arial"/>
          <w:bCs/>
          <w:szCs w:val="26"/>
          <w:u w:val="single"/>
        </w:rPr>
        <w:t>propagandistic</w:t>
      </w:r>
      <w:r w:rsidRPr="008D1F92">
        <w:rPr>
          <w:rFonts w:eastAsia="Times New Roman"/>
          <w:sz w:val="14"/>
          <w:szCs w:val="20"/>
        </w:rPr>
        <w:t xml:space="preserve"> or pedagogical </w:t>
      </w:r>
      <w:r w:rsidRPr="008D1F92">
        <w:rPr>
          <w:rStyle w:val="StyleUnderline"/>
        </w:rPr>
        <w:t>than explanatory</w:t>
      </w:r>
      <w:r w:rsidRPr="008D1F92">
        <w:rPr>
          <w:rFonts w:eastAsia="Times New Roman"/>
          <w:sz w:val="14"/>
          <w:szCs w:val="20"/>
        </w:rPr>
        <w:t xml:space="preserve">.  </w:t>
      </w:r>
      <w:r w:rsidRPr="008D1F92">
        <w:rPr>
          <w:rFonts w:eastAsia="Times New Roman" w:cs="Arial"/>
          <w:bCs/>
          <w:szCs w:val="26"/>
          <w:u w:val="single"/>
        </w:rPr>
        <w:t>A particular case is dealt with only in order to</w:t>
      </w:r>
      <w:r w:rsidRPr="008D1F92">
        <w:rPr>
          <w:rFonts w:eastAsia="Times New Roman"/>
          <w:sz w:val="14"/>
          <w:szCs w:val="20"/>
        </w:rPr>
        <w:t xml:space="preserve">, and to the extent that it can, </w:t>
      </w:r>
      <w:r w:rsidRPr="008D1F92">
        <w:rPr>
          <w:rFonts w:eastAsia="Times New Roman" w:cs="Arial"/>
          <w:bCs/>
          <w:szCs w:val="26"/>
          <w:u w:val="single"/>
        </w:rPr>
        <w:t>confirm</w:t>
      </w:r>
      <w:r w:rsidRPr="008D1F92">
        <w:rPr>
          <w:rFonts w:eastAsia="Times New Roman"/>
          <w:sz w:val="14"/>
          <w:szCs w:val="20"/>
        </w:rPr>
        <w:t xml:space="preserve"> the </w:t>
      </w:r>
      <w:r w:rsidRPr="008D1F92">
        <w:rPr>
          <w:rFonts w:eastAsia="Times New Roman" w:cs="Arial"/>
          <w:b/>
          <w:bCs/>
          <w:szCs w:val="26"/>
          <w:u w:val="single"/>
        </w:rPr>
        <w:t>already-formulated</w:t>
      </w:r>
      <w:r w:rsidRPr="008D1F92">
        <w:rPr>
          <w:rFonts w:eastAsia="Times New Roman"/>
          <w:sz w:val="14"/>
          <w:szCs w:val="20"/>
        </w:rPr>
        <w:t xml:space="preserve"> structural </w:t>
      </w:r>
      <w:r w:rsidRPr="008D1F92">
        <w:rPr>
          <w:rFonts w:eastAsia="Times New Roman" w:cs="Arial"/>
          <w:bCs/>
          <w:szCs w:val="26"/>
          <w:u w:val="single"/>
        </w:rPr>
        <w:t>theory</w:t>
      </w:r>
      <w:r w:rsidRPr="008D1F92">
        <w:rPr>
          <w:rFonts w:eastAsia="Times New Roman"/>
          <w:sz w:val="14"/>
          <w:szCs w:val="20"/>
        </w:rPr>
        <w:t xml:space="preserve">.  Judith Butler criticizes </w:t>
      </w:r>
      <w:proofErr w:type="spellStart"/>
      <w:r w:rsidRPr="008D1F92">
        <w:rPr>
          <w:rStyle w:val="StyleUnderline"/>
        </w:rPr>
        <w:t>Zizek's</w:t>
      </w:r>
      <w:proofErr w:type="spellEnd"/>
      <w:r w:rsidRPr="008D1F92">
        <w:rPr>
          <w:rStyle w:val="StyleUnderline"/>
        </w:rPr>
        <w:t xml:space="preserve"> method</w:t>
      </w:r>
      <w:r w:rsidRPr="008D1F92">
        <w:rPr>
          <w:rFonts w:eastAsia="Times New Roman"/>
          <w:sz w:val="14"/>
          <w:szCs w:val="20"/>
        </w:rPr>
        <w:t xml:space="preserve"> on the grounds that 'theory is </w:t>
      </w:r>
      <w:r w:rsidRPr="008D1F92">
        <w:rPr>
          <w:rStyle w:val="StyleUnderline"/>
        </w:rPr>
        <w:t>applied</w:t>
      </w:r>
      <w:r w:rsidRPr="008D1F92">
        <w:rPr>
          <w:rFonts w:eastAsia="Times New Roman"/>
          <w:sz w:val="14"/>
          <w:szCs w:val="20"/>
        </w:rPr>
        <w:t xml:space="preserve"> </w:t>
      </w:r>
      <w:r w:rsidRPr="008D1F92">
        <w:rPr>
          <w:rStyle w:val="StyleUnderline"/>
        </w:rPr>
        <w:t>to its examples', as if 'already true</w:t>
      </w:r>
      <w:r w:rsidRPr="008D1F92">
        <w:rPr>
          <w:rFonts w:eastAsia="Times New Roman"/>
          <w:sz w:val="14"/>
          <w:szCs w:val="20"/>
        </w:rPr>
        <w:t>, prior to its exemplification'.  'The theory is articulated on its self-sufficiency, and then shifts register only for the pedagogical purpose of illustrating an already accomplished truth'.  It is therefore 'a theoretical fetish that disavows the conditions of its own emergence'</w:t>
      </w:r>
      <w:bookmarkStart w:id="1" w:name="_ednref52"/>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"_edn52" </w:instrText>
      </w:r>
      <w:r w:rsidRPr="008D1F92">
        <w:rPr>
          <w:rFonts w:eastAsia="Times New Roman"/>
          <w:sz w:val="14"/>
          <w:szCs w:val="20"/>
        </w:rPr>
        <w:fldChar w:fldCharType="separate"/>
      </w:r>
      <w:r w:rsidRPr="008D1F92">
        <w:rPr>
          <w:rFonts w:eastAsia="Times New Roman"/>
          <w:sz w:val="14"/>
          <w:szCs w:val="20"/>
        </w:rPr>
        <w:t>52</w:t>
      </w:r>
      <w:r w:rsidRPr="008D1F92">
        <w:rPr>
          <w:rFonts w:eastAsia="Times New Roman"/>
          <w:sz w:val="14"/>
          <w:szCs w:val="20"/>
        </w:rPr>
        <w:fldChar w:fldCharType="end"/>
      </w:r>
      <w:bookmarkEnd w:id="1"/>
      <w:r w:rsidRPr="008D1F92">
        <w:rPr>
          <w:rFonts w:eastAsia="Times New Roman"/>
          <w:sz w:val="14"/>
          <w:szCs w:val="20"/>
        </w:rPr>
        <w:t>.  She alleges that Lacanian psychoanalysis 'becomes a theological project' and also 'a way to avoid the rather messy psychic and social entanglement' involved in studying specific cases</w:t>
      </w:r>
      <w:bookmarkStart w:id="2" w:name="_ednref53"/>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"_edn53" \o "" </w:instrText>
      </w:r>
      <w:r w:rsidRPr="008D1F92">
        <w:rPr>
          <w:rFonts w:eastAsia="Times New Roman"/>
          <w:sz w:val="14"/>
          <w:szCs w:val="20"/>
        </w:rPr>
        <w:fldChar w:fldCharType="separate"/>
      </w:r>
      <w:r w:rsidRPr="008D1F92">
        <w:rPr>
          <w:rFonts w:eastAsia="Times New Roman"/>
          <w:sz w:val="14"/>
          <w:szCs w:val="20"/>
        </w:rPr>
        <w:t>53</w:t>
      </w:r>
      <w:r w:rsidRPr="008D1F92">
        <w:rPr>
          <w:rFonts w:eastAsia="Times New Roman"/>
          <w:sz w:val="14"/>
          <w:szCs w:val="20"/>
        </w:rPr>
        <w:fldChar w:fldCharType="end"/>
      </w:r>
      <w:bookmarkEnd w:id="2"/>
      <w:r w:rsidRPr="008D1F92">
        <w:rPr>
          <w:rFonts w:eastAsia="Times New Roman"/>
          <w:sz w:val="14"/>
          <w:szCs w:val="20"/>
        </w:rPr>
        <w:t xml:space="preserve">.  Similarly, Dominick </w:t>
      </w:r>
      <w:proofErr w:type="spellStart"/>
      <w:r w:rsidRPr="008D1F92">
        <w:rPr>
          <w:rFonts w:eastAsia="Times New Roman"/>
          <w:sz w:val="14"/>
          <w:szCs w:val="20"/>
        </w:rPr>
        <w:t>LaCapra</w:t>
      </w:r>
      <w:proofErr w:type="spellEnd"/>
      <w:r w:rsidRPr="008D1F92">
        <w:rPr>
          <w:rFonts w:eastAsia="Times New Roman"/>
          <w:sz w:val="14"/>
          <w:szCs w:val="20"/>
        </w:rPr>
        <w:t xml:space="preserve"> objects to the idea of constitutive lack because specific 'losses cannot be adequately addressed when they are enveloped in an overly </w:t>
      </w:r>
      <w:proofErr w:type="spellStart"/>
      <w:r w:rsidRPr="008D1F92">
        <w:rPr>
          <w:rFonts w:eastAsia="Times New Roman"/>
          <w:sz w:val="14"/>
          <w:szCs w:val="20"/>
        </w:rPr>
        <w:t>generalised</w:t>
      </w:r>
      <w:proofErr w:type="spellEnd"/>
      <w:r w:rsidRPr="008D1F92">
        <w:rPr>
          <w:rFonts w:eastAsia="Times New Roman"/>
          <w:sz w:val="14"/>
          <w:szCs w:val="20"/>
        </w:rPr>
        <w:t xml:space="preserve"> discourse of absence... Conversely, absence at a "foundational" level cannot simply be derived from particular historical losses'</w:t>
      </w:r>
      <w:bookmarkStart w:id="3" w:name="_ednref54"/>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"_edn54" </w:instrText>
      </w:r>
      <w:r w:rsidRPr="008D1F92">
        <w:rPr>
          <w:rFonts w:eastAsia="Times New Roman"/>
          <w:sz w:val="14"/>
          <w:szCs w:val="20"/>
        </w:rPr>
        <w:fldChar w:fldCharType="separate"/>
      </w:r>
      <w:r w:rsidRPr="008D1F92">
        <w:rPr>
          <w:rFonts w:eastAsia="Times New Roman"/>
          <w:sz w:val="14"/>
          <w:szCs w:val="20"/>
        </w:rPr>
        <w:t>54</w:t>
      </w:r>
      <w:r w:rsidRPr="008D1F92">
        <w:rPr>
          <w:rFonts w:eastAsia="Times New Roman"/>
          <w:sz w:val="14"/>
          <w:szCs w:val="20"/>
        </w:rPr>
        <w:fldChar w:fldCharType="end"/>
      </w:r>
      <w:bookmarkEnd w:id="3"/>
      <w:r w:rsidRPr="008D1F92">
        <w:rPr>
          <w:rFonts w:eastAsia="Times New Roman"/>
          <w:sz w:val="14"/>
          <w:szCs w:val="20"/>
        </w:rPr>
        <w:t>.  Attacking 'the long story of conflating absence with loss that becomes constitutive instead of historical'</w:t>
      </w:r>
      <w:bookmarkStart w:id="4" w:name="_ednref55"/>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"_edn55" \o "" </w:instrText>
      </w:r>
      <w:r w:rsidRPr="008D1F92">
        <w:rPr>
          <w:rFonts w:eastAsia="Times New Roman"/>
          <w:sz w:val="14"/>
          <w:szCs w:val="20"/>
        </w:rPr>
        <w:fldChar w:fldCharType="separate"/>
      </w:r>
      <w:r w:rsidRPr="008D1F92">
        <w:rPr>
          <w:rFonts w:eastAsia="Times New Roman"/>
          <w:sz w:val="14"/>
          <w:szCs w:val="20"/>
        </w:rPr>
        <w:t>55</w:t>
      </w:r>
      <w:r w:rsidRPr="008D1F92">
        <w:rPr>
          <w:rFonts w:eastAsia="Times New Roman"/>
          <w:sz w:val="14"/>
          <w:szCs w:val="20"/>
        </w:rPr>
        <w:fldChar w:fldCharType="end"/>
      </w:r>
      <w:bookmarkEnd w:id="4"/>
      <w:r w:rsidRPr="008D1F92">
        <w:rPr>
          <w:rFonts w:eastAsia="Times New Roman"/>
          <w:sz w:val="14"/>
          <w:szCs w:val="20"/>
        </w:rPr>
        <w:t xml:space="preserve">, he accuses several theorists of eliding the difference between absence and loss, with 'confusing and dubious results', including a 'tendency to avoid addressing historical problems, including losses, in sufficiently specific terms', and a tendency to 'enshroud, perhaps even to </w:t>
      </w:r>
      <w:proofErr w:type="spellStart"/>
      <w:r w:rsidRPr="008D1F92">
        <w:rPr>
          <w:rFonts w:eastAsia="Times New Roman"/>
          <w:sz w:val="14"/>
          <w:szCs w:val="20"/>
        </w:rPr>
        <w:t>etherealise</w:t>
      </w:r>
      <w:proofErr w:type="spellEnd"/>
      <w:r w:rsidRPr="008D1F92">
        <w:rPr>
          <w:rFonts w:eastAsia="Times New Roman"/>
          <w:sz w:val="14"/>
          <w:szCs w:val="20"/>
        </w:rPr>
        <w:t xml:space="preserve">, them in a </w:t>
      </w:r>
      <w:proofErr w:type="spellStart"/>
      <w:r w:rsidRPr="008D1F92">
        <w:rPr>
          <w:rFonts w:eastAsia="Times New Roman"/>
          <w:sz w:val="14"/>
          <w:szCs w:val="20"/>
        </w:rPr>
        <w:t>generalised</w:t>
      </w:r>
      <w:proofErr w:type="spellEnd"/>
      <w:r w:rsidRPr="008D1F92">
        <w:rPr>
          <w:rFonts w:eastAsia="Times New Roman"/>
          <w:sz w:val="14"/>
          <w:szCs w:val="20"/>
        </w:rPr>
        <w:t xml:space="preserve"> discourse of absence'</w:t>
      </w:r>
      <w:bookmarkStart w:id="5" w:name="_ednref56"/>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"_edn56" </w:instrText>
      </w:r>
      <w:r w:rsidRPr="008D1F92">
        <w:rPr>
          <w:rFonts w:eastAsia="Times New Roman"/>
          <w:sz w:val="14"/>
          <w:szCs w:val="20"/>
        </w:rPr>
        <w:fldChar w:fldCharType="separate"/>
      </w:r>
      <w:r w:rsidRPr="008D1F92">
        <w:rPr>
          <w:rFonts w:eastAsia="Times New Roman"/>
          <w:sz w:val="14"/>
          <w:szCs w:val="20"/>
        </w:rPr>
        <w:t>56</w:t>
      </w:r>
      <w:r w:rsidRPr="008D1F92">
        <w:rPr>
          <w:rFonts w:eastAsia="Times New Roman"/>
          <w:sz w:val="14"/>
          <w:szCs w:val="20"/>
        </w:rPr>
        <w:fldChar w:fldCharType="end"/>
      </w:r>
      <w:bookmarkEnd w:id="5"/>
      <w:r w:rsidRPr="008D1F92">
        <w:rPr>
          <w:rFonts w:eastAsia="Times New Roman"/>
          <w:sz w:val="14"/>
          <w:szCs w:val="20"/>
        </w:rPr>
        <w:t xml:space="preserve">.  Daniel </w:t>
      </w:r>
      <w:proofErr w:type="spellStart"/>
      <w:r w:rsidRPr="008D1F92">
        <w:rPr>
          <w:rFonts w:eastAsia="Times New Roman"/>
          <w:sz w:val="14"/>
          <w:szCs w:val="20"/>
        </w:rPr>
        <w:t>Bensa</w:t>
      </w:r>
      <w:r w:rsidRPr="008D1F92">
        <w:rPr>
          <w:rFonts w:eastAsia="Arial Unicode MS"/>
          <w:sz w:val="14"/>
          <w:szCs w:val="20"/>
        </w:rPr>
        <w:t>’</w:t>
      </w:r>
      <w:r w:rsidRPr="008D1F92">
        <w:rPr>
          <w:rFonts w:eastAsia="Times New Roman"/>
          <w:sz w:val="14"/>
          <w:szCs w:val="20"/>
        </w:rPr>
        <w:t>d</w:t>
      </w:r>
      <w:proofErr w:type="spellEnd"/>
      <w:r w:rsidRPr="008D1F92">
        <w:rPr>
          <w:rFonts w:eastAsia="Times New Roman"/>
          <w:sz w:val="14"/>
          <w:szCs w:val="20"/>
        </w:rPr>
        <w:t xml:space="preserve"> draws out the political consequences of the projection of absolutes into politics.  'The fetishism of the absolute event involves... a suppression of historical intelligibility, necessary to its </w:t>
      </w:r>
      <w:proofErr w:type="spellStart"/>
      <w:r w:rsidRPr="008D1F92">
        <w:rPr>
          <w:rFonts w:eastAsia="Times New Roman"/>
          <w:sz w:val="14"/>
          <w:szCs w:val="20"/>
        </w:rPr>
        <w:t>depoliticization</w:t>
      </w:r>
      <w:proofErr w:type="spellEnd"/>
      <w:r w:rsidRPr="008D1F92">
        <w:rPr>
          <w:rFonts w:eastAsia="Times New Roman"/>
          <w:sz w:val="14"/>
          <w:szCs w:val="20"/>
        </w:rPr>
        <w:t>'.  The space from which politics is evacuated 'becomes... a suitable place for abstractions, delusions and hypostases'.  Instead of actual social forces, there are 'shadows and spectres'</w:t>
      </w:r>
      <w:bookmarkStart w:id="6" w:name="_ednref57"/>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"_edn57" </w:instrText>
      </w:r>
      <w:r w:rsidRPr="008D1F92">
        <w:rPr>
          <w:rFonts w:eastAsia="Times New Roman"/>
          <w:sz w:val="14"/>
          <w:szCs w:val="20"/>
        </w:rPr>
        <w:fldChar w:fldCharType="separate"/>
      </w:r>
      <w:r w:rsidRPr="008D1F92">
        <w:rPr>
          <w:rFonts w:eastAsia="Times New Roman"/>
          <w:sz w:val="14"/>
          <w:szCs w:val="20"/>
        </w:rPr>
        <w:t>57</w:t>
      </w:r>
      <w:r w:rsidRPr="008D1F92">
        <w:rPr>
          <w:rFonts w:eastAsia="Times New Roman"/>
          <w:sz w:val="14"/>
          <w:szCs w:val="20"/>
        </w:rPr>
        <w:fldChar w:fldCharType="end"/>
      </w:r>
      <w:bookmarkEnd w:id="6"/>
      <w:r w:rsidRPr="008D1F92">
        <w:rPr>
          <w:rFonts w:eastAsia="Times New Roman"/>
          <w:sz w:val="14"/>
          <w:szCs w:val="20"/>
        </w:rPr>
        <w:t xml:space="preserve">. </w:t>
      </w:r>
      <w:r w:rsidRPr="008D1F92">
        <w:rPr>
          <w:rFonts w:eastAsia="Times New Roman"/>
          <w:sz w:val="14"/>
          <w:szCs w:val="20"/>
        </w:rPr>
        <w:t xml:space="preserve">       </w:t>
      </w:r>
      <w:proofErr w:type="gramStart"/>
      <w:r w:rsidRPr="008D1F92">
        <w:rPr>
          <w:rFonts w:eastAsia="Times New Roman"/>
          <w:sz w:val="14"/>
          <w:szCs w:val="20"/>
        </w:rPr>
        <w:t>The</w:t>
      </w:r>
      <w:proofErr w:type="gramEnd"/>
      <w:r w:rsidRPr="008D1F92">
        <w:rPr>
          <w:rFonts w:eastAsia="Times New Roman"/>
          <w:sz w:val="14"/>
          <w:szCs w:val="20"/>
        </w:rPr>
        <w:t xml:space="preserve"> operation of the logic of projection is predictable.  </w:t>
      </w:r>
      <w:r w:rsidRPr="008D1F92">
        <w:rPr>
          <w:rFonts w:eastAsia="Times New Roman" w:cs="Arial"/>
          <w:bCs/>
          <w:szCs w:val="26"/>
          <w:u w:val="single"/>
        </w:rPr>
        <w:t xml:space="preserve">According to </w:t>
      </w:r>
      <w:proofErr w:type="spellStart"/>
      <w:r w:rsidRPr="008D1F92">
        <w:rPr>
          <w:rFonts w:eastAsia="Times New Roman" w:cs="Arial"/>
          <w:bCs/>
          <w:szCs w:val="26"/>
          <w:u w:val="single"/>
        </w:rPr>
        <w:t>Lacanians</w:t>
      </w:r>
      <w:proofErr w:type="spellEnd"/>
      <w:r w:rsidRPr="008D1F92">
        <w:rPr>
          <w:rFonts w:eastAsia="Times New Roman" w:cs="Arial"/>
          <w:bCs/>
          <w:szCs w:val="26"/>
          <w:u w:val="single"/>
        </w:rPr>
        <w:t>, there is a basic structure</w:t>
      </w:r>
      <w:r w:rsidRPr="008D1F92">
        <w:rPr>
          <w:rFonts w:eastAsia="Times New Roman"/>
          <w:sz w:val="14"/>
          <w:szCs w:val="20"/>
        </w:rPr>
        <w:t xml:space="preserve"> (sometimes called a 'ground' or 'matrix') </w:t>
      </w:r>
      <w:r w:rsidRPr="008D1F92">
        <w:rPr>
          <w:rFonts w:eastAsia="Times New Roman" w:cs="Arial"/>
          <w:bCs/>
          <w:szCs w:val="26"/>
          <w:u w:val="single"/>
        </w:rPr>
        <w:t>from which all</w:t>
      </w:r>
      <w:r w:rsidRPr="008D1F92">
        <w:rPr>
          <w:rFonts w:eastAsia="Times New Roman"/>
          <w:sz w:val="14"/>
          <w:szCs w:val="20"/>
        </w:rPr>
        <w:t xml:space="preserve"> social </w:t>
      </w:r>
      <w:r w:rsidRPr="008D1F92">
        <w:rPr>
          <w:rFonts w:eastAsia="Times New Roman" w:cs="Arial"/>
          <w:bCs/>
          <w:szCs w:val="26"/>
          <w:u w:val="single"/>
        </w:rPr>
        <w:t>phenomena arise</w:t>
      </w:r>
      <w:r w:rsidRPr="008D1F92">
        <w:rPr>
          <w:rFonts w:eastAsia="Times New Roman"/>
          <w:sz w:val="14"/>
          <w:szCs w:val="20"/>
        </w:rPr>
        <w:t xml:space="preserve">, and this structure, which remains unchanged in all eventualities, is the reference-point from which particular cases are viewed.  </w:t>
      </w:r>
      <w:r w:rsidRPr="008D1F92">
        <w:rPr>
          <w:rFonts w:eastAsia="Times New Roman" w:cs="Arial"/>
          <w:bCs/>
          <w:szCs w:val="26"/>
          <w:u w:val="single"/>
        </w:rPr>
        <w:t>The "fit" between theory and evidence is constructed</w:t>
      </w:r>
      <w:r w:rsidRPr="008D1F92">
        <w:rPr>
          <w:rFonts w:eastAsia="Times New Roman"/>
          <w:sz w:val="14"/>
          <w:szCs w:val="20"/>
        </w:rPr>
        <w:t xml:space="preserve"> </w:t>
      </w:r>
      <w:proofErr w:type="spellStart"/>
      <w:r w:rsidRPr="008D1F92">
        <w:rPr>
          <w:rFonts w:eastAsia="Times New Roman" w:cs="Arial"/>
          <w:b/>
          <w:bCs/>
          <w:szCs w:val="26"/>
          <w:u w:val="single"/>
        </w:rPr>
        <w:t>monologically</w:t>
      </w:r>
      <w:proofErr w:type="spellEnd"/>
      <w:r w:rsidRPr="008D1F92">
        <w:rPr>
          <w:rFonts w:eastAsia="Times New Roman"/>
          <w:sz w:val="14"/>
          <w:szCs w:val="20"/>
        </w:rPr>
        <w:t xml:space="preserve"> </w:t>
      </w:r>
      <w:r w:rsidRPr="008D1F92">
        <w:rPr>
          <w:rFonts w:eastAsia="Times New Roman" w:cs="Arial"/>
          <w:bCs/>
          <w:szCs w:val="26"/>
          <w:u w:val="single"/>
        </w:rPr>
        <w:t>by the</w:t>
      </w:r>
      <w:r w:rsidRPr="008D1F92">
        <w:rPr>
          <w:rFonts w:eastAsia="Times New Roman"/>
          <w:sz w:val="14"/>
          <w:szCs w:val="20"/>
        </w:rPr>
        <w:t xml:space="preserve"> </w:t>
      </w:r>
      <w:r w:rsidRPr="008D1F92">
        <w:rPr>
          <w:rFonts w:eastAsia="Times New Roman" w:cs="Arial"/>
          <w:b/>
          <w:bCs/>
          <w:szCs w:val="26"/>
          <w:u w:val="single"/>
        </w:rPr>
        <w:t>reduction</w:t>
      </w:r>
      <w:r w:rsidRPr="008D1F92">
        <w:rPr>
          <w:rFonts w:eastAsia="Times New Roman"/>
          <w:sz w:val="14"/>
          <w:szCs w:val="20"/>
        </w:rPr>
        <w:t xml:space="preserve"> </w:t>
      </w:r>
      <w:r w:rsidRPr="008D1F92">
        <w:rPr>
          <w:rFonts w:eastAsia="Times New Roman" w:cs="Arial"/>
          <w:bCs/>
          <w:szCs w:val="26"/>
          <w:u w:val="single"/>
        </w:rPr>
        <w:t>of the latter to the former</w:t>
      </w:r>
      <w:r w:rsidRPr="008D1F92">
        <w:rPr>
          <w:rFonts w:eastAsia="Times New Roman"/>
          <w:sz w:val="14"/>
          <w:szCs w:val="20"/>
        </w:rPr>
        <w:t xml:space="preserve">, </w:t>
      </w:r>
      <w:r w:rsidRPr="008D1F92">
        <w:rPr>
          <w:rFonts w:eastAsia="Times New Roman" w:cs="Arial"/>
          <w:bCs/>
          <w:szCs w:val="26"/>
          <w:u w:val="single"/>
        </w:rPr>
        <w:t>or by</w:t>
      </w:r>
      <w:r w:rsidRPr="008D1F92">
        <w:rPr>
          <w:rFonts w:eastAsia="Times New Roman"/>
          <w:sz w:val="14"/>
          <w:szCs w:val="20"/>
        </w:rPr>
        <w:t xml:space="preserve"> </w:t>
      </w:r>
      <w:r w:rsidRPr="008D1F92">
        <w:rPr>
          <w:rFonts w:eastAsia="Times New Roman" w:cs="Arial"/>
          <w:b/>
          <w:bCs/>
          <w:szCs w:val="26"/>
          <w:u w:val="single"/>
        </w:rPr>
        <w:t>selectivity</w:t>
      </w:r>
      <w:r w:rsidRPr="008D1F92">
        <w:rPr>
          <w:rFonts w:eastAsia="Times New Roman"/>
          <w:sz w:val="14"/>
          <w:szCs w:val="20"/>
        </w:rPr>
        <w:t xml:space="preserve"> </w:t>
      </w:r>
      <w:r w:rsidRPr="008D1F92">
        <w:rPr>
          <w:rFonts w:eastAsia="Times New Roman" w:cs="Arial"/>
          <w:bCs/>
          <w:szCs w:val="26"/>
          <w:u w:val="single"/>
        </w:rPr>
        <w:t>in</w:t>
      </w:r>
      <w:r w:rsidRPr="008D1F92">
        <w:rPr>
          <w:rFonts w:eastAsia="Times New Roman"/>
          <w:sz w:val="14"/>
          <w:szCs w:val="20"/>
        </w:rPr>
        <w:t xml:space="preserve"> </w:t>
      </w:r>
      <w:r w:rsidRPr="008D1F92">
        <w:rPr>
          <w:rFonts w:eastAsia="Times New Roman" w:cs="Arial"/>
          <w:bCs/>
          <w:szCs w:val="26"/>
          <w:u w:val="single"/>
        </w:rPr>
        <w:t>inclusion and reading of examples</w:t>
      </w:r>
      <w:r w:rsidRPr="008D1F92">
        <w:rPr>
          <w:rFonts w:eastAsia="Times New Roman"/>
          <w:sz w:val="14"/>
          <w:szCs w:val="20"/>
        </w:rPr>
        <w:t xml:space="preserve">.  At its simplest, the Lacanian myth functions by </w:t>
      </w:r>
      <w:proofErr w:type="gramStart"/>
      <w:r w:rsidRPr="008D1F92">
        <w:rPr>
          <w:rFonts w:eastAsia="Times New Roman"/>
          <w:sz w:val="14"/>
          <w:szCs w:val="20"/>
        </w:rPr>
        <w:t>a short-circuit</w:t>
      </w:r>
      <w:proofErr w:type="gramEnd"/>
      <w:r w:rsidRPr="008D1F92">
        <w:rPr>
          <w:rFonts w:eastAsia="Times New Roman"/>
          <w:sz w:val="14"/>
          <w:szCs w:val="20"/>
        </w:rPr>
        <w:t xml:space="preserve"> between a particular instance and statements containing words such as "all", "always", "never", "necessity" and so on.  </w:t>
      </w:r>
      <w:r w:rsidRPr="008D1F92">
        <w:rPr>
          <w:rFonts w:eastAsia="Times New Roman" w:cs="Arial"/>
          <w:bCs/>
          <w:szCs w:val="26"/>
          <w:u w:val="single"/>
        </w:rPr>
        <w:t>A</w:t>
      </w:r>
      <w:r w:rsidRPr="008D1F92">
        <w:rPr>
          <w:rFonts w:eastAsia="Times New Roman"/>
          <w:sz w:val="14"/>
          <w:szCs w:val="20"/>
        </w:rPr>
        <w:t xml:space="preserve"> contingent </w:t>
      </w:r>
      <w:r w:rsidRPr="008D1F92">
        <w:rPr>
          <w:rFonts w:eastAsia="Times New Roman" w:cs="Arial"/>
          <w:bCs/>
          <w:szCs w:val="26"/>
          <w:u w:val="single"/>
        </w:rPr>
        <w:t>example</w:t>
      </w:r>
      <w:r w:rsidRPr="008D1F92">
        <w:rPr>
          <w:rFonts w:eastAsia="Times New Roman"/>
          <w:sz w:val="14"/>
          <w:szCs w:val="20"/>
        </w:rPr>
        <w:t xml:space="preserve"> or a generic reference to "experience" </w:t>
      </w:r>
      <w:r w:rsidRPr="008D1F92">
        <w:rPr>
          <w:rFonts w:eastAsia="Times New Roman" w:cs="Arial"/>
          <w:bCs/>
          <w:szCs w:val="26"/>
          <w:u w:val="single"/>
        </w:rPr>
        <w:t>is used</w:t>
      </w:r>
      <w:r w:rsidRPr="008D1F92">
        <w:rPr>
          <w:rFonts w:eastAsia="Times New Roman"/>
          <w:sz w:val="14"/>
          <w:szCs w:val="20"/>
        </w:rPr>
        <w:t xml:space="preserve">, </w:t>
      </w:r>
      <w:r w:rsidRPr="008D1F92">
        <w:rPr>
          <w:rFonts w:eastAsia="Times New Roman" w:cs="Arial"/>
          <w:b/>
          <w:bCs/>
          <w:szCs w:val="26"/>
          <w:u w:val="single"/>
        </w:rPr>
        <w:t>misleadingly</w:t>
      </w:r>
      <w:r w:rsidRPr="008D1F92">
        <w:rPr>
          <w:rFonts w:eastAsia="Times New Roman"/>
          <w:sz w:val="14"/>
          <w:szCs w:val="20"/>
        </w:rPr>
        <w:t xml:space="preserve">, </w:t>
      </w:r>
      <w:r w:rsidRPr="008D1F92">
        <w:rPr>
          <w:rFonts w:eastAsia="Times New Roman" w:cs="Arial"/>
          <w:bCs/>
          <w:szCs w:val="26"/>
          <w:u w:val="single"/>
        </w:rPr>
        <w:t>to found a claim with supposed universal validity</w:t>
      </w:r>
      <w:r w:rsidRPr="008D1F92">
        <w:rPr>
          <w:rFonts w:eastAsia="Times New Roman"/>
          <w:sz w:val="14"/>
          <w:szCs w:val="20"/>
        </w:rPr>
        <w:t xml:space="preserve">.  For instance, </w:t>
      </w:r>
      <w:proofErr w:type="spellStart"/>
      <w:r w:rsidRPr="008D1F92">
        <w:rPr>
          <w:rFonts w:eastAsia="Times New Roman"/>
          <w:sz w:val="14"/>
          <w:szCs w:val="20"/>
        </w:rPr>
        <w:t>Stavrakakis</w:t>
      </w:r>
      <w:proofErr w:type="spellEnd"/>
      <w:r w:rsidRPr="008D1F92">
        <w:rPr>
          <w:rFonts w:eastAsia="Times New Roman"/>
          <w:sz w:val="14"/>
          <w:szCs w:val="20"/>
        </w:rPr>
        <w:t xml:space="preserve"> uses the fact that existing belief-systems are based on exclusions as a basis to claim that all belief-systems are necessarily based on exclusions</w:t>
      </w:r>
      <w:bookmarkStart w:id="7" w:name="_ednref58"/>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"_edn58" </w:instrText>
      </w:r>
      <w:r w:rsidRPr="008D1F92">
        <w:rPr>
          <w:rFonts w:eastAsia="Times New Roman"/>
          <w:sz w:val="14"/>
          <w:szCs w:val="20"/>
        </w:rPr>
        <w:fldChar w:fldCharType="separate"/>
      </w:r>
      <w:r w:rsidRPr="008D1F92">
        <w:rPr>
          <w:rFonts w:eastAsia="Times New Roman"/>
          <w:sz w:val="14"/>
          <w:szCs w:val="20"/>
        </w:rPr>
        <w:t>58</w:t>
      </w:r>
      <w:r w:rsidRPr="008D1F92">
        <w:rPr>
          <w:rFonts w:eastAsia="Times New Roman"/>
          <w:sz w:val="14"/>
          <w:szCs w:val="20"/>
        </w:rPr>
        <w:fldChar w:fldCharType="end"/>
      </w:r>
      <w:bookmarkEnd w:id="7"/>
      <w:r w:rsidRPr="008D1F92">
        <w:rPr>
          <w:rFonts w:eastAsia="Times New Roman"/>
          <w:sz w:val="14"/>
          <w:szCs w:val="20"/>
        </w:rPr>
        <w:t>, and claims that particular traumas express an 'ultimate impossibility'</w:t>
      </w:r>
      <w:bookmarkStart w:id="8" w:name="_ednref59"/>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"_edn59" </w:instrText>
      </w:r>
      <w:r w:rsidRPr="008D1F92">
        <w:rPr>
          <w:rFonts w:eastAsia="Times New Roman"/>
          <w:sz w:val="14"/>
          <w:szCs w:val="20"/>
        </w:rPr>
        <w:fldChar w:fldCharType="separate"/>
      </w:r>
      <w:r w:rsidRPr="008D1F92">
        <w:rPr>
          <w:rFonts w:eastAsia="Times New Roman"/>
          <w:sz w:val="14"/>
          <w:szCs w:val="20"/>
        </w:rPr>
        <w:t>59</w:t>
      </w:r>
      <w:r w:rsidRPr="008D1F92">
        <w:rPr>
          <w:rFonts w:eastAsia="Times New Roman"/>
          <w:sz w:val="14"/>
          <w:szCs w:val="20"/>
        </w:rPr>
        <w:fldChar w:fldCharType="end"/>
      </w:r>
      <w:bookmarkEnd w:id="8"/>
      <w:r w:rsidRPr="008D1F92">
        <w:rPr>
          <w:rFonts w:eastAsia="Times New Roman"/>
          <w:sz w:val="14"/>
          <w:szCs w:val="20"/>
        </w:rPr>
        <w:t xml:space="preserve">.  Similarly, </w:t>
      </w:r>
      <w:proofErr w:type="spellStart"/>
      <w:r w:rsidRPr="008D1F92">
        <w:rPr>
          <w:rFonts w:eastAsia="Times New Roman"/>
          <w:sz w:val="14"/>
          <w:szCs w:val="20"/>
        </w:rPr>
        <w:t>Laclau</w:t>
      </w:r>
      <w:proofErr w:type="spellEnd"/>
      <w:r w:rsidRPr="008D1F92">
        <w:rPr>
          <w:rFonts w:eastAsia="Times New Roman"/>
          <w:sz w:val="14"/>
          <w:szCs w:val="20"/>
        </w:rPr>
        <w:t xml:space="preserve"> and </w:t>
      </w:r>
      <w:proofErr w:type="spellStart"/>
      <w:r w:rsidRPr="008D1F92">
        <w:rPr>
          <w:rFonts w:eastAsia="Times New Roman"/>
          <w:sz w:val="14"/>
          <w:szCs w:val="20"/>
        </w:rPr>
        <w:t>Mouffe</w:t>
      </w:r>
      <w:proofErr w:type="spellEnd"/>
      <w:r w:rsidRPr="008D1F92">
        <w:rPr>
          <w:rFonts w:eastAsia="Times New Roman"/>
          <w:sz w:val="14"/>
          <w:szCs w:val="20"/>
        </w:rPr>
        <w:t xml:space="preserve"> use the fact that a particular antagonism can disrupt a particular fixed identity to claim that the social as such is penetrated and constituted by antagonism as such</w:t>
      </w:r>
      <w:bookmarkStart w:id="9" w:name="_ednref60"/>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"_edn60" </w:instrText>
      </w:r>
      <w:r w:rsidRPr="008D1F92">
        <w:rPr>
          <w:rFonts w:eastAsia="Times New Roman"/>
          <w:sz w:val="14"/>
          <w:szCs w:val="20"/>
        </w:rPr>
        <w:fldChar w:fldCharType="separate"/>
      </w:r>
      <w:r w:rsidRPr="008D1F92">
        <w:rPr>
          <w:rFonts w:eastAsia="Times New Roman"/>
          <w:sz w:val="14"/>
          <w:szCs w:val="20"/>
        </w:rPr>
        <w:t>60</w:t>
      </w:r>
      <w:r w:rsidRPr="008D1F92">
        <w:rPr>
          <w:rFonts w:eastAsia="Times New Roman"/>
          <w:sz w:val="14"/>
          <w:szCs w:val="20"/>
        </w:rPr>
        <w:fldChar w:fldCharType="end"/>
      </w:r>
      <w:bookmarkEnd w:id="9"/>
      <w:r w:rsidRPr="008D1F92">
        <w:rPr>
          <w:rFonts w:eastAsia="Times New Roman"/>
          <w:sz w:val="14"/>
          <w:szCs w:val="20"/>
        </w:rPr>
        <w:t xml:space="preserve">.  Phenomena are often </w:t>
      </w:r>
      <w:proofErr w:type="spellStart"/>
      <w:r w:rsidRPr="008D1F92">
        <w:rPr>
          <w:rFonts w:eastAsia="Times New Roman"/>
          <w:sz w:val="14"/>
          <w:szCs w:val="20"/>
        </w:rPr>
        <w:t>analysed</w:t>
      </w:r>
      <w:proofErr w:type="spellEnd"/>
      <w:r w:rsidRPr="008D1F92">
        <w:rPr>
          <w:rFonts w:eastAsia="Times New Roman"/>
          <w:sz w:val="14"/>
          <w:szCs w:val="20"/>
        </w:rPr>
        <w:t xml:space="preserve"> as outgrowths of something exterior to the situation in question.  For instance, </w:t>
      </w:r>
      <w:proofErr w:type="spellStart"/>
      <w:proofErr w:type="gramStart"/>
      <w:r w:rsidRPr="008D1F92">
        <w:rPr>
          <w:rFonts w:eastAsia="Arial Unicode MS"/>
          <w:sz w:val="14"/>
          <w:szCs w:val="20"/>
        </w:rPr>
        <w:t>Zizek</w:t>
      </w:r>
      <w:proofErr w:type="spellEnd"/>
      <w:r w:rsidRPr="008D1F92">
        <w:rPr>
          <w:rFonts w:eastAsia="Times New Roman"/>
          <w:sz w:val="14"/>
          <w:szCs w:val="20"/>
        </w:rPr>
        <w:t xml:space="preserve"> 's</w:t>
      </w:r>
      <w:proofErr w:type="gramEnd"/>
      <w:r w:rsidRPr="008D1F92">
        <w:rPr>
          <w:rFonts w:eastAsia="Times New Roman"/>
          <w:sz w:val="14"/>
          <w:szCs w:val="20"/>
        </w:rPr>
        <w:t xml:space="preserve"> concept of the "social symptom" depends on a reduction of the acts of one particular series of people (the "socially excluded", "fundamentalists", Serbian paramilitaries, etc.) to a psychological function in the psyche of a different group (westerners).  The "real" is a supposedly self-identical principle which is used to reduce any and all qualitative differences between situations to a relation of formal equivalence.  This shows how mythical characteristics can be projected from the outside, although it also raises different problems: the under-conceptualization of the relationship between individual psyches and collective phenomena in Lacanian theory, and a related tendency for psychological concepts to acquire an ersatz agency similar to that of a Marxian fetish.  "The Real" or "antagonism" occurs in phrases which have it doing or causing something. </w:t>
      </w:r>
      <w:r w:rsidRPr="008D1F92">
        <w:rPr>
          <w:rFonts w:eastAsia="Times New Roman"/>
          <w:sz w:val="14"/>
          <w:szCs w:val="20"/>
        </w:rPr>
        <w:t xml:space="preserve">       As Barthes shows, myth offers the psychological benefits of empiricism without the epistemological costs.  </w:t>
      </w:r>
      <w:r w:rsidRPr="008D1F92">
        <w:rPr>
          <w:rFonts w:eastAsia="Times New Roman" w:cs="Arial"/>
          <w:bCs/>
          <w:szCs w:val="26"/>
          <w:u w:val="single"/>
        </w:rPr>
        <w:t>Tautology</w:t>
      </w:r>
      <w:r w:rsidRPr="008D1F92">
        <w:rPr>
          <w:rFonts w:eastAsia="Times New Roman"/>
          <w:sz w:val="14"/>
          <w:szCs w:val="20"/>
        </w:rPr>
        <w:t xml:space="preserve">, for instance, is 'a minor ethical salvation, the satisfaction of having militated in </w:t>
      </w:r>
      <w:proofErr w:type="spellStart"/>
      <w:r w:rsidRPr="008D1F92">
        <w:rPr>
          <w:rFonts w:eastAsia="Times New Roman"/>
          <w:sz w:val="14"/>
          <w:szCs w:val="20"/>
        </w:rPr>
        <w:t>favour</w:t>
      </w:r>
      <w:proofErr w:type="spellEnd"/>
      <w:r w:rsidRPr="008D1F92">
        <w:rPr>
          <w:rFonts w:eastAsia="Times New Roman"/>
          <w:sz w:val="14"/>
          <w:szCs w:val="20"/>
        </w:rPr>
        <w:t xml:space="preserve"> of a truth... without having to assume the risks which any somewhat positive search for truth inevitably involves'</w:t>
      </w:r>
      <w:bookmarkStart w:id="10" w:name="_ednref61"/>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"_edn61" </w:instrText>
      </w:r>
      <w:r w:rsidRPr="008D1F92">
        <w:rPr>
          <w:rFonts w:eastAsia="Times New Roman"/>
          <w:sz w:val="14"/>
          <w:szCs w:val="20"/>
        </w:rPr>
        <w:fldChar w:fldCharType="separate"/>
      </w:r>
      <w:r w:rsidRPr="008D1F92">
        <w:rPr>
          <w:rFonts w:eastAsia="Times New Roman"/>
          <w:sz w:val="14"/>
          <w:szCs w:val="20"/>
        </w:rPr>
        <w:t>61</w:t>
      </w:r>
      <w:r w:rsidRPr="008D1F92">
        <w:rPr>
          <w:rFonts w:eastAsia="Times New Roman"/>
          <w:sz w:val="14"/>
          <w:szCs w:val="20"/>
        </w:rPr>
        <w:fldChar w:fldCharType="end"/>
      </w:r>
      <w:bookmarkEnd w:id="10"/>
      <w:r w:rsidRPr="008D1F92">
        <w:rPr>
          <w:rFonts w:eastAsia="Times New Roman"/>
          <w:sz w:val="14"/>
          <w:szCs w:val="20"/>
        </w:rPr>
        <w:t xml:space="preserve">.  It </w:t>
      </w:r>
      <w:r w:rsidRPr="008D1F92">
        <w:rPr>
          <w:rFonts w:eastAsia="Times New Roman" w:cs="Arial"/>
          <w:bCs/>
          <w:szCs w:val="26"/>
          <w:u w:val="single"/>
        </w:rPr>
        <w:t>dispenses with the need to have ideas</w:t>
      </w:r>
      <w:r w:rsidRPr="008D1F92">
        <w:rPr>
          <w:rFonts w:eastAsia="Times New Roman"/>
          <w:sz w:val="14"/>
          <w:szCs w:val="20"/>
        </w:rPr>
        <w:t>, while treating this release as a stern morality.  Tautology is a rationality which simultaneously denies itself, in which 'the accidental failure of language is magically identified with what one decides is a natural resistance of the object'</w:t>
      </w:r>
      <w:bookmarkStart w:id="11" w:name="_ednref62"/>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"_edn62" </w:instrText>
      </w:r>
      <w:r w:rsidRPr="008D1F92">
        <w:rPr>
          <w:rFonts w:eastAsia="Times New Roman"/>
          <w:sz w:val="14"/>
          <w:szCs w:val="20"/>
        </w:rPr>
        <w:fldChar w:fldCharType="separate"/>
      </w:r>
      <w:r w:rsidRPr="008D1F92">
        <w:rPr>
          <w:rFonts w:eastAsia="Times New Roman"/>
          <w:sz w:val="14"/>
          <w:szCs w:val="20"/>
        </w:rPr>
        <w:t>62</w:t>
      </w:r>
      <w:r w:rsidRPr="008D1F92">
        <w:rPr>
          <w:rFonts w:eastAsia="Times New Roman"/>
          <w:sz w:val="14"/>
          <w:szCs w:val="20"/>
        </w:rPr>
        <w:fldChar w:fldCharType="end"/>
      </w:r>
      <w:bookmarkEnd w:id="11"/>
      <w:r w:rsidRPr="008D1F92">
        <w:rPr>
          <w:rFonts w:eastAsia="Times New Roman"/>
          <w:sz w:val="14"/>
          <w:szCs w:val="20"/>
        </w:rPr>
        <w:t xml:space="preserve">. </w:t>
      </w:r>
      <w:r w:rsidRPr="008D1F92">
        <w:rPr>
          <w:rFonts w:eastAsia="Times New Roman"/>
          <w:sz w:val="14"/>
          <w:szCs w:val="20"/>
        </w:rPr>
        <w:t xml:space="preserve">       </w:t>
      </w:r>
      <w:proofErr w:type="gramStart"/>
      <w:r w:rsidRPr="008D1F92">
        <w:rPr>
          <w:rFonts w:eastAsia="Times New Roman"/>
          <w:sz w:val="14"/>
          <w:szCs w:val="20"/>
        </w:rPr>
        <w:t>This</w:t>
      </w:r>
      <w:proofErr w:type="gramEnd"/>
      <w:r w:rsidRPr="008D1F92">
        <w:rPr>
          <w:rFonts w:eastAsia="Times New Roman"/>
          <w:sz w:val="14"/>
          <w:szCs w:val="20"/>
        </w:rPr>
        <w:t xml:space="preserve"> passage could almost have been written with the "Lacanian Real" in mind.  </w:t>
      </w:r>
      <w:r w:rsidRPr="008D1F92">
        <w:rPr>
          <w:rFonts w:eastAsia="Times New Roman" w:cs="Arial"/>
          <w:bCs/>
          <w:szCs w:val="26"/>
          <w:u w:val="single"/>
        </w:rPr>
        <w:t>The characteristic of the Real is precisely that one can invoke it without defining it</w:t>
      </w:r>
      <w:r w:rsidRPr="008D1F92">
        <w:rPr>
          <w:rFonts w:eastAsia="Times New Roman"/>
          <w:sz w:val="14"/>
          <w:szCs w:val="20"/>
        </w:rPr>
        <w:t xml:space="preserve"> (since it is "beyond symbolization"), and that the accidental failure of language, or indeed a contingent failure in social praxis, is identified with an ontological resistance to symbolization projected into Being itself.  For instance, </w:t>
      </w:r>
      <w:proofErr w:type="spellStart"/>
      <w:proofErr w:type="gramStart"/>
      <w:r w:rsidRPr="008D1F92">
        <w:rPr>
          <w:rFonts w:eastAsia="Arial Unicode MS"/>
          <w:sz w:val="14"/>
          <w:szCs w:val="20"/>
        </w:rPr>
        <w:t>Zizek</w:t>
      </w:r>
      <w:proofErr w:type="spellEnd"/>
      <w:r w:rsidRPr="008D1F92">
        <w:rPr>
          <w:rFonts w:eastAsia="Times New Roman"/>
          <w:sz w:val="14"/>
          <w:szCs w:val="20"/>
        </w:rPr>
        <w:t xml:space="preserve"> 's</w:t>
      </w:r>
      <w:proofErr w:type="gramEnd"/>
      <w:r w:rsidRPr="008D1F92">
        <w:rPr>
          <w:rFonts w:eastAsia="Times New Roman"/>
          <w:sz w:val="14"/>
          <w:szCs w:val="20"/>
        </w:rPr>
        <w:t xml:space="preserve"> classification of the Nation as a Thing rests on the claim that 'the only way we can determine it is by... empty tautology', and that it is a 'semantic void'</w:t>
      </w:r>
      <w:bookmarkStart w:id="12" w:name="_ednref63"/>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"_edn63" </w:instrText>
      </w:r>
      <w:r w:rsidRPr="008D1F92">
        <w:rPr>
          <w:rFonts w:eastAsia="Times New Roman"/>
          <w:sz w:val="14"/>
          <w:szCs w:val="20"/>
        </w:rPr>
        <w:fldChar w:fldCharType="separate"/>
      </w:r>
      <w:r w:rsidRPr="008D1F92">
        <w:rPr>
          <w:rFonts w:eastAsia="Times New Roman"/>
          <w:sz w:val="14"/>
          <w:szCs w:val="20"/>
        </w:rPr>
        <w:t>63</w:t>
      </w:r>
      <w:r w:rsidRPr="008D1F92">
        <w:rPr>
          <w:rFonts w:eastAsia="Times New Roman"/>
          <w:sz w:val="14"/>
          <w:szCs w:val="20"/>
        </w:rPr>
        <w:fldChar w:fldCharType="end"/>
      </w:r>
      <w:bookmarkEnd w:id="12"/>
      <w:r w:rsidRPr="008D1F92">
        <w:rPr>
          <w:rFonts w:eastAsia="Times New Roman"/>
          <w:sz w:val="14"/>
          <w:szCs w:val="20"/>
        </w:rPr>
        <w:t>.  Similarly, he claims that 'the tautological gesture of the Master-Signifier', an empty performative which retroactively turns presuppositions into conclusions, is necessary, and also that tautology is the only way historical change can occur</w:t>
      </w:r>
      <w:bookmarkStart w:id="13" w:name="_ednref64"/>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"_edn64" </w:instrText>
      </w:r>
      <w:r w:rsidRPr="008D1F92">
        <w:rPr>
          <w:rFonts w:eastAsia="Times New Roman"/>
          <w:sz w:val="14"/>
          <w:szCs w:val="20"/>
        </w:rPr>
        <w:fldChar w:fldCharType="separate"/>
      </w:r>
      <w:r w:rsidRPr="008D1F92">
        <w:rPr>
          <w:rFonts w:eastAsia="Times New Roman"/>
          <w:sz w:val="14"/>
          <w:szCs w:val="20"/>
        </w:rPr>
        <w:t>64</w:t>
      </w:r>
      <w:r w:rsidRPr="008D1F92">
        <w:rPr>
          <w:rFonts w:eastAsia="Times New Roman"/>
          <w:sz w:val="14"/>
          <w:szCs w:val="20"/>
        </w:rPr>
        <w:fldChar w:fldCharType="end"/>
      </w:r>
      <w:bookmarkEnd w:id="13"/>
      <w:r w:rsidRPr="008D1F92">
        <w:rPr>
          <w:rFonts w:eastAsia="Times New Roman"/>
          <w:sz w:val="14"/>
          <w:szCs w:val="20"/>
        </w:rPr>
        <w:t>.  He even declares constitutive lack (in this case, termed the "death drive") to be a tautology</w:t>
      </w:r>
      <w:bookmarkStart w:id="14" w:name="_ednref65"/>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"_edn65" </w:instrText>
      </w:r>
      <w:r w:rsidRPr="008D1F92">
        <w:rPr>
          <w:rFonts w:eastAsia="Times New Roman"/>
          <w:sz w:val="14"/>
          <w:szCs w:val="20"/>
        </w:rPr>
        <w:fldChar w:fldCharType="separate"/>
      </w:r>
      <w:r w:rsidRPr="008D1F92">
        <w:rPr>
          <w:rFonts w:eastAsia="Times New Roman"/>
          <w:sz w:val="14"/>
          <w:szCs w:val="20"/>
        </w:rPr>
        <w:t>65</w:t>
      </w:r>
      <w:r w:rsidRPr="008D1F92">
        <w:rPr>
          <w:rFonts w:eastAsia="Times New Roman"/>
          <w:sz w:val="14"/>
          <w:szCs w:val="20"/>
        </w:rPr>
        <w:fldChar w:fldCharType="end"/>
      </w:r>
      <w:bookmarkEnd w:id="14"/>
      <w:r w:rsidRPr="008D1F92">
        <w:rPr>
          <w:rFonts w:eastAsia="Times New Roman"/>
          <w:sz w:val="14"/>
          <w:szCs w:val="20"/>
        </w:rPr>
        <w:t xml:space="preserve">. </w:t>
      </w:r>
      <w:r w:rsidRPr="008D1F92">
        <w:rPr>
          <w:rFonts w:eastAsia="Times New Roman" w:cs="Arial"/>
          <w:bCs/>
          <w:szCs w:val="26"/>
          <w:u w:val="single"/>
        </w:rPr>
        <w:t>Lacanian references to "the Real" or "antagonism"</w:t>
      </w:r>
      <w:r w:rsidRPr="008D1F92">
        <w:rPr>
          <w:rFonts w:eastAsia="Times New Roman"/>
          <w:sz w:val="14"/>
          <w:szCs w:val="20"/>
        </w:rPr>
        <w:t xml:space="preserve"> as the cause of a contingent failure </w:t>
      </w:r>
      <w:r w:rsidRPr="008D1F92">
        <w:rPr>
          <w:rFonts w:eastAsia="Times New Roman" w:cs="Arial"/>
          <w:bCs/>
          <w:szCs w:val="26"/>
          <w:u w:val="single"/>
        </w:rPr>
        <w:t>are reminiscent of</w:t>
      </w:r>
      <w:r w:rsidRPr="008D1F92">
        <w:rPr>
          <w:rFonts w:eastAsia="Times New Roman"/>
          <w:sz w:val="14"/>
          <w:szCs w:val="20"/>
        </w:rPr>
        <w:t xml:space="preserve"> Robert </w:t>
      </w:r>
      <w:r w:rsidRPr="008D1F92">
        <w:rPr>
          <w:rFonts w:eastAsia="Times New Roman" w:cs="Arial"/>
          <w:bCs/>
          <w:szCs w:val="26"/>
          <w:u w:val="single"/>
        </w:rPr>
        <w:t>Teflon's definition of God: 'an explanation which means "I have no explanation"</w:t>
      </w:r>
      <w:r w:rsidRPr="008D1F92">
        <w:rPr>
          <w:rFonts w:eastAsia="Times New Roman"/>
          <w:sz w:val="14"/>
          <w:szCs w:val="20"/>
        </w:rPr>
        <w:t>'</w:t>
      </w:r>
      <w:bookmarkStart w:id="15" w:name="_ednref66"/>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"_edn66" \o "" </w:instrText>
      </w:r>
      <w:r w:rsidRPr="008D1F92">
        <w:rPr>
          <w:rFonts w:eastAsia="Times New Roman"/>
          <w:sz w:val="14"/>
          <w:szCs w:val="20"/>
        </w:rPr>
        <w:fldChar w:fldCharType="separate"/>
      </w:r>
      <w:r w:rsidRPr="008D1F92">
        <w:rPr>
          <w:rFonts w:eastAsia="Times New Roman"/>
          <w:sz w:val="14"/>
          <w:szCs w:val="20"/>
        </w:rPr>
        <w:t>66</w:t>
      </w:r>
      <w:r w:rsidRPr="008D1F92">
        <w:rPr>
          <w:rFonts w:eastAsia="Times New Roman"/>
          <w:sz w:val="14"/>
          <w:szCs w:val="20"/>
        </w:rPr>
        <w:fldChar w:fldCharType="end"/>
      </w:r>
      <w:bookmarkEnd w:id="15"/>
      <w:r w:rsidRPr="008D1F92">
        <w:rPr>
          <w:rFonts w:eastAsia="Times New Roman"/>
          <w:sz w:val="14"/>
          <w:szCs w:val="20"/>
        </w:rPr>
        <w:t xml:space="preserve">.  An "ethics of the Real" is a minor ethical salvation which says very little in positive terms, but which can pose in macho terms as a "hard" acceptance of terrifying realities.  It authorizes truth-claims - in </w:t>
      </w:r>
      <w:proofErr w:type="spellStart"/>
      <w:r w:rsidRPr="008D1F92">
        <w:rPr>
          <w:rFonts w:eastAsia="Times New Roman"/>
          <w:sz w:val="14"/>
          <w:szCs w:val="20"/>
        </w:rPr>
        <w:t>Laclau's</w:t>
      </w:r>
      <w:proofErr w:type="spellEnd"/>
      <w:r w:rsidRPr="008D1F92">
        <w:rPr>
          <w:rFonts w:eastAsia="Times New Roman"/>
          <w:sz w:val="14"/>
          <w:szCs w:val="20"/>
        </w:rPr>
        <w:t xml:space="preserve"> language, a 'reality' which is 'before our eyes</w:t>
      </w:r>
      <w:bookmarkStart w:id="16" w:name="_ednref67"/>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"_edn67" </w:instrText>
      </w:r>
      <w:r w:rsidRPr="008D1F92">
        <w:rPr>
          <w:rFonts w:eastAsia="Times New Roman"/>
          <w:sz w:val="14"/>
          <w:szCs w:val="20"/>
        </w:rPr>
        <w:fldChar w:fldCharType="separate"/>
      </w:r>
      <w:r w:rsidRPr="008D1F92">
        <w:rPr>
          <w:rFonts w:eastAsia="Times New Roman"/>
          <w:sz w:val="14"/>
          <w:szCs w:val="20"/>
        </w:rPr>
        <w:t>67</w:t>
      </w:r>
      <w:r w:rsidRPr="008D1F92">
        <w:rPr>
          <w:rFonts w:eastAsia="Times New Roman"/>
          <w:sz w:val="14"/>
          <w:szCs w:val="20"/>
        </w:rPr>
        <w:fldChar w:fldCharType="end"/>
      </w:r>
      <w:bookmarkEnd w:id="16"/>
      <w:r w:rsidRPr="008D1F92">
        <w:rPr>
          <w:rFonts w:eastAsia="Times New Roman"/>
          <w:sz w:val="14"/>
          <w:szCs w:val="20"/>
        </w:rPr>
        <w:t>', or in Newman's, a 'harsh reality' hidden beneath a protective veil</w:t>
      </w:r>
      <w:bookmarkStart w:id="17" w:name="_ednref68"/>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"_edn68" </w:instrText>
      </w:r>
      <w:r w:rsidRPr="008D1F92">
        <w:rPr>
          <w:rFonts w:eastAsia="Times New Roman"/>
          <w:sz w:val="14"/>
          <w:szCs w:val="20"/>
        </w:rPr>
        <w:fldChar w:fldCharType="separate"/>
      </w:r>
      <w:r w:rsidRPr="008D1F92">
        <w:rPr>
          <w:rFonts w:eastAsia="Times New Roman"/>
          <w:sz w:val="14"/>
          <w:szCs w:val="20"/>
        </w:rPr>
        <w:t>68</w:t>
      </w:r>
      <w:r w:rsidRPr="008D1F92">
        <w:rPr>
          <w:rFonts w:eastAsia="Times New Roman"/>
          <w:sz w:val="14"/>
          <w:szCs w:val="20"/>
        </w:rPr>
        <w:fldChar w:fldCharType="end"/>
      </w:r>
      <w:bookmarkEnd w:id="17"/>
      <w:r w:rsidRPr="008D1F92">
        <w:rPr>
          <w:rFonts w:eastAsia="Times New Roman"/>
          <w:sz w:val="14"/>
          <w:szCs w:val="20"/>
        </w:rPr>
        <w:t xml:space="preserve"> - without the attendant risks.  Some Lacanian theorists also show indications of a commitment based on the particular kind of "euphoric" enjoyment Barthes associates with myths.  </w:t>
      </w:r>
      <w:proofErr w:type="spellStart"/>
      <w:r w:rsidRPr="008D1F92">
        <w:rPr>
          <w:rFonts w:eastAsia="Times New Roman"/>
          <w:sz w:val="14"/>
          <w:szCs w:val="20"/>
        </w:rPr>
        <w:t>Laclau</w:t>
      </w:r>
      <w:proofErr w:type="spellEnd"/>
      <w:r w:rsidRPr="008D1F92">
        <w:rPr>
          <w:rFonts w:eastAsia="Times New Roman"/>
          <w:sz w:val="14"/>
          <w:szCs w:val="20"/>
        </w:rPr>
        <w:t xml:space="preserve"> in particular emphasizes his belief in the 'exhilarating' significance of the present</w:t>
      </w:r>
      <w:bookmarkStart w:id="18" w:name="_ednref69"/>
      <w:r w:rsidRPr="008D1F92">
        <w:rPr>
          <w:rFonts w:eastAsia="Times New Roman"/>
          <w:sz w:val="14"/>
          <w:szCs w:val="20"/>
        </w:rPr>
        <w:fldChar w:fldCharType="begin"/>
      </w:r>
      <w:r w:rsidRPr="008D1F92">
        <w:rPr>
          <w:rFonts w:eastAsia="Times New Roman"/>
          <w:sz w:val="14"/>
          <w:szCs w:val="20"/>
        </w:rPr>
        <w:instrText xml:space="preserve"> HYPERLINK "http://muse.jhu.edu.proxy-remote.galib.uga.edu/journals/theory_and_event/v008/8.1robinson.html" \l "_edn69" \o "" </w:instrText>
      </w:r>
      <w:r w:rsidRPr="008D1F92">
        <w:rPr>
          <w:rFonts w:eastAsia="Times New Roman"/>
          <w:sz w:val="14"/>
          <w:szCs w:val="20"/>
        </w:rPr>
        <w:fldChar w:fldCharType="separate"/>
      </w:r>
      <w:r w:rsidRPr="008D1F92">
        <w:rPr>
          <w:rFonts w:eastAsia="Times New Roman"/>
          <w:sz w:val="14"/>
          <w:szCs w:val="20"/>
        </w:rPr>
        <w:t>69</w:t>
      </w:r>
      <w:r w:rsidRPr="008D1F92">
        <w:rPr>
          <w:rFonts w:eastAsia="Times New Roman"/>
          <w:sz w:val="14"/>
          <w:szCs w:val="20"/>
        </w:rPr>
        <w:fldChar w:fldCharType="end"/>
      </w:r>
      <w:bookmarkEnd w:id="18"/>
      <w:r w:rsidRPr="008D1F92">
        <w:rPr>
          <w:rFonts w:eastAsia="Times New Roman"/>
          <w:sz w:val="14"/>
          <w:szCs w:val="20"/>
        </w:rPr>
        <w:t xml:space="preserve">, hinting that he is committed to euphoric investments generated through the repetition of the same. </w:t>
      </w:r>
    </w:p>
    <w:sectPr w:rsidR="00476717" w:rsidRPr="008D1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33DB3"/>
    <w:rsid w:val="00001141"/>
    <w:rsid w:val="0000401A"/>
    <w:rsid w:val="0001042B"/>
    <w:rsid w:val="00011200"/>
    <w:rsid w:val="00013512"/>
    <w:rsid w:val="000139A3"/>
    <w:rsid w:val="00016870"/>
    <w:rsid w:val="000208EE"/>
    <w:rsid w:val="00021DE5"/>
    <w:rsid w:val="00026039"/>
    <w:rsid w:val="00031D26"/>
    <w:rsid w:val="0003449B"/>
    <w:rsid w:val="00034B5E"/>
    <w:rsid w:val="000363BF"/>
    <w:rsid w:val="00040E05"/>
    <w:rsid w:val="00043609"/>
    <w:rsid w:val="00045607"/>
    <w:rsid w:val="000520CA"/>
    <w:rsid w:val="00057CB2"/>
    <w:rsid w:val="00060FED"/>
    <w:rsid w:val="00063AAD"/>
    <w:rsid w:val="000739E9"/>
    <w:rsid w:val="00073D64"/>
    <w:rsid w:val="00075EDB"/>
    <w:rsid w:val="0007650B"/>
    <w:rsid w:val="0007652F"/>
    <w:rsid w:val="0007759C"/>
    <w:rsid w:val="000850BD"/>
    <w:rsid w:val="00087861"/>
    <w:rsid w:val="00090139"/>
    <w:rsid w:val="00095CA3"/>
    <w:rsid w:val="000A4D71"/>
    <w:rsid w:val="000A7256"/>
    <w:rsid w:val="000B0162"/>
    <w:rsid w:val="000B0CAB"/>
    <w:rsid w:val="000B1456"/>
    <w:rsid w:val="000B38E0"/>
    <w:rsid w:val="000C0356"/>
    <w:rsid w:val="000C319A"/>
    <w:rsid w:val="000D3DD0"/>
    <w:rsid w:val="000D4C76"/>
    <w:rsid w:val="000D56E6"/>
    <w:rsid w:val="000E020A"/>
    <w:rsid w:val="000E7016"/>
    <w:rsid w:val="000F22F3"/>
    <w:rsid w:val="000F2D83"/>
    <w:rsid w:val="000F4D94"/>
    <w:rsid w:val="000F4DF4"/>
    <w:rsid w:val="000F5209"/>
    <w:rsid w:val="000F6A01"/>
    <w:rsid w:val="001000FC"/>
    <w:rsid w:val="00100833"/>
    <w:rsid w:val="00104529"/>
    <w:rsid w:val="00104A9B"/>
    <w:rsid w:val="00105942"/>
    <w:rsid w:val="00107396"/>
    <w:rsid w:val="0011073D"/>
    <w:rsid w:val="00114431"/>
    <w:rsid w:val="00115893"/>
    <w:rsid w:val="00120158"/>
    <w:rsid w:val="00123EBA"/>
    <w:rsid w:val="00126136"/>
    <w:rsid w:val="001306D0"/>
    <w:rsid w:val="00130A9E"/>
    <w:rsid w:val="00142816"/>
    <w:rsid w:val="00143012"/>
    <w:rsid w:val="00143594"/>
    <w:rsid w:val="00144A4C"/>
    <w:rsid w:val="001536DF"/>
    <w:rsid w:val="00155532"/>
    <w:rsid w:val="00155F8D"/>
    <w:rsid w:val="001658B6"/>
    <w:rsid w:val="00172C0F"/>
    <w:rsid w:val="001749D7"/>
    <w:rsid w:val="00174B2B"/>
    <w:rsid w:val="0017635F"/>
    <w:rsid w:val="00176AB0"/>
    <w:rsid w:val="00176DFB"/>
    <w:rsid w:val="00177B7D"/>
    <w:rsid w:val="0018322D"/>
    <w:rsid w:val="0019206F"/>
    <w:rsid w:val="001A0667"/>
    <w:rsid w:val="001B0744"/>
    <w:rsid w:val="001B133D"/>
    <w:rsid w:val="001B145E"/>
    <w:rsid w:val="001B37ED"/>
    <w:rsid w:val="001B5776"/>
    <w:rsid w:val="001C4CFE"/>
    <w:rsid w:val="001C6C5F"/>
    <w:rsid w:val="001C70A2"/>
    <w:rsid w:val="001C7334"/>
    <w:rsid w:val="001D019C"/>
    <w:rsid w:val="001D384C"/>
    <w:rsid w:val="001D51B2"/>
    <w:rsid w:val="001D60B0"/>
    <w:rsid w:val="001E4EDE"/>
    <w:rsid w:val="001E527A"/>
    <w:rsid w:val="001E7D1B"/>
    <w:rsid w:val="001F120A"/>
    <w:rsid w:val="001F1217"/>
    <w:rsid w:val="001F497E"/>
    <w:rsid w:val="001F78CE"/>
    <w:rsid w:val="00205CB6"/>
    <w:rsid w:val="00206CB0"/>
    <w:rsid w:val="00214616"/>
    <w:rsid w:val="002220D0"/>
    <w:rsid w:val="00222379"/>
    <w:rsid w:val="002233B1"/>
    <w:rsid w:val="002254BF"/>
    <w:rsid w:val="0023236E"/>
    <w:rsid w:val="002337AC"/>
    <w:rsid w:val="00241D3C"/>
    <w:rsid w:val="00242360"/>
    <w:rsid w:val="002428EA"/>
    <w:rsid w:val="00242BC0"/>
    <w:rsid w:val="002467E4"/>
    <w:rsid w:val="00246C02"/>
    <w:rsid w:val="00247F35"/>
    <w:rsid w:val="0025009A"/>
    <w:rsid w:val="00251FC7"/>
    <w:rsid w:val="0025402C"/>
    <w:rsid w:val="002633E4"/>
    <w:rsid w:val="00264A97"/>
    <w:rsid w:val="00274986"/>
    <w:rsid w:val="00275125"/>
    <w:rsid w:val="002855A7"/>
    <w:rsid w:val="00287172"/>
    <w:rsid w:val="002947AB"/>
    <w:rsid w:val="002A4F2D"/>
    <w:rsid w:val="002A6581"/>
    <w:rsid w:val="002B146A"/>
    <w:rsid w:val="002B37C1"/>
    <w:rsid w:val="002B5E17"/>
    <w:rsid w:val="002B792F"/>
    <w:rsid w:val="002C6B8F"/>
    <w:rsid w:val="002C71DF"/>
    <w:rsid w:val="002D3351"/>
    <w:rsid w:val="002D43BC"/>
    <w:rsid w:val="002E4403"/>
    <w:rsid w:val="002E7B8A"/>
    <w:rsid w:val="002E7DB7"/>
    <w:rsid w:val="002E7F9C"/>
    <w:rsid w:val="002F00CA"/>
    <w:rsid w:val="002F1875"/>
    <w:rsid w:val="002F73C7"/>
    <w:rsid w:val="00312D0F"/>
    <w:rsid w:val="00315690"/>
    <w:rsid w:val="00316B75"/>
    <w:rsid w:val="0031732A"/>
    <w:rsid w:val="0032177A"/>
    <w:rsid w:val="0032451B"/>
    <w:rsid w:val="00325646"/>
    <w:rsid w:val="0033211E"/>
    <w:rsid w:val="003337E0"/>
    <w:rsid w:val="0033479C"/>
    <w:rsid w:val="00341948"/>
    <w:rsid w:val="003460F2"/>
    <w:rsid w:val="003469FD"/>
    <w:rsid w:val="003531EF"/>
    <w:rsid w:val="003563D7"/>
    <w:rsid w:val="003668B6"/>
    <w:rsid w:val="00371675"/>
    <w:rsid w:val="00372EC1"/>
    <w:rsid w:val="00380811"/>
    <w:rsid w:val="0038158C"/>
    <w:rsid w:val="003902BA"/>
    <w:rsid w:val="00390B60"/>
    <w:rsid w:val="00393637"/>
    <w:rsid w:val="00395A93"/>
    <w:rsid w:val="003A09E2"/>
    <w:rsid w:val="003A3AEF"/>
    <w:rsid w:val="003A4239"/>
    <w:rsid w:val="003A466C"/>
    <w:rsid w:val="003A4702"/>
    <w:rsid w:val="003A6B6D"/>
    <w:rsid w:val="003B0157"/>
    <w:rsid w:val="003B1F13"/>
    <w:rsid w:val="003B486D"/>
    <w:rsid w:val="003C381C"/>
    <w:rsid w:val="003C78D8"/>
    <w:rsid w:val="003C7BD3"/>
    <w:rsid w:val="003D4AF8"/>
    <w:rsid w:val="003D5F0C"/>
    <w:rsid w:val="003E3CD4"/>
    <w:rsid w:val="003F1CA9"/>
    <w:rsid w:val="003F296D"/>
    <w:rsid w:val="004010C9"/>
    <w:rsid w:val="00401D30"/>
    <w:rsid w:val="00403902"/>
    <w:rsid w:val="00403920"/>
    <w:rsid w:val="00406D85"/>
    <w:rsid w:val="00407037"/>
    <w:rsid w:val="00411536"/>
    <w:rsid w:val="00413155"/>
    <w:rsid w:val="004214B7"/>
    <w:rsid w:val="00422CD2"/>
    <w:rsid w:val="004234B4"/>
    <w:rsid w:val="00426B5D"/>
    <w:rsid w:val="00430DEE"/>
    <w:rsid w:val="00432649"/>
    <w:rsid w:val="0044330A"/>
    <w:rsid w:val="00443774"/>
    <w:rsid w:val="004539FD"/>
    <w:rsid w:val="0045434F"/>
    <w:rsid w:val="0045588B"/>
    <w:rsid w:val="00455F9D"/>
    <w:rsid w:val="004601E7"/>
    <w:rsid w:val="004605D6"/>
    <w:rsid w:val="00464035"/>
    <w:rsid w:val="00471ACF"/>
    <w:rsid w:val="00471DB9"/>
    <w:rsid w:val="00472BCA"/>
    <w:rsid w:val="00476717"/>
    <w:rsid w:val="00481D33"/>
    <w:rsid w:val="00487D9F"/>
    <w:rsid w:val="00490046"/>
    <w:rsid w:val="00492CDB"/>
    <w:rsid w:val="00493E46"/>
    <w:rsid w:val="004A0042"/>
    <w:rsid w:val="004A0D3D"/>
    <w:rsid w:val="004A34D5"/>
    <w:rsid w:val="004A3737"/>
    <w:rsid w:val="004B56CF"/>
    <w:rsid w:val="004B5CBF"/>
    <w:rsid w:val="004B6F6F"/>
    <w:rsid w:val="004B712D"/>
    <w:rsid w:val="004C1D4E"/>
    <w:rsid w:val="004C5485"/>
    <w:rsid w:val="004C60E8"/>
    <w:rsid w:val="004C79EA"/>
    <w:rsid w:val="004D7697"/>
    <w:rsid w:val="004E3579"/>
    <w:rsid w:val="004E728B"/>
    <w:rsid w:val="004F248C"/>
    <w:rsid w:val="004F39E0"/>
    <w:rsid w:val="004F3C27"/>
    <w:rsid w:val="005023D1"/>
    <w:rsid w:val="005025AA"/>
    <w:rsid w:val="00512C1C"/>
    <w:rsid w:val="00512E37"/>
    <w:rsid w:val="00512FC4"/>
    <w:rsid w:val="005132D6"/>
    <w:rsid w:val="005172A7"/>
    <w:rsid w:val="00531402"/>
    <w:rsid w:val="0053519A"/>
    <w:rsid w:val="005379E1"/>
    <w:rsid w:val="00537BD5"/>
    <w:rsid w:val="00552F4C"/>
    <w:rsid w:val="00563C40"/>
    <w:rsid w:val="005665D9"/>
    <w:rsid w:val="005714EF"/>
    <w:rsid w:val="0057268A"/>
    <w:rsid w:val="00576DD5"/>
    <w:rsid w:val="005926BE"/>
    <w:rsid w:val="00596A7B"/>
    <w:rsid w:val="005A0135"/>
    <w:rsid w:val="005A2F84"/>
    <w:rsid w:val="005A3C88"/>
    <w:rsid w:val="005B05BC"/>
    <w:rsid w:val="005B1A07"/>
    <w:rsid w:val="005B295A"/>
    <w:rsid w:val="005B6E34"/>
    <w:rsid w:val="005C2CD9"/>
    <w:rsid w:val="005C3C88"/>
    <w:rsid w:val="005C5980"/>
    <w:rsid w:val="005C5FFE"/>
    <w:rsid w:val="005D042C"/>
    <w:rsid w:val="005D2912"/>
    <w:rsid w:val="005D5DB2"/>
    <w:rsid w:val="005D63A8"/>
    <w:rsid w:val="005D7DF5"/>
    <w:rsid w:val="005E0598"/>
    <w:rsid w:val="005E1591"/>
    <w:rsid w:val="005E1F2F"/>
    <w:rsid w:val="005E2A10"/>
    <w:rsid w:val="005E57F5"/>
    <w:rsid w:val="005F1E44"/>
    <w:rsid w:val="005F30DB"/>
    <w:rsid w:val="005F5A21"/>
    <w:rsid w:val="005F7D80"/>
    <w:rsid w:val="00601AF9"/>
    <w:rsid w:val="006029C0"/>
    <w:rsid w:val="006065BD"/>
    <w:rsid w:val="00612142"/>
    <w:rsid w:val="006133DE"/>
    <w:rsid w:val="00613672"/>
    <w:rsid w:val="00613B6D"/>
    <w:rsid w:val="00615194"/>
    <w:rsid w:val="00617145"/>
    <w:rsid w:val="00622D8D"/>
    <w:rsid w:val="00625812"/>
    <w:rsid w:val="00643EC0"/>
    <w:rsid w:val="00645FA9"/>
    <w:rsid w:val="00647866"/>
    <w:rsid w:val="00650A2C"/>
    <w:rsid w:val="00652FDA"/>
    <w:rsid w:val="00653D99"/>
    <w:rsid w:val="006579A6"/>
    <w:rsid w:val="0066386F"/>
    <w:rsid w:val="00665003"/>
    <w:rsid w:val="00665D18"/>
    <w:rsid w:val="00673B4B"/>
    <w:rsid w:val="0067605E"/>
    <w:rsid w:val="0068305D"/>
    <w:rsid w:val="006840C2"/>
    <w:rsid w:val="00696D1B"/>
    <w:rsid w:val="006A0890"/>
    <w:rsid w:val="006A178F"/>
    <w:rsid w:val="006A257D"/>
    <w:rsid w:val="006A2AD0"/>
    <w:rsid w:val="006A3A9A"/>
    <w:rsid w:val="006A3B9C"/>
    <w:rsid w:val="006A3D7E"/>
    <w:rsid w:val="006A549A"/>
    <w:rsid w:val="006A6158"/>
    <w:rsid w:val="006B0BEF"/>
    <w:rsid w:val="006B1CEE"/>
    <w:rsid w:val="006C125B"/>
    <w:rsid w:val="006C2375"/>
    <w:rsid w:val="006C288D"/>
    <w:rsid w:val="006C4833"/>
    <w:rsid w:val="006D1D40"/>
    <w:rsid w:val="006D2DA9"/>
    <w:rsid w:val="006D4ECC"/>
    <w:rsid w:val="006D5D09"/>
    <w:rsid w:val="006E2AA0"/>
    <w:rsid w:val="006E2D05"/>
    <w:rsid w:val="006E444A"/>
    <w:rsid w:val="006E55CF"/>
    <w:rsid w:val="006E6930"/>
    <w:rsid w:val="006F1ACF"/>
    <w:rsid w:val="006F210B"/>
    <w:rsid w:val="00700D03"/>
    <w:rsid w:val="007073F4"/>
    <w:rsid w:val="00712E64"/>
    <w:rsid w:val="00714041"/>
    <w:rsid w:val="0071461C"/>
    <w:rsid w:val="00715451"/>
    <w:rsid w:val="00722258"/>
    <w:rsid w:val="007243E5"/>
    <w:rsid w:val="0072465E"/>
    <w:rsid w:val="00731033"/>
    <w:rsid w:val="0073349C"/>
    <w:rsid w:val="007358E4"/>
    <w:rsid w:val="00740CBF"/>
    <w:rsid w:val="007476CF"/>
    <w:rsid w:val="00753F6E"/>
    <w:rsid w:val="00753FFE"/>
    <w:rsid w:val="00760BB3"/>
    <w:rsid w:val="00763BE8"/>
    <w:rsid w:val="00765C32"/>
    <w:rsid w:val="00766EA0"/>
    <w:rsid w:val="00771150"/>
    <w:rsid w:val="00775012"/>
    <w:rsid w:val="00782C21"/>
    <w:rsid w:val="00784046"/>
    <w:rsid w:val="007846A9"/>
    <w:rsid w:val="007847BD"/>
    <w:rsid w:val="00787592"/>
    <w:rsid w:val="00796543"/>
    <w:rsid w:val="007A2226"/>
    <w:rsid w:val="007A49A3"/>
    <w:rsid w:val="007A5C85"/>
    <w:rsid w:val="007C2C10"/>
    <w:rsid w:val="007C2C9C"/>
    <w:rsid w:val="007C5260"/>
    <w:rsid w:val="007D6019"/>
    <w:rsid w:val="007D766C"/>
    <w:rsid w:val="007E1017"/>
    <w:rsid w:val="007E596F"/>
    <w:rsid w:val="007F078B"/>
    <w:rsid w:val="007F2309"/>
    <w:rsid w:val="007F3A99"/>
    <w:rsid w:val="007F530E"/>
    <w:rsid w:val="007F5B66"/>
    <w:rsid w:val="008012F9"/>
    <w:rsid w:val="008025CC"/>
    <w:rsid w:val="00812272"/>
    <w:rsid w:val="00823A1C"/>
    <w:rsid w:val="00824025"/>
    <w:rsid w:val="0082419E"/>
    <w:rsid w:val="00827FE6"/>
    <w:rsid w:val="0083230A"/>
    <w:rsid w:val="00833DB3"/>
    <w:rsid w:val="00834CC6"/>
    <w:rsid w:val="00835A16"/>
    <w:rsid w:val="00845371"/>
    <w:rsid w:val="00845B9D"/>
    <w:rsid w:val="00845EAA"/>
    <w:rsid w:val="008501EA"/>
    <w:rsid w:val="00850B04"/>
    <w:rsid w:val="00852688"/>
    <w:rsid w:val="00853151"/>
    <w:rsid w:val="00857DAA"/>
    <w:rsid w:val="00860984"/>
    <w:rsid w:val="00861003"/>
    <w:rsid w:val="00861023"/>
    <w:rsid w:val="00870817"/>
    <w:rsid w:val="008719E6"/>
    <w:rsid w:val="0087691B"/>
    <w:rsid w:val="008773C9"/>
    <w:rsid w:val="00883E6D"/>
    <w:rsid w:val="008921F7"/>
    <w:rsid w:val="00895062"/>
    <w:rsid w:val="008A1342"/>
    <w:rsid w:val="008A1C7F"/>
    <w:rsid w:val="008B3ECB"/>
    <w:rsid w:val="008B4E85"/>
    <w:rsid w:val="008B5D59"/>
    <w:rsid w:val="008C12FB"/>
    <w:rsid w:val="008C1B2E"/>
    <w:rsid w:val="008C50DB"/>
    <w:rsid w:val="008C7AE6"/>
    <w:rsid w:val="008D16E5"/>
    <w:rsid w:val="008D1F92"/>
    <w:rsid w:val="008E09D3"/>
    <w:rsid w:val="008E2880"/>
    <w:rsid w:val="008E31DE"/>
    <w:rsid w:val="008F16AB"/>
    <w:rsid w:val="008F4BED"/>
    <w:rsid w:val="008F72BA"/>
    <w:rsid w:val="009029C7"/>
    <w:rsid w:val="00903477"/>
    <w:rsid w:val="00906C2E"/>
    <w:rsid w:val="009075E3"/>
    <w:rsid w:val="00910773"/>
    <w:rsid w:val="009120E8"/>
    <w:rsid w:val="0091345C"/>
    <w:rsid w:val="00916200"/>
    <w:rsid w:val="0091627E"/>
    <w:rsid w:val="0091795E"/>
    <w:rsid w:val="00922177"/>
    <w:rsid w:val="00927340"/>
    <w:rsid w:val="00935688"/>
    <w:rsid w:val="009412DD"/>
    <w:rsid w:val="009424DF"/>
    <w:rsid w:val="00953623"/>
    <w:rsid w:val="0096575A"/>
    <w:rsid w:val="0097032B"/>
    <w:rsid w:val="00972680"/>
    <w:rsid w:val="009732FA"/>
    <w:rsid w:val="009739B2"/>
    <w:rsid w:val="00973EBC"/>
    <w:rsid w:val="00980091"/>
    <w:rsid w:val="0098109B"/>
    <w:rsid w:val="00981E9C"/>
    <w:rsid w:val="00987E8B"/>
    <w:rsid w:val="009919E5"/>
    <w:rsid w:val="0099219B"/>
    <w:rsid w:val="00996587"/>
    <w:rsid w:val="00996DC9"/>
    <w:rsid w:val="009A124E"/>
    <w:rsid w:val="009A4D16"/>
    <w:rsid w:val="009A6461"/>
    <w:rsid w:val="009B27AB"/>
    <w:rsid w:val="009B2DF6"/>
    <w:rsid w:val="009B3C12"/>
    <w:rsid w:val="009B6062"/>
    <w:rsid w:val="009B6595"/>
    <w:rsid w:val="009C352A"/>
    <w:rsid w:val="009D12A4"/>
    <w:rsid w:val="009D2EAD"/>
    <w:rsid w:val="009D4E2A"/>
    <w:rsid w:val="009D54B2"/>
    <w:rsid w:val="009E1867"/>
    <w:rsid w:val="009E1922"/>
    <w:rsid w:val="009E3B40"/>
    <w:rsid w:val="009E53F7"/>
    <w:rsid w:val="009F13FA"/>
    <w:rsid w:val="009F7ED2"/>
    <w:rsid w:val="00A01254"/>
    <w:rsid w:val="00A0634F"/>
    <w:rsid w:val="00A11000"/>
    <w:rsid w:val="00A20F6B"/>
    <w:rsid w:val="00A223D5"/>
    <w:rsid w:val="00A23A26"/>
    <w:rsid w:val="00A31DE0"/>
    <w:rsid w:val="00A35613"/>
    <w:rsid w:val="00A40476"/>
    <w:rsid w:val="00A44081"/>
    <w:rsid w:val="00A46F14"/>
    <w:rsid w:val="00A50515"/>
    <w:rsid w:val="00A50A79"/>
    <w:rsid w:val="00A51C7B"/>
    <w:rsid w:val="00A60A41"/>
    <w:rsid w:val="00A62754"/>
    <w:rsid w:val="00A63DC4"/>
    <w:rsid w:val="00A662EB"/>
    <w:rsid w:val="00A66F77"/>
    <w:rsid w:val="00A70224"/>
    <w:rsid w:val="00A73B38"/>
    <w:rsid w:val="00A73BBA"/>
    <w:rsid w:val="00A7425E"/>
    <w:rsid w:val="00A768F4"/>
    <w:rsid w:val="00A84323"/>
    <w:rsid w:val="00A86F71"/>
    <w:rsid w:val="00A93661"/>
    <w:rsid w:val="00A94EB0"/>
    <w:rsid w:val="00A95652"/>
    <w:rsid w:val="00AA1300"/>
    <w:rsid w:val="00AA2CFE"/>
    <w:rsid w:val="00AA36EB"/>
    <w:rsid w:val="00AA4345"/>
    <w:rsid w:val="00AA4CBA"/>
    <w:rsid w:val="00AB3C04"/>
    <w:rsid w:val="00AB56CB"/>
    <w:rsid w:val="00AB75D2"/>
    <w:rsid w:val="00AC0AB8"/>
    <w:rsid w:val="00AC5823"/>
    <w:rsid w:val="00AC5E3F"/>
    <w:rsid w:val="00AC67CF"/>
    <w:rsid w:val="00AE173B"/>
    <w:rsid w:val="00AE26CD"/>
    <w:rsid w:val="00AF2BE5"/>
    <w:rsid w:val="00AF429F"/>
    <w:rsid w:val="00B00FF0"/>
    <w:rsid w:val="00B026FB"/>
    <w:rsid w:val="00B150F8"/>
    <w:rsid w:val="00B15686"/>
    <w:rsid w:val="00B2026B"/>
    <w:rsid w:val="00B22771"/>
    <w:rsid w:val="00B24C80"/>
    <w:rsid w:val="00B263EC"/>
    <w:rsid w:val="00B31F82"/>
    <w:rsid w:val="00B33C6D"/>
    <w:rsid w:val="00B40588"/>
    <w:rsid w:val="00B4424D"/>
    <w:rsid w:val="00B445FC"/>
    <w:rsid w:val="00B4508F"/>
    <w:rsid w:val="00B526D5"/>
    <w:rsid w:val="00B53951"/>
    <w:rsid w:val="00B55AD5"/>
    <w:rsid w:val="00B56ACC"/>
    <w:rsid w:val="00B6340F"/>
    <w:rsid w:val="00B72F42"/>
    <w:rsid w:val="00B8057C"/>
    <w:rsid w:val="00B82B7B"/>
    <w:rsid w:val="00B82C79"/>
    <w:rsid w:val="00B845F0"/>
    <w:rsid w:val="00B87B1A"/>
    <w:rsid w:val="00B91263"/>
    <w:rsid w:val="00B912C7"/>
    <w:rsid w:val="00B916C8"/>
    <w:rsid w:val="00BA2941"/>
    <w:rsid w:val="00BB11AC"/>
    <w:rsid w:val="00BB4684"/>
    <w:rsid w:val="00BC269D"/>
    <w:rsid w:val="00BC4C7E"/>
    <w:rsid w:val="00BD1634"/>
    <w:rsid w:val="00BD18D8"/>
    <w:rsid w:val="00BD6238"/>
    <w:rsid w:val="00BD62CF"/>
    <w:rsid w:val="00BE2884"/>
    <w:rsid w:val="00BE4615"/>
    <w:rsid w:val="00BE5BE5"/>
    <w:rsid w:val="00BE7059"/>
    <w:rsid w:val="00BF2D3C"/>
    <w:rsid w:val="00BF593B"/>
    <w:rsid w:val="00BF773A"/>
    <w:rsid w:val="00BF7E81"/>
    <w:rsid w:val="00C04A89"/>
    <w:rsid w:val="00C04F39"/>
    <w:rsid w:val="00C11E45"/>
    <w:rsid w:val="00C12FF0"/>
    <w:rsid w:val="00C1365B"/>
    <w:rsid w:val="00C13773"/>
    <w:rsid w:val="00C14B3E"/>
    <w:rsid w:val="00C17CC8"/>
    <w:rsid w:val="00C2125C"/>
    <w:rsid w:val="00C214F2"/>
    <w:rsid w:val="00C227CF"/>
    <w:rsid w:val="00C2445B"/>
    <w:rsid w:val="00C25250"/>
    <w:rsid w:val="00C2548D"/>
    <w:rsid w:val="00C3177B"/>
    <w:rsid w:val="00C334B0"/>
    <w:rsid w:val="00C35C15"/>
    <w:rsid w:val="00C35D85"/>
    <w:rsid w:val="00C412AD"/>
    <w:rsid w:val="00C44CB2"/>
    <w:rsid w:val="00C45DF6"/>
    <w:rsid w:val="00C45FA3"/>
    <w:rsid w:val="00C54922"/>
    <w:rsid w:val="00C618CE"/>
    <w:rsid w:val="00C64F4C"/>
    <w:rsid w:val="00C70791"/>
    <w:rsid w:val="00C725E6"/>
    <w:rsid w:val="00C72857"/>
    <w:rsid w:val="00C73A27"/>
    <w:rsid w:val="00C74F43"/>
    <w:rsid w:val="00C77474"/>
    <w:rsid w:val="00C83417"/>
    <w:rsid w:val="00C83C53"/>
    <w:rsid w:val="00C84F74"/>
    <w:rsid w:val="00C84FD1"/>
    <w:rsid w:val="00C9604F"/>
    <w:rsid w:val="00C96A1A"/>
    <w:rsid w:val="00C970CF"/>
    <w:rsid w:val="00CA19AA"/>
    <w:rsid w:val="00CA30EC"/>
    <w:rsid w:val="00CA5C64"/>
    <w:rsid w:val="00CC3253"/>
    <w:rsid w:val="00CC3B86"/>
    <w:rsid w:val="00CC5298"/>
    <w:rsid w:val="00CC6A82"/>
    <w:rsid w:val="00CD170E"/>
    <w:rsid w:val="00CD435E"/>
    <w:rsid w:val="00CD6483"/>
    <w:rsid w:val="00CD736E"/>
    <w:rsid w:val="00CD76BB"/>
    <w:rsid w:val="00CD798D"/>
    <w:rsid w:val="00CE161E"/>
    <w:rsid w:val="00CE56FD"/>
    <w:rsid w:val="00CE6B4F"/>
    <w:rsid w:val="00CF2CA9"/>
    <w:rsid w:val="00CF2F37"/>
    <w:rsid w:val="00CF38AB"/>
    <w:rsid w:val="00CF5370"/>
    <w:rsid w:val="00CF59A8"/>
    <w:rsid w:val="00D140AF"/>
    <w:rsid w:val="00D1664A"/>
    <w:rsid w:val="00D167E5"/>
    <w:rsid w:val="00D17868"/>
    <w:rsid w:val="00D20C7E"/>
    <w:rsid w:val="00D21B7E"/>
    <w:rsid w:val="00D221F5"/>
    <w:rsid w:val="00D22708"/>
    <w:rsid w:val="00D22F63"/>
    <w:rsid w:val="00D23AF6"/>
    <w:rsid w:val="00D26190"/>
    <w:rsid w:val="00D30E12"/>
    <w:rsid w:val="00D325A9"/>
    <w:rsid w:val="00D36A8A"/>
    <w:rsid w:val="00D40924"/>
    <w:rsid w:val="00D42B57"/>
    <w:rsid w:val="00D46D1C"/>
    <w:rsid w:val="00D50999"/>
    <w:rsid w:val="00D61409"/>
    <w:rsid w:val="00D61DB6"/>
    <w:rsid w:val="00D6691E"/>
    <w:rsid w:val="00D71170"/>
    <w:rsid w:val="00D76BA1"/>
    <w:rsid w:val="00D92666"/>
    <w:rsid w:val="00D93688"/>
    <w:rsid w:val="00D95351"/>
    <w:rsid w:val="00DA0B15"/>
    <w:rsid w:val="00DA1C92"/>
    <w:rsid w:val="00DA25D4"/>
    <w:rsid w:val="00DA6538"/>
    <w:rsid w:val="00DB42AE"/>
    <w:rsid w:val="00DD2C6F"/>
    <w:rsid w:val="00DD2E35"/>
    <w:rsid w:val="00DD6132"/>
    <w:rsid w:val="00DF1A5C"/>
    <w:rsid w:val="00DF1C3D"/>
    <w:rsid w:val="00E00355"/>
    <w:rsid w:val="00E144B8"/>
    <w:rsid w:val="00E14C07"/>
    <w:rsid w:val="00E15E75"/>
    <w:rsid w:val="00E16430"/>
    <w:rsid w:val="00E20C9F"/>
    <w:rsid w:val="00E26365"/>
    <w:rsid w:val="00E27020"/>
    <w:rsid w:val="00E27661"/>
    <w:rsid w:val="00E31B2C"/>
    <w:rsid w:val="00E351D4"/>
    <w:rsid w:val="00E370F5"/>
    <w:rsid w:val="00E37CC8"/>
    <w:rsid w:val="00E41452"/>
    <w:rsid w:val="00E41C94"/>
    <w:rsid w:val="00E5262C"/>
    <w:rsid w:val="00E54EA3"/>
    <w:rsid w:val="00E55749"/>
    <w:rsid w:val="00E564D5"/>
    <w:rsid w:val="00E7029D"/>
    <w:rsid w:val="00E725ED"/>
    <w:rsid w:val="00E734E4"/>
    <w:rsid w:val="00E756BD"/>
    <w:rsid w:val="00E827AC"/>
    <w:rsid w:val="00E87A76"/>
    <w:rsid w:val="00E90606"/>
    <w:rsid w:val="00E9735A"/>
    <w:rsid w:val="00EA0710"/>
    <w:rsid w:val="00EA20B3"/>
    <w:rsid w:val="00EA21D0"/>
    <w:rsid w:val="00EA4729"/>
    <w:rsid w:val="00EA4AD8"/>
    <w:rsid w:val="00EB202A"/>
    <w:rsid w:val="00EB4185"/>
    <w:rsid w:val="00EB470E"/>
    <w:rsid w:val="00EC7DC4"/>
    <w:rsid w:val="00ED02A5"/>
    <w:rsid w:val="00ED30CF"/>
    <w:rsid w:val="00ED3194"/>
    <w:rsid w:val="00ED52AD"/>
    <w:rsid w:val="00EE4EBC"/>
    <w:rsid w:val="00EE71A7"/>
    <w:rsid w:val="00EF5EE9"/>
    <w:rsid w:val="00F002D1"/>
    <w:rsid w:val="00F10002"/>
    <w:rsid w:val="00F11CC8"/>
    <w:rsid w:val="00F13E89"/>
    <w:rsid w:val="00F176EF"/>
    <w:rsid w:val="00F229BA"/>
    <w:rsid w:val="00F22DA3"/>
    <w:rsid w:val="00F250E1"/>
    <w:rsid w:val="00F2588E"/>
    <w:rsid w:val="00F273C6"/>
    <w:rsid w:val="00F345C4"/>
    <w:rsid w:val="00F358B6"/>
    <w:rsid w:val="00F40EB8"/>
    <w:rsid w:val="00F43947"/>
    <w:rsid w:val="00F45E10"/>
    <w:rsid w:val="00F45EF5"/>
    <w:rsid w:val="00F46E96"/>
    <w:rsid w:val="00F47B5C"/>
    <w:rsid w:val="00F5089B"/>
    <w:rsid w:val="00F50DAA"/>
    <w:rsid w:val="00F52375"/>
    <w:rsid w:val="00F53505"/>
    <w:rsid w:val="00F56106"/>
    <w:rsid w:val="00F56337"/>
    <w:rsid w:val="00F6364A"/>
    <w:rsid w:val="00F71415"/>
    <w:rsid w:val="00F7341C"/>
    <w:rsid w:val="00F74346"/>
    <w:rsid w:val="00F77808"/>
    <w:rsid w:val="00F833BC"/>
    <w:rsid w:val="00F85CD0"/>
    <w:rsid w:val="00F9113A"/>
    <w:rsid w:val="00F9380C"/>
    <w:rsid w:val="00F9447D"/>
    <w:rsid w:val="00F95A05"/>
    <w:rsid w:val="00FA1A43"/>
    <w:rsid w:val="00FA4A40"/>
    <w:rsid w:val="00FB56BE"/>
    <w:rsid w:val="00FB7FE0"/>
    <w:rsid w:val="00FD67B5"/>
    <w:rsid w:val="00FE2546"/>
    <w:rsid w:val="00FE4353"/>
    <w:rsid w:val="00FE6C2F"/>
    <w:rsid w:val="00FE7A25"/>
    <w:rsid w:val="00FE7B91"/>
    <w:rsid w:val="00FF17FC"/>
    <w:rsid w:val="00FF1FF4"/>
    <w:rsid w:val="00FF53A6"/>
    <w:rsid w:val="00FF5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C8F0D4-38F6-4477-BB77-34CE7C9F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33DB3"/>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qFormat/>
    <w:rsid w:val="00833D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3DB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33DB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21,Tags,No Spacing5,t"/>
    <w:basedOn w:val="Normal"/>
    <w:next w:val="Normal"/>
    <w:link w:val="Heading4Char"/>
    <w:uiPriority w:val="3"/>
    <w:unhideWhenUsed/>
    <w:qFormat/>
    <w:rsid w:val="00833DB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33D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3DB3"/>
  </w:style>
  <w:style w:type="character" w:customStyle="1" w:styleId="Heading1Char">
    <w:name w:val="Heading 1 Char"/>
    <w:aliases w:val="Pocket Char"/>
    <w:basedOn w:val="DefaultParagraphFont"/>
    <w:link w:val="Heading1"/>
    <w:rsid w:val="00833DB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33DB3"/>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33DB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33DB3"/>
    <w:rPr>
      <w:rFonts w:ascii="Times New Roman" w:eastAsiaTheme="majorEastAsia" w:hAnsi="Times New Roman" w:cstheme="majorBidi"/>
      <w:b/>
      <w:iCs/>
      <w:sz w:val="26"/>
    </w:rPr>
  </w:style>
  <w:style w:type="character" w:styleId="Emphasis">
    <w:name w:val="Emphasis"/>
    <w:aliases w:val="emphasis in card,CD Card,Minimized,minimized,Evidence,Highlighted,tag2,Size 10,ED - Tag,emphasis,Underlined,Emphasis!!,small,Qualifications,bold underline,normal card text,Shrunk,qualifications in card,qualifications,Box,Style1"/>
    <w:basedOn w:val="DefaultParagraphFont"/>
    <w:uiPriority w:val="7"/>
    <w:qFormat/>
    <w:rsid w:val="00833DB3"/>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33DB3"/>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no Char"/>
    <w:basedOn w:val="DefaultParagraphFont"/>
    <w:uiPriority w:val="6"/>
    <w:qFormat/>
    <w:rsid w:val="00833DB3"/>
    <w:rPr>
      <w:b w:val="0"/>
      <w:sz w:val="24"/>
      <w:u w:val="single"/>
    </w:rPr>
  </w:style>
  <w:style w:type="character" w:styleId="Hyperlink">
    <w:name w:val="Hyperlink"/>
    <w:basedOn w:val="DefaultParagraphFont"/>
    <w:unhideWhenUsed/>
    <w:rsid w:val="00833DB3"/>
    <w:rPr>
      <w:color w:val="auto"/>
      <w:u w:val="none"/>
    </w:rPr>
  </w:style>
  <w:style w:type="character" w:styleId="FollowedHyperlink">
    <w:name w:val="FollowedHyperlink"/>
    <w:basedOn w:val="DefaultParagraphFont"/>
    <w:uiPriority w:val="99"/>
    <w:semiHidden/>
    <w:unhideWhenUsed/>
    <w:rsid w:val="00833DB3"/>
    <w:rPr>
      <w:color w:val="auto"/>
      <w:u w:val="none"/>
    </w:rPr>
  </w:style>
  <w:style w:type="character" w:customStyle="1" w:styleId="BoldUnderlineChar">
    <w:name w:val="Bold Underline Char"/>
    <w:link w:val="BoldUnderline"/>
    <w:locked/>
    <w:rsid w:val="00476717"/>
    <w:rPr>
      <w:rFonts w:ascii="Times New Roman" w:eastAsia="Times New Roman" w:hAnsi="Times New Roman" w:cs="Times New Roman"/>
      <w:b/>
      <w:bCs/>
      <w:sz w:val="20"/>
      <w:szCs w:val="24"/>
      <w:u w:val="single"/>
    </w:rPr>
  </w:style>
  <w:style w:type="paragraph" w:customStyle="1" w:styleId="BoldUnderline">
    <w:name w:val="Bold Underline"/>
    <w:basedOn w:val="Normal"/>
    <w:link w:val="BoldUnderlineChar"/>
    <w:qFormat/>
    <w:rsid w:val="00476717"/>
    <w:rPr>
      <w:rFonts w:eastAsia="Times New Roman"/>
      <w:b/>
      <w:bCs/>
      <w:sz w:val="20"/>
      <w:szCs w:val="24"/>
      <w:u w:val="single"/>
    </w:rPr>
  </w:style>
  <w:style w:type="paragraph" w:customStyle="1" w:styleId="Citation">
    <w:name w:val="Citation"/>
    <w:basedOn w:val="Normal"/>
    <w:link w:val="CitationChar"/>
    <w:qFormat/>
    <w:rsid w:val="00476717"/>
    <w:rPr>
      <w:rFonts w:eastAsia="Calibri"/>
      <w:b/>
      <w:szCs w:val="24"/>
    </w:rPr>
  </w:style>
  <w:style w:type="character" w:customStyle="1" w:styleId="CitationChar">
    <w:name w:val="Citation Char"/>
    <w:link w:val="Citation"/>
    <w:rsid w:val="00476717"/>
    <w:rPr>
      <w:rFonts w:ascii="Times New Roman" w:eastAsia="Calibri"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atlanticcouncil.org/careers/blogs/futuresource/in-search-of-sand-piles-and-butterfli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kaisnet.or.kr/resource/down/9_1_02.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rt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638F6-BD22-486F-9D42-8E44CE7A0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7954</Words>
  <Characters>45344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thurt11</dc:creator>
  <cp:keywords>5.1.1</cp:keywords>
  <dc:description/>
  <cp:lastModifiedBy>thurt11</cp:lastModifiedBy>
  <cp:revision>2</cp:revision>
  <dcterms:created xsi:type="dcterms:W3CDTF">2015-07-27T13:05:00Z</dcterms:created>
  <dcterms:modified xsi:type="dcterms:W3CDTF">2015-07-27T13:27:00Z</dcterms:modified>
</cp:coreProperties>
</file>