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33965" w:rsidP="00333965">
      <w:pPr>
        <w:pStyle w:val="Heading1"/>
      </w:pPr>
      <w:r>
        <w:t>Consent Definition</w:t>
      </w:r>
    </w:p>
    <w:p w:rsidR="00997201" w:rsidRDefault="00997201">
      <w:pPr>
        <w:pStyle w:val="Heading3"/>
      </w:pPr>
      <w:r>
        <w:t>Redone T- Consent 1nc</w:t>
      </w:r>
    </w:p>
    <w:p w:rsidR="003A4D5F" w:rsidRDefault="003A4D5F" w:rsidP="003A4D5F">
      <w:pPr>
        <w:pStyle w:val="Heading4"/>
      </w:pPr>
      <w:r>
        <w:t>Interpretation - Surveillance means monitoring without express consent</w:t>
      </w:r>
    </w:p>
    <w:p w:rsidR="003A4D5F" w:rsidRDefault="003A4D5F" w:rsidP="003A4D5F">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rsidR="003A4D5F" w:rsidRPr="000B4AF2" w:rsidRDefault="003A4D5F" w:rsidP="003A4D5F">
      <w:pPr>
        <w:rPr>
          <w:sz w:val="16"/>
        </w:rPr>
      </w:pPr>
      <w:r w:rsidRPr="000B4AF2">
        <w:rPr>
          <w:sz w:val="16"/>
        </w:rPr>
        <w:t>(f) "</w:t>
      </w:r>
      <w:r w:rsidRPr="000B4AF2">
        <w:rPr>
          <w:rStyle w:val="StyleUnderline"/>
          <w:highlight w:val="green"/>
        </w:rPr>
        <w:t>Electronic surveillance" means</w:t>
      </w:r>
      <w:r w:rsidRPr="000B4AF2">
        <w:rPr>
          <w:sz w:val="16"/>
        </w:rPr>
        <w:t xml:space="preserve">— (1) </w:t>
      </w:r>
      <w:r w:rsidRPr="000B4AF2">
        <w:rPr>
          <w:rStyle w:val="StyleUnderline"/>
        </w:rPr>
        <w:t xml:space="preserve">the </w:t>
      </w:r>
      <w:r w:rsidRPr="000B4AF2">
        <w:rPr>
          <w:rStyle w:val="StyleUnderline"/>
          <w:highlight w:val="green"/>
        </w:rPr>
        <w:t>acquisition by a</w:t>
      </w:r>
      <w:r w:rsidRPr="000B4AF2">
        <w:rPr>
          <w:sz w:val="16"/>
        </w:rPr>
        <w:t xml:space="preserve">n electronic, mechanical, or other </w:t>
      </w:r>
      <w:r w:rsidRPr="000B4AF2">
        <w:rPr>
          <w:rStyle w:val="StyleUnderline"/>
          <w:highlight w:val="green"/>
        </w:rPr>
        <w:t>surveillance device</w:t>
      </w:r>
      <w:r w:rsidRPr="000B4AF2">
        <w:rPr>
          <w:sz w:val="16"/>
        </w:rPr>
        <w:t xml:space="preserve"> of the contents of any wire or radio communication sent by or intended to be received by a particular, known United States person who is in the United States, if the contents are acquired by intentionally targeting that United States person, under circumstances in which a person •'• has a reasonable expectation of privacy and a warrant would be required for law enforcement purposes; (2) the acquisition by an electronic, mechanical, or other surveillance device of the contents of any wire communication to or from a person in the United States, </w:t>
      </w:r>
      <w:r w:rsidRPr="000B4AF2">
        <w:rPr>
          <w:rStyle w:val="Emphasis"/>
          <w:highlight w:val="green"/>
        </w:rPr>
        <w:t>without the consent of any party</w:t>
      </w:r>
      <w:r w:rsidRPr="000B4AF2">
        <w:rPr>
          <w:rStyle w:val="Emphasis"/>
        </w:rPr>
        <w:t xml:space="preserve"> thereto</w:t>
      </w:r>
      <w:r w:rsidRPr="000B4AF2">
        <w:rPr>
          <w:sz w:val="16"/>
        </w:rPr>
        <w:t xml:space="preserve">, </w:t>
      </w:r>
      <w:r w:rsidRPr="000B4AF2">
        <w:rPr>
          <w:rStyle w:val="StyleUnderline"/>
          <w:highlight w:val="green"/>
        </w:rPr>
        <w:t xml:space="preserve">if such acquisition </w:t>
      </w:r>
      <w:r w:rsidRPr="000B4AF2">
        <w:rPr>
          <w:rStyle w:val="Emphasis"/>
          <w:highlight w:val="green"/>
        </w:rPr>
        <w:t>occurs in the U</w:t>
      </w:r>
      <w:r w:rsidRPr="000B4AF2">
        <w:rPr>
          <w:rStyle w:val="Emphasis"/>
        </w:rPr>
        <w:t xml:space="preserve">nited </w:t>
      </w:r>
      <w:r w:rsidRPr="000B4AF2">
        <w:rPr>
          <w:rStyle w:val="Emphasis"/>
          <w:highlight w:val="green"/>
        </w:rPr>
        <w:t>S</w:t>
      </w:r>
      <w:r w:rsidRPr="000B4AF2">
        <w:rPr>
          <w:rStyle w:val="Emphasis"/>
        </w:rPr>
        <w:t>tates</w:t>
      </w:r>
      <w:r w:rsidRPr="000B4AF2">
        <w:rPr>
          <w:sz w:val="16"/>
        </w:rPr>
        <w:t xml:space="preserve">; (3) the intentional acquisition by an electronic, mechanical, or other surveillance device of the contents of any radio communication, </w:t>
      </w:r>
      <w:r w:rsidRPr="000B4AF2">
        <w:rPr>
          <w:rStyle w:val="StyleUnderline"/>
          <w:highlight w:val="green"/>
        </w:rPr>
        <w:t>under circumstances in which</w:t>
      </w:r>
      <w:r w:rsidRPr="000B4AF2">
        <w:rPr>
          <w:sz w:val="16"/>
        </w:rPr>
        <w:t xml:space="preserve"> a person has a reasonable expectation of privacy and </w:t>
      </w:r>
      <w:r w:rsidRPr="000B4AF2">
        <w:rPr>
          <w:rStyle w:val="StyleUnderline"/>
          <w:highlight w:val="green"/>
        </w:rPr>
        <w:t>a warrant would be required</w:t>
      </w:r>
      <w:r w:rsidRPr="000B4AF2">
        <w:rPr>
          <w:rStyle w:val="StyleUnderline"/>
        </w:rPr>
        <w:t xml:space="preserve"> </w:t>
      </w:r>
      <w:r w:rsidRPr="000B4AF2">
        <w:rPr>
          <w:sz w:val="16"/>
        </w:rPr>
        <w:t xml:space="preserve">for law enforcement purposes, and if both the sender and all intended recipients are located within the United States; or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 </w:t>
      </w:r>
    </w:p>
    <w:p w:rsidR="003A4D5F" w:rsidRDefault="003A4D5F" w:rsidP="003A4D5F"/>
    <w:p w:rsidR="003A4D5F" w:rsidRDefault="003A4D5F" w:rsidP="003A4D5F"/>
    <w:p w:rsidR="003A4D5F" w:rsidRDefault="003A4D5F" w:rsidP="003A4D5F">
      <w:pPr>
        <w:pStyle w:val="Heading4"/>
      </w:pPr>
      <w:r>
        <w:t>Violation - Handing Info over to the government as part of a license or application process is not surveillance because express consent is provided</w:t>
      </w:r>
    </w:p>
    <w:p w:rsidR="003A4D5F" w:rsidRPr="00BC4D75" w:rsidRDefault="003A4D5F" w:rsidP="003A4D5F">
      <w:r w:rsidRPr="00BC4D75">
        <w:rPr>
          <w:rStyle w:val="Style13ptBold"/>
        </w:rPr>
        <w:t>The Law Dictionary</w:t>
      </w:r>
      <w:r>
        <w:rPr>
          <w:rStyle w:val="Style13ptBold"/>
        </w:rPr>
        <w:t xml:space="preserve"> 1910</w:t>
      </w:r>
      <w:r>
        <w:t xml:space="preserve"> </w:t>
      </w:r>
      <w:r w:rsidRPr="00BC4D75">
        <w:rPr>
          <w:sz w:val="16"/>
        </w:rPr>
        <w:t xml:space="preserve">(The </w:t>
      </w:r>
      <w:r>
        <w:rPr>
          <w:sz w:val="16"/>
        </w:rPr>
        <w:t xml:space="preserve">law dictionary is based off the second edition of </w:t>
      </w:r>
      <w:r w:rsidRPr="00BC4D75">
        <w:rPr>
          <w:sz w:val="16"/>
        </w:rPr>
        <w:t>Black’s Law Dictionary</w:t>
      </w:r>
      <w:r>
        <w:rPr>
          <w:sz w:val="16"/>
        </w:rPr>
        <w:t xml:space="preserve"> published in 1910: the definitive legal dictionary as defined by scholars, lawyers, and students</w:t>
      </w:r>
      <w:r w:rsidRPr="00BC4D75">
        <w:rPr>
          <w:sz w:val="16"/>
        </w:rPr>
        <w:t xml:space="preserve">. </w:t>
      </w:r>
      <w:hyperlink r:id="rId6" w:history="1">
        <w:r w:rsidRPr="00BC4D75">
          <w:rPr>
            <w:rStyle w:val="Hyperlink"/>
            <w:sz w:val="16"/>
          </w:rPr>
          <w:t>http://thelawdictionary.org/consent/</w:t>
        </w:r>
      </w:hyperlink>
      <w:r w:rsidRPr="00BC4D75">
        <w:rPr>
          <w:sz w:val="16"/>
        </w:rPr>
        <w:t xml:space="preserve">  //HS)</w:t>
      </w:r>
    </w:p>
    <w:p w:rsidR="003A4D5F" w:rsidRPr="00BC4D75" w:rsidRDefault="003A4D5F" w:rsidP="003A4D5F">
      <w:pPr>
        <w:rPr>
          <w:sz w:val="16"/>
        </w:rPr>
      </w:pPr>
      <w:r w:rsidRPr="00BC4D75">
        <w:rPr>
          <w:sz w:val="16"/>
        </w:rPr>
        <w:t xml:space="preserve">What is </w:t>
      </w:r>
      <w:r w:rsidRPr="00BC4D75">
        <w:rPr>
          <w:rStyle w:val="StyleUnderline"/>
        </w:rPr>
        <w:t>CONSENT</w:t>
      </w:r>
      <w:r w:rsidRPr="00BC4D75">
        <w:rPr>
          <w:sz w:val="16"/>
        </w:rPr>
        <w:t xml:space="preserve">? </w:t>
      </w:r>
      <w:r w:rsidRPr="00BC4D75">
        <w:rPr>
          <w:rStyle w:val="StyleUnderline"/>
        </w:rPr>
        <w:t>A concurrence of wills.</w:t>
      </w:r>
      <w:r w:rsidRPr="00BC4D75">
        <w:rPr>
          <w:sz w:val="16"/>
        </w:rPr>
        <w:t xml:space="preserve"> </w:t>
      </w:r>
      <w:r w:rsidRPr="00BC4D75">
        <w:rPr>
          <w:rStyle w:val="StyleUnderline"/>
        </w:rPr>
        <w:t>Express consent is</w:t>
      </w:r>
      <w:r w:rsidRPr="00BC4D75">
        <w:rPr>
          <w:sz w:val="16"/>
        </w:rPr>
        <w:t xml:space="preserve"> that directly </w:t>
      </w:r>
      <w:r w:rsidRPr="00BC4D75">
        <w:rPr>
          <w:rStyle w:val="StyleUnderline"/>
        </w:rPr>
        <w:t>given</w:t>
      </w:r>
      <w:r w:rsidRPr="00BC4D75">
        <w:rPr>
          <w:sz w:val="16"/>
        </w:rPr>
        <w:t xml:space="preserve">, either </w:t>
      </w:r>
      <w:r w:rsidRPr="00BC4D75">
        <w:rPr>
          <w:rStyle w:val="StyleUnderline"/>
        </w:rPr>
        <w:t>lira voce or in writing.</w:t>
      </w:r>
      <w:r w:rsidRPr="00BC4D75">
        <w:rPr>
          <w:sz w:val="16"/>
        </w:rPr>
        <w:t xml:space="preserve"> </w:t>
      </w:r>
      <w:r w:rsidRPr="00BC4D75">
        <w:rPr>
          <w:rStyle w:val="StyleUnderline"/>
        </w:rPr>
        <w:t>Implied consent is</w:t>
      </w:r>
      <w:r w:rsidRPr="00BC4D75">
        <w:rPr>
          <w:sz w:val="16"/>
        </w:rPr>
        <w:t xml:space="preserve"> that </w:t>
      </w:r>
      <w:r w:rsidRPr="00BC4D75">
        <w:rPr>
          <w:rStyle w:val="StyleUnderline"/>
        </w:rPr>
        <w:t>manifested by</w:t>
      </w:r>
      <w:r w:rsidRPr="00BC4D75">
        <w:rPr>
          <w:sz w:val="16"/>
        </w:rPr>
        <w:t xml:space="preserve"> signs, actions, or facts, or by </w:t>
      </w:r>
      <w:r w:rsidRPr="00BC4D75">
        <w:rPr>
          <w:rStyle w:val="StyleUnderline"/>
        </w:rPr>
        <w:t>inaction or silence</w:t>
      </w:r>
      <w:r w:rsidRPr="00BC4D75">
        <w:rPr>
          <w:sz w:val="16"/>
        </w:rPr>
        <w:t xml:space="preserve">, which raise a presumption that the consent has been given. Cowen v. Paddock, 62 Hun, 022, 17 N. Y. Supp. 3SS. </w:t>
      </w:r>
      <w:r w:rsidRPr="00BC4D75">
        <w:rPr>
          <w:rStyle w:val="StyleUnderline"/>
        </w:rPr>
        <w:t>Consent in an act of reason, accompanied with deliberation, the mind weighing as in a balance the good or evil on each side.</w:t>
      </w:r>
      <w:r w:rsidRPr="00BC4D75">
        <w:rPr>
          <w:sz w:val="16"/>
        </w:rPr>
        <w:t xml:space="preserve"> 1 Story, Eq. </w:t>
      </w:r>
      <w:proofErr w:type="spellStart"/>
      <w:r w:rsidRPr="00BC4D75">
        <w:rPr>
          <w:sz w:val="16"/>
        </w:rPr>
        <w:t>Jur</w:t>
      </w:r>
      <w:proofErr w:type="spellEnd"/>
      <w:r w:rsidRPr="00BC4D75">
        <w:rPr>
          <w:sz w:val="16"/>
        </w:rPr>
        <w:t>.</w:t>
      </w:r>
    </w:p>
    <w:p w:rsidR="003A4D5F" w:rsidRDefault="003A4D5F" w:rsidP="003A4D5F"/>
    <w:p w:rsidR="003A4D5F" w:rsidRDefault="003A4D5F" w:rsidP="003A4D5F"/>
    <w:p w:rsidR="003A4D5F" w:rsidRDefault="003A4D5F" w:rsidP="003A4D5F"/>
    <w:p w:rsidR="003A4D5F" w:rsidRDefault="003A4D5F" w:rsidP="003A4D5F">
      <w:pPr>
        <w:pStyle w:val="Heading4"/>
      </w:pPr>
      <w:r>
        <w:t xml:space="preserve">Standards - </w:t>
      </w:r>
    </w:p>
    <w:p w:rsidR="003A4D5F" w:rsidRDefault="003A4D5F" w:rsidP="003A4D5F"/>
    <w:p w:rsidR="003A4D5F" w:rsidRDefault="003A4D5F" w:rsidP="003A4D5F">
      <w:pPr>
        <w:pStyle w:val="Heading4"/>
      </w:pPr>
      <w:r>
        <w:t xml:space="preserve">1) Limits – There are an infinite number of ways people and organizations can apply for licenses/permits from the government. Allowing their </w:t>
      </w:r>
      <w:proofErr w:type="spellStart"/>
      <w:r>
        <w:t>aff</w:t>
      </w:r>
      <w:proofErr w:type="spellEnd"/>
      <w:r>
        <w:t xml:space="preserve"> allows all those </w:t>
      </w:r>
      <w:proofErr w:type="spellStart"/>
      <w:r>
        <w:t>affs</w:t>
      </w:r>
      <w:proofErr w:type="spellEnd"/>
      <w:r>
        <w:t xml:space="preserve"> as well</w:t>
      </w:r>
    </w:p>
    <w:p w:rsidR="003A4D5F" w:rsidRDefault="003A4D5F" w:rsidP="003A4D5F"/>
    <w:p w:rsidR="003A4D5F" w:rsidRDefault="003A4D5F" w:rsidP="003A4D5F">
      <w:pPr>
        <w:pStyle w:val="Heading4"/>
      </w:pPr>
      <w:r>
        <w:t xml:space="preserve">2) Ground – Generic counterplans and </w:t>
      </w:r>
      <w:proofErr w:type="spellStart"/>
      <w:r>
        <w:t>disads</w:t>
      </w:r>
      <w:proofErr w:type="spellEnd"/>
      <w:r>
        <w:t xml:space="preserve"> don’t link to licensing/permits</w:t>
      </w:r>
      <w:r w:rsidR="007F3E38">
        <w:t>/regulation</w:t>
      </w:r>
      <w:r>
        <w:t xml:space="preserve"> </w:t>
      </w:r>
      <w:proofErr w:type="spellStart"/>
      <w:r>
        <w:t>affs</w:t>
      </w:r>
      <w:proofErr w:type="spellEnd"/>
      <w:r>
        <w:t>, we lose core generic ground</w:t>
      </w:r>
    </w:p>
    <w:p w:rsidR="003A4D5F" w:rsidRDefault="003A4D5F" w:rsidP="003A4D5F"/>
    <w:p w:rsidR="003A4D5F" w:rsidRDefault="003A4D5F" w:rsidP="003A4D5F">
      <w:pPr>
        <w:pStyle w:val="Heading4"/>
      </w:pPr>
      <w:r>
        <w:t>3) Topic Education – shifts the topic from government surveillance to government licensing/permitting</w:t>
      </w:r>
      <w:r w:rsidR="007F3E38">
        <w:t>/regulation</w:t>
      </w:r>
      <w:r>
        <w:t xml:space="preserve"> processes- excludes education over privacy issues and instead focuses on minor government functions</w:t>
      </w:r>
    </w:p>
    <w:p w:rsidR="003A4D5F" w:rsidRDefault="003A4D5F" w:rsidP="003A4D5F"/>
    <w:p w:rsidR="003A4D5F" w:rsidRDefault="003A4D5F" w:rsidP="003A4D5F">
      <w:pPr>
        <w:pStyle w:val="Heading4"/>
      </w:pPr>
      <w:r>
        <w:t xml:space="preserve">4) Extra Topicality – even if they are some surveillance- they go beyond the scope of the resolution by reading a plan about </w:t>
      </w:r>
      <w:r w:rsidR="007F3E38">
        <w:t>processes of licensing/permit/regulation that are external to the topic</w:t>
      </w:r>
    </w:p>
    <w:p w:rsidR="003A4D5F" w:rsidRDefault="003A4D5F" w:rsidP="003A4D5F"/>
    <w:p w:rsidR="003A4D5F" w:rsidRPr="003A4D5F" w:rsidRDefault="003A4D5F" w:rsidP="003A4D5F">
      <w:pPr>
        <w:pStyle w:val="Heading4"/>
      </w:pPr>
      <w:r>
        <w:t>Voting Issue - fairness and education</w:t>
      </w:r>
    </w:p>
    <w:p w:rsidR="00333965" w:rsidRDefault="00333965" w:rsidP="00333965">
      <w:pPr>
        <w:pStyle w:val="Heading3"/>
      </w:pPr>
      <w:r>
        <w:t>Neg</w:t>
      </w:r>
    </w:p>
    <w:p w:rsidR="00333965" w:rsidRDefault="00333965" w:rsidP="00333965">
      <w:pPr>
        <w:pStyle w:val="Heading4"/>
      </w:pPr>
      <w:r>
        <w:t xml:space="preserve">Consent is permitting the </w:t>
      </w:r>
      <w:proofErr w:type="spellStart"/>
      <w:proofErr w:type="gramStart"/>
      <w:r>
        <w:t>nsa</w:t>
      </w:r>
      <w:proofErr w:type="spellEnd"/>
      <w:proofErr w:type="gramEnd"/>
      <w:r>
        <w:t xml:space="preserve"> to take an action and knowing the consequences of that action</w:t>
      </w:r>
    </w:p>
    <w:p w:rsidR="00333965" w:rsidRPr="00333965" w:rsidRDefault="00333965" w:rsidP="00333965">
      <w:r w:rsidRPr="00333965">
        <w:rPr>
          <w:rStyle w:val="Style13ptBold"/>
        </w:rPr>
        <w:t>NSA</w:t>
      </w:r>
      <w:r>
        <w:t xml:space="preserve"> </w:t>
      </w:r>
      <w:r w:rsidRPr="00333965">
        <w:rPr>
          <w:rStyle w:val="Style13ptBold"/>
        </w:rPr>
        <w:t>11</w:t>
      </w:r>
      <w:r>
        <w:t xml:space="preserve"> </w:t>
      </w:r>
      <w:r w:rsidRPr="00333965">
        <w:rPr>
          <w:sz w:val="16"/>
        </w:rPr>
        <w:t xml:space="preserve">(From “Minimization Procedures Used by the National Security Agency in Connection with Acquisitions of Foreign Intelligence Information Pursuant to Section 702 of the Foreign Intelligence Surveillance Act of 1978, As Amended” Approved by the Attorney General. </w:t>
      </w:r>
      <w:hyperlink r:id="rId7" w:history="1">
        <w:r w:rsidRPr="00333965">
          <w:rPr>
            <w:rStyle w:val="Hyperlink"/>
            <w:sz w:val="16"/>
          </w:rPr>
          <w:t>http://www.dni.gov/files/documents/Minimization%20Procedures%20used%20by%20NSA%20in%20Connection%20with%20FISA%20SECT%20702.pdf</w:t>
        </w:r>
      </w:hyperlink>
      <w:r w:rsidRPr="00333965">
        <w:rPr>
          <w:sz w:val="16"/>
        </w:rPr>
        <w:t xml:space="preserve">  //HS)</w:t>
      </w:r>
    </w:p>
    <w:p w:rsidR="00333965" w:rsidRPr="00333965" w:rsidRDefault="00333965" w:rsidP="00333965">
      <w:pPr>
        <w:rPr>
          <w:sz w:val="16"/>
        </w:rPr>
      </w:pPr>
      <w:r w:rsidRPr="00333965">
        <w:rPr>
          <w:sz w:val="16"/>
        </w:rPr>
        <w:t xml:space="preserve">(d) </w:t>
      </w:r>
      <w:r w:rsidRPr="005C71E4">
        <w:rPr>
          <w:rStyle w:val="StyleUnderline"/>
          <w:highlight w:val="cyan"/>
        </w:rPr>
        <w:t>Consent is the agreement</w:t>
      </w:r>
      <w:r w:rsidRPr="00333965">
        <w:rPr>
          <w:rStyle w:val="StyleUnderline"/>
        </w:rPr>
        <w:t xml:space="preserve"> by a person or organization </w:t>
      </w:r>
      <w:r w:rsidRPr="005C71E4">
        <w:rPr>
          <w:rStyle w:val="StyleUnderline"/>
          <w:highlight w:val="cyan"/>
        </w:rPr>
        <w:t>to permit the NSA to take particular actions that affect the person or organization</w:t>
      </w:r>
      <w:r w:rsidRPr="00333965">
        <w:rPr>
          <w:rStyle w:val="StyleUnderline"/>
        </w:rPr>
        <w:t>.</w:t>
      </w:r>
      <w:r w:rsidRPr="00333965">
        <w:rPr>
          <w:sz w:val="16"/>
        </w:rPr>
        <w:t xml:space="preserve"> To be effective, </w:t>
      </w:r>
      <w:r w:rsidRPr="00333965">
        <w:rPr>
          <w:rStyle w:val="StyleUnderline"/>
        </w:rPr>
        <w:t>consent must be given by the affected person or organization with sufficient knowledge to understand the action that may be taken</w:t>
      </w:r>
      <w:r w:rsidRPr="00333965">
        <w:rPr>
          <w:sz w:val="16"/>
        </w:rPr>
        <w:t xml:space="preserve"> </w:t>
      </w:r>
      <w:r w:rsidRPr="00333965">
        <w:rPr>
          <w:rStyle w:val="StyleUnderline"/>
        </w:rPr>
        <w:t>and the possible consequences of that action</w:t>
      </w:r>
      <w:r w:rsidRPr="00333965">
        <w:rPr>
          <w:sz w:val="16"/>
        </w:rPr>
        <w:t xml:space="preserve">. </w:t>
      </w:r>
      <w:r w:rsidRPr="00333965">
        <w:rPr>
          <w:rStyle w:val="StyleUnderline"/>
        </w:rPr>
        <w:t xml:space="preserve">Consent by an organization </w:t>
      </w:r>
      <w:proofErr w:type="gramStart"/>
      <w:r w:rsidRPr="00333965">
        <w:rPr>
          <w:rStyle w:val="StyleUnderline"/>
        </w:rPr>
        <w:t>Will</w:t>
      </w:r>
      <w:proofErr w:type="gramEnd"/>
      <w:r w:rsidRPr="00333965">
        <w:rPr>
          <w:rStyle w:val="StyleUnderline"/>
        </w:rPr>
        <w:t xml:space="preserve"> be deemed valid if given on behalf of the organization by an official or governing body</w:t>
      </w:r>
      <w:r w:rsidRPr="00333965">
        <w:rPr>
          <w:sz w:val="16"/>
        </w:rPr>
        <w:t xml:space="preserve"> </w:t>
      </w:r>
      <w:r w:rsidRPr="00333965">
        <w:rPr>
          <w:rStyle w:val="StyleUnderline"/>
        </w:rPr>
        <w:t>determined</w:t>
      </w:r>
      <w:r w:rsidRPr="00333965">
        <w:rPr>
          <w:sz w:val="16"/>
        </w:rPr>
        <w:t xml:space="preserve"> by the General Counsel, NSA, </w:t>
      </w:r>
      <w:r w:rsidRPr="00333965">
        <w:rPr>
          <w:rStyle w:val="StyleUnderline"/>
        </w:rPr>
        <w:t>to have</w:t>
      </w:r>
      <w:r w:rsidRPr="00333965">
        <w:rPr>
          <w:sz w:val="16"/>
        </w:rPr>
        <w:t xml:space="preserve"> actual or apparent </w:t>
      </w:r>
      <w:r w:rsidRPr="00333965">
        <w:rPr>
          <w:rStyle w:val="StyleUnderline"/>
        </w:rPr>
        <w:t>authority to make such an agreement</w:t>
      </w:r>
      <w:r w:rsidRPr="00333965">
        <w:rPr>
          <w:sz w:val="16"/>
        </w:rPr>
        <w:t xml:space="preserve">. (U) </w:t>
      </w:r>
    </w:p>
    <w:p w:rsidR="00A04713" w:rsidRDefault="00A04713" w:rsidP="00A04713"/>
    <w:p w:rsidR="00E25C65" w:rsidRPr="00412330" w:rsidRDefault="00E25C65" w:rsidP="00E25C65">
      <w:pPr>
        <w:pStyle w:val="Heading4"/>
      </w:pPr>
      <w:r>
        <w:t>Consent is to permit</w:t>
      </w:r>
    </w:p>
    <w:p w:rsidR="00E25C65" w:rsidRPr="000442A8" w:rsidRDefault="00E25C65" w:rsidP="00E25C65">
      <w:r w:rsidRPr="005C71E4">
        <w:rPr>
          <w:rStyle w:val="Style13ptBold"/>
        </w:rPr>
        <w:t>Dictionary.com</w:t>
      </w:r>
      <w:r>
        <w:t xml:space="preserve"> (</w:t>
      </w:r>
      <w:r w:rsidRPr="000442A8">
        <w:t>http://dictionary.reference.com/browse/consent</w:t>
      </w:r>
      <w:r>
        <w:t>)</w:t>
      </w:r>
    </w:p>
    <w:p w:rsidR="00E25C65" w:rsidRDefault="00E25C65" w:rsidP="00E25C65">
      <w:pPr>
        <w:rPr>
          <w:sz w:val="16"/>
        </w:rPr>
      </w:pPr>
      <w:proofErr w:type="gramStart"/>
      <w:r w:rsidRPr="00A04713">
        <w:rPr>
          <w:sz w:val="16"/>
        </w:rPr>
        <w:t>verb</w:t>
      </w:r>
      <w:proofErr w:type="gramEnd"/>
      <w:r w:rsidRPr="00A04713">
        <w:rPr>
          <w:sz w:val="16"/>
        </w:rPr>
        <w:t xml:space="preserve"> (used without object) 1</w:t>
      </w:r>
      <w:r w:rsidRPr="00E25C65">
        <w:rPr>
          <w:rStyle w:val="StyleUnderline"/>
          <w:highlight w:val="cyan"/>
        </w:rPr>
        <w:t xml:space="preserve">. </w:t>
      </w:r>
      <w:proofErr w:type="gramStart"/>
      <w:r w:rsidRPr="00E25C65">
        <w:rPr>
          <w:rStyle w:val="StyleUnderline"/>
          <w:highlight w:val="cyan"/>
        </w:rPr>
        <w:t>to</w:t>
      </w:r>
      <w:proofErr w:type="gramEnd"/>
      <w:r w:rsidRPr="00E25C65">
        <w:rPr>
          <w:rStyle w:val="StyleUnderline"/>
          <w:highlight w:val="cyan"/>
        </w:rPr>
        <w:t xml:space="preserve"> permit</w:t>
      </w:r>
      <w:r w:rsidRPr="00E25C65">
        <w:rPr>
          <w:rStyle w:val="StyleUnderline"/>
        </w:rPr>
        <w:t>, approve, or agree; comply</w:t>
      </w:r>
      <w:r w:rsidRPr="00A04713">
        <w:rPr>
          <w:rStyle w:val="StyleUnderline"/>
        </w:rPr>
        <w:t xml:space="preserve"> or yield</w:t>
      </w:r>
      <w:r w:rsidRPr="00A04713">
        <w:rPr>
          <w:sz w:val="16"/>
        </w:rPr>
        <w:t xml:space="preserve"> (often followed by to or an infinitive): He consented to the proposal. We asked her permission, and she consented.</w:t>
      </w:r>
    </w:p>
    <w:p w:rsidR="00E25C65" w:rsidRDefault="00E25C65" w:rsidP="00E25C65">
      <w:pPr>
        <w:rPr>
          <w:sz w:val="16"/>
        </w:rPr>
      </w:pPr>
    </w:p>
    <w:p w:rsidR="000442A8" w:rsidRDefault="000442A8" w:rsidP="000442A8">
      <w:pPr>
        <w:pStyle w:val="Heading3"/>
      </w:pPr>
      <w:r>
        <w:t>Aff</w:t>
      </w:r>
    </w:p>
    <w:p w:rsidR="005C71E4" w:rsidRDefault="005C71E4" w:rsidP="005C71E4">
      <w:pPr>
        <w:pStyle w:val="Heading4"/>
      </w:pPr>
      <w:r>
        <w:t>Consent doesn’t include pressured participation- the laws regarding [sox/dual use]</w:t>
      </w:r>
      <w:r w:rsidR="00274E22">
        <w:t xml:space="preserve"> force </w:t>
      </w:r>
    </w:p>
    <w:p w:rsidR="000442A8" w:rsidRPr="000442A8" w:rsidRDefault="005C71E4" w:rsidP="000442A8">
      <w:r w:rsidRPr="005C71E4">
        <w:rPr>
          <w:rStyle w:val="Style13ptBold"/>
        </w:rPr>
        <w:t>UNCC no date</w:t>
      </w:r>
      <w:r>
        <w:t xml:space="preserve"> </w:t>
      </w:r>
      <w:r w:rsidRPr="005C71E4">
        <w:rPr>
          <w:sz w:val="16"/>
        </w:rPr>
        <w:t xml:space="preserve">(University of North Carolina Charlotte Research and Economic Development. </w:t>
      </w:r>
      <w:hyperlink r:id="rId8" w:history="1">
        <w:r w:rsidRPr="005C71E4">
          <w:rPr>
            <w:rStyle w:val="Hyperlink"/>
            <w:sz w:val="16"/>
          </w:rPr>
          <w:t>http://research.uncc.edu/departments/office-research-compliance-orc/human-subjects/informed-consent</w:t>
        </w:r>
      </w:hyperlink>
      <w:r w:rsidRPr="005C71E4">
        <w:rPr>
          <w:sz w:val="16"/>
        </w:rPr>
        <w:t xml:space="preserve">  //HS)</w:t>
      </w:r>
    </w:p>
    <w:p w:rsidR="00274E22" w:rsidRPr="005C71E4" w:rsidRDefault="000442A8" w:rsidP="00274E22">
      <w:pPr>
        <w:rPr>
          <w:rStyle w:val="Emphasis"/>
        </w:rPr>
      </w:pPr>
      <w:r w:rsidRPr="005250C4">
        <w:rPr>
          <w:rStyle w:val="StyleUnderline"/>
        </w:rPr>
        <w:t>To discern the key components of</w:t>
      </w:r>
      <w:r w:rsidRPr="005C71E4">
        <w:rPr>
          <w:sz w:val="16"/>
        </w:rPr>
        <w:t xml:space="preserve"> informed </w:t>
      </w:r>
      <w:r w:rsidRPr="005250C4">
        <w:rPr>
          <w:rStyle w:val="StyleUnderline"/>
        </w:rPr>
        <w:t>consent, you need to understand the</w:t>
      </w:r>
      <w:r w:rsidRPr="005C71E4">
        <w:rPr>
          <w:sz w:val="16"/>
        </w:rPr>
        <w:t xml:space="preserve"> ethical issues of research involving human subjects. The </w:t>
      </w:r>
      <w:r w:rsidRPr="005250C4">
        <w:rPr>
          <w:rStyle w:val="StyleUnderline"/>
        </w:rPr>
        <w:t>principle</w:t>
      </w:r>
      <w:r w:rsidRPr="005C71E4">
        <w:rPr>
          <w:sz w:val="16"/>
        </w:rPr>
        <w:t>s</w:t>
      </w:r>
      <w:r w:rsidRPr="005250C4">
        <w:rPr>
          <w:rStyle w:val="StyleUnderline"/>
        </w:rPr>
        <w:t xml:space="preserve"> of autonomy,</w:t>
      </w:r>
      <w:r w:rsidRPr="005C71E4">
        <w:rPr>
          <w:sz w:val="16"/>
        </w:rPr>
        <w:t xml:space="preserve"> beneficence, and justice are basic to these ethical issues and merit your consideration.</w:t>
      </w:r>
      <w:r w:rsidR="005C71E4" w:rsidRPr="005C71E4">
        <w:rPr>
          <w:sz w:val="16"/>
        </w:rPr>
        <w:t xml:space="preserve"> </w:t>
      </w:r>
      <w:r w:rsidRPr="005C71E4">
        <w:rPr>
          <w:sz w:val="16"/>
        </w:rPr>
        <w:t>(Return to top)</w:t>
      </w:r>
      <w:r w:rsidR="005C71E4" w:rsidRPr="005C71E4">
        <w:rPr>
          <w:sz w:val="16"/>
        </w:rPr>
        <w:t xml:space="preserve"> </w:t>
      </w:r>
      <w:r w:rsidRPr="005C71E4">
        <w:rPr>
          <w:sz w:val="16"/>
        </w:rPr>
        <w:t>Autonomy</w:t>
      </w:r>
      <w:r w:rsidR="005C71E4" w:rsidRPr="005C71E4">
        <w:rPr>
          <w:sz w:val="16"/>
        </w:rPr>
        <w:t xml:space="preserve"> </w:t>
      </w:r>
      <w:proofErr w:type="spellStart"/>
      <w:r w:rsidRPr="005C71E4">
        <w:rPr>
          <w:rStyle w:val="StyleUnderline"/>
        </w:rPr>
        <w:t>Autonomy</w:t>
      </w:r>
      <w:proofErr w:type="spellEnd"/>
      <w:r w:rsidRPr="005C71E4">
        <w:rPr>
          <w:rStyle w:val="StyleUnderline"/>
        </w:rPr>
        <w:t xml:space="preserve"> means that</w:t>
      </w:r>
      <w:r w:rsidRPr="005C71E4">
        <w:rPr>
          <w:sz w:val="16"/>
        </w:rPr>
        <w:t xml:space="preserve"> each person should be given the respect, time, and opportunity necessary to make his or her own decisions. Prospective participants must be given the information they will need to decide to enter a study or not to participate. </w:t>
      </w:r>
      <w:r w:rsidRPr="005C71E4">
        <w:rPr>
          <w:rStyle w:val="Emphasis"/>
        </w:rPr>
        <w:t>There should not be pressure to participate.</w:t>
      </w:r>
      <w:r w:rsidRPr="005C71E4">
        <w:rPr>
          <w:sz w:val="16"/>
        </w:rPr>
        <w:t xml:space="preserve"> Likewise, </w:t>
      </w:r>
      <w:r w:rsidRPr="005C71E4">
        <w:rPr>
          <w:rStyle w:val="Emphasis"/>
        </w:rPr>
        <w:t>there should also be no unrealistic inducements to participate in a study.</w:t>
      </w:r>
    </w:p>
    <w:p w:rsidR="00274E22" w:rsidRDefault="00274E22">
      <w:pPr>
        <w:pStyle w:val="Heading4"/>
      </w:pPr>
      <w:r>
        <w:t>Comply does not mean consent</w:t>
      </w:r>
    </w:p>
    <w:p w:rsidR="00274E22" w:rsidRPr="00274E22" w:rsidRDefault="00274E22" w:rsidP="00274E22">
      <w:pPr>
        <w:rPr>
          <w:sz w:val="16"/>
        </w:rPr>
      </w:pPr>
      <w:r w:rsidRPr="00274E22">
        <w:rPr>
          <w:rStyle w:val="Style13ptBold"/>
        </w:rPr>
        <w:t>Merriam Webster</w:t>
      </w:r>
      <w:r>
        <w:t xml:space="preserve"> </w:t>
      </w:r>
      <w:r w:rsidRPr="00274E22">
        <w:rPr>
          <w:sz w:val="16"/>
        </w:rPr>
        <w:t>(</w:t>
      </w:r>
      <w:hyperlink r:id="rId9" w:history="1">
        <w:r w:rsidRPr="00274E22">
          <w:rPr>
            <w:rStyle w:val="Hyperlink"/>
            <w:sz w:val="16"/>
          </w:rPr>
          <w:t>http://www.merriam-webster.com/dictionary/comply</w:t>
        </w:r>
      </w:hyperlink>
      <w:r w:rsidRPr="00274E22">
        <w:rPr>
          <w:sz w:val="16"/>
        </w:rPr>
        <w:t xml:space="preserve">  //HS)</w:t>
      </w:r>
    </w:p>
    <w:p w:rsidR="00274E22" w:rsidRDefault="00274E22" w:rsidP="00274E22">
      <w:pPr>
        <w:rPr>
          <w:sz w:val="16"/>
        </w:rPr>
      </w:pPr>
      <w:r w:rsidRPr="00274E22">
        <w:rPr>
          <w:rStyle w:val="Emphasis"/>
        </w:rPr>
        <w:t>comply</w:t>
      </w:r>
      <w:r w:rsidRPr="00274E22">
        <w:rPr>
          <w:sz w:val="16"/>
        </w:rPr>
        <w:t xml:space="preserve"> verb </w:t>
      </w:r>
      <w:proofErr w:type="spellStart"/>
      <w:r w:rsidRPr="00274E22">
        <w:rPr>
          <w:sz w:val="16"/>
        </w:rPr>
        <w:t>com·ply</w:t>
      </w:r>
      <w:proofErr w:type="spellEnd"/>
      <w:r w:rsidRPr="00274E22">
        <w:rPr>
          <w:sz w:val="16"/>
        </w:rPr>
        <w:t xml:space="preserve"> \</w:t>
      </w:r>
      <w:proofErr w:type="spellStart"/>
      <w:r w:rsidRPr="00274E22">
        <w:rPr>
          <w:sz w:val="16"/>
        </w:rPr>
        <w:t>kəm</w:t>
      </w:r>
      <w:proofErr w:type="spellEnd"/>
      <w:r w:rsidRPr="00274E22">
        <w:rPr>
          <w:sz w:val="16"/>
        </w:rPr>
        <w:t>-ˈ</w:t>
      </w:r>
      <w:proofErr w:type="spellStart"/>
      <w:r w:rsidRPr="00274E22">
        <w:rPr>
          <w:sz w:val="16"/>
        </w:rPr>
        <w:t>plī</w:t>
      </w:r>
      <w:proofErr w:type="spellEnd"/>
      <w:proofErr w:type="gramStart"/>
      <w:r w:rsidRPr="00274E22">
        <w:rPr>
          <w:sz w:val="16"/>
        </w:rPr>
        <w:t>\ :</w:t>
      </w:r>
      <w:proofErr w:type="gramEnd"/>
      <w:r w:rsidRPr="00274E22">
        <w:rPr>
          <w:sz w:val="16"/>
        </w:rPr>
        <w:t xml:space="preserve"> </w:t>
      </w:r>
      <w:r w:rsidRPr="00274E22">
        <w:rPr>
          <w:rStyle w:val="Emphasis"/>
        </w:rPr>
        <w:t>to do what you have been asked or ordered to do</w:t>
      </w:r>
      <w:r w:rsidRPr="00274E22">
        <w:rPr>
          <w:sz w:val="16"/>
        </w:rPr>
        <w:t xml:space="preserve"> </w:t>
      </w:r>
      <w:proofErr w:type="spellStart"/>
      <w:r w:rsidRPr="00274E22">
        <w:rPr>
          <w:sz w:val="16"/>
        </w:rPr>
        <w:t>com·pliedcom·ply·ing</w:t>
      </w:r>
      <w:proofErr w:type="spellEnd"/>
      <w:r w:rsidRPr="00274E22">
        <w:rPr>
          <w:sz w:val="16"/>
        </w:rPr>
        <w:t xml:space="preserve"> Full Definition of COMPLY intransitive verb 1 obsolete : to be ceremoniously courteous 2 : </w:t>
      </w:r>
      <w:r w:rsidRPr="00274E22">
        <w:rPr>
          <w:rStyle w:val="Emphasis"/>
        </w:rPr>
        <w:t>to conform, submit, or adapt (as to a regulation</w:t>
      </w:r>
      <w:r w:rsidRPr="00274E22">
        <w:rPr>
          <w:sz w:val="16"/>
        </w:rPr>
        <w:t xml:space="preserve"> or to another's wishes) </w:t>
      </w:r>
      <w:r w:rsidRPr="00274E22">
        <w:rPr>
          <w:rStyle w:val="Emphasis"/>
        </w:rPr>
        <w:t>as required</w:t>
      </w:r>
      <w:r w:rsidRPr="00274E22">
        <w:rPr>
          <w:sz w:val="16"/>
        </w:rPr>
        <w:t xml:space="preserve"> or requested &lt;</w:t>
      </w:r>
      <w:r w:rsidRPr="00274E22">
        <w:rPr>
          <w:rStyle w:val="Emphasis"/>
        </w:rPr>
        <w:t>comply with federal law</w:t>
      </w:r>
      <w:r w:rsidRPr="00274E22">
        <w:rPr>
          <w:sz w:val="16"/>
        </w:rPr>
        <w:t xml:space="preserve">&gt; &lt;the devices </w:t>
      </w:r>
      <w:r w:rsidRPr="00274E22">
        <w:rPr>
          <w:rStyle w:val="Emphasis"/>
        </w:rPr>
        <w:t>comply with industry standards</w:t>
      </w:r>
      <w:r w:rsidRPr="00274E22">
        <w:rPr>
          <w:sz w:val="16"/>
        </w:rPr>
        <w:t>&gt;</w:t>
      </w:r>
    </w:p>
    <w:p w:rsidR="00412330" w:rsidRDefault="00412330" w:rsidP="00412330">
      <w:pPr>
        <w:pStyle w:val="Heading4"/>
      </w:pPr>
      <w:r>
        <w:t>Consent is voluntary</w:t>
      </w:r>
    </w:p>
    <w:p w:rsidR="00412330" w:rsidRPr="00412330" w:rsidRDefault="00412330" w:rsidP="00412330">
      <w:pPr>
        <w:rPr>
          <w:sz w:val="16"/>
        </w:rPr>
      </w:pPr>
      <w:r w:rsidRPr="00412330">
        <w:rPr>
          <w:rStyle w:val="Style13ptBold"/>
        </w:rPr>
        <w:t>Free Legal Dictionary</w:t>
      </w:r>
      <w:r>
        <w:t xml:space="preserve"> </w:t>
      </w:r>
      <w:r w:rsidRPr="00412330">
        <w:rPr>
          <w:sz w:val="16"/>
        </w:rPr>
        <w:t xml:space="preserve">(Free Legal Dictionary citing West’s Encyclopedia of American Law. </w:t>
      </w:r>
      <w:hyperlink r:id="rId10" w:history="1">
        <w:r w:rsidRPr="00412330">
          <w:rPr>
            <w:rStyle w:val="Hyperlink"/>
            <w:sz w:val="16"/>
          </w:rPr>
          <w:t>http://legal-dictionary.thefreedictionary.com/consent</w:t>
        </w:r>
      </w:hyperlink>
      <w:r w:rsidRPr="00412330">
        <w:rPr>
          <w:sz w:val="16"/>
        </w:rPr>
        <w:t xml:space="preserve">  //HS)</w:t>
      </w:r>
    </w:p>
    <w:p w:rsidR="00412330" w:rsidRDefault="00412330" w:rsidP="00412330">
      <w:pPr>
        <w:rPr>
          <w:sz w:val="14"/>
        </w:rPr>
      </w:pPr>
      <w:r w:rsidRPr="00412330">
        <w:rPr>
          <w:rStyle w:val="StyleUnderline"/>
        </w:rPr>
        <w:t>Consent is an act of reason and deliberation</w:t>
      </w:r>
      <w:r w:rsidRPr="00412330">
        <w:rPr>
          <w:sz w:val="14"/>
        </w:rPr>
        <w:t xml:space="preserve">. A person who possesses and exercises sufficient mental capacity to make an intelligent decision demonstrates consent by performing an act recommended by another. </w:t>
      </w:r>
      <w:r w:rsidRPr="00412330">
        <w:rPr>
          <w:rStyle w:val="StyleUnderline"/>
        </w:rPr>
        <w:t>Consent assumes a physical power to act</w:t>
      </w:r>
      <w:r w:rsidRPr="00412330">
        <w:rPr>
          <w:sz w:val="14"/>
        </w:rPr>
        <w:t xml:space="preserve"> </w:t>
      </w:r>
      <w:r w:rsidRPr="00412330">
        <w:rPr>
          <w:rStyle w:val="StyleUnderline"/>
        </w:rPr>
        <w:t>and a reflective, determined, and unencumbered exertion of these powers.</w:t>
      </w:r>
      <w:r w:rsidRPr="00412330">
        <w:rPr>
          <w:sz w:val="14"/>
        </w:rPr>
        <w:t xml:space="preserve"> It is an act unaffected by Fraud, duress, or sometimes even mistake when these factors are not the reason for the consent. Consent is implied in every agreement. Parties who terminate litigation pursuant to a consent judgment agree to the terms of a decision that is entered into the court record subsequent to its approval by the court. In the context of rape, submission due to apprehension or terror is not real consent. There must be a choice between resistance and acquiescence. If a woman resists to the point where additional resistance would be futile or until her resistance is forcibly overcome, submission thereafter is not consent. West's Encyclopedia of American Law, edition 2. Copyright 2008 The Gale Group, Inc. All rights reserved. </w:t>
      </w:r>
      <w:proofErr w:type="gramStart"/>
      <w:r w:rsidRPr="00412330">
        <w:rPr>
          <w:sz w:val="14"/>
        </w:rPr>
        <w:t>consent</w:t>
      </w:r>
      <w:proofErr w:type="gramEnd"/>
      <w:r w:rsidRPr="00412330">
        <w:rPr>
          <w:sz w:val="14"/>
        </w:rPr>
        <w:t xml:space="preserve"> 1) n. </w:t>
      </w:r>
      <w:r w:rsidRPr="00412330">
        <w:rPr>
          <w:rStyle w:val="StyleUnderline"/>
        </w:rPr>
        <w:t xml:space="preserve">a </w:t>
      </w:r>
      <w:r w:rsidRPr="00412330">
        <w:rPr>
          <w:rStyle w:val="Emphasis"/>
        </w:rPr>
        <w:t>voluntary</w:t>
      </w:r>
      <w:r w:rsidRPr="00412330">
        <w:rPr>
          <w:rStyle w:val="StyleUnderline"/>
        </w:rPr>
        <w:t xml:space="preserve"> agreement to another's proposition</w:t>
      </w:r>
      <w:r w:rsidRPr="00412330">
        <w:rPr>
          <w:sz w:val="14"/>
        </w:rPr>
        <w:t xml:space="preserve">. 2) v. </w:t>
      </w:r>
      <w:r w:rsidRPr="00412330">
        <w:rPr>
          <w:rStyle w:val="Emphasis"/>
        </w:rPr>
        <w:t>to voluntarily agree</w:t>
      </w:r>
      <w:r w:rsidRPr="00412330">
        <w:rPr>
          <w:rStyle w:val="StyleUnderline"/>
        </w:rPr>
        <w:t xml:space="preserve"> to an act or proposal of another, </w:t>
      </w:r>
      <w:r w:rsidRPr="00412330">
        <w:rPr>
          <w:sz w:val="14"/>
        </w:rPr>
        <w:t>which may range from contracts to sexual relations.</w:t>
      </w:r>
    </w:p>
    <w:p w:rsidR="00ED6721" w:rsidRDefault="00ED6721" w:rsidP="00412330">
      <w:pPr>
        <w:rPr>
          <w:sz w:val="14"/>
        </w:rPr>
      </w:pPr>
    </w:p>
    <w:p w:rsidR="00ED6721" w:rsidRPr="00AE6598" w:rsidRDefault="00ED6721" w:rsidP="00ED6721">
      <w:pPr>
        <w:pStyle w:val="Heading4"/>
      </w:pPr>
      <w:r>
        <w:t xml:space="preserve">Bad </w:t>
      </w:r>
      <w:proofErr w:type="spellStart"/>
      <w:r>
        <w:t>Brightline</w:t>
      </w:r>
      <w:proofErr w:type="spellEnd"/>
      <w:r>
        <w:t xml:space="preserve">---it’s on a sliding scale </w:t>
      </w:r>
    </w:p>
    <w:p w:rsidR="00ED6721" w:rsidRPr="00AE6598" w:rsidRDefault="00ED6721" w:rsidP="00ED6721">
      <w:r w:rsidRPr="00AE6598">
        <w:t>Roberto F</w:t>
      </w:r>
      <w:r>
        <w:t xml:space="preserve">ragale </w:t>
      </w:r>
      <w:proofErr w:type="spellStart"/>
      <w:r w:rsidRPr="00AE6598">
        <w:rPr>
          <w:rStyle w:val="Heading4Char"/>
        </w:rPr>
        <w:t>Filho</w:t>
      </w:r>
      <w:proofErr w:type="spellEnd"/>
      <w:r>
        <w:t xml:space="preserve">* </w:t>
      </w:r>
      <w:r w:rsidRPr="00AE6598">
        <w:rPr>
          <w:rStyle w:val="Heading4Char"/>
        </w:rPr>
        <w:t>and</w:t>
      </w:r>
      <w:r>
        <w:t xml:space="preserve"> Mark </w:t>
      </w:r>
      <w:r w:rsidRPr="00AE6598">
        <w:rPr>
          <w:rStyle w:val="Heading4Char"/>
        </w:rPr>
        <w:t>Jeffery</w:t>
      </w:r>
      <w:r>
        <w:t>**, Winter 20</w:t>
      </w:r>
      <w:r w:rsidRPr="00AE6598">
        <w:rPr>
          <w:rStyle w:val="Heading4Char"/>
        </w:rPr>
        <w:t>02</w:t>
      </w:r>
      <w:r>
        <w:t>, *</w:t>
      </w:r>
      <w:r w:rsidRPr="00AE6598">
        <w:t xml:space="preserve"> Professor de </w:t>
      </w:r>
      <w:proofErr w:type="spellStart"/>
      <w:r w:rsidRPr="00AE6598">
        <w:t>Direito</w:t>
      </w:r>
      <w:proofErr w:type="spellEnd"/>
      <w:r w:rsidRPr="00AE6598">
        <w:t xml:space="preserve">, Federal </w:t>
      </w:r>
      <w:proofErr w:type="spellStart"/>
      <w:r w:rsidRPr="00AE6598">
        <w:t>Fluminese</w:t>
      </w:r>
      <w:proofErr w:type="spellEnd"/>
      <w:r w:rsidRPr="00AE6598">
        <w:t xml:space="preserve"> University, Niteroi, and Labor Judge, Rio de Janeiro, Brazil</w:t>
      </w:r>
      <w:r>
        <w:t>, **</w:t>
      </w:r>
      <w:r w:rsidRPr="00AE6598">
        <w:t xml:space="preserve"> Professor de </w:t>
      </w:r>
      <w:proofErr w:type="spellStart"/>
      <w:r w:rsidRPr="00AE6598">
        <w:t>Dret</w:t>
      </w:r>
      <w:proofErr w:type="spellEnd"/>
      <w:r w:rsidRPr="00AE6598">
        <w:t>, Open University of Catalonia, Barcelona, Spain</w:t>
      </w:r>
      <w:r>
        <w:t>, “</w:t>
      </w:r>
      <w:r w:rsidRPr="00AE6598">
        <w:t>INFORMATION TECHNOLOGY AND WORKERS' PRIVACY: A COMPARATIVE STUDY: PART III: RECURRING QUESTIONS OF COMPARATIVE LAW; INFORMATION TECHNOLOGY AND WORKERS' PRIVACY: INFORMATION TECHNOLOGY AND WORKERS' PRIVACY: NOTICE AND CONSENT</w:t>
      </w:r>
      <w:r>
        <w:t xml:space="preserve">,” </w:t>
      </w:r>
      <w:r w:rsidRPr="00AE6598">
        <w:t xml:space="preserve">23 Comp. Lab. L. &amp; </w:t>
      </w:r>
      <w:proofErr w:type="spellStart"/>
      <w:r w:rsidRPr="00AE6598">
        <w:t>Pol'y</w:t>
      </w:r>
      <w:proofErr w:type="spellEnd"/>
      <w:r w:rsidRPr="00AE6598">
        <w:t xml:space="preserve"> J. 551</w:t>
      </w:r>
    </w:p>
    <w:p w:rsidR="00ED6721" w:rsidRPr="00FC5AD3" w:rsidRDefault="00ED6721" w:rsidP="00ED6721">
      <w:pPr>
        <w:rPr>
          <w:sz w:val="16"/>
        </w:rPr>
      </w:pPr>
      <w:r w:rsidRPr="00FC5AD3">
        <w:rPr>
          <w:rStyle w:val="Emphasis"/>
        </w:rPr>
        <w:t>There is</w:t>
      </w:r>
      <w:r w:rsidRPr="00FC5AD3">
        <w:rPr>
          <w:sz w:val="16"/>
        </w:rPr>
        <w:t xml:space="preserve"> also </w:t>
      </w:r>
      <w:r w:rsidRPr="00FC5AD3">
        <w:rPr>
          <w:rStyle w:val="Emphasis"/>
        </w:rPr>
        <w:t>great variation in the degree of free choice that national laws demand in the exercise of the consent</w:t>
      </w:r>
      <w:r w:rsidRPr="00FC5AD3">
        <w:rPr>
          <w:sz w:val="16"/>
        </w:rPr>
        <w:t xml:space="preserve"> required in legislation on surveillance and data processing. </w:t>
      </w:r>
      <w:r w:rsidRPr="00FC5AD3">
        <w:rPr>
          <w:rStyle w:val="StyleUnderline"/>
        </w:rPr>
        <w:t>At one end of the scale is</w:t>
      </w:r>
      <w:r w:rsidRPr="00FC5AD3">
        <w:rPr>
          <w:sz w:val="16"/>
        </w:rPr>
        <w:t xml:space="preserve"> the "</w:t>
      </w:r>
      <w:r w:rsidRPr="00FC5AD3">
        <w:rPr>
          <w:rStyle w:val="StyleUnderline"/>
        </w:rPr>
        <w:t>implied consent</w:t>
      </w:r>
      <w:r w:rsidRPr="00FC5AD3">
        <w:rPr>
          <w:sz w:val="16"/>
        </w:rPr>
        <w:t xml:space="preserve">" </w:t>
      </w:r>
      <w:r w:rsidRPr="00FC5AD3">
        <w:rPr>
          <w:rStyle w:val="StyleUnderline"/>
        </w:rPr>
        <w:t>recognized by U.S. courts with respect to the "wiretapping" legislation</w:t>
      </w:r>
      <w:r w:rsidRPr="00FC5AD3">
        <w:rPr>
          <w:sz w:val="16"/>
        </w:rPr>
        <w:t xml:space="preserve">. Here, </w:t>
      </w:r>
      <w:r w:rsidRPr="00FC5AD3">
        <w:rPr>
          <w:rStyle w:val="StyleUnderline"/>
        </w:rPr>
        <w:t xml:space="preserve">the choice of individuals is </w:t>
      </w:r>
      <w:r w:rsidRPr="00FC5AD3">
        <w:rPr>
          <w:rStyle w:val="Emphasis"/>
        </w:rPr>
        <w:t>limited</w:t>
      </w:r>
      <w:r w:rsidRPr="00FC5AD3">
        <w:rPr>
          <w:rStyle w:val="StyleUnderline"/>
        </w:rPr>
        <w:t xml:space="preserve"> to deciding whether or not to continue with their communications once they have been notified of the possible surveillance</w:t>
      </w:r>
      <w:r w:rsidRPr="00FC5AD3">
        <w:rPr>
          <w:sz w:val="16"/>
        </w:rPr>
        <w:t xml:space="preserve">. </w:t>
      </w:r>
      <w:r w:rsidRPr="00FC5AD3">
        <w:rPr>
          <w:rStyle w:val="StyleUnderline"/>
        </w:rPr>
        <w:t>At the other end of the scale is the consent</w:t>
      </w:r>
      <w:r w:rsidRPr="00FC5AD3">
        <w:rPr>
          <w:sz w:val="16"/>
        </w:rPr>
        <w:t xml:space="preserve"> required for the purposes of Directive 95/46/EC, which must be "freely given, specific and informed." "</w:t>
      </w:r>
      <w:r w:rsidRPr="00FC5AD3">
        <w:rPr>
          <w:rStyle w:val="StyleUnderline"/>
        </w:rPr>
        <w:t>Specific" and "informed" are linked to the requirement of the Directive that all data subjects be notified of the nature and purpose of the data processing</w:t>
      </w:r>
      <w:r w:rsidRPr="00FC5AD3">
        <w:rPr>
          <w:sz w:val="16"/>
        </w:rPr>
        <w:t xml:space="preserve">. Thus, </w:t>
      </w:r>
      <w:r w:rsidRPr="00FC5AD3">
        <w:rPr>
          <w:rStyle w:val="StyleUnderline"/>
        </w:rPr>
        <w:t xml:space="preserve">in order to give informed consent, </w:t>
      </w:r>
      <w:r w:rsidRPr="00FC5AD3">
        <w:rPr>
          <w:sz w:val="16"/>
        </w:rPr>
        <w:t>each</w:t>
      </w:r>
      <w:r w:rsidRPr="00FC5AD3">
        <w:rPr>
          <w:rStyle w:val="StyleUnderline"/>
        </w:rPr>
        <w:t xml:space="preserve"> data subject must have been provided with all </w:t>
      </w:r>
      <w:r w:rsidRPr="00FC5AD3">
        <w:rPr>
          <w:sz w:val="16"/>
        </w:rPr>
        <w:t>relevant</w:t>
      </w:r>
      <w:r w:rsidRPr="00FC5AD3">
        <w:rPr>
          <w:rStyle w:val="StyleUnderline"/>
        </w:rPr>
        <w:t xml:space="preserve"> information; </w:t>
      </w:r>
      <w:r w:rsidRPr="00FC5AD3">
        <w:rPr>
          <w:sz w:val="16"/>
        </w:rPr>
        <w:t xml:space="preserve">and </w:t>
      </w:r>
      <w:r w:rsidRPr="00FC5AD3">
        <w:rPr>
          <w:rStyle w:val="StyleUnderline"/>
        </w:rPr>
        <w:t xml:space="preserve">in order for </w:t>
      </w:r>
      <w:r w:rsidRPr="00FC5AD3">
        <w:rPr>
          <w:sz w:val="16"/>
        </w:rPr>
        <w:t>the</w:t>
      </w:r>
      <w:r w:rsidRPr="00FC5AD3">
        <w:rPr>
          <w:rStyle w:val="StyleUnderline"/>
        </w:rPr>
        <w:t xml:space="preserve"> consent to be specific, it can only be valid for the data </w:t>
      </w:r>
      <w:r w:rsidRPr="00FC5AD3">
        <w:rPr>
          <w:sz w:val="16"/>
        </w:rPr>
        <w:t>processing</w:t>
      </w:r>
      <w:r w:rsidRPr="00FC5AD3">
        <w:rPr>
          <w:rStyle w:val="StyleUnderline"/>
        </w:rPr>
        <w:t xml:space="preserve"> </w:t>
      </w:r>
      <w:r w:rsidRPr="00FC5AD3">
        <w:rPr>
          <w:sz w:val="16"/>
        </w:rPr>
        <w:t xml:space="preserve">described </w:t>
      </w:r>
      <w:r w:rsidRPr="00FC5AD3">
        <w:rPr>
          <w:rStyle w:val="StyleUnderline"/>
        </w:rPr>
        <w:t>in the notice</w:t>
      </w:r>
      <w:r w:rsidRPr="00FC5AD3">
        <w:rPr>
          <w:sz w:val="16"/>
        </w:rPr>
        <w:t xml:space="preserve"> (that is, consent to the use of data for one purpose cannot then be valid for the collection of any other data, or for any new use of the present data). Moreover, </w:t>
      </w:r>
      <w:r w:rsidRPr="00FC5AD3">
        <w:rPr>
          <w:rStyle w:val="StyleUnderline"/>
        </w:rPr>
        <w:t>it would seem that this definition of consent implies a limit upon the purpose of the processing</w:t>
      </w:r>
      <w:r w:rsidRPr="00FC5AD3">
        <w:rPr>
          <w:sz w:val="16"/>
        </w:rPr>
        <w:t xml:space="preserve">, which must be specific and not over-general. An interesting example here was the ruling by the Spanish Data Protection Agency that consent that purported to allow trade unions to process personal data for the purpose of "representing employees" (their Constitutionally-defined function) was too general to be acceptable. Nevertheless, </w:t>
      </w:r>
      <w:r w:rsidRPr="00FC5AD3">
        <w:rPr>
          <w:rStyle w:val="StyleUnderline"/>
        </w:rPr>
        <w:t xml:space="preserve">there remains a </w:t>
      </w:r>
      <w:r w:rsidRPr="00FC5AD3">
        <w:rPr>
          <w:rStyle w:val="Emphasis"/>
        </w:rPr>
        <w:t>considerable margin of doubt</w:t>
      </w:r>
      <w:r w:rsidRPr="00FC5AD3">
        <w:rPr>
          <w:rStyle w:val="StyleUnderline"/>
        </w:rPr>
        <w:t xml:space="preserve"> over where the boundary should be set between specific consent and general consent</w:t>
      </w:r>
      <w:r w:rsidRPr="00FC5AD3">
        <w:rPr>
          <w:sz w:val="16"/>
        </w:rPr>
        <w:t xml:space="preserve">, and also over the closely-related </w:t>
      </w:r>
      <w:r w:rsidRPr="00FC5AD3">
        <w:rPr>
          <w:rStyle w:val="StyleUnderline"/>
        </w:rPr>
        <w:t xml:space="preserve">question of whether consent must be given every time </w:t>
      </w:r>
      <w:r w:rsidRPr="00FC5AD3">
        <w:rPr>
          <w:sz w:val="16"/>
        </w:rPr>
        <w:t xml:space="preserve">the </w:t>
      </w:r>
      <w:proofErr w:type="gramStart"/>
      <w:r w:rsidRPr="00FC5AD3">
        <w:rPr>
          <w:sz w:val="16"/>
        </w:rPr>
        <w:t>employer  [</w:t>
      </w:r>
      <w:proofErr w:type="gramEnd"/>
      <w:r w:rsidRPr="00FC5AD3">
        <w:rPr>
          <w:sz w:val="16"/>
        </w:rPr>
        <w:t xml:space="preserve">*565]  conducts a particular form of surveillance or processing; </w:t>
      </w:r>
      <w:r w:rsidRPr="00FC5AD3">
        <w:rPr>
          <w:rStyle w:val="StyleUnderline"/>
        </w:rPr>
        <w:t>or whether a general</w:t>
      </w:r>
      <w:r w:rsidRPr="00FC5AD3">
        <w:rPr>
          <w:sz w:val="16"/>
        </w:rPr>
        <w:t xml:space="preserve">, once-and-for-all </w:t>
      </w:r>
      <w:r w:rsidRPr="00FC5AD3">
        <w:rPr>
          <w:rStyle w:val="StyleUnderline"/>
        </w:rPr>
        <w:t>consent</w:t>
      </w:r>
      <w:r w:rsidRPr="00FC5AD3">
        <w:rPr>
          <w:sz w:val="16"/>
        </w:rPr>
        <w:t xml:space="preserve"> to a certain form of processing </w:t>
      </w:r>
      <w:r w:rsidRPr="00FC5AD3">
        <w:rPr>
          <w:rStyle w:val="StyleUnderline"/>
        </w:rPr>
        <w:t>would be valid</w:t>
      </w:r>
      <w:r w:rsidRPr="00FC5AD3">
        <w:rPr>
          <w:sz w:val="16"/>
        </w:rPr>
        <w:t>.</w:t>
      </w:r>
    </w:p>
    <w:p w:rsidR="00ED6721" w:rsidRPr="00412330" w:rsidRDefault="00ED6721" w:rsidP="00412330">
      <w:pPr>
        <w:rPr>
          <w:sz w:val="14"/>
        </w:rPr>
      </w:pPr>
      <w:bookmarkStart w:id="0" w:name="_GoBack"/>
      <w:bookmarkEnd w:id="0"/>
    </w:p>
    <w:sectPr w:rsidR="00ED6721" w:rsidRPr="0041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7738380"/>
    <w:docVar w:name="VerbatimVersion" w:val="5.1"/>
  </w:docVars>
  <w:rsids>
    <w:rsidRoot w:val="00333965"/>
    <w:rsid w:val="000139A3"/>
    <w:rsid w:val="000442A8"/>
    <w:rsid w:val="00100833"/>
    <w:rsid w:val="00104529"/>
    <w:rsid w:val="00105942"/>
    <w:rsid w:val="00107396"/>
    <w:rsid w:val="00144A4C"/>
    <w:rsid w:val="00176AB0"/>
    <w:rsid w:val="00177B7D"/>
    <w:rsid w:val="0018322D"/>
    <w:rsid w:val="001B5776"/>
    <w:rsid w:val="001E527A"/>
    <w:rsid w:val="001F78CE"/>
    <w:rsid w:val="00251FC7"/>
    <w:rsid w:val="00274E22"/>
    <w:rsid w:val="002855A7"/>
    <w:rsid w:val="002B146A"/>
    <w:rsid w:val="002B5E17"/>
    <w:rsid w:val="002C3DC1"/>
    <w:rsid w:val="00315690"/>
    <w:rsid w:val="00316B75"/>
    <w:rsid w:val="00325646"/>
    <w:rsid w:val="00333965"/>
    <w:rsid w:val="003460F2"/>
    <w:rsid w:val="0038158C"/>
    <w:rsid w:val="003902BA"/>
    <w:rsid w:val="003A09E2"/>
    <w:rsid w:val="003A4D5F"/>
    <w:rsid w:val="00407037"/>
    <w:rsid w:val="00412330"/>
    <w:rsid w:val="004605D6"/>
    <w:rsid w:val="004C60E8"/>
    <w:rsid w:val="004E3579"/>
    <w:rsid w:val="004E728B"/>
    <w:rsid w:val="004F39E0"/>
    <w:rsid w:val="005250C4"/>
    <w:rsid w:val="00537BD5"/>
    <w:rsid w:val="0057268A"/>
    <w:rsid w:val="005C71E4"/>
    <w:rsid w:val="005D2912"/>
    <w:rsid w:val="006065BD"/>
    <w:rsid w:val="00645FA9"/>
    <w:rsid w:val="00647866"/>
    <w:rsid w:val="00665003"/>
    <w:rsid w:val="006A2AD0"/>
    <w:rsid w:val="006C2375"/>
    <w:rsid w:val="006D4ECC"/>
    <w:rsid w:val="00722258"/>
    <w:rsid w:val="007243E5"/>
    <w:rsid w:val="007370FD"/>
    <w:rsid w:val="00766EA0"/>
    <w:rsid w:val="007A2226"/>
    <w:rsid w:val="007F3E38"/>
    <w:rsid w:val="007F5B66"/>
    <w:rsid w:val="00823A1C"/>
    <w:rsid w:val="00845B9D"/>
    <w:rsid w:val="00860984"/>
    <w:rsid w:val="008B3ECB"/>
    <w:rsid w:val="008B4E85"/>
    <w:rsid w:val="008C1B2E"/>
    <w:rsid w:val="0091627E"/>
    <w:rsid w:val="0097032B"/>
    <w:rsid w:val="00997201"/>
    <w:rsid w:val="009D2EAD"/>
    <w:rsid w:val="009D54B2"/>
    <w:rsid w:val="009E1922"/>
    <w:rsid w:val="009E5229"/>
    <w:rsid w:val="009F7ED2"/>
    <w:rsid w:val="00A04713"/>
    <w:rsid w:val="00A93661"/>
    <w:rsid w:val="00A95652"/>
    <w:rsid w:val="00AC0AB8"/>
    <w:rsid w:val="00B33C6D"/>
    <w:rsid w:val="00B4508F"/>
    <w:rsid w:val="00B55AD5"/>
    <w:rsid w:val="00B8057C"/>
    <w:rsid w:val="00B8193D"/>
    <w:rsid w:val="00BC4D7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A83"/>
    <w:rsid w:val="00D61409"/>
    <w:rsid w:val="00D6691E"/>
    <w:rsid w:val="00D71170"/>
    <w:rsid w:val="00DA1C92"/>
    <w:rsid w:val="00DA25D4"/>
    <w:rsid w:val="00DA6538"/>
    <w:rsid w:val="00E15E75"/>
    <w:rsid w:val="00E25C65"/>
    <w:rsid w:val="00E5262C"/>
    <w:rsid w:val="00EC7DC4"/>
    <w:rsid w:val="00ED30CF"/>
    <w:rsid w:val="00ED6721"/>
    <w:rsid w:val="00F021EB"/>
    <w:rsid w:val="00F176EF"/>
    <w:rsid w:val="00F45E10"/>
    <w:rsid w:val="00F6364A"/>
    <w:rsid w:val="00F9113A"/>
    <w:rsid w:val="00FB7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D8DD3D-FA0C-4191-9BA8-F037175F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D6721"/>
    <w:rPr>
      <w:rFonts w:ascii="Calibri" w:hAnsi="Calibri"/>
    </w:rPr>
  </w:style>
  <w:style w:type="paragraph" w:styleId="Heading1">
    <w:name w:val="heading 1"/>
    <w:aliases w:val="Pocket"/>
    <w:basedOn w:val="Normal"/>
    <w:next w:val="Normal"/>
    <w:link w:val="Heading1Char"/>
    <w:qFormat/>
    <w:rsid w:val="00ED6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6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6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D67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6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721"/>
  </w:style>
  <w:style w:type="character" w:customStyle="1" w:styleId="Heading1Char">
    <w:name w:val="Heading 1 Char"/>
    <w:aliases w:val="Pocket Char"/>
    <w:basedOn w:val="DefaultParagraphFont"/>
    <w:link w:val="Heading1"/>
    <w:rsid w:val="00ED67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67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672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9"/>
    <w:rsid w:val="00ED6721"/>
    <w:rPr>
      <w:rFonts w:ascii="Calibri" w:eastAsiaTheme="majorEastAsia" w:hAnsi="Calibri" w:cstheme="majorBidi"/>
      <w:b/>
      <w:iCs/>
      <w:sz w:val="26"/>
    </w:rPr>
  </w:style>
  <w:style w:type="character" w:styleId="Emphasis">
    <w:name w:val="Emphasis"/>
    <w:basedOn w:val="DefaultParagraphFont"/>
    <w:uiPriority w:val="20"/>
    <w:qFormat/>
    <w:rsid w:val="00ED672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D6721"/>
    <w:rPr>
      <w:b/>
      <w:bCs/>
      <w:sz w:val="26"/>
      <w:u w:val="none"/>
    </w:rPr>
  </w:style>
  <w:style w:type="character" w:customStyle="1" w:styleId="StyleUnderline">
    <w:name w:val="Style Underline"/>
    <w:aliases w:val="Underline,Style Bold Underline"/>
    <w:basedOn w:val="DefaultParagraphFont"/>
    <w:uiPriority w:val="1"/>
    <w:qFormat/>
    <w:rsid w:val="00ED6721"/>
    <w:rPr>
      <w:b w:val="0"/>
      <w:sz w:val="22"/>
      <w:u w:val="single"/>
    </w:rPr>
  </w:style>
  <w:style w:type="character" w:styleId="Hyperlink">
    <w:name w:val="Hyperlink"/>
    <w:basedOn w:val="DefaultParagraphFont"/>
    <w:uiPriority w:val="99"/>
    <w:unhideWhenUsed/>
    <w:rsid w:val="00ED6721"/>
    <w:rPr>
      <w:color w:val="auto"/>
      <w:u w:val="none"/>
    </w:rPr>
  </w:style>
  <w:style w:type="character" w:styleId="FollowedHyperlink">
    <w:name w:val="FollowedHyperlink"/>
    <w:basedOn w:val="DefaultParagraphFont"/>
    <w:uiPriority w:val="99"/>
    <w:semiHidden/>
    <w:unhideWhenUsed/>
    <w:rsid w:val="00ED672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2136662">
      <w:bodyDiv w:val="1"/>
      <w:marLeft w:val="0"/>
      <w:marRight w:val="0"/>
      <w:marTop w:val="0"/>
      <w:marBottom w:val="0"/>
      <w:divBdr>
        <w:top w:val="none" w:sz="0" w:space="0" w:color="auto"/>
        <w:left w:val="none" w:sz="0" w:space="0" w:color="auto"/>
        <w:bottom w:val="none" w:sz="0" w:space="0" w:color="auto"/>
        <w:right w:val="none" w:sz="0" w:space="0" w:color="auto"/>
      </w:divBdr>
      <w:divsChild>
        <w:div w:id="343945906">
          <w:marLeft w:val="0"/>
          <w:marRight w:val="0"/>
          <w:marTop w:val="0"/>
          <w:marBottom w:val="0"/>
          <w:divBdr>
            <w:top w:val="none" w:sz="0" w:space="0" w:color="auto"/>
            <w:left w:val="none" w:sz="0" w:space="0" w:color="auto"/>
            <w:bottom w:val="none" w:sz="0" w:space="0" w:color="auto"/>
            <w:right w:val="none" w:sz="0" w:space="0" w:color="auto"/>
          </w:divBdr>
        </w:div>
        <w:div w:id="2006660628">
          <w:marLeft w:val="0"/>
          <w:marRight w:val="0"/>
          <w:marTop w:val="0"/>
          <w:marBottom w:val="0"/>
          <w:divBdr>
            <w:top w:val="none" w:sz="0" w:space="0" w:color="auto"/>
            <w:left w:val="none" w:sz="0" w:space="0" w:color="auto"/>
            <w:bottom w:val="none" w:sz="0" w:space="0" w:color="auto"/>
            <w:right w:val="none" w:sz="0" w:space="0" w:color="auto"/>
          </w:divBdr>
        </w:div>
        <w:div w:id="1179655923">
          <w:marLeft w:val="0"/>
          <w:marRight w:val="0"/>
          <w:marTop w:val="0"/>
          <w:marBottom w:val="0"/>
          <w:divBdr>
            <w:top w:val="none" w:sz="0" w:space="0" w:color="auto"/>
            <w:left w:val="none" w:sz="0" w:space="0" w:color="auto"/>
            <w:bottom w:val="none" w:sz="0" w:space="0" w:color="auto"/>
            <w:right w:val="none" w:sz="0" w:space="0" w:color="auto"/>
          </w:divBdr>
        </w:div>
        <w:div w:id="1320764176">
          <w:marLeft w:val="0"/>
          <w:marRight w:val="0"/>
          <w:marTop w:val="0"/>
          <w:marBottom w:val="0"/>
          <w:divBdr>
            <w:top w:val="none" w:sz="0" w:space="0" w:color="auto"/>
            <w:left w:val="none" w:sz="0" w:space="0" w:color="auto"/>
            <w:bottom w:val="none" w:sz="0" w:space="0" w:color="auto"/>
            <w:right w:val="none" w:sz="0" w:space="0" w:color="auto"/>
          </w:divBdr>
        </w:div>
        <w:div w:id="1287815139">
          <w:marLeft w:val="0"/>
          <w:marRight w:val="0"/>
          <w:marTop w:val="0"/>
          <w:marBottom w:val="0"/>
          <w:divBdr>
            <w:top w:val="none" w:sz="0" w:space="0" w:color="auto"/>
            <w:left w:val="none" w:sz="0" w:space="0" w:color="auto"/>
            <w:bottom w:val="none" w:sz="0" w:space="0" w:color="auto"/>
            <w:right w:val="none" w:sz="0" w:space="0" w:color="auto"/>
          </w:divBdr>
        </w:div>
        <w:div w:id="1548226470">
          <w:marLeft w:val="0"/>
          <w:marRight w:val="0"/>
          <w:marTop w:val="0"/>
          <w:marBottom w:val="0"/>
          <w:divBdr>
            <w:top w:val="none" w:sz="0" w:space="0" w:color="auto"/>
            <w:left w:val="none" w:sz="0" w:space="0" w:color="auto"/>
            <w:bottom w:val="none" w:sz="0" w:space="0" w:color="auto"/>
            <w:right w:val="none" w:sz="0" w:space="0" w:color="auto"/>
          </w:divBdr>
        </w:div>
        <w:div w:id="1458066015">
          <w:marLeft w:val="0"/>
          <w:marRight w:val="0"/>
          <w:marTop w:val="0"/>
          <w:marBottom w:val="0"/>
          <w:divBdr>
            <w:top w:val="none" w:sz="0" w:space="0" w:color="auto"/>
            <w:left w:val="none" w:sz="0" w:space="0" w:color="auto"/>
            <w:bottom w:val="none" w:sz="0" w:space="0" w:color="auto"/>
            <w:right w:val="none" w:sz="0" w:space="0" w:color="auto"/>
          </w:divBdr>
        </w:div>
        <w:div w:id="403113239">
          <w:marLeft w:val="0"/>
          <w:marRight w:val="0"/>
          <w:marTop w:val="0"/>
          <w:marBottom w:val="0"/>
          <w:divBdr>
            <w:top w:val="none" w:sz="0" w:space="0" w:color="auto"/>
            <w:left w:val="none" w:sz="0" w:space="0" w:color="auto"/>
            <w:bottom w:val="none" w:sz="0" w:space="0" w:color="auto"/>
            <w:right w:val="none" w:sz="0" w:space="0" w:color="auto"/>
          </w:divBdr>
        </w:div>
        <w:div w:id="1072510988">
          <w:marLeft w:val="0"/>
          <w:marRight w:val="0"/>
          <w:marTop w:val="0"/>
          <w:marBottom w:val="0"/>
          <w:divBdr>
            <w:top w:val="none" w:sz="0" w:space="0" w:color="auto"/>
            <w:left w:val="none" w:sz="0" w:space="0" w:color="auto"/>
            <w:bottom w:val="none" w:sz="0" w:space="0" w:color="auto"/>
            <w:right w:val="none" w:sz="0" w:space="0" w:color="auto"/>
          </w:divBdr>
        </w:div>
        <w:div w:id="1066612779">
          <w:marLeft w:val="0"/>
          <w:marRight w:val="0"/>
          <w:marTop w:val="0"/>
          <w:marBottom w:val="0"/>
          <w:divBdr>
            <w:top w:val="none" w:sz="0" w:space="0" w:color="auto"/>
            <w:left w:val="none" w:sz="0" w:space="0" w:color="auto"/>
            <w:bottom w:val="none" w:sz="0" w:space="0" w:color="auto"/>
            <w:right w:val="none" w:sz="0" w:space="0" w:color="auto"/>
          </w:divBdr>
        </w:div>
        <w:div w:id="1344278822">
          <w:marLeft w:val="0"/>
          <w:marRight w:val="0"/>
          <w:marTop w:val="0"/>
          <w:marBottom w:val="0"/>
          <w:divBdr>
            <w:top w:val="none" w:sz="0" w:space="0" w:color="auto"/>
            <w:left w:val="none" w:sz="0" w:space="0" w:color="auto"/>
            <w:bottom w:val="none" w:sz="0" w:space="0" w:color="auto"/>
            <w:right w:val="none" w:sz="0" w:space="0" w:color="auto"/>
          </w:divBdr>
        </w:div>
        <w:div w:id="1743327565">
          <w:marLeft w:val="0"/>
          <w:marRight w:val="0"/>
          <w:marTop w:val="0"/>
          <w:marBottom w:val="0"/>
          <w:divBdr>
            <w:top w:val="none" w:sz="0" w:space="0" w:color="auto"/>
            <w:left w:val="none" w:sz="0" w:space="0" w:color="auto"/>
            <w:bottom w:val="none" w:sz="0" w:space="0" w:color="auto"/>
            <w:right w:val="none" w:sz="0" w:space="0" w:color="auto"/>
          </w:divBdr>
        </w:div>
        <w:div w:id="1050108589">
          <w:marLeft w:val="0"/>
          <w:marRight w:val="0"/>
          <w:marTop w:val="0"/>
          <w:marBottom w:val="0"/>
          <w:divBdr>
            <w:top w:val="none" w:sz="0" w:space="0" w:color="auto"/>
            <w:left w:val="none" w:sz="0" w:space="0" w:color="auto"/>
            <w:bottom w:val="none" w:sz="0" w:space="0" w:color="auto"/>
            <w:right w:val="none" w:sz="0" w:space="0" w:color="auto"/>
          </w:divBdr>
        </w:div>
        <w:div w:id="465896277">
          <w:marLeft w:val="0"/>
          <w:marRight w:val="0"/>
          <w:marTop w:val="0"/>
          <w:marBottom w:val="0"/>
          <w:divBdr>
            <w:top w:val="none" w:sz="0" w:space="0" w:color="auto"/>
            <w:left w:val="none" w:sz="0" w:space="0" w:color="auto"/>
            <w:bottom w:val="none" w:sz="0" w:space="0" w:color="auto"/>
            <w:right w:val="none" w:sz="0" w:space="0" w:color="auto"/>
          </w:divBdr>
        </w:div>
        <w:div w:id="1499077666">
          <w:marLeft w:val="0"/>
          <w:marRight w:val="0"/>
          <w:marTop w:val="0"/>
          <w:marBottom w:val="0"/>
          <w:divBdr>
            <w:top w:val="none" w:sz="0" w:space="0" w:color="auto"/>
            <w:left w:val="none" w:sz="0" w:space="0" w:color="auto"/>
            <w:bottom w:val="none" w:sz="0" w:space="0" w:color="auto"/>
            <w:right w:val="none" w:sz="0" w:space="0" w:color="auto"/>
          </w:divBdr>
        </w:div>
        <w:div w:id="1120496472">
          <w:marLeft w:val="0"/>
          <w:marRight w:val="0"/>
          <w:marTop w:val="0"/>
          <w:marBottom w:val="0"/>
          <w:divBdr>
            <w:top w:val="none" w:sz="0" w:space="0" w:color="auto"/>
            <w:left w:val="none" w:sz="0" w:space="0" w:color="auto"/>
            <w:bottom w:val="none" w:sz="0" w:space="0" w:color="auto"/>
            <w:right w:val="none" w:sz="0" w:space="0" w:color="auto"/>
          </w:divBdr>
        </w:div>
        <w:div w:id="1038091722">
          <w:marLeft w:val="0"/>
          <w:marRight w:val="0"/>
          <w:marTop w:val="0"/>
          <w:marBottom w:val="0"/>
          <w:divBdr>
            <w:top w:val="none" w:sz="0" w:space="0" w:color="auto"/>
            <w:left w:val="none" w:sz="0" w:space="0" w:color="auto"/>
            <w:bottom w:val="none" w:sz="0" w:space="0" w:color="auto"/>
            <w:right w:val="none" w:sz="0" w:space="0" w:color="auto"/>
          </w:divBdr>
        </w:div>
        <w:div w:id="638264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earch.uncc.edu/departments/office-research-compliance-orc/human-subjects/informed-consent" TargetMode="External"/><Relationship Id="rId3" Type="http://schemas.openxmlformats.org/officeDocument/2006/relationships/styles" Target="styles.xml"/><Relationship Id="rId7" Type="http://schemas.openxmlformats.org/officeDocument/2006/relationships/hyperlink" Target="http://www.dni.gov/files/documents/Minimization%20Procedures%20used%20by%20NSA%20in%20Connection%20with%20FISA%20SECT%20702.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lawdictionary.org/cons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egal-dictionary.thefreedictionary.com/consent" TargetMode="External"/><Relationship Id="rId4" Type="http://schemas.openxmlformats.org/officeDocument/2006/relationships/settings" Target="settings.xml"/><Relationship Id="rId9" Type="http://schemas.openxmlformats.org/officeDocument/2006/relationships/hyperlink" Target="http://www.merriam-webster.com/dictionary/comp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6D6F1-064F-42C1-8956-F00C67C39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Smith</dc:creator>
  <cp:keywords>5.1.1</cp:keywords>
  <dc:description/>
  <cp:lastModifiedBy>Abelkop, Garrett</cp:lastModifiedBy>
  <cp:revision>3</cp:revision>
  <dcterms:created xsi:type="dcterms:W3CDTF">2015-08-01T21:21:00Z</dcterms:created>
  <dcterms:modified xsi:type="dcterms:W3CDTF">2015-08-01T21:22:00Z</dcterms:modified>
</cp:coreProperties>
</file>