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C1DD92" w14:textId="77777777" w:rsidR="007E3AE0" w:rsidRDefault="007E3AE0" w:rsidP="007E3AE0">
      <w:pPr>
        <w:pStyle w:val="Heading3"/>
      </w:pPr>
      <w:bookmarkStart w:id="0" w:name="_GoBack"/>
      <w:bookmarkEnd w:id="0"/>
      <w:r>
        <w:t>1NC — Topicality (Intelligence Gathering)</w:t>
      </w:r>
    </w:p>
    <w:p w14:paraId="425E19E8" w14:textId="77777777" w:rsidR="00E42E4C" w:rsidRPr="008B612A" w:rsidRDefault="009A0F59" w:rsidP="008B612A">
      <w:pPr>
        <w:pStyle w:val="Heading4"/>
      </w:pPr>
      <w:r>
        <w:t>“D</w:t>
      </w:r>
      <w:r w:rsidR="008B612A">
        <w:t xml:space="preserve">omestic surveillance” is a form of </w:t>
      </w:r>
      <w:r w:rsidR="008B612A">
        <w:rPr>
          <w:u w:val="single"/>
        </w:rPr>
        <w:t>intelligence gathering</w:t>
      </w:r>
      <w:r w:rsidR="008B612A">
        <w:t xml:space="preserve"> that acquires non-public information about U.S. persons. </w:t>
      </w:r>
      <w:r w:rsidR="000C62E1">
        <w:t xml:space="preserve">The plan is not topical because it </w:t>
      </w:r>
      <w:r w:rsidR="00A26D4D">
        <w:t xml:space="preserve">curtails </w:t>
      </w:r>
      <w:r w:rsidR="00A26D4D" w:rsidRPr="00A26D4D">
        <w:rPr>
          <w:i/>
          <w:u w:val="single"/>
        </w:rPr>
        <w:t>information</w:t>
      </w:r>
      <w:r w:rsidR="00A26D4D">
        <w:t xml:space="preserve"> gathering, not </w:t>
      </w:r>
      <w:r w:rsidR="00A26D4D" w:rsidRPr="00A26D4D">
        <w:rPr>
          <w:i/>
          <w:u w:val="single"/>
        </w:rPr>
        <w:t>intelligence</w:t>
      </w:r>
      <w:r w:rsidR="00A26D4D">
        <w:t xml:space="preserve"> gathering. </w:t>
      </w:r>
    </w:p>
    <w:p w14:paraId="2F14BA64" w14:textId="77777777" w:rsidR="008B612A" w:rsidRDefault="008B612A" w:rsidP="008B612A">
      <w:r w:rsidRPr="008B612A">
        <w:rPr>
          <w:rStyle w:val="Style13ptBold"/>
        </w:rPr>
        <w:t>Small 8</w:t>
      </w:r>
      <w:r>
        <w:t xml:space="preserve"> — Matthew L. Small, Presidential Fellow at the Center for the Study of the Presidency, Student at the United States Air Force Academy, now serves as an Operational Analyst at the United States Air Force, 2008 (“His Eyes are Watching You: Domestic Surveillance, Civil Liberties and Executive Power During Times of National Crisis,” Paper Published by the Center for the Study of the Presidency, Available Online at </w:t>
      </w:r>
      <w:hyperlink r:id="rId7" w:history="1">
        <w:r w:rsidRPr="00F3177A">
          <w:rPr>
            <w:rStyle w:val="Hyperlink"/>
          </w:rPr>
          <w:t>http://cspc.nonprofitsoapbox.com/storage/documents/Fellows2008/Small.pdf</w:t>
        </w:r>
      </w:hyperlink>
      <w:r>
        <w:t>, Accessed 07-11-2015, p. 2-3)</w:t>
      </w:r>
    </w:p>
    <w:p w14:paraId="493F5164" w14:textId="77777777" w:rsidR="008B612A" w:rsidRDefault="008B612A" w:rsidP="008B612A">
      <w:r w:rsidRPr="008B612A">
        <w:rPr>
          <w:rStyle w:val="StyleUnderline"/>
          <w:highlight w:val="yellow"/>
        </w:rPr>
        <w:t>Before one can</w:t>
      </w:r>
      <w:r>
        <w:t xml:space="preserve"> make any sort of </w:t>
      </w:r>
      <w:r w:rsidRPr="008B612A">
        <w:rPr>
          <w:rStyle w:val="StyleUnderline"/>
          <w:highlight w:val="yellow"/>
        </w:rPr>
        <w:t>assess</w:t>
      </w:r>
      <w:r>
        <w:t xml:space="preserve">ment of </w:t>
      </w:r>
      <w:r w:rsidRPr="008B612A">
        <w:rPr>
          <w:rStyle w:val="StyleUnderline"/>
          <w:highlight w:val="yellow"/>
        </w:rPr>
        <w:t>domestic surveillance policies, it is</w:t>
      </w:r>
      <w:r w:rsidRPr="008B612A">
        <w:rPr>
          <w:rStyle w:val="StyleUnderline"/>
        </w:rPr>
        <w:t xml:space="preserve"> first </w:t>
      </w:r>
      <w:r w:rsidRPr="008B612A">
        <w:rPr>
          <w:rStyle w:val="StyleUnderline"/>
          <w:highlight w:val="yellow"/>
        </w:rPr>
        <w:t xml:space="preserve">necessary to </w:t>
      </w:r>
      <w:r w:rsidRPr="008B612A">
        <w:rPr>
          <w:rStyle w:val="Emphasis"/>
          <w:highlight w:val="yellow"/>
        </w:rPr>
        <w:t>narrow the scope of the term</w:t>
      </w:r>
      <w:r w:rsidRPr="008B612A">
        <w:rPr>
          <w:rStyle w:val="StyleUnderline"/>
          <w:highlight w:val="yellow"/>
        </w:rPr>
        <w:t xml:space="preserve"> “domestic surveillance.” Domestic surveillance is </w:t>
      </w:r>
      <w:r w:rsidRPr="008B612A">
        <w:rPr>
          <w:rStyle w:val="Emphasis"/>
          <w:highlight w:val="yellow"/>
        </w:rPr>
        <w:t>a subset of intelligence gathering</w:t>
      </w:r>
      <w:r w:rsidRPr="008B612A">
        <w:rPr>
          <w:rStyle w:val="StyleUnderline"/>
          <w:highlight w:val="yellow"/>
        </w:rPr>
        <w:t>. Intelligence</w:t>
      </w:r>
      <w:r>
        <w:t xml:space="preserve">, as it is to be understood </w:t>
      </w:r>
      <w:r w:rsidRPr="008B612A">
        <w:rPr>
          <w:rStyle w:val="StyleUnderline"/>
          <w:highlight w:val="yellow"/>
        </w:rPr>
        <w:t>in</w:t>
      </w:r>
      <w:r w:rsidRPr="008B612A">
        <w:rPr>
          <w:rStyle w:val="StyleUnderline"/>
        </w:rPr>
        <w:t xml:space="preserve"> </w:t>
      </w:r>
      <w:r w:rsidRPr="008B612A">
        <w:rPr>
          <w:rStyle w:val="StyleUnderline"/>
          <w:highlight w:val="yellow"/>
        </w:rPr>
        <w:t>this context</w:t>
      </w:r>
      <w:r>
        <w:t xml:space="preserve">, </w:t>
      </w:r>
      <w:r w:rsidRPr="008B612A">
        <w:rPr>
          <w:rStyle w:val="StyleUnderline"/>
          <w:highlight w:val="yellow"/>
        </w:rPr>
        <w:t>is “information that meets the stated or understood needs of policy makers and has been collected, processed and narrowed to meet those needs”</w:t>
      </w:r>
      <w:r>
        <w:t xml:space="preserve"> (</w:t>
      </w:r>
      <w:proofErr w:type="spellStart"/>
      <w:r>
        <w:t>Lowenthal</w:t>
      </w:r>
      <w:proofErr w:type="spellEnd"/>
      <w:r>
        <w:t xml:space="preserve"> 2006, 2). </w:t>
      </w:r>
      <w:r w:rsidRPr="008B612A">
        <w:rPr>
          <w:rStyle w:val="StyleUnderline"/>
        </w:rPr>
        <w:t xml:space="preserve">In essence, </w:t>
      </w:r>
      <w:r w:rsidRPr="008B612A">
        <w:rPr>
          <w:rStyle w:val="StyleUnderline"/>
          <w:highlight w:val="yellow"/>
        </w:rPr>
        <w:t xml:space="preserve">domestic surveillance is </w:t>
      </w:r>
      <w:r w:rsidRPr="008B612A">
        <w:rPr>
          <w:rStyle w:val="Emphasis"/>
          <w:highlight w:val="yellow"/>
        </w:rPr>
        <w:t>a means to an end</w:t>
      </w:r>
      <w:proofErr w:type="gramStart"/>
      <w:r w:rsidRPr="008B612A">
        <w:rPr>
          <w:rStyle w:val="StyleUnderline"/>
          <w:highlight w:val="yellow"/>
        </w:rPr>
        <w:t>;</w:t>
      </w:r>
      <w:proofErr w:type="gramEnd"/>
      <w:r w:rsidRPr="008B612A">
        <w:rPr>
          <w:rStyle w:val="StyleUnderline"/>
          <w:highlight w:val="yellow"/>
        </w:rPr>
        <w:t xml:space="preserve"> the end being </w:t>
      </w:r>
      <w:r w:rsidRPr="008B612A">
        <w:rPr>
          <w:rStyle w:val="Emphasis"/>
          <w:highlight w:val="yellow"/>
        </w:rPr>
        <w:t>intelligence</w:t>
      </w:r>
      <w:r w:rsidRPr="008B612A">
        <w:rPr>
          <w:rStyle w:val="StyleUnderline"/>
          <w:highlight w:val="yellow"/>
        </w:rPr>
        <w:t>. The intelligence community best understands domestic surveillance as the acquisition of nonpublic information concerning U</w:t>
      </w:r>
      <w:r>
        <w:t xml:space="preserve">nited </w:t>
      </w:r>
      <w:r w:rsidRPr="008B612A">
        <w:rPr>
          <w:rStyle w:val="StyleUnderline"/>
          <w:highlight w:val="yellow"/>
        </w:rPr>
        <w:t>S</w:t>
      </w:r>
      <w:r>
        <w:t xml:space="preserve">tates </w:t>
      </w:r>
      <w:r w:rsidRPr="008B612A">
        <w:rPr>
          <w:rStyle w:val="StyleUnderline"/>
          <w:highlight w:val="yellow"/>
        </w:rPr>
        <w:t>persons</w:t>
      </w:r>
      <w:r>
        <w:t xml:space="preserve"> (Executive Order 12333 (3.4) (</w:t>
      </w:r>
      <w:proofErr w:type="spellStart"/>
      <w:r>
        <w:t>i</w:t>
      </w:r>
      <w:proofErr w:type="spellEnd"/>
      <w:r>
        <w:t xml:space="preserve">)). </w:t>
      </w:r>
      <w:r w:rsidRPr="008B612A">
        <w:rPr>
          <w:rStyle w:val="StyleUnderline"/>
        </w:rPr>
        <w:t xml:space="preserve">With </w:t>
      </w:r>
      <w:r w:rsidRPr="008B612A">
        <w:rPr>
          <w:rStyle w:val="StyleUnderline"/>
          <w:highlight w:val="yellow"/>
        </w:rPr>
        <w:t>this definition</w:t>
      </w:r>
      <w:r w:rsidRPr="008B612A">
        <w:rPr>
          <w:rStyle w:val="StyleUnderline"/>
        </w:rPr>
        <w:t xml:space="preserve"> domestic surveillance </w:t>
      </w:r>
      <w:r w:rsidRPr="008B612A">
        <w:rPr>
          <w:rStyle w:val="StyleUnderline"/>
          <w:highlight w:val="yellow"/>
        </w:rPr>
        <w:t>remains</w:t>
      </w:r>
      <w:r w:rsidRPr="008B612A">
        <w:rPr>
          <w:rStyle w:val="StyleUnderline"/>
        </w:rPr>
        <w:t xml:space="preserve"> an overly </w:t>
      </w:r>
      <w:r w:rsidRPr="008B612A">
        <w:rPr>
          <w:rStyle w:val="StyleUnderline"/>
          <w:highlight w:val="yellow"/>
        </w:rPr>
        <w:t>broad</w:t>
      </w:r>
      <w:r w:rsidRPr="008B612A">
        <w:rPr>
          <w:rStyle w:val="StyleUnderline"/>
        </w:rPr>
        <w:t xml:space="preserve"> concept</w:t>
      </w:r>
      <w:r>
        <w:t>.</w:t>
      </w:r>
    </w:p>
    <w:p w14:paraId="1D22329C" w14:textId="77777777" w:rsidR="008B612A" w:rsidRDefault="008B612A" w:rsidP="008B612A">
      <w:r w:rsidRPr="008B612A">
        <w:rPr>
          <w:rStyle w:val="StyleUnderline"/>
        </w:rPr>
        <w:t>This paper’s analysis</w:t>
      </w:r>
      <w:r>
        <w:t xml:space="preserve">, in terms of President Bush’s policies, </w:t>
      </w:r>
      <w:r w:rsidRPr="008B612A">
        <w:rPr>
          <w:rStyle w:val="StyleUnderline"/>
        </w:rPr>
        <w:t>focuses on electronic surveillance</w:t>
      </w:r>
      <w:r>
        <w:t>; specifically, wiretapping phone lines and obtaining caller information from phone companies. Section f of the USA Patriot Act of 2001 defines electronic surveillance as:</w:t>
      </w:r>
    </w:p>
    <w:p w14:paraId="43FC56E0" w14:textId="77777777" w:rsidR="008B612A" w:rsidRDefault="008B612A" w:rsidP="008B612A">
      <w:pPr>
        <w:ind w:left="720"/>
      </w:pPr>
      <w:r>
        <w:t>[</w:t>
      </w:r>
      <w:proofErr w:type="gramStart"/>
      <w:r>
        <w:t>T]he</w:t>
      </w:r>
      <w:proofErr w:type="gramEnd"/>
      <w:r>
        <w:t xml:space="preserve"> acquisition by an electronic, mechanical, or other surveillance device of the contents of any wire or radio communication sent by or intended to be received by a particular, known United States person who is in the United States, if the contents are acquired by intentionally targeting that United States person, under circumstances in which a person has a reasonable expectation of privacy and a warrant would be required for law enforcement purposes;</w:t>
      </w:r>
    </w:p>
    <w:p w14:paraId="429D9ECD" w14:textId="77777777" w:rsidR="008B612A" w:rsidRDefault="008B612A" w:rsidP="008B612A">
      <w:r w:rsidRPr="008B612A">
        <w:rPr>
          <w:rStyle w:val="StyleUnderline"/>
          <w:highlight w:val="yellow"/>
        </w:rPr>
        <w:t>Adhering to the</w:t>
      </w:r>
      <w:r>
        <w:t xml:space="preserve"> above </w:t>
      </w:r>
      <w:r w:rsidRPr="008B612A">
        <w:rPr>
          <w:rStyle w:val="StyleUnderline"/>
          <w:highlight w:val="yellow"/>
        </w:rPr>
        <w:t xml:space="preserve">definition allows for a </w:t>
      </w:r>
      <w:r w:rsidRPr="008B612A">
        <w:rPr>
          <w:rStyle w:val="Emphasis"/>
          <w:highlight w:val="yellow"/>
        </w:rPr>
        <w:t>focused analysis</w:t>
      </w:r>
      <w:r w:rsidRPr="008B612A">
        <w:rPr>
          <w:rStyle w:val="StyleUnderline"/>
          <w:highlight w:val="yellow"/>
        </w:rPr>
        <w:t xml:space="preserve"> of</w:t>
      </w:r>
      <w:r>
        <w:t xml:space="preserve"> one part of President Bush’s </w:t>
      </w:r>
      <w:r w:rsidRPr="008B612A">
        <w:rPr>
          <w:rStyle w:val="StyleUnderline"/>
          <w:highlight w:val="yellow"/>
        </w:rPr>
        <w:t>domestic surveillance policy</w:t>
      </w:r>
      <w:r>
        <w:t xml:space="preserve"> as its implementation relates to the executive’s ability to abridge certain civil liberties. However, since electronic surveillance did not become an issue of public concern until the 1920s, there would seem to be a problem with the proposed analysis.</w:t>
      </w:r>
    </w:p>
    <w:p w14:paraId="33E1E6A1" w14:textId="77777777" w:rsidR="008B612A" w:rsidRDefault="008B612A" w:rsidP="008B612A">
      <w:r>
        <w:t xml:space="preserve">Considering an American citizen’s claim to a right to privacy, </w:t>
      </w:r>
      <w:r w:rsidRPr="008B612A">
        <w:rPr>
          <w:rStyle w:val="StyleUnderline"/>
          <w:highlight w:val="yellow"/>
        </w:rPr>
        <w:t>the</w:t>
      </w:r>
      <w:r w:rsidRPr="008B612A">
        <w:rPr>
          <w:rStyle w:val="StyleUnderline"/>
        </w:rPr>
        <w:t xml:space="preserve"> proposed </w:t>
      </w:r>
      <w:r w:rsidRPr="008B612A">
        <w:rPr>
          <w:rStyle w:val="StyleUnderline"/>
          <w:highlight w:val="yellow"/>
        </w:rPr>
        <w:t>analysis</w:t>
      </w:r>
      <w:r w:rsidRPr="008B612A">
        <w:rPr>
          <w:rStyle w:val="StyleUnderline"/>
        </w:rPr>
        <w:t xml:space="preserve"> is not limited to electronic surveillance alone but rather </w:t>
      </w:r>
      <w:r w:rsidRPr="008B612A">
        <w:rPr>
          <w:rStyle w:val="StyleUnderline"/>
          <w:highlight w:val="yellow"/>
        </w:rPr>
        <w:t>includes</w:t>
      </w:r>
      <w:r w:rsidRPr="008B612A">
        <w:rPr>
          <w:rStyle w:val="StyleUnderline"/>
        </w:rPr>
        <w:t xml:space="preserve"> those </w:t>
      </w:r>
      <w:r w:rsidRPr="008B612A">
        <w:rPr>
          <w:rStyle w:val="StyleUnderline"/>
          <w:highlight w:val="yellow"/>
        </w:rPr>
        <w:t>actions that</w:t>
      </w:r>
      <w:r w:rsidRPr="008B612A">
        <w:rPr>
          <w:rStyle w:val="StyleUnderline"/>
        </w:rPr>
        <w:t xml:space="preserve"> would </w:t>
      </w:r>
      <w:r w:rsidRPr="008B612A">
        <w:rPr>
          <w:rStyle w:val="StyleUnderline"/>
          <w:highlight w:val="yellow"/>
        </w:rPr>
        <w:t>seek</w:t>
      </w:r>
      <w:r>
        <w:t xml:space="preserve">, or at least appear, </w:t>
      </w:r>
      <w:r w:rsidRPr="008B612A">
        <w:rPr>
          <w:rStyle w:val="StyleUnderline"/>
          <w:highlight w:val="yellow"/>
        </w:rPr>
        <w:t>to abridge a civil liberty</w:t>
      </w:r>
      <w:r>
        <w:t xml:space="preserve">. The previously [end page 2] presented definition of electronic surveillance itself implies an infringement into a person’s expected right, in this case the right is to privacy. </w:t>
      </w:r>
      <w:r w:rsidRPr="008B612A">
        <w:rPr>
          <w:rStyle w:val="StyleUnderline"/>
          <w:highlight w:val="yellow"/>
        </w:rPr>
        <w:t xml:space="preserve">Acknowledging the intrusion </w:t>
      </w:r>
      <w:r w:rsidRPr="008B612A">
        <w:rPr>
          <w:rStyle w:val="Emphasis"/>
          <w:highlight w:val="yellow"/>
        </w:rPr>
        <w:t>inherent in the definition</w:t>
      </w:r>
      <w:r w:rsidRPr="008B612A">
        <w:rPr>
          <w:rStyle w:val="StyleUnderline"/>
          <w:highlight w:val="yellow"/>
        </w:rPr>
        <w:t>, the question of how far the president can push</w:t>
      </w:r>
      <w:r w:rsidRPr="008B612A">
        <w:rPr>
          <w:rStyle w:val="StyleUnderline"/>
        </w:rPr>
        <w:t xml:space="preserve"> this intrusion </w:t>
      </w:r>
      <w:r w:rsidRPr="008B612A">
        <w:rPr>
          <w:rStyle w:val="StyleUnderline"/>
          <w:highlight w:val="yellow"/>
        </w:rPr>
        <w:t>becomes</w:t>
      </w:r>
      <w:r>
        <w:t xml:space="preserve"> even more </w:t>
      </w:r>
      <w:r w:rsidRPr="008B612A">
        <w:rPr>
          <w:rStyle w:val="StyleUnderline"/>
          <w:highlight w:val="yellow"/>
        </w:rPr>
        <w:t>poignant</w:t>
      </w:r>
      <w:r>
        <w:t>. As such, President Bush’s policies are not the sole subject of scrutiny, but rather his supposed power to abridge civil liberties in the interest of national security. The first part of the analysis, then, turns to a time where the national security of the United States was most at jeopardy, during its fight for independence.</w:t>
      </w:r>
    </w:p>
    <w:p w14:paraId="7C598540" w14:textId="77777777" w:rsidR="008B612A" w:rsidRDefault="008B612A" w:rsidP="008B612A"/>
    <w:p w14:paraId="1159F57E" w14:textId="77777777" w:rsidR="005C1DA0" w:rsidRDefault="000C62E1" w:rsidP="000C62E1">
      <w:pPr>
        <w:pStyle w:val="Heading4"/>
      </w:pPr>
      <w:r w:rsidRPr="005C1DA0">
        <w:rPr>
          <w:u w:val="single"/>
        </w:rPr>
        <w:t>Vote negative</w:t>
      </w:r>
      <w:r w:rsidR="005C1DA0">
        <w:t xml:space="preserve"> to </w:t>
      </w:r>
      <w:r w:rsidR="00A26D4D">
        <w:t>endorse</w:t>
      </w:r>
      <w:r w:rsidR="005C1DA0">
        <w:t xml:space="preserve"> a limited topic.</w:t>
      </w:r>
    </w:p>
    <w:p w14:paraId="432BA563" w14:textId="77777777" w:rsidR="005C1DA0" w:rsidRPr="005C1DA0" w:rsidRDefault="005C1DA0" w:rsidP="005C1DA0"/>
    <w:p w14:paraId="7C748CCB" w14:textId="77777777" w:rsidR="005C1DA0" w:rsidRDefault="005C1DA0" w:rsidP="000C62E1">
      <w:pPr>
        <w:pStyle w:val="Heading4"/>
      </w:pPr>
      <w:r w:rsidRPr="005C1DA0">
        <w:rPr>
          <w:u w:val="single"/>
        </w:rPr>
        <w:lastRenderedPageBreak/>
        <w:t>First</w:t>
      </w:r>
      <w:r>
        <w:t xml:space="preserve">, the </w:t>
      </w:r>
      <w:r w:rsidRPr="005C1DA0">
        <w:rPr>
          <w:u w:val="single"/>
        </w:rPr>
        <w:t>link</w:t>
      </w:r>
      <w:r>
        <w:t>: i</w:t>
      </w:r>
      <w:r w:rsidR="000C62E1">
        <w:t xml:space="preserve">ntelligence gathering is sufficiently broad to allow affirmative flexibility but narrow enough to ensure </w:t>
      </w:r>
      <w:r w:rsidR="000C62E1" w:rsidRPr="008B612A">
        <w:rPr>
          <w:u w:val="single"/>
        </w:rPr>
        <w:t>predictable</w:t>
      </w:r>
      <w:r w:rsidR="000C62E1">
        <w:t xml:space="preserve">, </w:t>
      </w:r>
      <w:r w:rsidR="000C62E1" w:rsidRPr="008B612A">
        <w:rPr>
          <w:u w:val="single"/>
        </w:rPr>
        <w:t>in-depth</w:t>
      </w:r>
      <w:r w:rsidR="000C62E1">
        <w:t xml:space="preserve"> debates. The </w:t>
      </w:r>
      <w:proofErr w:type="spellStart"/>
      <w:r w:rsidR="000C62E1">
        <w:t>aff</w:t>
      </w:r>
      <w:proofErr w:type="spellEnd"/>
      <w:r w:rsidR="000C62E1">
        <w:t xml:space="preserve"> justifies an unmanageably large number of plans that curtail monitoring in sectors like </w:t>
      </w:r>
      <w:r w:rsidR="000C62E1" w:rsidRPr="005C1DA0">
        <w:rPr>
          <w:i/>
        </w:rPr>
        <w:t>agriculture</w:t>
      </w:r>
      <w:r w:rsidR="000C62E1">
        <w:t xml:space="preserve">, </w:t>
      </w:r>
      <w:r w:rsidR="000C62E1" w:rsidRPr="005C1DA0">
        <w:rPr>
          <w:i/>
        </w:rPr>
        <w:t>banking</w:t>
      </w:r>
      <w:r w:rsidR="000C62E1">
        <w:t xml:space="preserve">, </w:t>
      </w:r>
      <w:r w:rsidR="000C62E1" w:rsidRPr="005C1DA0">
        <w:rPr>
          <w:i/>
        </w:rPr>
        <w:t>education</w:t>
      </w:r>
      <w:r w:rsidR="000C62E1">
        <w:t xml:space="preserve">, </w:t>
      </w:r>
      <w:r w:rsidR="000C62E1" w:rsidRPr="005C1DA0">
        <w:rPr>
          <w:i/>
        </w:rPr>
        <w:t>environment</w:t>
      </w:r>
      <w:r w:rsidR="000C62E1">
        <w:t xml:space="preserve">, </w:t>
      </w:r>
      <w:r w:rsidR="000C62E1" w:rsidRPr="005C1DA0">
        <w:rPr>
          <w:i/>
        </w:rPr>
        <w:t>finance</w:t>
      </w:r>
      <w:r w:rsidR="000C62E1">
        <w:t xml:space="preserve">, </w:t>
      </w:r>
      <w:r w:rsidR="000C62E1" w:rsidRPr="005C1DA0">
        <w:rPr>
          <w:i/>
        </w:rPr>
        <w:t>health care</w:t>
      </w:r>
      <w:r w:rsidR="000C62E1">
        <w:t xml:space="preserve">, </w:t>
      </w:r>
      <w:r w:rsidR="000C62E1" w:rsidRPr="005C1DA0">
        <w:rPr>
          <w:i/>
        </w:rPr>
        <w:t>housing</w:t>
      </w:r>
      <w:r w:rsidR="000C62E1">
        <w:t xml:space="preserve">, </w:t>
      </w:r>
      <w:r w:rsidR="000C62E1" w:rsidRPr="005C1DA0">
        <w:rPr>
          <w:i/>
        </w:rPr>
        <w:t>transportation</w:t>
      </w:r>
      <w:r w:rsidR="000C62E1">
        <w:t xml:space="preserve">, and </w:t>
      </w:r>
      <w:r w:rsidR="000C62E1" w:rsidRPr="005C1DA0">
        <w:rPr>
          <w:i/>
        </w:rPr>
        <w:t>welfare</w:t>
      </w:r>
      <w:r w:rsidR="000C62E1">
        <w:t xml:space="preserve">. </w:t>
      </w:r>
    </w:p>
    <w:p w14:paraId="1E4A530A" w14:textId="77777777" w:rsidR="005C1DA0" w:rsidRPr="005C1DA0" w:rsidRDefault="005C1DA0" w:rsidP="005C1DA0"/>
    <w:p w14:paraId="246073E3" w14:textId="77777777" w:rsidR="000C62E1" w:rsidRPr="005C1DA0" w:rsidRDefault="005C1DA0" w:rsidP="005C1DA0">
      <w:pPr>
        <w:pStyle w:val="Heading4"/>
      </w:pPr>
      <w:r w:rsidRPr="005C1DA0">
        <w:rPr>
          <w:u w:val="single"/>
        </w:rPr>
        <w:t>Second</w:t>
      </w:r>
      <w:r>
        <w:t xml:space="preserve">, the </w:t>
      </w:r>
      <w:r w:rsidRPr="005C1DA0">
        <w:rPr>
          <w:u w:val="single"/>
        </w:rPr>
        <w:t>impact</w:t>
      </w:r>
      <w:r>
        <w:t xml:space="preserve">: this prevents </w:t>
      </w:r>
      <w:r w:rsidRPr="005C1DA0">
        <w:rPr>
          <w:u w:val="single"/>
        </w:rPr>
        <w:t>rigorous preparation</w:t>
      </w:r>
      <w:r>
        <w:t xml:space="preserve"> and </w:t>
      </w:r>
      <w:r>
        <w:rPr>
          <w:u w:val="single"/>
        </w:rPr>
        <w:t>focused analysis</w:t>
      </w:r>
      <w:r>
        <w:t xml:space="preserve"> because it shifts debates away from the </w:t>
      </w:r>
      <w:r>
        <w:rPr>
          <w:u w:val="single"/>
        </w:rPr>
        <w:t>core controversy</w:t>
      </w:r>
      <w:r>
        <w:t xml:space="preserve"> about balancing security and civil liberties. This </w:t>
      </w:r>
      <w:r w:rsidRPr="005C1DA0">
        <w:rPr>
          <w:u w:val="single"/>
        </w:rPr>
        <w:t>won’t get stale</w:t>
      </w:r>
      <w:r>
        <w:t xml:space="preserve"> thanks to the Snowden revelations, but </w:t>
      </w:r>
      <w:r w:rsidRPr="005C1DA0">
        <w:rPr>
          <w:u w:val="single"/>
        </w:rPr>
        <w:t>no one will debate it</w:t>
      </w:r>
      <w:r>
        <w:t xml:space="preserve"> if </w:t>
      </w:r>
      <w:proofErr w:type="spellStart"/>
      <w:r>
        <w:t>affs</w:t>
      </w:r>
      <w:proofErr w:type="spellEnd"/>
      <w:r>
        <w:t xml:space="preserve"> are given less controversial options that </w:t>
      </w:r>
      <w:r w:rsidRPr="005C1DA0">
        <w:rPr>
          <w:u w:val="single"/>
        </w:rPr>
        <w:t>skirt the controversy</w:t>
      </w:r>
      <w:r>
        <w:t xml:space="preserve">. </w:t>
      </w:r>
      <w:r w:rsidR="00A26D4D">
        <w:t>Broad interpretations sabotage</w:t>
      </w:r>
      <w:r>
        <w:t xml:space="preserve"> </w:t>
      </w:r>
      <w:r w:rsidRPr="005C1DA0">
        <w:rPr>
          <w:u w:val="single"/>
        </w:rPr>
        <w:t>clash</w:t>
      </w:r>
      <w:r w:rsidR="00A26D4D">
        <w:t xml:space="preserve"> and subvert</w:t>
      </w:r>
      <w:r>
        <w:t xml:space="preserve"> </w:t>
      </w:r>
      <w:r w:rsidRPr="005C1DA0">
        <w:rPr>
          <w:u w:val="single"/>
        </w:rPr>
        <w:t>topic education</w:t>
      </w:r>
      <w:r>
        <w:t xml:space="preserve">. </w:t>
      </w:r>
    </w:p>
    <w:p w14:paraId="234A895C" w14:textId="77777777" w:rsidR="000C62E1" w:rsidRPr="000C62E1" w:rsidRDefault="000C62E1" w:rsidP="000C62E1"/>
    <w:p w14:paraId="7D84433E" w14:textId="77777777" w:rsidR="009A0F59" w:rsidRDefault="009A0F59" w:rsidP="009A0F59">
      <w:pPr>
        <w:pStyle w:val="Heading3"/>
      </w:pPr>
      <w:r>
        <w:lastRenderedPageBreak/>
        <w:t>2NC — Interpretation/Violation</w:t>
      </w:r>
    </w:p>
    <w:p w14:paraId="5614A3E6" w14:textId="77777777" w:rsidR="007E3AE0" w:rsidRDefault="007E3AE0" w:rsidP="007E3AE0">
      <w:pPr>
        <w:pStyle w:val="Heading4"/>
      </w:pPr>
      <w:r>
        <w:t xml:space="preserve">The plan is not </w:t>
      </w:r>
      <w:r w:rsidRPr="009A0F59">
        <w:rPr>
          <w:u w:val="single"/>
        </w:rPr>
        <w:t>intelligence</w:t>
      </w:r>
      <w:r>
        <w:rPr>
          <w:u w:val="single"/>
        </w:rPr>
        <w:t xml:space="preserve"> gathering</w:t>
      </w:r>
      <w:r w:rsidR="00174A3C">
        <w:t xml:space="preserve"> because its purpose is not identifying and disrupting a future security threat. This interpretation is crucial to </w:t>
      </w:r>
      <w:r w:rsidR="00174A3C" w:rsidRPr="00174A3C">
        <w:rPr>
          <w:u w:val="single"/>
        </w:rPr>
        <w:t>effective policy analysis</w:t>
      </w:r>
      <w:r w:rsidR="00174A3C">
        <w:t xml:space="preserve">. </w:t>
      </w:r>
    </w:p>
    <w:p w14:paraId="70E08A7D" w14:textId="77777777" w:rsidR="00715456" w:rsidRDefault="00715456" w:rsidP="00715456">
      <w:r w:rsidRPr="00715456">
        <w:rPr>
          <w:rStyle w:val="Style13ptBold"/>
        </w:rPr>
        <w:t xml:space="preserve">Jackson </w:t>
      </w:r>
      <w:r>
        <w:rPr>
          <w:rStyle w:val="Style13ptBold"/>
        </w:rPr>
        <w:t>9</w:t>
      </w:r>
      <w:r>
        <w:t xml:space="preserve"> — Brian A. Jackson, Senior Physical S</w:t>
      </w:r>
      <w:r w:rsidRPr="00715456">
        <w:t xml:space="preserve">cientist </w:t>
      </w:r>
      <w:r>
        <w:t xml:space="preserve">and Director of the Safety and Justice Program at the RAND Corporation, holds a Ph.D. in Bioinorganic Chemistry from the </w:t>
      </w:r>
      <w:r w:rsidRPr="00715456">
        <w:t>Cali</w:t>
      </w:r>
      <w:r>
        <w:t xml:space="preserve">fornia Institute of Technology and an M.A. in Science, Technology, and Public Policy from </w:t>
      </w:r>
      <w:r w:rsidRPr="00715456">
        <w:t>George Washington University</w:t>
      </w:r>
      <w:r>
        <w:t xml:space="preserve">, 2009 (“Introduction,” </w:t>
      </w:r>
      <w:r w:rsidRPr="00715456">
        <w:rPr>
          <w:i/>
        </w:rPr>
        <w:t>Considering the Creation of a Domestic Intelligence Agency in the United States: Lessons from the Experiences of Australia, Canada, France, Germany, and the United Kingdom</w:t>
      </w:r>
      <w:r>
        <w:t xml:space="preserve">, Report Prepared for the Department of Homeland Security and Published by the RAND Corporation, ISBN 9780833046178, Available Online at </w:t>
      </w:r>
      <w:r w:rsidRPr="00715456">
        <w:t xml:space="preserve">http://www.rand.org/content/dam/rand/pubs/monographs/2009/RAND_MG805.epub </w:t>
      </w:r>
      <w:r>
        <w:t>, Accessed 07-11-2015, p. 34-38)</w:t>
      </w:r>
    </w:p>
    <w:p w14:paraId="712DD8BD" w14:textId="77777777" w:rsidR="00715456" w:rsidRDefault="00715456" w:rsidP="00715456">
      <w:r>
        <w:t>Defining Domestic Intelligence</w:t>
      </w:r>
    </w:p>
    <w:p w14:paraId="06E0CA44" w14:textId="77777777" w:rsidR="00715456" w:rsidRDefault="00715456" w:rsidP="00715456">
      <w:r w:rsidRPr="009A0F59">
        <w:rPr>
          <w:rStyle w:val="StyleUnderline"/>
          <w:highlight w:val="yellow"/>
        </w:rPr>
        <w:t>What do we mean by</w:t>
      </w:r>
      <w:r w:rsidRPr="009A0F59">
        <w:rPr>
          <w:rStyle w:val="StyleUnderline"/>
        </w:rPr>
        <w:t xml:space="preserve"> the term </w:t>
      </w:r>
      <w:r w:rsidRPr="009A0F59">
        <w:rPr>
          <w:rStyle w:val="StyleUnderline"/>
          <w:highlight w:val="yellow"/>
        </w:rPr>
        <w:t>domestic intelligence?</w:t>
      </w:r>
      <w:r>
        <w:t xml:space="preserve"> The term intelligence sparks a range of associations, many of which stem from intelligence’s connection with the secret activities of governments seeking to advance their interests in international affairs. In recent years, the term intelligence has been integrated into domestic law enforcement and public safety agencies as part of the phrase intelligence-led policing. Definitions of intelligence-led policing vary, but common elements include the use of information-gathering capabilities and the analysis and application of resulting information in crime prevention and response activities in addition to their more traditional use in the prosecution of past [end page 34] criminal acts (see, e.g., </w:t>
      </w:r>
      <w:proofErr w:type="spellStart"/>
      <w:r>
        <w:t>Weisburd</w:t>
      </w:r>
      <w:proofErr w:type="spellEnd"/>
      <w:r>
        <w:t xml:space="preserve"> and Braga, 2006; Milligan, Clemente, and </w:t>
      </w:r>
      <w:proofErr w:type="spellStart"/>
      <w:r>
        <w:t>Schader</w:t>
      </w:r>
      <w:proofErr w:type="spellEnd"/>
      <w:r>
        <w:t xml:space="preserve">, 2006; </w:t>
      </w:r>
      <w:proofErr w:type="spellStart"/>
      <w:r>
        <w:t>Ratcliffe</w:t>
      </w:r>
      <w:proofErr w:type="spellEnd"/>
      <w:r>
        <w:t xml:space="preserve">, 2002; Peterson, 2005). Use of the term intelligence has also spread beyond government organizations into private-sector organizations and elsewhere.1 </w:t>
      </w:r>
      <w:proofErr w:type="gramStart"/>
      <w:r>
        <w:t>To</w:t>
      </w:r>
      <w:proofErr w:type="gramEnd"/>
      <w:r>
        <w:t xml:space="preserve"> some, the term is most closely associated with the collection of information; others see intelligence as a more general category that includes a much broader range of activities. Such </w:t>
      </w:r>
      <w:r w:rsidRPr="009A0F59">
        <w:rPr>
          <w:rStyle w:val="StyleUnderline"/>
          <w:highlight w:val="yellow"/>
        </w:rPr>
        <w:t>variety in</w:t>
      </w:r>
      <w:r>
        <w:t xml:space="preserve"> the </w:t>
      </w:r>
      <w:r w:rsidRPr="009A0F59">
        <w:rPr>
          <w:rStyle w:val="StyleUnderline"/>
        </w:rPr>
        <w:t xml:space="preserve">use and </w:t>
      </w:r>
      <w:r w:rsidRPr="009A0F59">
        <w:rPr>
          <w:rStyle w:val="StyleUnderline"/>
          <w:highlight w:val="yellow"/>
        </w:rPr>
        <w:t>understanding</w:t>
      </w:r>
      <w:r>
        <w:t xml:space="preserve"> of these terms </w:t>
      </w:r>
      <w:r w:rsidRPr="009A0F59">
        <w:rPr>
          <w:rStyle w:val="Emphasis"/>
          <w:highlight w:val="yellow"/>
        </w:rPr>
        <w:t>complicates policy debate</w:t>
      </w:r>
      <w:r w:rsidRPr="009A0F59">
        <w:rPr>
          <w:rStyle w:val="StyleUnderline"/>
        </w:rPr>
        <w:t xml:space="preserve">, </w:t>
      </w:r>
      <w:r w:rsidRPr="009A0F59">
        <w:rPr>
          <w:rStyle w:val="StyleUnderline"/>
          <w:highlight w:val="yellow"/>
        </w:rPr>
        <w:t>and</w:t>
      </w:r>
      <w:r w:rsidRPr="009A0F59">
        <w:rPr>
          <w:rStyle w:val="StyleUnderline"/>
        </w:rPr>
        <w:t xml:space="preserve"> the </w:t>
      </w:r>
      <w:r w:rsidRPr="009A0F59">
        <w:rPr>
          <w:rStyle w:val="StyleUnderline"/>
          <w:highlight w:val="yellow"/>
        </w:rPr>
        <w:t>lack of standard definitions</w:t>
      </w:r>
      <w:r w:rsidRPr="009A0F59">
        <w:rPr>
          <w:rStyle w:val="StyleUnderline"/>
        </w:rPr>
        <w:t xml:space="preserve"> for intelligence activities</w:t>
      </w:r>
      <w:r>
        <w:t xml:space="preserve"> focused on homeland security and domestic counterterrorism (CT) efforts </w:t>
      </w:r>
      <w:r w:rsidRPr="009A0F59">
        <w:rPr>
          <w:rStyle w:val="StyleUnderline"/>
          <w:highlight w:val="yellow"/>
        </w:rPr>
        <w:t>has been</w:t>
      </w:r>
      <w:r w:rsidRPr="009A0F59">
        <w:rPr>
          <w:rStyle w:val="StyleUnderline"/>
        </w:rPr>
        <w:t xml:space="preserve"> cited as </w:t>
      </w:r>
      <w:r w:rsidRPr="009A0F59">
        <w:rPr>
          <w:rStyle w:val="StyleUnderline"/>
          <w:highlight w:val="yellow"/>
        </w:rPr>
        <w:t xml:space="preserve">a </w:t>
      </w:r>
      <w:r w:rsidRPr="009A0F59">
        <w:rPr>
          <w:rStyle w:val="Emphasis"/>
          <w:highlight w:val="yellow"/>
        </w:rPr>
        <w:t>significant impediment</w:t>
      </w:r>
      <w:r w:rsidRPr="009A0F59">
        <w:rPr>
          <w:rStyle w:val="StyleUnderline"/>
          <w:highlight w:val="yellow"/>
        </w:rPr>
        <w:t xml:space="preserve"> to</w:t>
      </w:r>
      <w:r w:rsidRPr="009A0F59">
        <w:rPr>
          <w:rStyle w:val="StyleUnderline"/>
        </w:rPr>
        <w:t xml:space="preserve"> designing and </w:t>
      </w:r>
      <w:r w:rsidRPr="009A0F59">
        <w:rPr>
          <w:rStyle w:val="StyleUnderline"/>
          <w:highlight w:val="yellow"/>
        </w:rPr>
        <w:t>assessing policy</w:t>
      </w:r>
      <w:r>
        <w:t xml:space="preserve"> in this area (Masse, 2003, 2006).</w:t>
      </w:r>
    </w:p>
    <w:p w14:paraId="78BC5310" w14:textId="77777777" w:rsidR="00715456" w:rsidRDefault="00715456" w:rsidP="00715456">
      <w:r>
        <w:t xml:space="preserve">To guide the work reported in this volume, </w:t>
      </w:r>
      <w:r w:rsidRPr="009A0F59">
        <w:rPr>
          <w:rStyle w:val="StyleUnderline"/>
          <w:highlight w:val="yellow"/>
        </w:rPr>
        <w:t xml:space="preserve">we define domestic intelligence as efforts by government organizations to </w:t>
      </w:r>
      <w:r w:rsidRPr="009A0F59">
        <w:rPr>
          <w:rStyle w:val="Emphasis"/>
          <w:highlight w:val="yellow"/>
        </w:rPr>
        <w:t>gather</w:t>
      </w:r>
      <w:r w:rsidRPr="009A0F59">
        <w:rPr>
          <w:rStyle w:val="StyleUnderline"/>
          <w:highlight w:val="yellow"/>
        </w:rPr>
        <w:t xml:space="preserve">, </w:t>
      </w:r>
      <w:r w:rsidRPr="009A0F59">
        <w:rPr>
          <w:rStyle w:val="Emphasis"/>
          <w:highlight w:val="yellow"/>
        </w:rPr>
        <w:t>assess</w:t>
      </w:r>
      <w:r w:rsidRPr="009A0F59">
        <w:rPr>
          <w:rStyle w:val="StyleUnderline"/>
          <w:highlight w:val="yellow"/>
        </w:rPr>
        <w:t xml:space="preserve">, and </w:t>
      </w:r>
      <w:r w:rsidRPr="009A0F59">
        <w:rPr>
          <w:rStyle w:val="Emphasis"/>
          <w:highlight w:val="yellow"/>
        </w:rPr>
        <w:t>act on</w:t>
      </w:r>
      <w:r w:rsidRPr="009A0F59">
        <w:rPr>
          <w:rStyle w:val="StyleUnderline"/>
          <w:highlight w:val="yellow"/>
        </w:rPr>
        <w:t xml:space="preserve"> information about individuals or organizations in the U</w:t>
      </w:r>
      <w:r>
        <w:t xml:space="preserve">nited </w:t>
      </w:r>
      <w:r w:rsidRPr="009A0F59">
        <w:rPr>
          <w:rStyle w:val="StyleUnderline"/>
          <w:highlight w:val="yellow"/>
        </w:rPr>
        <w:t>S</w:t>
      </w:r>
      <w:r>
        <w:t xml:space="preserve">tates </w:t>
      </w:r>
      <w:r w:rsidRPr="009A0F59">
        <w:rPr>
          <w:rStyle w:val="StyleUnderline"/>
          <w:highlight w:val="yellow"/>
        </w:rPr>
        <w:t>or U.S. persons elsewhere</w:t>
      </w:r>
      <w:r>
        <w:t xml:space="preserve">2 </w:t>
      </w:r>
      <w:r w:rsidRPr="009A0F59">
        <w:rPr>
          <w:rStyle w:val="StyleUnderline"/>
          <w:highlight w:val="yellow"/>
        </w:rPr>
        <w:t xml:space="preserve">that are </w:t>
      </w:r>
      <w:r w:rsidRPr="009A0F59">
        <w:rPr>
          <w:rStyle w:val="Emphasis"/>
          <w:highlight w:val="yellow"/>
        </w:rPr>
        <w:t>not related</w:t>
      </w:r>
      <w:r w:rsidRPr="009A0F59">
        <w:rPr>
          <w:rStyle w:val="StyleUnderline"/>
          <w:highlight w:val="yellow"/>
        </w:rPr>
        <w:t xml:space="preserve"> to the investigation of a known past criminal act or specific planned criminal activity</w:t>
      </w:r>
      <w:r>
        <w:t>.3</w:t>
      </w:r>
    </w:p>
    <w:p w14:paraId="6BCB8E23" w14:textId="77777777" w:rsidR="00715456" w:rsidRDefault="00715456" w:rsidP="00715456">
      <w:r>
        <w:t xml:space="preserve">It is often the case that an individual or organization that carries out a terrorist attack—or has specific plans to do so (e.g., the attacker has conspired [end page 35] to acquire weapons for a future attack)—has committed one or more specific crimes. In these cases, traditional law enforcement approaches for investigating and prosecuting these crimes apply. </w:t>
      </w:r>
      <w:r w:rsidRPr="009A0F59">
        <w:rPr>
          <w:rStyle w:val="StyleUnderline"/>
          <w:highlight w:val="yellow"/>
        </w:rPr>
        <w:t>The</w:t>
      </w:r>
      <w:r w:rsidRPr="009A0F59">
        <w:rPr>
          <w:rStyle w:val="StyleUnderline"/>
        </w:rPr>
        <w:t xml:space="preserve"> major </w:t>
      </w:r>
      <w:r w:rsidRPr="009A0F59">
        <w:rPr>
          <w:rStyle w:val="StyleUnderline"/>
          <w:highlight w:val="yellow"/>
        </w:rPr>
        <w:t>difference between intelligence</w:t>
      </w:r>
      <w:r w:rsidRPr="009A0F59">
        <w:rPr>
          <w:rStyle w:val="StyleUnderline"/>
        </w:rPr>
        <w:t xml:space="preserve"> approaches </w:t>
      </w:r>
      <w:r w:rsidRPr="009A0F59">
        <w:rPr>
          <w:rStyle w:val="StyleUnderline"/>
          <w:highlight w:val="yellow"/>
        </w:rPr>
        <w:t>and</w:t>
      </w:r>
      <w:r>
        <w:t xml:space="preserve"> those used during </w:t>
      </w:r>
      <w:r w:rsidRPr="009A0F59">
        <w:rPr>
          <w:rStyle w:val="StyleUnderline"/>
        </w:rPr>
        <w:t xml:space="preserve">traditional </w:t>
      </w:r>
      <w:r w:rsidRPr="009A0F59">
        <w:rPr>
          <w:rStyle w:val="StyleUnderline"/>
          <w:highlight w:val="yellow"/>
        </w:rPr>
        <w:t xml:space="preserve">law enforcement stems from the former’s emphasis on </w:t>
      </w:r>
      <w:r w:rsidRPr="009A0F59">
        <w:rPr>
          <w:rStyle w:val="Emphasis"/>
          <w:highlight w:val="yellow"/>
        </w:rPr>
        <w:t>preventing future events</w:t>
      </w:r>
      <w:r w:rsidRPr="009A0F59">
        <w:rPr>
          <w:rStyle w:val="StyleUnderline"/>
          <w:highlight w:val="yellow"/>
        </w:rPr>
        <w:t>—i.e.,</w:t>
      </w:r>
      <w:r w:rsidRPr="009A0F59">
        <w:rPr>
          <w:rStyle w:val="StyleUnderline"/>
        </w:rPr>
        <w:t xml:space="preserve"> on </w:t>
      </w:r>
      <w:r w:rsidRPr="009A0F59">
        <w:rPr>
          <w:rStyle w:val="StyleUnderline"/>
          <w:highlight w:val="yellow"/>
        </w:rPr>
        <w:t>acting when</w:t>
      </w:r>
      <w:r w:rsidRPr="009A0F59">
        <w:rPr>
          <w:rStyle w:val="StyleUnderline"/>
        </w:rPr>
        <w:t xml:space="preserve"> the </w:t>
      </w:r>
      <w:r w:rsidRPr="009A0F59">
        <w:rPr>
          <w:rStyle w:val="StyleUnderline"/>
          <w:highlight w:val="yellow"/>
        </w:rPr>
        <w:t>individuals</w:t>
      </w:r>
      <w:r w:rsidRPr="009A0F59">
        <w:rPr>
          <w:rStyle w:val="StyleUnderline"/>
        </w:rPr>
        <w:t xml:space="preserve"> or organizations planning an attack </w:t>
      </w:r>
      <w:r w:rsidRPr="009A0F59">
        <w:rPr>
          <w:rStyle w:val="StyleUnderline"/>
          <w:highlight w:val="yellow"/>
        </w:rPr>
        <w:t xml:space="preserve">may </w:t>
      </w:r>
      <w:r w:rsidRPr="009A0F59">
        <w:rPr>
          <w:rStyle w:val="Emphasis"/>
          <w:highlight w:val="yellow"/>
        </w:rPr>
        <w:t>not yet have committed</w:t>
      </w:r>
      <w:r w:rsidRPr="009A0F59">
        <w:rPr>
          <w:rStyle w:val="StyleUnderline"/>
          <w:highlight w:val="yellow"/>
        </w:rPr>
        <w:t xml:space="preserve"> any prosecutable</w:t>
      </w:r>
      <w:r w:rsidRPr="009A0F59">
        <w:rPr>
          <w:rStyle w:val="StyleUnderline"/>
        </w:rPr>
        <w:t xml:space="preserve"> criminal </w:t>
      </w:r>
      <w:r w:rsidRPr="009A0F59">
        <w:rPr>
          <w:rStyle w:val="StyleUnderline"/>
          <w:highlight w:val="yellow"/>
        </w:rPr>
        <w:t>offenses</w:t>
      </w:r>
      <w:r w:rsidRPr="009A0F59">
        <w:rPr>
          <w:rStyle w:val="StyleUnderline"/>
        </w:rPr>
        <w:t xml:space="preserve">. </w:t>
      </w:r>
      <w:r w:rsidRPr="009A0F59">
        <w:rPr>
          <w:rStyle w:val="StyleUnderline"/>
          <w:highlight w:val="yellow"/>
        </w:rPr>
        <w:t xml:space="preserve">Intelligence activities can be </w:t>
      </w:r>
      <w:r w:rsidRPr="009A0F59">
        <w:rPr>
          <w:rStyle w:val="Emphasis"/>
          <w:highlight w:val="yellow"/>
        </w:rPr>
        <w:t>investigative</w:t>
      </w:r>
      <w:r w:rsidRPr="009A0F59">
        <w:rPr>
          <w:rStyle w:val="StyleUnderline"/>
        </w:rPr>
        <w:t xml:space="preserve"> in nature and may resemble law enforcement activities. However, they do not have to satisfy the same legal requirements that constrain the initiation of a law enforcement investigation. </w:t>
      </w:r>
      <w:r w:rsidRPr="009A0F59">
        <w:rPr>
          <w:rStyle w:val="StyleUnderline"/>
          <w:highlight w:val="yellow"/>
        </w:rPr>
        <w:t>An example</w:t>
      </w:r>
      <w:r w:rsidRPr="009A0F59">
        <w:rPr>
          <w:rStyle w:val="StyleUnderline"/>
        </w:rPr>
        <w:t xml:space="preserve"> of</w:t>
      </w:r>
      <w:r>
        <w:t xml:space="preserve"> such </w:t>
      </w:r>
      <w:r w:rsidRPr="009A0F59">
        <w:rPr>
          <w:rStyle w:val="StyleUnderline"/>
        </w:rPr>
        <w:t xml:space="preserve">an intelligence activity </w:t>
      </w:r>
      <w:r w:rsidRPr="009A0F59">
        <w:rPr>
          <w:rStyle w:val="StyleUnderline"/>
          <w:highlight w:val="yellow"/>
        </w:rPr>
        <w:t>is investigating a tip about</w:t>
      </w:r>
      <w:r w:rsidRPr="009A0F59">
        <w:rPr>
          <w:rStyle w:val="StyleUnderline"/>
        </w:rPr>
        <w:t xml:space="preserve"> the </w:t>
      </w:r>
      <w:r w:rsidRPr="009A0F59">
        <w:rPr>
          <w:rStyle w:val="StyleUnderline"/>
          <w:highlight w:val="yellow"/>
        </w:rPr>
        <w:t>suspected terrorist behavior</w:t>
      </w:r>
      <w:r w:rsidRPr="009A0F59">
        <w:rPr>
          <w:rStyle w:val="StyleUnderline"/>
        </w:rPr>
        <w:t xml:space="preserve"> of an unknown group </w:t>
      </w:r>
      <w:r w:rsidRPr="009A0F59">
        <w:rPr>
          <w:rStyle w:val="StyleUnderline"/>
          <w:highlight w:val="yellow"/>
        </w:rPr>
        <w:t>to determine whether the tip is credible</w:t>
      </w:r>
      <w:r w:rsidRPr="009A0F59">
        <w:rPr>
          <w:rStyle w:val="StyleUnderline"/>
        </w:rPr>
        <w:t xml:space="preserve"> and, if it is, acting to prevent the attack</w:t>
      </w:r>
      <w:r>
        <w:t xml:space="preserve">. However, given substantial concern about the ability of even a single individual working alone to plan and execute acts of terrorist violence, investigative follow-up may not be enough to address the threat of terrorism. As a result, </w:t>
      </w:r>
      <w:r w:rsidRPr="009A0F59">
        <w:rPr>
          <w:rStyle w:val="StyleUnderline"/>
          <w:highlight w:val="yellow"/>
        </w:rPr>
        <w:t>another type</w:t>
      </w:r>
      <w:r w:rsidRPr="009A0F59">
        <w:rPr>
          <w:rStyle w:val="StyleUnderline"/>
        </w:rPr>
        <w:t xml:space="preserve"> of intelligence effort </w:t>
      </w:r>
      <w:r w:rsidRPr="009A0F59">
        <w:rPr>
          <w:rStyle w:val="StyleUnderline"/>
          <w:highlight w:val="yellow"/>
        </w:rPr>
        <w:t>can be</w:t>
      </w:r>
      <w:r w:rsidRPr="009A0F59">
        <w:rPr>
          <w:rStyle w:val="StyleUnderline"/>
        </w:rPr>
        <w:t xml:space="preserve"> more </w:t>
      </w:r>
      <w:r w:rsidRPr="009A0F59">
        <w:rPr>
          <w:rStyle w:val="Emphasis"/>
          <w:highlight w:val="yellow"/>
        </w:rPr>
        <w:t>explorative</w:t>
      </w:r>
      <w:r w:rsidRPr="009A0F59">
        <w:rPr>
          <w:rStyle w:val="StyleUnderline"/>
        </w:rPr>
        <w:t xml:space="preserve"> in character, </w:t>
      </w:r>
      <w:r w:rsidRPr="009A0F59">
        <w:rPr>
          <w:rStyle w:val="StyleUnderline"/>
          <w:highlight w:val="yellow"/>
        </w:rPr>
        <w:t>seeking proactively to</w:t>
      </w:r>
      <w:r>
        <w:t xml:space="preserve"> (1) </w:t>
      </w:r>
      <w:r w:rsidRPr="009A0F59">
        <w:rPr>
          <w:rStyle w:val="StyleUnderline"/>
          <w:highlight w:val="yellow"/>
        </w:rPr>
        <w:t>identify individuals or groups that might be</w:t>
      </w:r>
      <w:r>
        <w:t xml:space="preserve"> [end page 36] </w:t>
      </w:r>
      <w:r w:rsidRPr="009A0F59">
        <w:rPr>
          <w:rStyle w:val="StyleUnderline"/>
          <w:highlight w:val="yellow"/>
        </w:rPr>
        <w:t>planning violent actions and</w:t>
      </w:r>
      <w:r>
        <w:t xml:space="preserve"> (2) </w:t>
      </w:r>
      <w:r w:rsidRPr="009A0F59">
        <w:rPr>
          <w:rStyle w:val="StyleUnderline"/>
          <w:highlight w:val="yellow"/>
        </w:rPr>
        <w:t>gather information that might indicate changes in the nature of the threat</w:t>
      </w:r>
      <w:r w:rsidRPr="009A0F59">
        <w:rPr>
          <w:rStyle w:val="StyleUnderline"/>
        </w:rPr>
        <w:t xml:space="preserve"> to the country more broadly</w:t>
      </w:r>
      <w:r>
        <w:t xml:space="preserve"> (see, </w:t>
      </w:r>
      <w:r>
        <w:lastRenderedPageBreak/>
        <w:t xml:space="preserve">e.g., </w:t>
      </w:r>
      <w:proofErr w:type="spellStart"/>
      <w:r>
        <w:t>DeRosa</w:t>
      </w:r>
      <w:proofErr w:type="spellEnd"/>
      <w:r>
        <w:t xml:space="preserve">, 2004). </w:t>
      </w:r>
      <w:r w:rsidRPr="009A0F59">
        <w:rPr>
          <w:rStyle w:val="StyleUnderline"/>
        </w:rPr>
        <w:t xml:space="preserve">Such </w:t>
      </w:r>
      <w:r w:rsidRPr="009A0F59">
        <w:rPr>
          <w:rStyle w:val="StyleUnderline"/>
          <w:highlight w:val="yellow"/>
        </w:rPr>
        <w:t>explorative activity inherently involves gathering</w:t>
      </w:r>
      <w:r w:rsidRPr="009A0F59">
        <w:rPr>
          <w:rStyle w:val="StyleUnderline"/>
        </w:rPr>
        <w:t xml:space="preserve"> a </w:t>
      </w:r>
      <w:r w:rsidRPr="009A0F59">
        <w:rPr>
          <w:rStyle w:val="StyleUnderline"/>
          <w:highlight w:val="yellow"/>
        </w:rPr>
        <w:t>broad</w:t>
      </w:r>
      <w:r w:rsidRPr="009A0F59">
        <w:rPr>
          <w:rStyle w:val="StyleUnderline"/>
        </w:rPr>
        <w:t xml:space="preserve">er spectrum of </w:t>
      </w:r>
      <w:r w:rsidRPr="009A0F59">
        <w:rPr>
          <w:rStyle w:val="StyleUnderline"/>
          <w:highlight w:val="yellow"/>
        </w:rPr>
        <w:t>data about a greater number of individuals</w:t>
      </w:r>
      <w:r w:rsidRPr="009A0F59">
        <w:rPr>
          <w:rStyle w:val="StyleUnderline"/>
        </w:rPr>
        <w:t xml:space="preserve"> and organizations </w:t>
      </w:r>
      <w:proofErr w:type="gramStart"/>
      <w:r w:rsidRPr="009A0F59">
        <w:rPr>
          <w:rStyle w:val="StyleUnderline"/>
          <w:highlight w:val="yellow"/>
        </w:rPr>
        <w:t>who</w:t>
      </w:r>
      <w:proofErr w:type="gramEnd"/>
      <w:r w:rsidRPr="009A0F59">
        <w:rPr>
          <w:rStyle w:val="StyleUnderline"/>
          <w:highlight w:val="yellow"/>
        </w:rPr>
        <w:t xml:space="preserve"> are unlikely to pose any threat</w:t>
      </w:r>
      <w:r w:rsidRPr="009A0F59">
        <w:rPr>
          <w:rStyle w:val="StyleUnderline"/>
        </w:rPr>
        <w:t xml:space="preserve"> of terrorist activity</w:t>
      </w:r>
      <w:r>
        <w:t>.</w:t>
      </w:r>
    </w:p>
    <w:p w14:paraId="7B18C255" w14:textId="77777777" w:rsidR="00715456" w:rsidRPr="008B612A" w:rsidRDefault="00715456" w:rsidP="00715456">
      <w:r w:rsidRPr="009A0F59">
        <w:rPr>
          <w:rStyle w:val="StyleUnderline"/>
          <w:highlight w:val="yellow"/>
        </w:rPr>
        <w:t>Our definition</w:t>
      </w:r>
      <w:r w:rsidRPr="009A0F59">
        <w:rPr>
          <w:rStyle w:val="StyleUnderline"/>
        </w:rPr>
        <w:t xml:space="preserve"> of domestic intelligence </w:t>
      </w:r>
      <w:r w:rsidRPr="00A26D4D">
        <w:rPr>
          <w:rStyle w:val="StyleUnderline"/>
          <w:highlight w:val="yellow"/>
        </w:rPr>
        <w:t>parallels</w:t>
      </w:r>
      <w:r w:rsidRPr="009A0F59">
        <w:rPr>
          <w:rStyle w:val="StyleUnderline"/>
        </w:rPr>
        <w:t xml:space="preserve"> those that appear in </w:t>
      </w:r>
      <w:r w:rsidRPr="009A0F59">
        <w:rPr>
          <w:rStyle w:val="StyleUnderline"/>
          <w:highlight w:val="yellow"/>
        </w:rPr>
        <w:t xml:space="preserve">the academic </w:t>
      </w:r>
      <w:r w:rsidRPr="00A26D4D">
        <w:rPr>
          <w:rStyle w:val="StyleUnderline"/>
          <w:highlight w:val="yellow"/>
        </w:rPr>
        <w:t>literature that has examined U.S. policy</w:t>
      </w:r>
      <w:r w:rsidRPr="009A0F59">
        <w:rPr>
          <w:rStyle w:val="StyleUnderline"/>
        </w:rPr>
        <w:t xml:space="preserve"> in this area over the past several decades</w:t>
      </w:r>
      <w:r>
        <w:t xml:space="preserve"> (see, e.g., Morgan, 1980). However, </w:t>
      </w:r>
      <w:r w:rsidRPr="009A0F59">
        <w:rPr>
          <w:rStyle w:val="StyleUnderline"/>
          <w:highlight w:val="yellow"/>
        </w:rPr>
        <w:t xml:space="preserve">it is </w:t>
      </w:r>
      <w:r w:rsidRPr="009A0F59">
        <w:rPr>
          <w:rStyle w:val="Emphasis"/>
          <w:highlight w:val="yellow"/>
        </w:rPr>
        <w:t>narrower than more-general definitions</w:t>
      </w:r>
      <w:r w:rsidRPr="009A0F59">
        <w:rPr>
          <w:rStyle w:val="StyleUnderline"/>
        </w:rPr>
        <w:t xml:space="preserve"> that seek to capture the full breadth of intelligence requirements associated with homeland security or homeland defense</w:t>
      </w:r>
      <w:r>
        <w:t xml:space="preserve">.4 </w:t>
      </w:r>
      <w:r w:rsidRPr="009A0F59">
        <w:rPr>
          <w:rStyle w:val="StyleUnderline"/>
          <w:highlight w:val="yellow"/>
        </w:rPr>
        <w:t>Our focus on</w:t>
      </w:r>
      <w:r w:rsidRPr="009A0F59">
        <w:rPr>
          <w:rStyle w:val="StyleUnderline"/>
        </w:rPr>
        <w:t xml:space="preserve"> the </w:t>
      </w:r>
      <w:r w:rsidRPr="009A0F59">
        <w:rPr>
          <w:rStyle w:val="StyleUnderline"/>
          <w:highlight w:val="yellow"/>
        </w:rPr>
        <w:t>collection and use of information</w:t>
      </w:r>
      <w:r w:rsidRPr="009A0F59">
        <w:rPr>
          <w:rStyle w:val="StyleUnderline"/>
        </w:rPr>
        <w:t xml:space="preserve"> about individuals and organizations </w:t>
      </w:r>
      <w:r w:rsidRPr="009A0F59">
        <w:rPr>
          <w:rStyle w:val="StyleUnderline"/>
          <w:highlight w:val="yellow"/>
        </w:rPr>
        <w:t>means</w:t>
      </w:r>
      <w:r w:rsidRPr="009A0F59">
        <w:rPr>
          <w:rStyle w:val="StyleUnderline"/>
        </w:rPr>
        <w:t xml:space="preserve"> that </w:t>
      </w:r>
      <w:r w:rsidRPr="009A0F59">
        <w:rPr>
          <w:rStyle w:val="StyleUnderline"/>
          <w:highlight w:val="yellow"/>
        </w:rPr>
        <w:t>we have focused on</w:t>
      </w:r>
      <w:r w:rsidRPr="009A0F59">
        <w:rPr>
          <w:rStyle w:val="StyleUnderline"/>
        </w:rPr>
        <w:t xml:space="preserve"> the </w:t>
      </w:r>
      <w:r w:rsidRPr="009A0F59">
        <w:rPr>
          <w:rStyle w:val="Emphasis"/>
          <w:highlight w:val="yellow"/>
        </w:rPr>
        <w:t>tactical threat-identification</w:t>
      </w:r>
      <w:r w:rsidRPr="009A0F59">
        <w:rPr>
          <w:rStyle w:val="StyleUnderline"/>
          <w:highlight w:val="yellow"/>
        </w:rPr>
        <w:t xml:space="preserve"> and </w:t>
      </w:r>
      <w:r w:rsidRPr="009A0F59">
        <w:rPr>
          <w:rStyle w:val="Emphasis"/>
          <w:highlight w:val="yellow"/>
        </w:rPr>
        <w:t>threat-disruption</w:t>
      </w:r>
      <w:r w:rsidRPr="009A0F59">
        <w:rPr>
          <w:rStyle w:val="StyleUnderline"/>
        </w:rPr>
        <w:t xml:space="preserve"> parts of homeland security intelligence</w:t>
      </w:r>
      <w:r>
        <w:t xml:space="preserve">. Thus, </w:t>
      </w:r>
      <w:r w:rsidRPr="009A0F59">
        <w:rPr>
          <w:rStyle w:val="StyleUnderline"/>
        </w:rPr>
        <w:t>we do not consider activities such as analyses designed to identify societal vulnerabilities or map the threat to those identified vulnerabilities to guide broader homeland security policies</w:t>
      </w:r>
      <w:r>
        <w:t xml:space="preserve">.5 </w:t>
      </w:r>
      <w:proofErr w:type="gramStart"/>
      <w:r>
        <w:t>Others</w:t>
      </w:r>
      <w:proofErr w:type="gramEnd"/>
      <w:r>
        <w:t xml:space="preserve"> have noted that the boundary between intelligence and law enforcement activities has blurred over time, particularly [end page 37] in response to transnational threats such as drug trafficking and terrorism. This blurring of the boundary between the two complicates an examination focused largely on the CT mission.6</w:t>
      </w:r>
    </w:p>
    <w:p w14:paraId="7FE42D30" w14:textId="77777777" w:rsidR="007E3AE0" w:rsidRDefault="007E3AE0" w:rsidP="00715456"/>
    <w:p w14:paraId="6FA68372" w14:textId="77777777" w:rsidR="00A26D4D" w:rsidRDefault="00174A3C" w:rsidP="00A26D4D">
      <w:pPr>
        <w:pStyle w:val="Heading4"/>
      </w:pPr>
      <w:r>
        <w:t xml:space="preserve">“Domestic surveillance” is focused on the </w:t>
      </w:r>
      <w:r>
        <w:rPr>
          <w:u w:val="single"/>
        </w:rPr>
        <w:t xml:space="preserve">prevention of </w:t>
      </w:r>
      <w:r w:rsidRPr="00174A3C">
        <w:rPr>
          <w:u w:val="single"/>
        </w:rPr>
        <w:t>future attack</w:t>
      </w:r>
      <w:r>
        <w:rPr>
          <w:u w:val="single"/>
        </w:rPr>
        <w:t>s</w:t>
      </w:r>
      <w:r>
        <w:t xml:space="preserve">, not the prosecution of ordinary crimes. This is from an authoritative </w:t>
      </w:r>
      <w:r w:rsidRPr="00174A3C">
        <w:rPr>
          <w:u w:val="single"/>
        </w:rPr>
        <w:t>Supreme Court decision</w:t>
      </w:r>
      <w:r>
        <w:t xml:space="preserve">. </w:t>
      </w:r>
    </w:p>
    <w:p w14:paraId="620D93BD" w14:textId="77777777" w:rsidR="00A26D4D" w:rsidRDefault="00A26D4D" w:rsidP="00A26D4D">
      <w:r w:rsidRPr="00810734">
        <w:rPr>
          <w:rStyle w:val="Style13ptBold"/>
        </w:rPr>
        <w:t>Powell 72</w:t>
      </w:r>
      <w:r>
        <w:t xml:space="preserve"> — </w:t>
      </w:r>
      <w:r w:rsidRPr="00810734">
        <w:t>Lewis Franklin Powell, Jr.</w:t>
      </w:r>
      <w:r>
        <w:t xml:space="preserve">, </w:t>
      </w:r>
      <w:r w:rsidRPr="00810734">
        <w:t>Associate Justice of the United States Supreme Court</w:t>
      </w:r>
      <w:r>
        <w:t xml:space="preserve"> (succeeded by Anthony Kennedy), 1972 (United States Supreme Court Majority Decision in United States v. United States District Court, Number 70-153, June 19</w:t>
      </w:r>
      <w:r w:rsidRPr="00810734">
        <w:rPr>
          <w:vertAlign w:val="superscript"/>
        </w:rPr>
        <w:t>th</w:t>
      </w:r>
      <w:r>
        <w:t xml:space="preserve">, Available Online at </w:t>
      </w:r>
      <w:hyperlink r:id="rId8" w:history="1">
        <w:r w:rsidRPr="00D22175">
          <w:rPr>
            <w:rStyle w:val="Hyperlink"/>
          </w:rPr>
          <w:t>http://caselaw.findlaw.com/us-supreme-court/407/297.html</w:t>
        </w:r>
      </w:hyperlink>
      <w:r>
        <w:t>, Accessed 07-05-2015)</w:t>
      </w:r>
    </w:p>
    <w:p w14:paraId="3DE9A615" w14:textId="77777777" w:rsidR="00174A3C" w:rsidRDefault="00174A3C" w:rsidP="00174A3C">
      <w:r>
        <w:t xml:space="preserve">We emphasize, before concluding this opinion, the scope of our decision. As stated at the outset, </w:t>
      </w:r>
      <w:r w:rsidRPr="00174A3C">
        <w:rPr>
          <w:rStyle w:val="StyleUnderline"/>
          <w:highlight w:val="yellow"/>
        </w:rPr>
        <w:t>this case involves</w:t>
      </w:r>
      <w:r w:rsidRPr="00174A3C">
        <w:rPr>
          <w:rStyle w:val="StyleUnderline"/>
        </w:rPr>
        <w:t xml:space="preserve"> only the </w:t>
      </w:r>
      <w:r w:rsidRPr="00174A3C">
        <w:rPr>
          <w:rStyle w:val="StyleUnderline"/>
          <w:highlight w:val="yellow"/>
        </w:rPr>
        <w:t>domestic aspects of national security</w:t>
      </w:r>
      <w:r>
        <w:t>. We have not addressed, and express no opinion [407 U.S. 297, 322</w:t>
      </w:r>
      <w:proofErr w:type="gramStart"/>
      <w:r>
        <w:t>]   as</w:t>
      </w:r>
      <w:proofErr w:type="gramEnd"/>
      <w:r>
        <w:t xml:space="preserve"> to, the issues which may be involved with respect to activities of foreign powers or their agents. 20 Nor does our decision rest on the language of 2511 (3) or any other section of Title III of the Omnibus Crime Control and Safe Streets Act of 1968. That Act does not attempt to define or delineate the powers of the President to meet domestic threats to the national security.</w:t>
      </w:r>
    </w:p>
    <w:p w14:paraId="47954719" w14:textId="77777777" w:rsidR="00174A3C" w:rsidRDefault="00174A3C" w:rsidP="00174A3C">
      <w:r>
        <w:t xml:space="preserve">Moreover, we do not hold that the same type of standards and procedures prescribed by Title III are necessarily applicable to this case. We recognize that </w:t>
      </w:r>
      <w:r w:rsidRPr="00174A3C">
        <w:rPr>
          <w:rStyle w:val="StyleUnderline"/>
          <w:highlight w:val="yellow"/>
        </w:rPr>
        <w:t xml:space="preserve">domestic security surveillance may involve </w:t>
      </w:r>
      <w:r w:rsidRPr="00174A3C">
        <w:rPr>
          <w:rStyle w:val="Emphasis"/>
          <w:highlight w:val="yellow"/>
        </w:rPr>
        <w:t>different policy</w:t>
      </w:r>
      <w:r w:rsidRPr="00174A3C">
        <w:rPr>
          <w:rStyle w:val="Emphasis"/>
        </w:rPr>
        <w:t xml:space="preserve"> and practical </w:t>
      </w:r>
      <w:r w:rsidRPr="00174A3C">
        <w:rPr>
          <w:rStyle w:val="Emphasis"/>
          <w:highlight w:val="yellow"/>
        </w:rPr>
        <w:t>considerations</w:t>
      </w:r>
      <w:r w:rsidRPr="00174A3C">
        <w:rPr>
          <w:rStyle w:val="StyleUnderline"/>
          <w:highlight w:val="yellow"/>
        </w:rPr>
        <w:t xml:space="preserve"> from</w:t>
      </w:r>
      <w:r w:rsidRPr="00174A3C">
        <w:rPr>
          <w:rStyle w:val="StyleUnderline"/>
        </w:rPr>
        <w:t xml:space="preserve"> the </w:t>
      </w:r>
      <w:r w:rsidRPr="00174A3C">
        <w:rPr>
          <w:rStyle w:val="StyleUnderline"/>
          <w:highlight w:val="yellow"/>
        </w:rPr>
        <w:t>surveillance of "ordinary crime."</w:t>
      </w:r>
      <w:r w:rsidRPr="00174A3C">
        <w:rPr>
          <w:rStyle w:val="StyleUnderline"/>
        </w:rPr>
        <w:t xml:space="preserve"> The </w:t>
      </w:r>
      <w:r w:rsidRPr="00174A3C">
        <w:rPr>
          <w:rStyle w:val="StyleUnderline"/>
          <w:highlight w:val="yellow"/>
        </w:rPr>
        <w:t xml:space="preserve">gathering of security intelligence is often </w:t>
      </w:r>
      <w:r w:rsidRPr="00174A3C">
        <w:rPr>
          <w:rStyle w:val="Emphasis"/>
          <w:highlight w:val="yellow"/>
        </w:rPr>
        <w:t>long range</w:t>
      </w:r>
      <w:r w:rsidRPr="00174A3C">
        <w:rPr>
          <w:rStyle w:val="StyleUnderline"/>
        </w:rPr>
        <w:t xml:space="preserve"> and involves the interrelation of various sources and types of information. </w:t>
      </w:r>
      <w:r w:rsidRPr="00174A3C">
        <w:rPr>
          <w:rStyle w:val="StyleUnderline"/>
          <w:highlight w:val="yellow"/>
        </w:rPr>
        <w:t>The exact targets of</w:t>
      </w:r>
      <w:r w:rsidRPr="00174A3C">
        <w:rPr>
          <w:rStyle w:val="StyleUnderline"/>
        </w:rPr>
        <w:t xml:space="preserve"> such surveillance </w:t>
      </w:r>
      <w:r w:rsidRPr="00174A3C">
        <w:rPr>
          <w:rStyle w:val="StyleUnderline"/>
          <w:highlight w:val="yellow"/>
        </w:rPr>
        <w:t>may be more difficult to identify than in surveillance operations against many types of crime</w:t>
      </w:r>
      <w:r>
        <w:t xml:space="preserve"> specified in Title III. </w:t>
      </w:r>
      <w:r w:rsidRPr="00174A3C">
        <w:rPr>
          <w:rStyle w:val="StyleUnderline"/>
          <w:highlight w:val="yellow"/>
        </w:rPr>
        <w:t>Often</w:t>
      </w:r>
      <w:r>
        <w:t xml:space="preserve">, too, </w:t>
      </w:r>
      <w:r w:rsidRPr="00174A3C">
        <w:rPr>
          <w:rStyle w:val="StyleUnderline"/>
          <w:highlight w:val="yellow"/>
        </w:rPr>
        <w:t xml:space="preserve">the emphasis of domestic intelligence gathering is on </w:t>
      </w:r>
      <w:r w:rsidRPr="00174A3C">
        <w:rPr>
          <w:rStyle w:val="Emphasis"/>
          <w:highlight w:val="yellow"/>
        </w:rPr>
        <w:t>the prevention of unlawful activity</w:t>
      </w:r>
      <w:r w:rsidRPr="00174A3C">
        <w:rPr>
          <w:rStyle w:val="StyleUnderline"/>
          <w:highlight w:val="yellow"/>
        </w:rPr>
        <w:t xml:space="preserve"> or the enhancement of</w:t>
      </w:r>
      <w:r w:rsidRPr="00174A3C">
        <w:rPr>
          <w:rStyle w:val="StyleUnderline"/>
        </w:rPr>
        <w:t xml:space="preserve"> the </w:t>
      </w:r>
      <w:r w:rsidRPr="00174A3C">
        <w:rPr>
          <w:rStyle w:val="StyleUnderline"/>
          <w:highlight w:val="yellow"/>
        </w:rPr>
        <w:t xml:space="preserve">Government's </w:t>
      </w:r>
      <w:r w:rsidRPr="00174A3C">
        <w:rPr>
          <w:rStyle w:val="Emphasis"/>
          <w:highlight w:val="yellow"/>
        </w:rPr>
        <w:t>preparedness for</w:t>
      </w:r>
      <w:r w:rsidRPr="00174A3C">
        <w:rPr>
          <w:rStyle w:val="Emphasis"/>
        </w:rPr>
        <w:t xml:space="preserve"> some possible </w:t>
      </w:r>
      <w:r w:rsidRPr="00174A3C">
        <w:rPr>
          <w:rStyle w:val="Emphasis"/>
          <w:highlight w:val="yellow"/>
        </w:rPr>
        <w:t>future crisis or emergency</w:t>
      </w:r>
      <w:r>
        <w:t xml:space="preserve">. Thus, </w:t>
      </w:r>
      <w:r w:rsidRPr="00174A3C">
        <w:rPr>
          <w:rStyle w:val="StyleUnderline"/>
          <w:highlight w:val="yellow"/>
        </w:rPr>
        <w:t xml:space="preserve">the focus of domestic surveillance may be </w:t>
      </w:r>
      <w:r w:rsidRPr="00174A3C">
        <w:rPr>
          <w:rStyle w:val="Emphasis"/>
          <w:highlight w:val="yellow"/>
        </w:rPr>
        <w:t>less precise</w:t>
      </w:r>
      <w:r w:rsidRPr="00174A3C">
        <w:rPr>
          <w:rStyle w:val="StyleUnderline"/>
          <w:highlight w:val="yellow"/>
        </w:rPr>
        <w:t xml:space="preserve"> than that directed against more conventional</w:t>
      </w:r>
      <w:r w:rsidRPr="00174A3C">
        <w:rPr>
          <w:rStyle w:val="StyleUnderline"/>
        </w:rPr>
        <w:t xml:space="preserve"> types of </w:t>
      </w:r>
      <w:r w:rsidRPr="00174A3C">
        <w:rPr>
          <w:rStyle w:val="StyleUnderline"/>
          <w:highlight w:val="yellow"/>
        </w:rPr>
        <w:t>crime</w:t>
      </w:r>
      <w:r>
        <w:t>.</w:t>
      </w:r>
    </w:p>
    <w:p w14:paraId="44D57142" w14:textId="77777777" w:rsidR="00174A3C" w:rsidRPr="008B612A" w:rsidRDefault="00174A3C" w:rsidP="00174A3C"/>
    <w:sectPr w:rsidR="00174A3C" w:rsidRPr="008B612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12"/>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8B612A"/>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C62E1"/>
    <w:rsid w:val="000D26A6"/>
    <w:rsid w:val="000D2B90"/>
    <w:rsid w:val="000D6ED8"/>
    <w:rsid w:val="000D717B"/>
    <w:rsid w:val="00100B28"/>
    <w:rsid w:val="00117316"/>
    <w:rsid w:val="001209B4"/>
    <w:rsid w:val="00174A3C"/>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1DA0"/>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5456"/>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3AE0"/>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B612A"/>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0F59"/>
    <w:rsid w:val="009A1467"/>
    <w:rsid w:val="009A6464"/>
    <w:rsid w:val="009B69F5"/>
    <w:rsid w:val="009C5FF7"/>
    <w:rsid w:val="009C6292"/>
    <w:rsid w:val="009D0D48"/>
    <w:rsid w:val="009D15DB"/>
    <w:rsid w:val="009F1CBB"/>
    <w:rsid w:val="009F3305"/>
    <w:rsid w:val="009F6FB2"/>
    <w:rsid w:val="00A071C0"/>
    <w:rsid w:val="00A22670"/>
    <w:rsid w:val="00A24B35"/>
    <w:rsid w:val="00A26D4D"/>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EDDB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B612A"/>
    <w:rPr>
      <w:rFonts w:ascii="Book Antiqua" w:hAnsi="Book Antiqua"/>
      <w:sz w:val="16"/>
    </w:rPr>
  </w:style>
  <w:style w:type="paragraph" w:styleId="Heading1">
    <w:name w:val="heading 1"/>
    <w:aliases w:val="Pocket"/>
    <w:basedOn w:val="Normal"/>
    <w:next w:val="Normal"/>
    <w:link w:val="Heading1Char"/>
    <w:uiPriority w:val="9"/>
    <w:qFormat/>
    <w:rsid w:val="008B61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B612A"/>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B612A"/>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B612A"/>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8B61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12A"/>
  </w:style>
  <w:style w:type="character" w:customStyle="1" w:styleId="Heading1Char">
    <w:name w:val="Heading 1 Char"/>
    <w:aliases w:val="Pocket Char"/>
    <w:basedOn w:val="DefaultParagraphFont"/>
    <w:link w:val="Heading1"/>
    <w:uiPriority w:val="9"/>
    <w:rsid w:val="008B612A"/>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8B612A"/>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8B612A"/>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8B612A"/>
    <w:rPr>
      <w:rFonts w:ascii="Book Antiqua" w:eastAsiaTheme="majorEastAsia" w:hAnsi="Book Antiqua" w:cstheme="majorBidi"/>
      <w:b/>
      <w:bCs/>
      <w:szCs w:val="26"/>
    </w:rPr>
  </w:style>
  <w:style w:type="character" w:customStyle="1" w:styleId="Style13ptBold">
    <w:name w:val="Style 13 pt Bold"/>
    <w:aliases w:val="Cite"/>
    <w:basedOn w:val="DefaultParagraphFont"/>
    <w:uiPriority w:val="1"/>
    <w:qFormat/>
    <w:rsid w:val="008B612A"/>
    <w:rPr>
      <w:b/>
      <w:sz w:val="24"/>
      <w:u w:val="none"/>
    </w:rPr>
  </w:style>
  <w:style w:type="character" w:customStyle="1" w:styleId="StyleUnderline">
    <w:name w:val="Style Underline"/>
    <w:aliases w:val="Underline"/>
    <w:basedOn w:val="DefaultParagraphFont"/>
    <w:uiPriority w:val="1"/>
    <w:qFormat/>
    <w:rsid w:val="008B612A"/>
    <w:rPr>
      <w:b w:val="0"/>
      <w:sz w:val="24"/>
      <w:u w:val="single"/>
    </w:rPr>
  </w:style>
  <w:style w:type="character" w:styleId="Emphasis">
    <w:name w:val="Emphasis"/>
    <w:basedOn w:val="DefaultParagraphFont"/>
    <w:uiPriority w:val="20"/>
    <w:qFormat/>
    <w:rsid w:val="008B612A"/>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8B612A"/>
    <w:rPr>
      <w:color w:val="auto"/>
      <w:u w:val="none"/>
    </w:rPr>
  </w:style>
  <w:style w:type="character" w:styleId="Hyperlink">
    <w:name w:val="Hyperlink"/>
    <w:basedOn w:val="DefaultParagraphFont"/>
    <w:uiPriority w:val="99"/>
    <w:unhideWhenUsed/>
    <w:rsid w:val="008B612A"/>
    <w:rPr>
      <w:color w:val="auto"/>
      <w:u w:val="none"/>
    </w:rPr>
  </w:style>
  <w:style w:type="paragraph" w:styleId="DocumentMap">
    <w:name w:val="Document Map"/>
    <w:basedOn w:val="Normal"/>
    <w:link w:val="DocumentMapChar"/>
    <w:uiPriority w:val="99"/>
    <w:semiHidden/>
    <w:unhideWhenUsed/>
    <w:rsid w:val="008B612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B612A"/>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B612A"/>
    <w:rPr>
      <w:rFonts w:ascii="Book Antiqua" w:hAnsi="Book Antiqua"/>
      <w:sz w:val="16"/>
    </w:rPr>
  </w:style>
  <w:style w:type="paragraph" w:styleId="Heading1">
    <w:name w:val="heading 1"/>
    <w:aliases w:val="Pocket"/>
    <w:basedOn w:val="Normal"/>
    <w:next w:val="Normal"/>
    <w:link w:val="Heading1Char"/>
    <w:uiPriority w:val="9"/>
    <w:qFormat/>
    <w:rsid w:val="008B61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B612A"/>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B612A"/>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B612A"/>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8B61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12A"/>
  </w:style>
  <w:style w:type="character" w:customStyle="1" w:styleId="Heading1Char">
    <w:name w:val="Heading 1 Char"/>
    <w:aliases w:val="Pocket Char"/>
    <w:basedOn w:val="DefaultParagraphFont"/>
    <w:link w:val="Heading1"/>
    <w:uiPriority w:val="9"/>
    <w:rsid w:val="008B612A"/>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8B612A"/>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8B612A"/>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8B612A"/>
    <w:rPr>
      <w:rFonts w:ascii="Book Antiqua" w:eastAsiaTheme="majorEastAsia" w:hAnsi="Book Antiqua" w:cstheme="majorBidi"/>
      <w:b/>
      <w:bCs/>
      <w:szCs w:val="26"/>
    </w:rPr>
  </w:style>
  <w:style w:type="character" w:customStyle="1" w:styleId="Style13ptBold">
    <w:name w:val="Style 13 pt Bold"/>
    <w:aliases w:val="Cite"/>
    <w:basedOn w:val="DefaultParagraphFont"/>
    <w:uiPriority w:val="1"/>
    <w:qFormat/>
    <w:rsid w:val="008B612A"/>
    <w:rPr>
      <w:b/>
      <w:sz w:val="24"/>
      <w:u w:val="none"/>
    </w:rPr>
  </w:style>
  <w:style w:type="character" w:customStyle="1" w:styleId="StyleUnderline">
    <w:name w:val="Style Underline"/>
    <w:aliases w:val="Underline"/>
    <w:basedOn w:val="DefaultParagraphFont"/>
    <w:uiPriority w:val="1"/>
    <w:qFormat/>
    <w:rsid w:val="008B612A"/>
    <w:rPr>
      <w:b w:val="0"/>
      <w:sz w:val="24"/>
      <w:u w:val="single"/>
    </w:rPr>
  </w:style>
  <w:style w:type="character" w:styleId="Emphasis">
    <w:name w:val="Emphasis"/>
    <w:basedOn w:val="DefaultParagraphFont"/>
    <w:uiPriority w:val="20"/>
    <w:qFormat/>
    <w:rsid w:val="008B612A"/>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8B612A"/>
    <w:rPr>
      <w:color w:val="auto"/>
      <w:u w:val="none"/>
    </w:rPr>
  </w:style>
  <w:style w:type="character" w:styleId="Hyperlink">
    <w:name w:val="Hyperlink"/>
    <w:basedOn w:val="DefaultParagraphFont"/>
    <w:uiPriority w:val="99"/>
    <w:unhideWhenUsed/>
    <w:rsid w:val="008B612A"/>
    <w:rPr>
      <w:color w:val="auto"/>
      <w:u w:val="none"/>
    </w:rPr>
  </w:style>
  <w:style w:type="paragraph" w:styleId="DocumentMap">
    <w:name w:val="Document Map"/>
    <w:basedOn w:val="Normal"/>
    <w:link w:val="DocumentMapChar"/>
    <w:uiPriority w:val="99"/>
    <w:semiHidden/>
    <w:unhideWhenUsed/>
    <w:rsid w:val="008B612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B612A"/>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cspc.nonprofitsoapbox.com/storage/documents/Fellows2008/Small.pdf" TargetMode="External"/><Relationship Id="rId8" Type="http://schemas.openxmlformats.org/officeDocument/2006/relationships/hyperlink" Target="http://caselaw.findlaw.com/us-supreme-court/407/297.html"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FB84DD-E5DE-F945-9EE2-6563609AE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4</Pages>
  <Words>1842</Words>
  <Characters>10501</Characters>
  <Application>Microsoft Macintosh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12319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cp:revision>
  <dcterms:created xsi:type="dcterms:W3CDTF">2015-07-11T09:28:00Z</dcterms:created>
  <dcterms:modified xsi:type="dcterms:W3CDTF">2015-07-11T10:43:00Z</dcterms:modified>
  <cp:category/>
</cp:coreProperties>
</file>