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4FB" w:rsidRPr="008B733F" w:rsidRDefault="00C764FB" w:rsidP="008B733F">
      <w:pPr>
        <w:pStyle w:val="Heading4"/>
      </w:pPr>
      <w:bookmarkStart w:id="0" w:name="_GoBack"/>
      <w:bookmarkEnd w:id="0"/>
      <w:r w:rsidRPr="008B733F">
        <w:t>Evidence Link: You can look toward the Affirmative’s Miller 2k Card which only registers violations in privacy when “guards and inmates from two biological categories of sex are involved: male and female.” This transphobic behavior conforms to society’</w:t>
      </w:r>
      <w:r w:rsidR="00E07667" w:rsidRPr="008B733F">
        <w:t>s belief that you are non-human if you do not identify as either male or female.</w:t>
      </w:r>
    </w:p>
    <w:p w:rsidR="00E21562" w:rsidRPr="008B733F" w:rsidRDefault="00E21562" w:rsidP="008B733F">
      <w:r w:rsidRPr="008B733F">
        <w:t xml:space="preserve">Darryl B. </w:t>
      </w:r>
      <w:r w:rsidRPr="008B733F">
        <w:rPr>
          <w:rStyle w:val="Style13ptBold"/>
        </w:rPr>
        <w:t>Hill</w:t>
      </w:r>
      <w:r w:rsidRPr="008B733F">
        <w:t xml:space="preserve"> </w:t>
      </w:r>
      <w:r w:rsidRPr="008B733F">
        <w:rPr>
          <w:rStyle w:val="Style13ptBold"/>
        </w:rPr>
        <w:t>and</w:t>
      </w:r>
      <w:r w:rsidRPr="008B733F">
        <w:t xml:space="preserve"> Brian </w:t>
      </w:r>
      <w:r w:rsidRPr="008B733F">
        <w:rPr>
          <w:rStyle w:val="Style13ptBold"/>
        </w:rPr>
        <w:t>Willoughby</w:t>
      </w:r>
      <w:r w:rsidRPr="008B733F">
        <w:t xml:space="preserve">, “The Development and Validation of the Genderism and Transphobia Scale” Page 533-534. </w:t>
      </w:r>
      <w:r w:rsidRPr="008B733F">
        <w:rPr>
          <w:rStyle w:val="Style13ptBold"/>
        </w:rPr>
        <w:t>2005</w:t>
      </w:r>
    </w:p>
    <w:p w:rsidR="00E21562" w:rsidRDefault="00E21562" w:rsidP="00E21562">
      <w:r w:rsidRPr="008570DD">
        <w:rPr>
          <w:sz w:val="16"/>
          <w:szCs w:val="16"/>
        </w:rPr>
        <w:t>In the last few years, researchers have begun to conceptualize anti-trans prejudice. For example, Hill (2002) in an analysis of a trans community’s experiences, suggested that</w:t>
      </w:r>
      <w:r>
        <w:t xml:space="preserve"> </w:t>
      </w:r>
      <w:r w:rsidRPr="0022757E">
        <w:rPr>
          <w:rStyle w:val="StyleUnderline"/>
          <w:b/>
          <w:highlight w:val="yellow"/>
        </w:rPr>
        <w:t>three key constructs can be used to conceptualize hate against trans persons: transphobia, genderism, and gender-bashing. Transphobia is an emotional disgust toward individuals who do not conform to society’s gender expectations. Similar to homophobia, the fear or aversion to homosexuals</w:t>
      </w:r>
      <w:r w:rsidRPr="0022757E">
        <w:rPr>
          <w:b/>
        </w:rPr>
        <w:t xml:space="preserve"> </w:t>
      </w:r>
      <w:r w:rsidRPr="008570DD">
        <w:rPr>
          <w:sz w:val="16"/>
          <w:szCs w:val="16"/>
        </w:rPr>
        <w:t>(e.g., Weinberg, 1972),</w:t>
      </w:r>
      <w:r>
        <w:t xml:space="preserve"> </w:t>
      </w:r>
      <w:r w:rsidRPr="008570DD">
        <w:rPr>
          <w:rStyle w:val="StyleUnderline"/>
          <w:b/>
          <w:highlight w:val="yellow"/>
        </w:rPr>
        <w:t>transphobia involves the feeling of revulsion to masculine women, feminine men, cross-dressers, transgenderists, and/or transsexuals</w:t>
      </w:r>
      <w:r w:rsidRPr="006D1D75">
        <w:rPr>
          <w:rStyle w:val="StyleUnderline"/>
        </w:rPr>
        <w:t>.</w:t>
      </w:r>
      <w:r>
        <w:t xml:space="preserve"> </w:t>
      </w:r>
      <w:r w:rsidRPr="008570DD">
        <w:rPr>
          <w:sz w:val="16"/>
          <w:szCs w:val="16"/>
        </w:rPr>
        <w:t>Specifically,</w:t>
      </w:r>
      <w:r>
        <w:t xml:space="preserve"> </w:t>
      </w:r>
      <w:r w:rsidRPr="008570DD">
        <w:rPr>
          <w:rStyle w:val="StyleUnderline"/>
          <w:b/>
          <w:highlight w:val="yellow"/>
        </w:rPr>
        <w:t>transphobia manifests by itself in the fear that personal acquaintances may be trans or disgust upon encountering a trans person</w:t>
      </w:r>
      <w:r>
        <w:t xml:space="preserve">. </w:t>
      </w:r>
      <w:r w:rsidRPr="008570DD">
        <w:rPr>
          <w:sz w:val="16"/>
          <w:szCs w:val="16"/>
        </w:rPr>
        <w:t xml:space="preserve">Note that the use of the “-phobia” suffix does not imply that a transphobic person suffers clinical phobic reactions; nor does it imply that the transphobic person is suffering from a disorder. The “phobia” suffix is used to imply an irrational fear or hatred, one that is at least partly perpetuated by cultural ideology. Genderism is an ideology that reinforces the negative evaluation of gender non-conformity or an incongruence between sex and gender. </w:t>
      </w:r>
      <w:r w:rsidRPr="008570DD">
        <w:rPr>
          <w:rStyle w:val="StyleUnderline"/>
          <w:b/>
          <w:highlight w:val="yellow"/>
        </w:rPr>
        <w:t>It is a cultural belief that perpetuates negative judgments of people who do not present as a stereotypical man or woman</w:t>
      </w:r>
      <w:r w:rsidRPr="0022757E">
        <w:rPr>
          <w:rStyle w:val="StyleUnderline"/>
          <w:highlight w:val="yellow"/>
        </w:rPr>
        <w:t>.</w:t>
      </w:r>
      <w:r>
        <w:t xml:space="preserve"> </w:t>
      </w:r>
      <w:r w:rsidRPr="008570DD">
        <w:rPr>
          <w:sz w:val="16"/>
          <w:szCs w:val="16"/>
        </w:rPr>
        <w:t>Those who are genderist believe that people who do not conform to sociocultural expectations of gender are pathological. Similar to heterosexism, we propose that genderism is both a source of social oppression and psychological shame, such that it can be imposed on a person, but also that a person may internalize these beliefs. Finally, gender-bashing refers to the assault and/or harassment of persons who do not conform to gender norms (Wilchins, 1997).</w:t>
      </w:r>
      <w:r>
        <w:t xml:space="preserve"> </w:t>
      </w:r>
      <w:r w:rsidRPr="008570DD">
        <w:rPr>
          <w:rStyle w:val="StyleUnderline"/>
          <w:b/>
          <w:highlight w:val="yellow"/>
        </w:rPr>
        <w:t>Thus, genderism is the broad negative cultural ideology, transphobia is the emotional disgust and fear, and gender-bashing is the fear manifest in acts of violence</w:t>
      </w:r>
      <w:r>
        <w:t xml:space="preserve"> </w:t>
      </w:r>
      <w:r w:rsidRPr="008570DD">
        <w:rPr>
          <w:sz w:val="16"/>
          <w:szCs w:val="16"/>
        </w:rPr>
        <w:t>(Hill, 2002). The above findings readily suggest a conceptual framework central to the study of discrimination and violence against trans persons. The goal of our first study was to develop a questionnaire to assess genderism, transphobia, and gender-bashing. STUDY 1 The goal of this study was to develop a short psychometric questionnaire to assess negative attitudes toward trans persons. We sought to develop a scale that would tap into affective, cognitive, and behavioral expressions of transphobic and genderist attitudes, along with tendencies to act violently toward trans persons (i.e., gender-bashing). This first study describes the initial development of this scale and provides some preliminary psychometric evidence of its reliability and validity. Method Participants Research assistants administered a questionnaire to 227 volunteer undergraduate students at Concordia University in Montreal; they were re- ´ cruited primarily from undergraduate classes in psychology. Eighty-seven men and 140 women completed the questionnaire. Race/ethnicity was not asked of participants, partly to increase a sense of anonymity, and the statistics for race/ethnicity on the campus as a whole were not known. This particular campus is well-known for its’ racial and ethnic diversity (e.g., for admissions in the year 2000, 59% claimed English as their language of origin, 16% were French, and 25% stated “other”). Participants ranged in age from 18 to 50, with an average age of 22 years (SD = 4.6). All participants were currently working on an undergraduate degree; none had completed a degree. Most of the sample identified as heterosexual (94%); some (4%) identified as bisexual, and the remainder (2%) identified as lesbian or gay. All participants were entered into a raffle for a prize of $100 as an incentive.</w:t>
      </w:r>
    </w:p>
    <w:p w:rsidR="006D1D75" w:rsidRDefault="007F00D7" w:rsidP="006D1D75">
      <w:pPr>
        <w:pStyle w:val="Heading4"/>
      </w:pPr>
      <w:r>
        <w:t xml:space="preserve">Solvency Takeout/IL: </w:t>
      </w:r>
      <w:r w:rsidR="006D1D75">
        <w:t xml:space="preserve">The system of heteropatriarchy </w:t>
      </w:r>
      <w:r w:rsidR="00C50D4D">
        <w:t xml:space="preserve">is one that is </w:t>
      </w:r>
      <w:r w:rsidR="00E93C32">
        <w:t xml:space="preserve">at </w:t>
      </w:r>
      <w:r w:rsidR="00C50D4D">
        <w:t>the ve</w:t>
      </w:r>
      <w:r w:rsidR="00E93C32">
        <w:t>ry foundation o</w:t>
      </w:r>
      <w:r w:rsidR="00C50D4D">
        <w:t>f Unite</w:t>
      </w:r>
      <w:r w:rsidR="00E93C32">
        <w:t>d States Society. By endorsing in transphobic language and ideology they make it IMPOSSIBLE to sufficiently challenge systems of white supremacy which lays down the framework for the Prison industrial complex.</w:t>
      </w:r>
    </w:p>
    <w:p w:rsidR="006D1D75" w:rsidRPr="008B733F" w:rsidRDefault="006D1D75" w:rsidP="008B733F">
      <w:r w:rsidRPr="008B733F">
        <w:rPr>
          <w:rStyle w:val="Style13ptBold"/>
        </w:rPr>
        <w:t>Smith 6</w:t>
      </w:r>
      <w:r w:rsidRPr="008B733F">
        <w:t xml:space="preserve"> (Heteropatriarchy and the three pillars of white supremacy, from Color of Violence: the INCITE! Anthology)</w:t>
      </w:r>
    </w:p>
    <w:p w:rsidR="006D1D75" w:rsidRPr="008B733F" w:rsidRDefault="006D1D75" w:rsidP="006D1D75">
      <w:pPr>
        <w:rPr>
          <w:b/>
          <w:sz w:val="16"/>
        </w:rPr>
      </w:pPr>
      <w:r w:rsidRPr="00CE025E">
        <w:rPr>
          <w:rStyle w:val="StyleUnderline"/>
          <w:b/>
          <w:highlight w:val="yellow"/>
        </w:rPr>
        <w:t>Heteropatriarchy is the building block of US empire</w:t>
      </w:r>
      <w:r w:rsidRPr="00CE025E">
        <w:rPr>
          <w:rStyle w:val="StyleUnderline"/>
        </w:rPr>
        <w:t>.</w:t>
      </w:r>
      <w:r w:rsidRPr="008B733F">
        <w:rPr>
          <w:sz w:val="16"/>
        </w:rPr>
        <w:t xml:space="preserve"> In fact, it is the building block of the nation-state form of governance. Christian Right authors make these links in their analysis of imperialism and empire. For example, Christian Right activist and founder of Prison Fellowship Charles </w:t>
      </w:r>
      <w:r w:rsidRPr="00CE025E">
        <w:rPr>
          <w:rStyle w:val="StyleUnderline"/>
          <w:b/>
          <w:highlight w:val="yellow"/>
        </w:rPr>
        <w:t>Colson makes the connection between homosexuality and the nation-state in his analysis of the war on terror, explaining that one of the causes of terrorism is same-sex marriage: Marriage is the traditional building block of human society</w:t>
      </w:r>
      <w:r w:rsidRPr="008B733F">
        <w:rPr>
          <w:sz w:val="16"/>
        </w:rPr>
        <w:t xml:space="preserve">, intend- ed both to unite couples and bring children into the world ... </w:t>
      </w:r>
      <w:r w:rsidRPr="00CE025E">
        <w:rPr>
          <w:rStyle w:val="StyleUnderline"/>
          <w:b/>
          <w:highlight w:val="yellow"/>
        </w:rPr>
        <w:t>There is a natural moral order for the family... the family, led by a married mother and father</w:t>
      </w:r>
      <w:r w:rsidRPr="008D1ECC">
        <w:rPr>
          <w:rStyle w:val="StyleUnderline"/>
        </w:rPr>
        <w:t xml:space="preserve">, </w:t>
      </w:r>
      <w:r w:rsidRPr="008B733F">
        <w:rPr>
          <w:sz w:val="16"/>
        </w:rPr>
        <w:t>is the best available structure for both child- rearing and cultural health. Marriage is not a private institution designed solely for the individual gratification of its participants. If we fail to enact a Federal Marriage Amendment, we can expect not just more family breakdown, but also more criminals behind bars and more chaos in our streets.” Colson is linking the well-being of US empire to the well-being of the heteropatriarchal family. He continues: When radical Islamists see American women abusing Muslim men, as they did in the Abu Ghraib prison, and when they see news coverage of same-sex couples being “married” in US towns, we make this kind of freedom abhorrent-the kind they see as a blot on Allah’s creation. We must preserve traditional marriage in order to protect the United States from those who would use our depravity to destroy us. As A n n Burlein argues in Lift High the Cross, it may be a mistake to argue thac the goal of Christian Right politics is to create a theocracy in the United States. Rather, Christian Right politics work through the private family (which is coded as white, patriarchal, and middle class) to create a “Christian America.” She notes that the investment in the private family makes it difficult for people to invest in more public forms of social connection. In addition, investment in the suburban pri- vate family serves to mask the public disinvestment in urban areas thac makes the suburban lifestyle possible. The social decay in urban areas that results from this disinvestment is then construed as the result of deviance from the Christian family ideal rather than as the result of political and economic forces. As former head of the Christian Coalition, Ralph Reed, states: “‘The only true solution to crime is to restore the family,”10 and “Family break-up causes poverty.”” Concludes Burlein, “‘The family’ is no mere metaphor but a crucial technology by which modern power is produced and exercised.”’* As I have argued elsewhere</w:t>
      </w:r>
      <w:r w:rsidRPr="008D1ECC">
        <w:rPr>
          <w:rStyle w:val="StyleUnderline"/>
        </w:rPr>
        <w:t>, in order to colonize peoples whose societies are not based on social hierarchy, colonizers must first naturalize hierarchy through instituting patriarchy</w:t>
      </w:r>
      <w:r w:rsidRPr="008B733F">
        <w:rPr>
          <w:sz w:val="16"/>
        </w:rPr>
        <w:t>.13 In turn</w:t>
      </w:r>
      <w:r w:rsidRPr="008D1ECC">
        <w:rPr>
          <w:rStyle w:val="StyleUnderline"/>
        </w:rPr>
        <w:t xml:space="preserve">, </w:t>
      </w:r>
      <w:r w:rsidRPr="00F16F09">
        <w:rPr>
          <w:rStyle w:val="StyleUnderline"/>
          <w:b/>
          <w:highlight w:val="yellow"/>
        </w:rPr>
        <w:t>patriarchy rests on a gender binary system in which only two genders exist, one dominating the other</w:t>
      </w:r>
      <w:r w:rsidRPr="008D1ECC">
        <w:rPr>
          <w:rStyle w:val="StyleUnderline"/>
        </w:rPr>
        <w:t xml:space="preserve">. </w:t>
      </w:r>
      <w:r w:rsidRPr="008B733F">
        <w:rPr>
          <w:sz w:val="16"/>
        </w:rPr>
        <w:t xml:space="preserve">Consequently, Charles </w:t>
      </w:r>
      <w:r w:rsidRPr="00F16F09">
        <w:rPr>
          <w:rStyle w:val="StyleUnderline"/>
          <w:b/>
          <w:highlight w:val="yellow"/>
        </w:rPr>
        <w:t>Colson is correct when he says that the colonial world order depends on heteronormativ- ity</w:t>
      </w:r>
      <w:r w:rsidRPr="008D1ECC">
        <w:rPr>
          <w:rStyle w:val="StyleUnderline"/>
        </w:rPr>
        <w:t xml:space="preserve">. Just as the patriarchs rule the family, the elites of the nation-state rule their citizens. </w:t>
      </w:r>
      <w:r w:rsidRPr="00F16F09">
        <w:rPr>
          <w:rStyle w:val="StyleUnderline"/>
          <w:b/>
          <w:highlight w:val="yellow"/>
        </w:rPr>
        <w:t>Any liberation struggle that does not challenge heteronormativity cannot substantially challenge colonialism or white supremacy</w:t>
      </w:r>
      <w:r w:rsidRPr="00CE025E">
        <w:rPr>
          <w:rStyle w:val="StyleUnderline"/>
          <w:highlight w:val="yellow"/>
        </w:rPr>
        <w:t>.</w:t>
      </w:r>
      <w:r w:rsidRPr="008B733F">
        <w:rPr>
          <w:sz w:val="16"/>
        </w:rPr>
        <w:t xml:space="preserve"> Rather, as Cathy </w:t>
      </w:r>
      <w:r w:rsidRPr="008D1ECC">
        <w:rPr>
          <w:rStyle w:val="StyleUnderline"/>
        </w:rPr>
        <w:t>Cohen contends</w:t>
      </w:r>
      <w:r w:rsidRPr="00F16F09">
        <w:rPr>
          <w:rStyle w:val="StyleUnderline"/>
          <w:b/>
          <w:highlight w:val="yellow"/>
        </w:rPr>
        <w:t>, such struggles will maintain colonialism based on a politics of secondary marginalization where the most elite class of these groups will further their aspirations on the backs of those most marginalized within the community. Through this process of secondary marginalization, the national or racial justice struggle takes on either implicitly or explicitly a nation-state model as them</w:t>
      </w:r>
      <w:r w:rsidRPr="008B733F">
        <w:rPr>
          <w:sz w:val="16"/>
        </w:rPr>
        <w:t xml:space="preserve">! point of its struggle-a model of governance in which </w:t>
      </w:r>
      <w:r w:rsidRPr="002B230E">
        <w:rPr>
          <w:rStyle w:val="StyleUnderline"/>
        </w:rPr>
        <w:t>the elites govern the rest through violence and domination, as well as exclude those who are not members of "the nation."</w:t>
      </w:r>
      <w:r w:rsidRPr="008B733F">
        <w:rPr>
          <w:sz w:val="16"/>
        </w:rPr>
        <w:t xml:space="preserve"> Thus, national liberation politics become less vulnerable to being coopted by the Right when we base them on a model of liberation that fundamentally challenges right-wing conceptions of t h e w . </w:t>
      </w:r>
      <w:r w:rsidRPr="002B230E">
        <w:rPr>
          <w:rStyle w:val="StyleUnderline"/>
        </w:rPr>
        <w:t>We need a model based on community relationships and on mutual respect</w:t>
      </w:r>
      <w:r w:rsidRPr="008B733F">
        <w:rPr>
          <w:sz w:val="16"/>
        </w:rPr>
        <w:t xml:space="preserve">. Conclusion, Women of color-centered organizing points to the centrality of gender politics within antiracist, anticolonial struggles. Unfortunately, </w:t>
      </w:r>
      <w:r w:rsidRPr="00F16F09">
        <w:rPr>
          <w:rStyle w:val="StyleUnderline"/>
          <w:b/>
          <w:highlight w:val="yellow"/>
        </w:rPr>
        <w:t>in our efforts to organize against white</w:t>
      </w:r>
      <w:r w:rsidRPr="008B733F">
        <w:rPr>
          <w:sz w:val="16"/>
        </w:rPr>
        <w:t xml:space="preserve">, Christian America, </w:t>
      </w:r>
      <w:r w:rsidRPr="00F16F09">
        <w:rPr>
          <w:rStyle w:val="StyleUnderline"/>
          <w:b/>
          <w:highlight w:val="yellow"/>
        </w:rPr>
        <w:t>racial justice struggles often articulate an equally heteropatriarchal racial nationalism</w:t>
      </w:r>
      <w:r w:rsidRPr="008B733F">
        <w:rPr>
          <w:sz w:val="16"/>
        </w:rPr>
        <w:t xml:space="preserve">. This model of organizing either hopes to assimilate into white America, or to replicate it within an equally hierar- chical and oppressive racial nationalism in which the elites of the community rule everyone else. </w:t>
      </w:r>
      <w:r w:rsidRPr="00F16F09">
        <w:rPr>
          <w:rStyle w:val="StyleUnderline"/>
          <w:b/>
          <w:highlight w:val="yellow"/>
        </w:rPr>
        <w:t>Such struggles often call on the importance of preserving the “Black family” or the “Native family” as the bulwark of this nationalist project, the family being conceived of in capitalist and heteropatriarchal terms.</w:t>
      </w:r>
      <w:r w:rsidRPr="001F2CB2">
        <w:rPr>
          <w:rStyle w:val="StyleUnderline"/>
        </w:rPr>
        <w:t xml:space="preserve"> </w:t>
      </w:r>
      <w:r w:rsidRPr="008B733F">
        <w:rPr>
          <w:sz w:val="16"/>
        </w:rPr>
        <w:t>The response is often increased homophobia, with lesbian and gay community members con- strued as “threats” to the family. But, perhaps we should challenge the “concept” of the family itself. Perhaps, instead, we can reconstitute alternative ways of living together in which “families” are not seen as islands on their own. Certainly, indigenous communities were not ordered on the basis of a nuclear family structure-is the result of colonialism, not the antidote to it. In proposing this model, I am speaking from my particular position in indigenous struggles. .Other peoples might flesh out these logics more fully from different vantage points. Others might also argue that there are other logics of white supremacy are missing. Still others might complicate how they relate to each other.</w:t>
      </w:r>
      <w:r w:rsidRPr="0024303D">
        <w:rPr>
          <w:rStyle w:val="StyleUnderline"/>
        </w:rPr>
        <w:t xml:space="preserve"> </w:t>
      </w:r>
      <w:r w:rsidRPr="00F16F09">
        <w:rPr>
          <w:rStyle w:val="StyleUnderline"/>
          <w:b/>
          <w:highlight w:val="yellow"/>
        </w:rPr>
        <w:t>But I see this as a starting point for women of color organizers that will allow us to reenvision a politics of solidarity that goes beyond multiculturalism, and develop more complicated strategies that can really transform the political and economic status quo.</w:t>
      </w:r>
    </w:p>
    <w:p w:rsidR="00402496" w:rsidRPr="008B733F" w:rsidRDefault="00E21562" w:rsidP="008B733F">
      <w:pPr>
        <w:pStyle w:val="Heading4"/>
      </w:pPr>
      <w:r w:rsidRPr="008B733F">
        <w:t>Normativity Link</w:t>
      </w:r>
      <w:r w:rsidR="00E93C32" w:rsidRPr="008B733F">
        <w:t>/Impact</w:t>
      </w:r>
      <w:r w:rsidRPr="008B733F">
        <w:t xml:space="preserve">: </w:t>
      </w:r>
      <w:r w:rsidR="009116B2" w:rsidRPr="008B733F">
        <w:t>Queer Bodies face discrimination</w:t>
      </w:r>
      <w:r w:rsidRPr="008B733F">
        <w:t xml:space="preserve"> in society</w:t>
      </w:r>
      <w:r w:rsidR="009116B2" w:rsidRPr="008B733F">
        <w:t xml:space="preserve"> for being non-normative. The Affirmative’s ideology reinforces </w:t>
      </w:r>
      <w:r w:rsidRPr="008B733F">
        <w:t>that status quo violence and only serves to bolster the suffering that they face because of their chosen gender identity.</w:t>
      </w:r>
    </w:p>
    <w:p w:rsidR="009116B2" w:rsidRPr="008B733F" w:rsidRDefault="00E9066A" w:rsidP="008B733F">
      <w:r w:rsidRPr="008B733F">
        <w:t xml:space="preserve">EMILIA </w:t>
      </w:r>
      <w:r w:rsidRPr="008B733F">
        <w:rPr>
          <w:rStyle w:val="Style13ptBold"/>
        </w:rPr>
        <w:t>LOMBARDI</w:t>
      </w:r>
      <w:r w:rsidRPr="008B733F">
        <w:t>, PhD</w:t>
      </w:r>
      <w:r w:rsidR="009116B2" w:rsidRPr="008B733F">
        <w:t xml:space="preserve"> Varieties of Transgender/Transsexual Lives and Their Relationship with Transphobia </w:t>
      </w:r>
      <w:r w:rsidR="009116B2" w:rsidRPr="008B733F">
        <w:rPr>
          <w:rStyle w:val="Style13ptBold"/>
        </w:rPr>
        <w:t>2010</w:t>
      </w:r>
    </w:p>
    <w:p w:rsidR="00402496" w:rsidRPr="009116B2" w:rsidRDefault="00402496" w:rsidP="00402496">
      <w:pPr>
        <w:rPr>
          <w:sz w:val="12"/>
        </w:rPr>
      </w:pPr>
      <w:r w:rsidRPr="00665094">
        <w:rPr>
          <w:rStyle w:val="StyleUnderline"/>
          <w:b/>
          <w:highlight w:val="yellow"/>
        </w:rPr>
        <w:t>Transphobia is the feeling of</w:t>
      </w:r>
      <w:r w:rsidRPr="00402496">
        <w:rPr>
          <w:sz w:val="16"/>
        </w:rPr>
        <w:t xml:space="preserve"> unease or </w:t>
      </w:r>
      <w:r w:rsidRPr="00C35F2B">
        <w:rPr>
          <w:rStyle w:val="StyleUnderline"/>
        </w:rPr>
        <w:t xml:space="preserve">even </w:t>
      </w:r>
      <w:r w:rsidRPr="00665094">
        <w:rPr>
          <w:rStyle w:val="StyleUnderline"/>
          <w:b/>
          <w:highlight w:val="yellow"/>
        </w:rPr>
        <w:t>revulsion towards those who express nonnormative expressions of gender identity and expression</w:t>
      </w:r>
      <w:r w:rsidRPr="00402496">
        <w:rPr>
          <w:sz w:val="16"/>
        </w:rPr>
        <w:t xml:space="preserve"> (Hill, 2002; Hill &amp; Willoughby, 2005). Studies have found that </w:t>
      </w:r>
      <w:r w:rsidRPr="00C35F2B">
        <w:rPr>
          <w:rStyle w:val="StyleUnderline"/>
        </w:rPr>
        <w:t xml:space="preserve">many </w:t>
      </w:r>
      <w:r w:rsidRPr="00665094">
        <w:rPr>
          <w:rStyle w:val="StyleUnderline"/>
          <w:b/>
          <w:highlight w:val="yellow"/>
        </w:rPr>
        <w:t>transgender/ transsexual people have experienced some form of discrimination or harassment because of their gender identity or presentation sometime in their life. A study</w:t>
      </w:r>
      <w:r w:rsidRPr="00402496">
        <w:rPr>
          <w:sz w:val="16"/>
        </w:rPr>
        <w:t xml:space="preserve"> of transgender individuals within the United States </w:t>
      </w:r>
      <w:r w:rsidRPr="00665094">
        <w:rPr>
          <w:rStyle w:val="StyleUnderline"/>
          <w:b/>
          <w:highlight w:val="yellow"/>
        </w:rPr>
        <w:t>found that approximately 60% had experienced</w:t>
      </w:r>
      <w:r w:rsidRPr="00665094">
        <w:rPr>
          <w:b/>
          <w:sz w:val="16"/>
        </w:rPr>
        <w:t xml:space="preserve"> some form of harassment and/or </w:t>
      </w:r>
      <w:r w:rsidRPr="00665094">
        <w:rPr>
          <w:rStyle w:val="StyleUnderline"/>
          <w:b/>
          <w:highlight w:val="yellow"/>
        </w:rPr>
        <w:t>violence, and 37% had experienced economic discrimination</w:t>
      </w:r>
      <w:r w:rsidRPr="00C35F2B">
        <w:rPr>
          <w:rStyle w:val="StyleUnderline"/>
        </w:rPr>
        <w:t xml:space="preserve"> </w:t>
      </w:r>
      <w:r w:rsidRPr="00402496">
        <w:rPr>
          <w:sz w:val="16"/>
        </w:rPr>
        <w:t xml:space="preserve">(Lombardi, Wilchins, Priesing, &amp; Malouf, 2001). Reback et al. (2001) found that approximately half of their sample reported employment discrimination, 30% reported being fired from their job, and 29% reported discrimination in housing. A study conducted in San Francisco found that approximately 80% of transgender/transsexual men and women experienced verbal harassment, 50% experienced job discrimination, and 30% experienced physical abuse (Clements, 1999). </w:t>
      </w:r>
      <w:r w:rsidRPr="00C35F2B">
        <w:rPr>
          <w:rStyle w:val="StyleUnderline"/>
        </w:rPr>
        <w:t xml:space="preserve">A community health study conducted in Boston </w:t>
      </w:r>
      <w:r w:rsidRPr="00665094">
        <w:rPr>
          <w:rStyle w:val="StyleUnderline"/>
          <w:b/>
        </w:rPr>
        <w:t xml:space="preserve">found </w:t>
      </w:r>
      <w:r w:rsidRPr="00665094">
        <w:rPr>
          <w:rStyle w:val="StyleUnderline"/>
          <w:b/>
          <w:highlight w:val="yellow"/>
        </w:rPr>
        <w:t>many transgender/transsexual individuals have experienced problems accessing health care and many received blatant discrimination from health care providers</w:t>
      </w:r>
      <w:r w:rsidRPr="00402496">
        <w:rPr>
          <w:sz w:val="16"/>
        </w:rPr>
        <w:t xml:space="preserve"> (GLBT Health Access, 2000). The idea that one’s genital sex can be distinct from one’s social and psychological gender is a very difficult idea for many people to accept, Downloaded by [Dartmouth College Library] at 17:38 23 July 2015 980 E. Lombardi especially for people whose beliefs are based on traditional ideas of who men and women are. Studies examining anti-transgender/transsexual attitudes found opposition to transgender/transsexual people’s civil rights were correlated with heterosexism, authoritarianism, a belief in only two sexes, and a belief that gender is biologically based (Tee &amp; Hegarty, 2006). Similarly, a belief in traditional gender roles were found to be correlated with Hill and Willoughby’s (2005) genderism and transphobia scales</w:t>
      </w:r>
      <w:r w:rsidRPr="00C35F2B">
        <w:rPr>
          <w:rStyle w:val="StyleUnderline"/>
        </w:rPr>
        <w:t>. Transphobic individuals voice concerns about the appearance of transgender/transsexual individuals and to see them as being potentially disruptive and threatening</w:t>
      </w:r>
      <w:r w:rsidRPr="00402496">
        <w:rPr>
          <w:sz w:val="16"/>
        </w:rPr>
        <w:t xml:space="preserve">, </w:t>
      </w:r>
      <w:r w:rsidRPr="00C35F2B">
        <w:rPr>
          <w:rStyle w:val="StyleUnderline"/>
        </w:rPr>
        <w:t>which is used as a reason to discriminate against such individuals</w:t>
      </w:r>
      <w:r w:rsidRPr="00402496">
        <w:rPr>
          <w:sz w:val="16"/>
        </w:rPr>
        <w:t xml:space="preserve"> (Bettcher, 2006). Gender segregated services like </w:t>
      </w:r>
      <w:r w:rsidRPr="00665094">
        <w:rPr>
          <w:rStyle w:val="StyleUnderline"/>
          <w:b/>
          <w:highlight w:val="yellow"/>
        </w:rPr>
        <w:t>homeless shelters have been known to exclude transgender/transsexual women who have not had genital surgery from accessing their services</w:t>
      </w:r>
      <w:r w:rsidRPr="00402496">
        <w:rPr>
          <w:sz w:val="16"/>
        </w:rPr>
        <w:t xml:space="preserve">. A spokesperson for such a shelter stated, “We can certainly handle inappropriate behaviour that might be aggression or alcoholism or anger management or those types of things. It’s the other behaviour that relates to [nontransgender] women feeling uncomfortable around pre-operative transgender clients, related to sexuality, that is the issue for us” (Benzie, 2004). The same person further stated that “post-operative transgender women would continue to be welcomed at the centres.” Traditional attitudes about biological sex and social gender are the basis of transphobic attitudes and beliefs, but the question remains as to how experiences of transphobia may differ between gender variant people. Sugano, Nemoto, and Operario (2006) found that </w:t>
      </w:r>
      <w:r w:rsidRPr="00E21562">
        <w:rPr>
          <w:rStyle w:val="StyleUnderline"/>
          <w:b/>
          <w:highlight w:val="yellow"/>
        </w:rPr>
        <w:t>Latina and African-American transgender women of color reported experiencing higher levels of transphobia compared to Asian/Pacific Islander transgender women</w:t>
      </w:r>
      <w:r w:rsidRPr="00402496">
        <w:rPr>
          <w:sz w:val="16"/>
        </w:rPr>
        <w:t xml:space="preserve">. They also found those who self-identified as female had higher levels of self-esteem compared to those who self-identified as preoperative transsexual/transgender women. </w:t>
      </w:r>
      <w:r w:rsidRPr="00C35F2B">
        <w:rPr>
          <w:rStyle w:val="StyleUnderline"/>
        </w:rPr>
        <w:t>Experiences of transphobia may be influenced by many factors that may or may not be directly related to one’s identity or expression</w:t>
      </w:r>
      <w:r w:rsidRPr="00402496">
        <w:rPr>
          <w:sz w:val="16"/>
        </w:rPr>
        <w:t>. For individuals who are gender variant, one’s presentation may influence their experiences with discrimination. As such, those who have used hormones for many years or those who have utilized surgical interventions to change their gendered appearance may experience lower levels of discrimination. Having legal documents that match their social presentation may also reduce people’s experiences of discrimination. The issue being one’s ability to live one’s life without being seen as gender variant in any way; in this sense, gender presentation and legal sex is as important as one’s gender identity. This study examined the association between gender (presentation, identity, legal sex status, etc.) and non-gender (race and class) related characteristics and people’s experiences with transphobic events. The purpose of this exploratory study was to examine different social characteristics to see how they were related to people’s experiences with transphobia.</w:t>
      </w:r>
    </w:p>
    <w:p w:rsidR="007B1B62" w:rsidRDefault="007B1B62" w:rsidP="007B1B62">
      <w:pPr>
        <w:pStyle w:val="Heading4"/>
      </w:pPr>
      <w:r>
        <w:t>Violence against queerness results in the annihilation of identity—this is a form of soul murder</w:t>
      </w:r>
    </w:p>
    <w:p w:rsidR="007B1B62" w:rsidRPr="008B733F" w:rsidRDefault="007B1B62" w:rsidP="008B733F">
      <w:r w:rsidRPr="008B733F">
        <w:rPr>
          <w:rStyle w:val="Style13ptBold"/>
        </w:rPr>
        <w:t>Yep, Lovaas, and Elia 03</w:t>
      </w:r>
      <w:r w:rsidRPr="008B733F">
        <w:t xml:space="preserve"> Professors, San Francisco University (Gust, Karen, and John, Journal of Homosexual Studies, Vol. 45, No. 2/3/4, pp. 18,)</w:t>
      </w:r>
    </w:p>
    <w:p w:rsidR="007B1B62" w:rsidRDefault="007B1B62" w:rsidP="007B1B62">
      <w:pPr>
        <w:rPr>
          <w:sz w:val="16"/>
        </w:rPr>
      </w:pPr>
      <w:r w:rsidRPr="00CA742E">
        <w:rPr>
          <w:sz w:val="16"/>
        </w:rPr>
        <w:t xml:space="preserve">These are the internal injuries that individuals inflict upon themselves. </w:t>
      </w:r>
      <w:r w:rsidRPr="00751240">
        <w:rPr>
          <w:rStyle w:val="underline"/>
        </w:rPr>
        <w:t xml:space="preserve">Very early in life </w:t>
      </w:r>
      <w:r w:rsidRPr="00751240">
        <w:rPr>
          <w:rStyle w:val="underline"/>
          <w:highlight w:val="green"/>
        </w:rPr>
        <w:t>children learn from interpersonal contacts</w:t>
      </w:r>
      <w:r w:rsidRPr="00751240">
        <w:rPr>
          <w:rStyle w:val="underline"/>
        </w:rPr>
        <w:t xml:space="preserve"> and mediated messages </w:t>
      </w:r>
      <w:r w:rsidRPr="00751240">
        <w:rPr>
          <w:rStyle w:val="underline"/>
          <w:highlight w:val="green"/>
        </w:rPr>
        <w:t>that deviations from the heteronormative standard</w:t>
      </w:r>
      <w:r w:rsidRPr="00751240">
        <w:rPr>
          <w:rStyle w:val="underline"/>
        </w:rPr>
        <w:t xml:space="preserve">, such as homosexuality, </w:t>
      </w:r>
      <w:r w:rsidRPr="00751240">
        <w:rPr>
          <w:rStyle w:val="underline"/>
          <w:highlight w:val="green"/>
        </w:rPr>
        <w:t>are</w:t>
      </w:r>
      <w:r w:rsidRPr="00751240">
        <w:rPr>
          <w:rStyle w:val="underline"/>
        </w:rPr>
        <w:t xml:space="preserve"> anxiety-ridden, guilt-producing, fear-inducing, </w:t>
      </w:r>
      <w:r w:rsidRPr="00751240">
        <w:rPr>
          <w:rStyle w:val="underline"/>
          <w:highlight w:val="green"/>
        </w:rPr>
        <w:t>shame-invoking</w:t>
      </w:r>
      <w:r w:rsidRPr="00751240">
        <w:rPr>
          <w:rStyle w:val="underline"/>
        </w:rPr>
        <w:t xml:space="preserve">, hate-deserving, psychologically blemishing, </w:t>
      </w:r>
      <w:r w:rsidRPr="00751240">
        <w:rPr>
          <w:rStyle w:val="underline"/>
          <w:highlight w:val="green"/>
        </w:rPr>
        <w:t>and physically threatening. Internalized homophobia, in the form of self-hatred</w:t>
      </w:r>
      <w:r w:rsidRPr="00751240">
        <w:rPr>
          <w:rStyle w:val="underline"/>
        </w:rPr>
        <w:t xml:space="preserve"> and self-destructive thoughts and behavioral patterns, </w:t>
      </w:r>
      <w:r w:rsidRPr="00751240">
        <w:rPr>
          <w:rStyle w:val="underline"/>
          <w:highlight w:val="green"/>
        </w:rPr>
        <w:t>becomes firmly implanted in the lives</w:t>
      </w:r>
      <w:r w:rsidRPr="00751240">
        <w:rPr>
          <w:rStyle w:val="underline"/>
        </w:rPr>
        <w:t xml:space="preserve"> and psyches </w:t>
      </w:r>
      <w:r w:rsidRPr="00751240">
        <w:rPr>
          <w:rStyle w:val="underline"/>
          <w:highlight w:val="green"/>
        </w:rPr>
        <w:t>of individuals in heteronormative society</w:t>
      </w:r>
      <w:r w:rsidRPr="00CA742E">
        <w:rPr>
          <w:sz w:val="16"/>
        </w:rPr>
        <w:t xml:space="preserve">. Exemplifying the feelings and experiences of many people who do not fit in the heteronormative mandate, Kevin Jennings (1994) tells us his personal story: I was born in 1963. . . . [I] realized in grade school that I was gay. I felt absolutely alone. I had no one to talk to, didn’t know any openly gay people, and saw few representations of gays in the media of the 1970s. I imagined gay people were a tiny, tiny minority, who had been and would always be despised for their “perversion.” Not once in high school did I ever learn a single thing about homosexuality or gay people. I couldn’t imagine a happy life as a gay man. So I withdrew from my peers and used alcohol and drugs to try to dull the pain of my isolation. Eventually, at age seventeen I tried to kill myself, like one out of every three gay teens. I saw nothing in my past, my present, or (it seemed) my future suggesting that things would ever get any better. (pp. 13-14) </w:t>
      </w:r>
      <w:r w:rsidRPr="00751240">
        <w:rPr>
          <w:rStyle w:val="underline"/>
          <w:highlight w:val="green"/>
        </w:rPr>
        <w:t>Heteronormativity is so powerful that its regulation and enforcement are carried out by the individuals themselves</w:t>
      </w:r>
      <w:r w:rsidRPr="00751240">
        <w:rPr>
          <w:rStyle w:val="underline"/>
        </w:rPr>
        <w:t xml:space="preserve"> through socially endorsed and culturally accepted forms of soul murder. Soul murder is a term that I borrow from the child abuse and neglect literature to highlight the torment of heteronormativity</w:t>
      </w:r>
      <w:r w:rsidRPr="00CA742E">
        <w:rPr>
          <w:sz w:val="16"/>
        </w:rPr>
        <w:t xml:space="preserve"> (Yep, 2002). Shengold (1999) defines </w:t>
      </w:r>
      <w:r w:rsidRPr="00751240">
        <w:rPr>
          <w:rStyle w:val="underline"/>
        </w:rPr>
        <w:t>soul murder as the “apparently willful abuse and neglect of children by adults that are of sufficient intensity and frequency to be traumatic . . . [so that] the children’s subsequent emotional development has been profoundly and predominantly negatively affected”</w:t>
      </w:r>
      <w:r w:rsidRPr="00CA742E">
        <w:rPr>
          <w:sz w:val="16"/>
        </w:rPr>
        <w:t xml:space="preserve"> (p. 1). Further explaining this concept, Shengold (1989) writes, “</w:t>
      </w:r>
      <w:r w:rsidRPr="00751240">
        <w:rPr>
          <w:rStyle w:val="underline"/>
          <w:highlight w:val="green"/>
        </w:rPr>
        <w:t>soul murder is</w:t>
      </w:r>
      <w:r w:rsidRPr="00751240">
        <w:rPr>
          <w:rStyle w:val="underline"/>
        </w:rPr>
        <w:t xml:space="preserve"> neither </w:t>
      </w:r>
      <w:r w:rsidRPr="00751240">
        <w:rPr>
          <w:rStyle w:val="underline"/>
          <w:highlight w:val="green"/>
        </w:rPr>
        <w:t xml:space="preserve">a </w:t>
      </w:r>
      <w:r w:rsidRPr="00751240">
        <w:rPr>
          <w:rStyle w:val="underline"/>
        </w:rPr>
        <w:t xml:space="preserve">diagnosis nor a condition. It is a dramatic </w:t>
      </w:r>
      <w:r w:rsidRPr="00751240">
        <w:rPr>
          <w:rStyle w:val="underline"/>
          <w:highlight w:val="green"/>
        </w:rPr>
        <w:t>term for</w:t>
      </w:r>
      <w:r w:rsidRPr="00751240">
        <w:rPr>
          <w:rStyle w:val="underline"/>
        </w:rPr>
        <w:t xml:space="preserve"> circumstances that eventuate in crime–the </w:t>
      </w:r>
      <w:r w:rsidRPr="00751240">
        <w:rPr>
          <w:rStyle w:val="underline"/>
          <w:highlight w:val="green"/>
        </w:rPr>
        <w:t>deliberate attempt to eradicate</w:t>
      </w:r>
      <w:r w:rsidRPr="00751240">
        <w:rPr>
          <w:rStyle w:val="underline"/>
        </w:rPr>
        <w:t xml:space="preserve"> or compromise </w:t>
      </w:r>
      <w:r w:rsidRPr="00751240">
        <w:rPr>
          <w:rStyle w:val="underline"/>
          <w:highlight w:val="green"/>
        </w:rPr>
        <w:t>the separate identity of another person</w:t>
      </w:r>
      <w:r w:rsidRPr="00CA742E">
        <w:rPr>
          <w:sz w:val="16"/>
        </w:rPr>
        <w:t xml:space="preserve">” (p. 2, my emphasis). </w:t>
      </w:r>
      <w:r w:rsidRPr="00751240">
        <w:rPr>
          <w:rStyle w:val="underline"/>
        </w:rPr>
        <w:t xml:space="preserve">Isn’t </w:t>
      </w:r>
      <w:r w:rsidRPr="00751240">
        <w:rPr>
          <w:rStyle w:val="underline"/>
          <w:highlight w:val="green"/>
        </w:rPr>
        <w:t>the incessant policing and enforcement</w:t>
      </w:r>
      <w:r w:rsidRPr="00751240">
        <w:rPr>
          <w:rStyle w:val="underline"/>
        </w:rPr>
        <w:t xml:space="preserve">, either deliberately or unconsciously, by self and others, </w:t>
      </w:r>
      <w:r w:rsidRPr="00751240">
        <w:rPr>
          <w:rStyle w:val="underline"/>
          <w:highlight w:val="green"/>
        </w:rPr>
        <w:t>of the heteronormative mandate</w:t>
      </w:r>
      <w:r w:rsidRPr="00751240">
        <w:rPr>
          <w:rStyle w:val="underline"/>
        </w:rPr>
        <w:t xml:space="preserve"> a widespread form of </w:t>
      </w:r>
      <w:r w:rsidRPr="00751240">
        <w:rPr>
          <w:rStyle w:val="underline"/>
          <w:highlight w:val="green"/>
        </w:rPr>
        <w:t>soul murder</w:t>
      </w:r>
      <w:r w:rsidRPr="00CA742E">
        <w:rPr>
          <w:sz w:val="16"/>
        </w:rPr>
        <w:t>?</w:t>
      </w:r>
    </w:p>
    <w:p w:rsidR="00E93C32" w:rsidRPr="00A0441D" w:rsidRDefault="00E93C32" w:rsidP="00E93C32">
      <w:pPr>
        <w:pStyle w:val="Heading4"/>
      </w:pPr>
      <w:r>
        <w:t>The alternative is to engage in queering language—queer slangs offer an opportunity to resist systems of power while still engaging within a safe space</w:t>
      </w:r>
    </w:p>
    <w:p w:rsidR="00E93C32" w:rsidRPr="00A73DF2" w:rsidRDefault="00E93C32" w:rsidP="00E93C32">
      <w:pPr>
        <w:rPr>
          <w:rStyle w:val="apple-converted-space"/>
          <w:sz w:val="26"/>
          <w:szCs w:val="26"/>
          <w:shd w:val="clear" w:color="auto" w:fill="FFFFFF"/>
        </w:rPr>
      </w:pPr>
      <w:r w:rsidRPr="00A73DF2">
        <w:rPr>
          <w:rStyle w:val="apple-converted-space"/>
          <w:b/>
          <w:sz w:val="26"/>
          <w:szCs w:val="26"/>
          <w:shd w:val="clear" w:color="auto" w:fill="FFFFFF"/>
        </w:rPr>
        <w:t>Tzini 14</w:t>
      </w:r>
      <w:r w:rsidRPr="00A73DF2">
        <w:rPr>
          <w:rStyle w:val="apple-converted-space"/>
          <w:sz w:val="26"/>
          <w:szCs w:val="26"/>
          <w:shd w:val="clear" w:color="auto" w:fill="FFFFFF"/>
        </w:rPr>
        <w:t xml:space="preserve"> </w:t>
      </w:r>
      <w:r w:rsidRPr="00A73DF2">
        <w:rPr>
          <w:rStyle w:val="apple-converted-space"/>
          <w:sz w:val="16"/>
          <w:szCs w:val="16"/>
          <w:shd w:val="clear" w:color="auto" w:fill="FFFFFF"/>
        </w:rPr>
        <w:t>(Tzini, Anna [Anna Tzini, also known as Anna T.</w:t>
      </w:r>
      <w:r w:rsidRPr="00A73DF2">
        <w:rPr>
          <w:sz w:val="16"/>
          <w:szCs w:val="16"/>
          <w:shd w:val="clear" w:color="auto" w:fill="FFFFFF"/>
        </w:rPr>
        <w:t xml:space="preserve"> studied Photography, Video and New Technologies in Athens and obtained her MA in Queer Studies in Arts &amp; culture from Birmingham City University in 2010. PhD in practice. Her work mainly deals with the relation between private / public, identities and the ways the interactions between time and space form them.</w:t>
      </w:r>
      <w:r w:rsidRPr="00A73DF2">
        <w:rPr>
          <w:rStyle w:val="apple-converted-space"/>
          <w:sz w:val="16"/>
          <w:szCs w:val="16"/>
          <w:shd w:val="clear" w:color="auto" w:fill="FFFFFF"/>
        </w:rPr>
        <w:t>]. 12/2014 “The Opacity of Queer Languages,” E-flux Journal #60, accessed: 7/15/2015. http://www.e-flux.com/journal/the-opacity-of-queer-language-2/)//ALepow</w:t>
      </w:r>
    </w:p>
    <w:p w:rsidR="00E93C32" w:rsidRPr="008B733F" w:rsidRDefault="00E93C32" w:rsidP="008B733F">
      <w:pPr>
        <w:rPr>
          <w:rFonts w:eastAsia="Times New Roman" w:cs="Times New Roman"/>
          <w:color w:val="000000"/>
          <w:sz w:val="14"/>
          <w:szCs w:val="26"/>
        </w:rPr>
      </w:pPr>
      <w:r w:rsidRPr="008B733F">
        <w:rPr>
          <w:rFonts w:eastAsia="Times New Roman" w:cs="Times New Roman"/>
          <w:sz w:val="14"/>
          <w:szCs w:val="26"/>
        </w:rPr>
        <w:t xml:space="preserve">These </w:t>
      </w:r>
      <w:r w:rsidRPr="008B733F">
        <w:rPr>
          <w:rStyle w:val="StyleUnderline"/>
          <w:highlight w:val="yellow"/>
        </w:rPr>
        <w:t>communication codes allowed for an easier exchange of information that to some extent shielded group members from potential aggressors</w:t>
      </w:r>
      <w:r w:rsidRPr="008B733F">
        <w:rPr>
          <w:rStyle w:val="StyleUnderline"/>
        </w:rPr>
        <w:t xml:space="preserve">: at the same time, </w:t>
      </w:r>
      <w:r w:rsidRPr="008B733F">
        <w:rPr>
          <w:rStyle w:val="StyleUnderline"/>
          <w:highlight w:val="yellow"/>
        </w:rPr>
        <w:t>these languages did not render group members completely invisible. It is exactly this position between visibility and invisibility</w:t>
      </w:r>
      <w:r w:rsidRPr="008B733F">
        <w:rPr>
          <w:rStyle w:val="StyleUnderline"/>
        </w:rPr>
        <w:t>—which can perhaps be described as opaqueness—that interests me in relation to the particular political stance of passivity</w:t>
      </w:r>
      <w:r w:rsidRPr="008B733F">
        <w:rPr>
          <w:rFonts w:eastAsia="Times New Roman" w:cs="Times New Roman"/>
          <w:sz w:val="14"/>
          <w:szCs w:val="26"/>
        </w:rPr>
        <w:t xml:space="preserve">. David Van Leer, an American scholar who researched queer cultures in the US from the 1920s to the 2000s, says </w:t>
      </w:r>
      <w:r w:rsidRPr="008B733F">
        <w:rPr>
          <w:rStyle w:val="StyleUnderline"/>
        </w:rPr>
        <w:t>that “</w:t>
      </w:r>
      <w:r w:rsidRPr="008B733F">
        <w:rPr>
          <w:rStyle w:val="StyleUnderline"/>
          <w:highlight w:val="yellow"/>
        </w:rPr>
        <w:t>often minorities speak most volubly between the lines, ironically reshaping dialogues the oppressor thinks he controls or even finding new topics and modes of speaking to which the oppressor himself lacks access.”</w:t>
      </w:r>
      <w:hyperlink r:id="rId6" w:anchor="_ftn5" w:history="1">
        <w:r w:rsidRPr="008B733F">
          <w:rPr>
            <w:rFonts w:eastAsia="Times New Roman" w:cs="Helvetica"/>
            <w:b/>
            <w:bCs/>
            <w:sz w:val="14"/>
            <w:szCs w:val="26"/>
            <w:bdr w:val="none" w:sz="0" w:space="0" w:color="auto" w:frame="1"/>
            <w:vertAlign w:val="superscript"/>
          </w:rPr>
          <w:t>5</w:t>
        </w:r>
      </w:hyperlink>
      <w:r w:rsidRPr="008B733F">
        <w:rPr>
          <w:rStyle w:val="StyleUnderline"/>
        </w:rPr>
        <w:t xml:space="preserve"> </w:t>
      </w:r>
      <w:r w:rsidRPr="008B733F">
        <w:rPr>
          <w:rFonts w:eastAsia="Times New Roman" w:cs="Times New Roman"/>
          <w:sz w:val="14"/>
          <w:szCs w:val="16"/>
        </w:rPr>
        <w:t>Language—being regulated by the state, taught in educational institutions, and used to discipline, inform, educate, or structurally violate, among other uses—is frequently subverted by minorities in an attempt to bypass authority. In this case in particular the “new topics” and “modes” Van Leer refers to are perhaps illegal pleasures, embodied performances, irony, and disguised (or not-so-well-disguised) social critique. While trying to stay safe and communicate, individual subjects start forming a community based on a common culture</w:t>
      </w:r>
      <w:r w:rsidRPr="008B733F">
        <w:rPr>
          <w:rFonts w:eastAsia="Times New Roman" w:cs="Times New Roman"/>
          <w:sz w:val="14"/>
          <w:szCs w:val="26"/>
        </w:rPr>
        <w:t xml:space="preserve">. In her essay “Qwir-English Code-Mixing in Germany: Constructing a Rainbow of Identities,” Heidi Minning argues that </w:t>
      </w:r>
      <w:r w:rsidRPr="008B733F">
        <w:rPr>
          <w:sz w:val="14"/>
        </w:rPr>
        <w:t>“the resulting sociopsychological function is one of constructing group membership and a sense of the self as a participant in larger gay and lesbian local and transnational cultures.”</w:t>
      </w:r>
      <w:hyperlink r:id="rId7" w:anchor="_ftn6" w:history="1">
        <w:r w:rsidRPr="008B733F">
          <w:rPr>
            <w:rStyle w:val="Hyperlink"/>
            <w:sz w:val="14"/>
          </w:rPr>
          <w:t>6</w:t>
        </w:r>
      </w:hyperlink>
      <w:r w:rsidRPr="008B733F">
        <w:rPr>
          <w:sz w:val="14"/>
        </w:rPr>
        <w:t xml:space="preserve"> Lexicon</w:t>
      </w:r>
      <w:r w:rsidRPr="008B733F">
        <w:rPr>
          <w:rFonts w:eastAsia="Times New Roman" w:cs="Helvetica"/>
          <w:b/>
          <w:bCs/>
          <w:sz w:val="14"/>
          <w:szCs w:val="26"/>
        </w:rPr>
        <w:t xml:space="preserve"> </w:t>
      </w:r>
      <w:r w:rsidRPr="008B733F">
        <w:rPr>
          <w:rStyle w:val="StyleUnderline"/>
          <w:highlight w:val="yellow"/>
        </w:rPr>
        <w:t>These slangs</w:t>
      </w:r>
      <w:r w:rsidRPr="008B733F">
        <w:rPr>
          <w:rStyle w:val="StyleUnderline"/>
        </w:rPr>
        <w:t xml:space="preserve"> with vocabularies ranging from six hundred words (as is the case of Polari) to more than six thousand documented words (as in Kaliarda) and different lifespans (four hundred years and counting in the case of Lubunca, or thirty years in the case of IsiNgqumo), </w:t>
      </w:r>
      <w:r w:rsidRPr="008B733F">
        <w:rPr>
          <w:rStyle w:val="StyleUnderline"/>
          <w:highlight w:val="yellow"/>
        </w:rPr>
        <w:t>constitute mini-universes where their users freely circulate and through which they are able to connect. They</w:t>
      </w:r>
      <w:r w:rsidRPr="008B733F">
        <w:rPr>
          <w:rStyle w:val="StyleUnderline"/>
        </w:rPr>
        <w:t xml:space="preserve"> do not only </w:t>
      </w:r>
      <w:r w:rsidRPr="008B733F">
        <w:rPr>
          <w:rStyle w:val="StyleUnderline"/>
          <w:highlight w:val="yellow"/>
        </w:rPr>
        <w:t>include terms to describe</w:t>
      </w:r>
      <w:r w:rsidRPr="008B733F">
        <w:rPr>
          <w:rStyle w:val="StyleUnderline"/>
        </w:rPr>
        <w:t xml:space="preserve"> the particular practices/</w:t>
      </w:r>
      <w:r w:rsidRPr="008B733F">
        <w:rPr>
          <w:rStyle w:val="StyleUnderline"/>
          <w:highlight w:val="yellow"/>
        </w:rPr>
        <w:t>interests of the groups which might be dangerous to publicly describe in a noncoded way.</w:t>
      </w:r>
      <w:r w:rsidRPr="008B733F">
        <w:rPr>
          <w:rStyle w:val="StyleUnderline"/>
        </w:rPr>
        <w:t xml:space="preserve"> </w:t>
      </w:r>
      <w:r w:rsidRPr="008B733F">
        <w:rPr>
          <w:rFonts w:eastAsia="Times New Roman" w:cs="Times New Roman"/>
          <w:sz w:val="14"/>
          <w:szCs w:val="26"/>
        </w:rPr>
        <w:t xml:space="preserve">They also include words or phrases to describe </w:t>
      </w:r>
      <w:r w:rsidRPr="008B733F">
        <w:rPr>
          <w:sz w:val="14"/>
        </w:rPr>
        <w:t>everyday household objects, professions, toponyms, and activities. They are patchworks of several other languages, including etymologically untraceable neologisms.</w:t>
      </w:r>
      <w:hyperlink r:id="rId8" w:anchor="_ftn7" w:history="1">
        <w:r w:rsidRPr="008B733F">
          <w:rPr>
            <w:rStyle w:val="Hyperlink"/>
            <w:sz w:val="14"/>
          </w:rPr>
          <w:t>7</w:t>
        </w:r>
      </w:hyperlink>
      <w:r w:rsidRPr="008B733F">
        <w:rPr>
          <w:sz w:val="14"/>
        </w:rPr>
        <w:t xml:space="preserve"> For instance, Polari consists of English, Italian, Yiddish, and Mediterranean Lingua Franca (a composite itself),</w:t>
      </w:r>
      <w:hyperlink r:id="rId9" w:anchor="_ftn8" w:history="1">
        <w:r w:rsidRPr="008B733F">
          <w:rPr>
            <w:rStyle w:val="Hyperlink"/>
            <w:sz w:val="14"/>
          </w:rPr>
          <w:t>8</w:t>
        </w:r>
      </w:hyperlink>
      <w:r w:rsidRPr="008B733F">
        <w:rPr>
          <w:sz w:val="14"/>
        </w:rPr>
        <w:t xml:space="preserve"> while Kaliarda is made up of Greek, English, Italian, French, Turkish, and Romani.</w:t>
      </w:r>
      <w:hyperlink r:id="rId10" w:anchor="_ftn9" w:history="1">
        <w:r w:rsidRPr="008B733F">
          <w:rPr>
            <w:rStyle w:val="Hyperlink"/>
            <w:sz w:val="14"/>
          </w:rPr>
          <w:t>9</w:t>
        </w:r>
      </w:hyperlink>
      <w:r w:rsidRPr="008B733F">
        <w:rPr>
          <w:sz w:val="14"/>
        </w:rPr>
        <w:t xml:space="preserve"> Bajubá or Pajubá seems to have its roots in Africa and is based on several Bantu and Yoruba African languages outfitted with Portuguese syntax.</w:t>
      </w:r>
      <w:hyperlink r:id="rId11" w:anchor="_ftn10" w:history="1">
        <w:r w:rsidRPr="008B733F">
          <w:rPr>
            <w:rStyle w:val="Hyperlink"/>
            <w:sz w:val="14"/>
          </w:rPr>
          <w:t>10</w:t>
        </w:r>
      </w:hyperlink>
      <w:r w:rsidRPr="008B733F">
        <w:rPr>
          <w:sz w:val="14"/>
        </w:rPr>
        <w:t xml:space="preserve"> Swardspeak is a mixture of Tagalog, English, Spanish, and Japanese.</w:t>
      </w:r>
      <w:hyperlink r:id="rId12" w:anchor="_ftn11" w:history="1">
        <w:r w:rsidRPr="008B733F">
          <w:rPr>
            <w:rStyle w:val="Hyperlink"/>
            <w:sz w:val="14"/>
          </w:rPr>
          <w:t>11</w:t>
        </w:r>
      </w:hyperlink>
      <w:r w:rsidRPr="008B733F">
        <w:rPr>
          <w:sz w:val="14"/>
        </w:rPr>
        <w:t xml:space="preserve"> Lubunca consists of Turkish, Romani, French, Greek, English, Armenian, Arabic, Italian, Bulgarian, Kurmanji, Russian, and Spanish.</w:t>
      </w:r>
      <w:hyperlink r:id="rId13" w:anchor="_ftn12" w:history="1">
        <w:r w:rsidRPr="008B733F">
          <w:rPr>
            <w:rStyle w:val="Hyperlink"/>
            <w:sz w:val="14"/>
          </w:rPr>
          <w:t>12</w:t>
        </w:r>
      </w:hyperlink>
      <w:r w:rsidRPr="008B733F">
        <w:rPr>
          <w:sz w:val="14"/>
        </w:rPr>
        <w:t xml:space="preserve"> The multicultural linguistic loans seem to indicate a certain degree of mobility on the part of the speakers, who seem to have come in contact with foreigners beyond their immediate border neighbors, perhaps through working the seas, or through unsuccessful attempts to find better employment options abroad, but also due to dealing with sailors and seamen as sex-workers themselves. And as Paul Baker says, we shouldn’t throw out the possibility of the use of foreign languages as a way of coming across as more sophisticated and well-traveled.</w:t>
      </w:r>
      <w:hyperlink r:id="rId14" w:anchor="_ftn13" w:history="1">
        <w:r w:rsidRPr="008B733F">
          <w:rPr>
            <w:rStyle w:val="Hyperlink"/>
            <w:sz w:val="14"/>
          </w:rPr>
          <w:t>13</w:t>
        </w:r>
      </w:hyperlink>
      <w:r w:rsidRPr="008B733F">
        <w:rPr>
          <w:rStyle w:val="StyleUnderline"/>
        </w:rPr>
        <w:t xml:space="preserve"> Much like the several spatiotemporal paradoxes that surround the closet, the languages that could be its product seem to predate it in certain cases. Furthermore, who speaks or spoke these languages long before the emergence of any contemporary understanding of homosexuality, the homosexual, and notions such as trans* or queer becomes an even more sensitive topic in light of queer modes of communication.</w:t>
      </w:r>
      <w:r w:rsidRPr="008B733F">
        <w:rPr>
          <w:rFonts w:eastAsia="Times New Roman" w:cs="Times New Roman"/>
          <w:sz w:val="14"/>
          <w:szCs w:val="26"/>
        </w:rPr>
        <w:t xml:space="preserve"> </w:t>
      </w:r>
      <w:r w:rsidRPr="008B733F">
        <w:rPr>
          <w:rFonts w:eastAsia="Times New Roman" w:cs="Helvetica"/>
          <w:b/>
          <w:bCs/>
          <w:sz w:val="14"/>
          <w:szCs w:val="26"/>
        </w:rPr>
        <w:t xml:space="preserve">Social Queetique </w:t>
      </w:r>
      <w:r w:rsidRPr="008B733F">
        <w:rPr>
          <w:rFonts w:eastAsia="Times New Roman" w:cs="Times New Roman"/>
          <w:sz w:val="14"/>
          <w:szCs w:val="26"/>
        </w:rPr>
        <w:t>As I can only fully access Kaliarda and to a certain extent Polari, one of the things I have noticed is</w:t>
      </w:r>
      <w:r w:rsidRPr="008B733F">
        <w:rPr>
          <w:rStyle w:val="StyleUnderline"/>
        </w:rPr>
        <w:t xml:space="preserve"> their lack of political correctness (or any sense of self-censorship for that matter), and the pejorative terms used for both those who are socially looked down on by society (including the speakers themselves) and their oppressors alike.</w:t>
      </w:r>
      <w:hyperlink r:id="rId15" w:anchor="_ftn14" w:history="1">
        <w:r w:rsidRPr="008B733F">
          <w:rPr>
            <w:rStyle w:val="Hyperlink"/>
            <w:sz w:val="14"/>
          </w:rPr>
          <w:t>14</w:t>
        </w:r>
      </w:hyperlink>
      <w:r w:rsidRPr="008B733F">
        <w:rPr>
          <w:rStyle w:val="StyleUnderline"/>
        </w:rPr>
        <w:t xml:space="preserve"> This seems to indicate a certain adoption of the mores of the general population in addition to their own, no matter how contradictory the two may be.</w:t>
      </w:r>
      <w:hyperlink r:id="rId16" w:anchor="_ftn15" w:history="1">
        <w:r w:rsidRPr="008B733F">
          <w:rPr>
            <w:rStyle w:val="Hyperlink"/>
            <w:sz w:val="14"/>
          </w:rPr>
          <w:t>15</w:t>
        </w:r>
      </w:hyperlink>
      <w:r w:rsidRPr="008B733F">
        <w:rPr>
          <w:rFonts w:eastAsia="Times New Roman" w:cs="Times New Roman"/>
          <w:sz w:val="14"/>
          <w:szCs w:val="26"/>
        </w:rPr>
        <w:t xml:space="preserve"> For instance, the words for an effeminate homosexual or the receptive partner in penetrative sex are always pejorative, and the same cannot be said of the terms for the insertive partner. The word “Kaliarda” (καλιαρντά) itself has only negative meanings: “mean, ugly, weird,” with the verb “kaliardevo” (καλιαρντεύω) meaning to speak ill of someone.</w:t>
      </w:r>
      <w:hyperlink r:id="rId17" w:anchor="_ftn16" w:history="1">
        <w:r w:rsidRPr="008B733F">
          <w:rPr>
            <w:rStyle w:val="Hyperlink"/>
            <w:sz w:val="14"/>
          </w:rPr>
          <w:t>16</w:t>
        </w:r>
      </w:hyperlink>
      <w:r w:rsidRPr="008B733F">
        <w:rPr>
          <w:sz w:val="14"/>
        </w:rPr>
        <w:t xml:space="preserve"> In addition,</w:t>
      </w:r>
      <w:r w:rsidRPr="008B733F">
        <w:rPr>
          <w:rFonts w:eastAsia="Times New Roman" w:cs="Times New Roman"/>
          <w:sz w:val="14"/>
          <w:szCs w:val="26"/>
        </w:rPr>
        <w:t xml:space="preserve"> there are pejorative terms for other groups that seem to already be looked down on by Greek society, and for whom there already exist several offensive terms, like for the out-of-towners, the obese, the old, and the non-able-bodied. At the same time, there are plenty of derogatory terms for legal, religious, and political authorities. </w:t>
      </w:r>
      <w:r w:rsidRPr="008B733F">
        <w:rPr>
          <w:rStyle w:val="StyleUnderline"/>
        </w:rPr>
        <w:t>This points to the counter-cultural elements of the subculture that to some extent could be the result of the constant friction with said authorities. It seems that at least by allowing for a mocking of those seen as oppressors, or by placing themselves somewhere other than the lowest position in the social hierarchy, queers can afford a moment of pleasure that derives from their deviance itself and their organizing around it. So beyond the importance of a safer space, and the practicalities of communication between precariously living subjects, another element of these languages is the proximity they produce between the speakers, and most importantly the moments of humor and joy they allow for</w:t>
      </w:r>
      <w:r w:rsidRPr="008B733F">
        <w:rPr>
          <w:rFonts w:eastAsia="Times New Roman" w:cs="Times New Roman"/>
          <w:sz w:val="14"/>
          <w:szCs w:val="26"/>
        </w:rPr>
        <w:t>. For instance, small moments of pleasure among fellow deviant subjects seem to be the case with much of Kaliarda and the way it is used, which sadly remains untranslatable. I can only guess that this might well be the case for some of the other languages as well. As Elizabeth Freeman suggests</w:t>
      </w:r>
      <w:r w:rsidRPr="008B733F">
        <w:rPr>
          <w:rStyle w:val="StyleUnderline"/>
        </w:rPr>
        <w:t>, we might be able to glimpse in our archives “historically specific forms of pleasure” that have not been institutionalized, and a deeper look at queer language can definitely provide a confirmation of that.</w:t>
      </w:r>
      <w:hyperlink r:id="rId18" w:anchor="_ftn17" w:history="1">
        <w:r w:rsidRPr="008B733F">
          <w:rPr>
            <w:rFonts w:eastAsia="Times New Roman" w:cs="Helvetica"/>
            <w:b/>
            <w:bCs/>
            <w:sz w:val="14"/>
            <w:szCs w:val="26"/>
            <w:bdr w:val="none" w:sz="0" w:space="0" w:color="auto" w:frame="1"/>
            <w:vertAlign w:val="superscript"/>
          </w:rPr>
          <w:t>17</w:t>
        </w:r>
      </w:hyperlink>
      <w:r w:rsidRPr="008B733F">
        <w:rPr>
          <w:rFonts w:eastAsia="Times New Roman" w:cs="Times New Roman"/>
          <w:sz w:val="14"/>
          <w:szCs w:val="26"/>
          <w:vertAlign w:val="superscript"/>
        </w:rPr>
        <w:t xml:space="preserve"> </w:t>
      </w:r>
      <w:r w:rsidRPr="008B733F">
        <w:rPr>
          <w:rStyle w:val="StyleUnderline"/>
        </w:rPr>
        <w:t>Sara Ahmed states: To be happily queer might mean being happy to be the cause of unhappiness (at least in the sense that one agrees to be the cause of unhappiness, even if one is not made happy by causing unhappiness), as well as to be happy with where we get to if we go beyond the straight lines of happiness scripts.</w:t>
      </w:r>
      <w:r w:rsidRPr="008B733F">
        <w:rPr>
          <w:rFonts w:eastAsia="Times New Roman" w:cs="Helvetica"/>
          <w:sz w:val="14"/>
          <w:szCs w:val="26"/>
        </w:rPr>
        <w:t>”</w:t>
      </w:r>
      <w:hyperlink r:id="rId19" w:anchor="_ftn18" w:history="1">
        <w:r w:rsidRPr="008B733F">
          <w:rPr>
            <w:rStyle w:val="Hyperlink"/>
            <w:sz w:val="14"/>
          </w:rPr>
          <w:t>18</w:t>
        </w:r>
      </w:hyperlink>
      <w:r w:rsidRPr="008B733F">
        <w:rPr>
          <w:sz w:val="14"/>
        </w:rPr>
        <w:t xml:space="preserve"> Kaliarda also manages to make a somewhat humorous social critique with terms like “the Vatican” (Βατικανό) to mean a gay men’s brothel; a word referring to London that translates as “faggville”/“sisterville” (αδερφοχώρι); “Moutsemeni” (Μουτσεμένη), a word referring to the Virgin Mary as having been naively tricked; and “smartasses’ gangbang” (φαεινοπαρτούζα),referring to a political party; and the Acropolis being referred to as “tourist trap” (τουριστόφακα).</w:t>
      </w:r>
      <w:hyperlink r:id="rId20" w:anchor="_ftn19" w:history="1">
        <w:r w:rsidRPr="008B733F">
          <w:rPr>
            <w:rStyle w:val="Hyperlink"/>
            <w:sz w:val="14"/>
          </w:rPr>
          <w:t>19</w:t>
        </w:r>
      </w:hyperlink>
      <w:r w:rsidRPr="008B733F">
        <w:rPr>
          <w:sz w:val="14"/>
        </w:rPr>
        <w:t xml:space="preserve"> Such</w:t>
      </w:r>
      <w:r w:rsidRPr="008B733F">
        <w:rPr>
          <w:rFonts w:eastAsia="Times New Roman" w:cs="Times New Roman"/>
          <w:sz w:val="14"/>
          <w:szCs w:val="26"/>
        </w:rPr>
        <w:t xml:space="preserve"> social critique is not unique to queer slangs though; it is a phenomenon common among subcultural languages, as the same is true for hobo slang, spiv cant, magkika and so on. Paul Baker writes that in “‘anti-</w:t>
      </w:r>
      <w:r w:rsidRPr="008B733F">
        <w:rPr>
          <w:sz w:val="14"/>
        </w:rPr>
        <w:t>languages’ the social values of words and phrases tend to be more emphasized than in mainstream languages,” a phenomenon termed “sociolinguistic coding orientation,”</w:t>
      </w:r>
      <w:hyperlink r:id="rId21" w:anchor="_ftn20" w:history="1">
        <w:r w:rsidRPr="008B733F">
          <w:rPr>
            <w:rStyle w:val="Hyperlink"/>
            <w:sz w:val="14"/>
          </w:rPr>
          <w:t>20</w:t>
        </w:r>
      </w:hyperlink>
      <w:r w:rsidRPr="008B733F">
        <w:rPr>
          <w:sz w:val="14"/>
        </w:rPr>
        <w:t xml:space="preserve"> while</w:t>
      </w:r>
      <w:r w:rsidRPr="008B733F">
        <w:rPr>
          <w:rFonts w:eastAsia="Times New Roman" w:cs="Times New Roman"/>
          <w:sz w:val="14"/>
          <w:szCs w:val="26"/>
        </w:rPr>
        <w:t xml:space="preserve"> Nicholas Kontovas points out that </w:t>
      </w:r>
      <w:r w:rsidRPr="008B733F">
        <w:rPr>
          <w:rStyle w:val="StyleUnderline"/>
          <w:highlight w:val="yellow"/>
        </w:rPr>
        <w:t>the slang of marginal groups betrays an alternative sociolinguistic market</w:t>
      </w:r>
      <w:r w:rsidRPr="008B733F">
        <w:rPr>
          <w:rStyle w:val="StyleUnderline"/>
        </w:rPr>
        <w:t>, in which the value of markers from the majority market is neither intrinsically positive not negative, but reassessed based on an alternative habitus which is particular to the field in which that group interacts.</w:t>
      </w:r>
      <w:hyperlink r:id="rId22" w:anchor="_ftn21" w:history="1">
        <w:r w:rsidRPr="008B733F">
          <w:rPr>
            <w:rStyle w:val="Hyperlink"/>
            <w:sz w:val="14"/>
          </w:rPr>
          <w:t>21</w:t>
        </w:r>
      </w:hyperlink>
      <w:r w:rsidRPr="008B733F">
        <w:rPr>
          <w:rStyle w:val="StyleUnderline"/>
        </w:rPr>
        <w:t xml:space="preserve"> Both Baker and Kontovas point to the specificities of the social universes these languages produce, </w:t>
      </w:r>
      <w:r w:rsidRPr="008B733F">
        <w:rPr>
          <w:rStyle w:val="StyleUnderline"/>
          <w:highlight w:val="yellow"/>
        </w:rPr>
        <w:t>which much like the words themselves are borrowed, reappropriated, and creatively adjusted to reflect the ever-changing needs and positions of the speakers</w:t>
      </w:r>
      <w:r w:rsidRPr="008B733F">
        <w:rPr>
          <w:rFonts w:eastAsia="Times New Roman" w:cs="Times New Roman"/>
          <w:sz w:val="14"/>
          <w:szCs w:val="26"/>
          <w:highlight w:val="yellow"/>
        </w:rPr>
        <w:t>.</w:t>
      </w:r>
      <w:r w:rsidRPr="008B733F">
        <w:rPr>
          <w:rFonts w:eastAsia="Times New Roman" w:cs="Times New Roman"/>
          <w:sz w:val="14"/>
          <w:szCs w:val="26"/>
        </w:rPr>
        <w:t xml:space="preserve"> The overlapping of marginalized groups that operate with those slangs offers an interesting insight into their intersectionality. Circus performers, sailors, </w:t>
      </w:r>
      <w:r w:rsidRPr="008B733F">
        <w:rPr>
          <w:sz w:val="14"/>
        </w:rPr>
        <w:t>prostitutes, and criminals, for instance, also used Polari. Polari also incorporates elements of Thieves’ Cant from the seventeenth century and Hackney rhyming slang.</w:t>
      </w:r>
      <w:hyperlink r:id="rId23" w:anchor="_ftn22" w:history="1">
        <w:r w:rsidRPr="008B733F">
          <w:rPr>
            <w:rStyle w:val="Hyperlink"/>
            <w:sz w:val="14"/>
          </w:rPr>
          <w:t>22</w:t>
        </w:r>
      </w:hyperlink>
      <w:r w:rsidRPr="008B733F">
        <w:rPr>
          <w:sz w:val="14"/>
        </w:rPr>
        <w:t xml:space="preserve"> Similarly, Kaliarda</w:t>
      </w:r>
      <w:r w:rsidRPr="008B733F">
        <w:rPr>
          <w:rFonts w:eastAsia="Times New Roman" w:cs="Times New Roman"/>
          <w:sz w:val="14"/>
          <w:szCs w:val="26"/>
        </w:rPr>
        <w:t xml:space="preserve">—used primarily by (trans*) sex workers and “effeminate homosexuals,” according to researcher Elias Petropoulos—is also spoken by actors. It has borrowed and loaned lemmata from magkika and rebetika, two different slang varieties used by other Greek </w:t>
      </w:r>
      <w:r w:rsidRPr="008B733F">
        <w:rPr>
          <w:sz w:val="14"/>
        </w:rPr>
        <w:t>subcultures.</w:t>
      </w:r>
      <w:hyperlink r:id="rId24" w:anchor="_ftn23" w:history="1">
        <w:r w:rsidRPr="008B733F">
          <w:rPr>
            <w:rStyle w:val="Hyperlink"/>
            <w:sz w:val="14"/>
          </w:rPr>
          <w:t>23</w:t>
        </w:r>
      </w:hyperlink>
      <w:r w:rsidRPr="008B733F">
        <w:rPr>
          <w:sz w:val="14"/>
        </w:rPr>
        <w:t xml:space="preserve"> Pajubá, apart from being used by the LGBTQ and queer community, is used by Candomblé practitioners.</w:t>
      </w:r>
      <w:hyperlink r:id="rId25" w:anchor="_ftn24" w:history="1">
        <w:r w:rsidRPr="008B733F">
          <w:rPr>
            <w:rStyle w:val="Hyperlink"/>
            <w:sz w:val="14"/>
          </w:rPr>
          <w:t>24</w:t>
        </w:r>
      </w:hyperlink>
      <w:r w:rsidRPr="008B733F">
        <w:rPr>
          <w:rStyle w:val="StyleUnderline"/>
        </w:rPr>
        <w:t>Although all of the above categories are in one way or another marginal, perhaps illegal, with intense minoritarian traits, and although socialization between them could explain this transcultural permeation of terms, it definitely evokes the issue of intersectionality within single subjects as the reason that terms traveled so widely within large communities of “deviants” and “outcasts.”</w:t>
      </w:r>
      <w:r w:rsidRPr="008B733F">
        <w:rPr>
          <w:rFonts w:eastAsia="Times New Roman" w:cs="Times New Roman"/>
          <w:sz w:val="14"/>
          <w:szCs w:val="26"/>
        </w:rPr>
        <w:t xml:space="preserve"> </w:t>
      </w:r>
      <w:r w:rsidRPr="008B733F">
        <w:rPr>
          <w:sz w:val="14"/>
        </w:rPr>
        <w:t>Opacity—Some Passivity</w:t>
      </w:r>
      <w:r w:rsidRPr="008B733F">
        <w:rPr>
          <w:rFonts w:eastAsia="Times New Roman" w:cs="Helvetica"/>
          <w:b/>
          <w:bCs/>
          <w:sz w:val="14"/>
          <w:szCs w:val="26"/>
        </w:rPr>
        <w:t xml:space="preserve"> </w:t>
      </w:r>
      <w:r w:rsidRPr="008B733F">
        <w:rPr>
          <w:rStyle w:val="StyleUnderline"/>
          <w:highlight w:val="yellow"/>
        </w:rPr>
        <w:t xml:space="preserve">Subjects do not become invisible when talking in these languages; they can actually attract more interest from the public. But at the same time, the content of their discussion remains somewhat sealed and opaque. It is through this practice, </w:t>
      </w:r>
      <w:r w:rsidRPr="008B733F">
        <w:rPr>
          <w:rStyle w:val="StyleUnderline"/>
        </w:rPr>
        <w:t xml:space="preserve">which is not vocal (although it is verbal) and </w:t>
      </w:r>
      <w:r w:rsidRPr="008B733F">
        <w:rPr>
          <w:rStyle w:val="StyleUnderline"/>
          <w:highlight w:val="yellow"/>
        </w:rPr>
        <w:t>which does not actively disrupt the status quo (and yet builds an alternative social space), that passivity is generated as a political action. I am referring to passivity not as a synonym for inactivity, but rather as a variety of tactics that manage to subvert norms</w:t>
      </w:r>
      <w:r w:rsidRPr="008B733F">
        <w:rPr>
          <w:rStyle w:val="StyleUnderline"/>
        </w:rPr>
        <w:t xml:space="preserve"> in ways that are not initially intended. While such cultural productions (language, music, dance, performativities, etc.) are not created with the intent to take over or substitute normative or mainstream culture, as other “active” modes of questioning would, they are forms of resistance. They refuse to be assimilated and “normalized,” choosing instead to produce an alternative that provides a safer space of expression and which—by the way—also has the potential to mock and subvert the norm</w:t>
      </w:r>
      <w:r w:rsidRPr="008B733F">
        <w:rPr>
          <w:rFonts w:eastAsia="Times New Roman" w:cs="Times New Roman"/>
          <w:sz w:val="14"/>
          <w:szCs w:val="26"/>
        </w:rPr>
        <w:t xml:space="preserve">. As Jonathan D. Katz says in reference to John Cage’s silences: “Closeted people seek to ape dominant discursive forms, to participate as seamlessly as possible in hegemonic constructions. They do not, in my experience, draw attention to </w:t>
      </w:r>
      <w:r w:rsidRPr="008B733F">
        <w:rPr>
          <w:sz w:val="14"/>
        </w:rPr>
        <w:t>themselves.”</w:t>
      </w:r>
      <w:hyperlink r:id="rId26" w:anchor="_ftn25" w:history="1">
        <w:r w:rsidRPr="008B733F">
          <w:rPr>
            <w:rStyle w:val="Hyperlink"/>
            <w:sz w:val="14"/>
          </w:rPr>
          <w:t>25</w:t>
        </w:r>
      </w:hyperlink>
      <w:r w:rsidRPr="008B733F">
        <w:rPr>
          <w:rFonts w:eastAsia="Times New Roman" w:cs="Times New Roman"/>
          <w:sz w:val="14"/>
          <w:szCs w:val="26"/>
        </w:rPr>
        <w:t xml:space="preserve"> Thus, </w:t>
      </w:r>
      <w:r w:rsidRPr="008B733F">
        <w:rPr>
          <w:rStyle w:val="StyleUnderline"/>
        </w:rPr>
        <w:t xml:space="preserve">finding opaque ways of resisting seems to be a somewhat efficient option. </w:t>
      </w:r>
      <w:r w:rsidRPr="008B733F">
        <w:rPr>
          <w:rStyle w:val="StyleUnderline"/>
          <w:highlight w:val="yellow"/>
        </w:rPr>
        <w:t>The mannerisms and vocabulary of these slangs are flexible and made to be customizable so they can better serve the speaker. Creation and use of queer slangs is not a forceful destabilization of the status quo</w:t>
      </w:r>
      <w:r w:rsidRPr="008B733F">
        <w:rPr>
          <w:rStyle w:val="StyleUnderline"/>
        </w:rPr>
        <w:t xml:space="preserve"> and the official/mainstream languages, </w:t>
      </w:r>
      <w:r w:rsidRPr="008B733F">
        <w:rPr>
          <w:rStyle w:val="StyleUnderline"/>
          <w:highlight w:val="yellow"/>
        </w:rPr>
        <w:t>but at the same time, using them is a refusal of complete silence. Silence here refers both to not speaking and to not speaking audibly against the regime. Queer slangs</w:t>
      </w:r>
      <w:r w:rsidRPr="008B733F">
        <w:rPr>
          <w:rStyle w:val="StyleUnderline"/>
        </w:rPr>
        <w:t xml:space="preserve"> remain in a rather liminal space between inactivity and straightforward revolutionary action. It </w:t>
      </w:r>
      <w:r w:rsidRPr="008B733F">
        <w:rPr>
          <w:rStyle w:val="StyleUnderline"/>
          <w:highlight w:val="yellow"/>
        </w:rPr>
        <w:t>is a form of creative resistance</w:t>
      </w:r>
      <w:r w:rsidRPr="008B733F">
        <w:rPr>
          <w:rStyle w:val="StyleUnderline"/>
        </w:rPr>
        <w:t xml:space="preserve">, a way of producing a parallel social space of expression whose existence might in some ways indirectly affect the mainstream as well, without that being the primary concern or objective behind them. </w:t>
      </w:r>
      <w:r w:rsidRPr="008B733F">
        <w:rPr>
          <w:rStyle w:val="StyleUnderline"/>
          <w:highlight w:val="yellow"/>
        </w:rPr>
        <w:t>These languages, when used in the vicinity of outsiders, are indeed audible but not transparent; they remain opaque, allowing the nonspeakers to identify the speakers as belonging to a certain group, but not being able to pinpoint what group that is. This creates a rift in the homogenous social fabric.</w:t>
      </w:r>
      <w:r w:rsidRPr="008B733F">
        <w:rPr>
          <w:rFonts w:eastAsia="Times New Roman" w:cs="Times New Roman"/>
          <w:b/>
          <w:sz w:val="14"/>
          <w:szCs w:val="26"/>
        </w:rPr>
        <w:t xml:space="preserve"> </w:t>
      </w:r>
      <w:r w:rsidRPr="008B733F">
        <w:rPr>
          <w:rFonts w:eastAsia="Times New Roman" w:cs="Times New Roman"/>
          <w:sz w:val="14"/>
          <w:szCs w:val="26"/>
        </w:rPr>
        <w:t xml:space="preserve">Katz addresses a similar paradox when he speaks of the irony in the work of John Cage, a composer who made the loudness of silence his hallmark: </w:t>
      </w:r>
      <w:r w:rsidRPr="008B733F">
        <w:rPr>
          <w:rFonts w:eastAsia="Times New Roman" w:cs="Helvetica"/>
          <w:sz w:val="14"/>
          <w:szCs w:val="26"/>
        </w:rPr>
        <w:t xml:space="preserve">Irony’s distinction between what is said and what is meant opened up a space of otherness that was not understood as specifically oppositional. As a “readerly” relation, irony is recognized, not written, understood not declared. And irony would prove to be a means through which resistance could figure in a culture of </w:t>
      </w:r>
      <w:r w:rsidRPr="008B733F">
        <w:rPr>
          <w:sz w:val="14"/>
        </w:rPr>
        <w:t>coercion.</w:t>
      </w:r>
      <w:hyperlink r:id="rId27" w:anchor="_ftn27" w:history="1">
        <w:r w:rsidRPr="008B733F">
          <w:rPr>
            <w:rStyle w:val="Hyperlink"/>
            <w:sz w:val="14"/>
          </w:rPr>
          <w:t>27</w:t>
        </w:r>
      </w:hyperlink>
      <w:r w:rsidRPr="008B733F">
        <w:rPr>
          <w:sz w:val="14"/>
        </w:rPr>
        <w:t xml:space="preserve"> Cage</w:t>
      </w:r>
      <w:r w:rsidRPr="008B733F">
        <w:rPr>
          <w:rFonts w:eastAsia="Times New Roman" w:cs="Times New Roman"/>
          <w:sz w:val="14"/>
          <w:szCs w:val="26"/>
        </w:rPr>
        <w:t xml:space="preserve"> used silence as a means to not be silent/silenced, and in a very similar manner queer subjects opt out of mainstream modes of communication and produce a separate sonic space with with a specific membership. While art is made in order to be public and communicated (at least in most cases)—and Cage’s art was very much so—these languages are supposed to be communicated within certain limits, those of the social space they help to produce.</w:t>
      </w:r>
      <w:r w:rsidRPr="008B733F">
        <w:rPr>
          <w:rStyle w:val="StyleUnderline"/>
        </w:rPr>
        <w:t xml:space="preserve"> I think the way they operate in producing rifts in wider society is by the casual, perhaps accidental moments they engender. They don’t need to be translated, and one does not need to be fully aware of the speakers’ subjectivities, but </w:t>
      </w:r>
      <w:r w:rsidRPr="008B733F">
        <w:rPr>
          <w:rStyle w:val="StyleUnderline"/>
          <w:highlight w:val="yellow"/>
        </w:rPr>
        <w:t>the sheer fact that certain nonconforming individuals are speaking an unfamiliar dialect might be all it takes to create the impression that there is a very much present, active, and creative community producing its own subculture</w:t>
      </w:r>
      <w:r w:rsidRPr="008B733F">
        <w:rPr>
          <w:rStyle w:val="StyleUnderline"/>
        </w:rPr>
        <w:t xml:space="preserve">, and that might already be enough. These </w:t>
      </w:r>
      <w:r w:rsidRPr="008B733F">
        <w:rPr>
          <w:rStyle w:val="StyleUnderline"/>
          <w:highlight w:val="yellow"/>
        </w:rPr>
        <w:t>queer languages</w:t>
      </w:r>
      <w:r w:rsidRPr="008B733F">
        <w:rPr>
          <w:rStyle w:val="StyleUnderline"/>
        </w:rPr>
        <w:t xml:space="preserve"> do not produce new, politically informed revolutionary terminology. But they are very much present, occupying a terrain between explicit action-oriented politics and compliance. They </w:t>
      </w:r>
      <w:r w:rsidRPr="008B733F">
        <w:rPr>
          <w:rStyle w:val="StyleUnderline"/>
          <w:highlight w:val="yellow"/>
        </w:rPr>
        <w:t>operate under cover of opacity and empower the marginalized, giving them space for existence, expression, and safety. Queer languages are anti-authoritative</w:t>
      </w:r>
      <w:r w:rsidRPr="008B733F">
        <w:rPr>
          <w:rStyle w:val="StyleUnderline"/>
        </w:rPr>
        <w:t xml:space="preserve"> and as such, according to Katz says, “</w:t>
      </w:r>
      <w:r w:rsidRPr="008B733F">
        <w:rPr>
          <w:rStyle w:val="StyleUnderline"/>
          <w:highlight w:val="yellow"/>
        </w:rPr>
        <w:t>they reveal the power of the individual to construct meaning unauthorized by dominant culture—and all the while, under its very nose.”</w:t>
      </w:r>
      <w:hyperlink r:id="rId28" w:anchor="_ftn28" w:history="1">
        <w:r w:rsidRPr="008B733F">
          <w:rPr>
            <w:rStyle w:val="Hyperlink"/>
            <w:sz w:val="14"/>
          </w:rPr>
          <w:t>28</w:t>
        </w:r>
      </w:hyperlink>
      <w:r w:rsidRPr="008B733F">
        <w:rPr>
          <w:sz w:val="14"/>
        </w:rPr>
        <w:t xml:space="preserve"> It’s not by accident that during the Greek military dictatorship of the late 1960s and early ‘70s, popular satirical theater used Kaliarda as a way to avoid censorship. For “precarious” words, they substituted Kaliarda words, introducing these words to a general audience and letting this audience figure them out for themselves. In the UK a few years earlier, between 1965 and 1968, a BBC radio show that aired on Sunday afternoons and addressed the “entire family” featured two out-of-work camp actors who used Polari at a time when homosexuality was still illegal in the UK. Kaliarda is nontransparent not only because of its neologisms and semantically altered Greek words, but also because it is spoken very fast. The words acquire meaning and specificity thanks to the contextualization offered by performative gestures and body language. Kaliarda is seen as the quintessence of camp performance, which itself is often referred to as a method of resistance that, according to David Halperin, resists the power of the system from within.</w:t>
      </w:r>
      <w:hyperlink r:id="rId29" w:anchor="_ftn29" w:history="1">
        <w:r w:rsidRPr="008B733F">
          <w:rPr>
            <w:rStyle w:val="Hyperlink"/>
            <w:sz w:val="14"/>
          </w:rPr>
          <w:t>29</w:t>
        </w:r>
      </w:hyperlink>
      <w:r w:rsidRPr="008B733F">
        <w:rPr>
          <w:sz w:val="14"/>
        </w:rPr>
        <w:t xml:space="preserve"> As N</w:t>
      </w:r>
      <w:r w:rsidRPr="008B733F">
        <w:rPr>
          <w:rFonts w:eastAsia="Times New Roman" w:cs="Times New Roman"/>
          <w:sz w:val="14"/>
          <w:szCs w:val="26"/>
        </w:rPr>
        <w:t xml:space="preserve">icholas De Villiers writes: </w:t>
      </w:r>
      <w:r w:rsidRPr="008B733F">
        <w:rPr>
          <w:rFonts w:eastAsia="Times New Roman" w:cs="Helvetica"/>
          <w:sz w:val="14"/>
          <w:szCs w:val="26"/>
        </w:rPr>
        <w:t xml:space="preserve">In an insistence of “Camp” as a </w:t>
      </w:r>
      <w:r w:rsidRPr="008B733F">
        <w:rPr>
          <w:rFonts w:eastAsia="Times New Roman" w:cs="Helvetica"/>
          <w:i/>
          <w:iCs/>
          <w:sz w:val="14"/>
          <w:szCs w:val="26"/>
        </w:rPr>
        <w:t>queer</w:t>
      </w:r>
      <w:r w:rsidRPr="008B733F">
        <w:rPr>
          <w:rFonts w:eastAsia="Times New Roman" w:cs="Helvetica"/>
          <w:sz w:val="14"/>
          <w:szCs w:val="26"/>
        </w:rPr>
        <w:t xml:space="preserve"> strategy of political resistance Moe Meyer clarifies his use of the term in the following way: </w:t>
      </w:r>
      <w:r w:rsidRPr="008B733F">
        <w:rPr>
          <w:rStyle w:val="StyleUnderline"/>
        </w:rPr>
        <w:t>“What ‘queer’ signals is an ontological challenge that displaces bourgeois notions of the Self as unique, abiding, and continuous while substituting instead a concept of the Self as performative, improvisational, discontinuous and processually constituted by repetitive and stylized acts.”</w:t>
      </w:r>
      <w:hyperlink r:id="rId30" w:anchor="_ftn30" w:history="1">
        <w:r w:rsidRPr="008B733F">
          <w:rPr>
            <w:rStyle w:val="Hyperlink"/>
            <w:sz w:val="14"/>
          </w:rPr>
          <w:t>30</w:t>
        </w:r>
      </w:hyperlink>
      <w:r w:rsidRPr="008B733F">
        <w:rPr>
          <w:rStyle w:val="StyleUnderline"/>
        </w:rPr>
        <w:t xml:space="preserve"> I think queer languages could be one of the answers to De Villiers’s questions in the preface of his book: “What if we were to look at speech as nonrevelatory, outside the parameters of confession and truth, the humanist desire for reflection, and the ideal of transparency? What if we were to attend to its opacity? What would such an opacity look or sound like, and what would be its function?”</w:t>
      </w:r>
      <w:hyperlink r:id="rId31" w:anchor="_ftn31" w:history="1">
        <w:r w:rsidRPr="008B733F">
          <w:rPr>
            <w:rStyle w:val="Hyperlink"/>
            <w:sz w:val="14"/>
          </w:rPr>
          <w:t>31</w:t>
        </w:r>
      </w:hyperlink>
    </w:p>
    <w:p w:rsidR="00E93C32" w:rsidRDefault="00E93C32" w:rsidP="00E93C32"/>
    <w:p w:rsidR="00E93C32" w:rsidRPr="00A73DF2" w:rsidRDefault="007F00D7" w:rsidP="00E93C32">
      <w:pPr>
        <w:pStyle w:val="Heading4"/>
      </w:pPr>
      <w:r>
        <w:t xml:space="preserve">Solvency: </w:t>
      </w:r>
      <w:r w:rsidR="00E93C32">
        <w:t>Queering language solves</w:t>
      </w:r>
    </w:p>
    <w:p w:rsidR="00E93C32" w:rsidRPr="00A73DF2" w:rsidRDefault="00E93C32" w:rsidP="00E93C32">
      <w:r w:rsidRPr="00A73DF2">
        <w:rPr>
          <w:rStyle w:val="Style13ptBold"/>
        </w:rPr>
        <w:t>Koerner 11.</w:t>
      </w:r>
      <w:r w:rsidRPr="00A73DF2">
        <w:rPr>
          <w:sz w:val="16"/>
          <w:szCs w:val="16"/>
        </w:rPr>
        <w:t xml:space="preserve"> Michelle Koerner, professor of women’s studies at Duke, “Lines of Escape: Gilles Deleuze’s Encounter with George Jackson,” Genre, Vol. 44, No. 2 Summer 2011 pg. 164</w:t>
      </w:r>
    </w:p>
    <w:p w:rsidR="00E93C32" w:rsidRPr="008B733F" w:rsidRDefault="00E93C32" w:rsidP="00E93C32">
      <w:pPr>
        <w:rPr>
          <w:rStyle w:val="StyleUnderline"/>
          <w:highlight w:val="yellow"/>
        </w:rPr>
      </w:pPr>
      <w:r w:rsidRPr="00A73DF2">
        <w:t xml:space="preserve">Writing </w:t>
      </w:r>
      <w:r w:rsidRPr="008B733F">
        <w:rPr>
          <w:rStyle w:val="StyleUnderline"/>
        </w:rPr>
        <w:t>On the first page of the provocatively titled essay “On the Superiority of Anglo- American Literature,” Jackson’s line is once again deployed, but here it is in reference to the idea that the “</w:t>
      </w:r>
      <w:r w:rsidRPr="008B733F">
        <w:rPr>
          <w:rStyle w:val="StyleUnderline"/>
          <w:highlight w:val="yellow"/>
        </w:rPr>
        <w:t>highest aim of literature</w:t>
      </w:r>
      <w:r w:rsidRPr="008B733F">
        <w:rPr>
          <w:rStyle w:val="StyleUnderline"/>
        </w:rPr>
        <w:t xml:space="preserve">” is to </w:t>
      </w:r>
      <w:r w:rsidRPr="008B733F">
        <w:rPr>
          <w:rStyle w:val="StyleUnderline"/>
          <w:highlight w:val="yellow"/>
        </w:rPr>
        <w:t>escape</w:t>
      </w:r>
      <w:r w:rsidRPr="00A73DF2">
        <w:rPr>
          <w:sz w:val="16"/>
          <w:szCs w:val="26"/>
        </w:rPr>
        <w:t xml:space="preserve"> (Deleuze and Parnet [1977] 2006: 26). </w:t>
      </w:r>
      <w:r w:rsidRPr="008B733F">
        <w:rPr>
          <w:rStyle w:val="StyleUnderline"/>
        </w:rPr>
        <w:t xml:space="preserve">An </w:t>
      </w:r>
      <w:r w:rsidRPr="008B733F">
        <w:rPr>
          <w:rStyle w:val="StyleUnderline"/>
          <w:highlight w:val="yellow"/>
        </w:rPr>
        <w:t>interesting convergence</w:t>
      </w:r>
      <w:r w:rsidRPr="008B733F">
        <w:rPr>
          <w:rStyle w:val="StyleUnderline"/>
        </w:rPr>
        <w:t xml:space="preserve"> occurs here </w:t>
      </w:r>
      <w:r w:rsidRPr="008B733F">
        <w:rPr>
          <w:rStyle w:val="StyleUnderline"/>
          <w:highlight w:val="yellow"/>
        </w:rPr>
        <w:t>between political and aesthetic practices</w:t>
      </w:r>
      <w:r w:rsidRPr="008B733F">
        <w:rPr>
          <w:rStyle w:val="StyleUnderline"/>
        </w:rPr>
        <w:t>, suggesting an indiscernibility between the two insofar as both effectuate becomings</w:t>
      </w:r>
      <w:r w:rsidRPr="00A73DF2">
        <w:rPr>
          <w:sz w:val="16"/>
          <w:szCs w:val="26"/>
        </w:rPr>
        <w:t>. Genet had already made a similar point in describing Soledad Brother as a “</w:t>
      </w:r>
      <w:r w:rsidRPr="008B733F">
        <w:rPr>
          <w:rStyle w:val="StyleUnderline"/>
        </w:rPr>
        <w:t>poem of love and combat,”</w:t>
      </w:r>
      <w:r w:rsidRPr="00A73DF2">
        <w:rPr>
          <w:sz w:val="16"/>
          <w:szCs w:val="26"/>
        </w:rPr>
        <w:t xml:space="preserve"> but deploying Jackson with respect to the question of literature as such, this essay invites us to rethink a more profound relation between blackness and writing. At some distance from traditional Marxist theory, </w:t>
      </w:r>
      <w:r w:rsidRPr="008B733F">
        <w:rPr>
          <w:rStyle w:val="StyleUnderline"/>
        </w:rPr>
        <w:t xml:space="preserve">Deleuze and Parnet insist we reject any account of literature as </w:t>
      </w:r>
      <w:r w:rsidRPr="008B733F">
        <w:rPr>
          <w:rStyle w:val="StyleUnderline"/>
          <w:highlight w:val="yellow"/>
        </w:rPr>
        <w:t>an “imaginary representation”</w:t>
      </w:r>
      <w:r w:rsidRPr="008B733F">
        <w:rPr>
          <w:rStyle w:val="StyleUnderline"/>
        </w:rPr>
        <w:t xml:space="preserve"> of real conditions (literature as ideology) in order to consider writing as a production at the level of real conditions</w:t>
      </w:r>
      <w:r w:rsidRPr="00A73DF2">
        <w:rPr>
          <w:sz w:val="16"/>
          <w:szCs w:val="26"/>
        </w:rPr>
        <w:t xml:space="preserve">.10 </w:t>
      </w:r>
      <w:r w:rsidRPr="008B733F">
        <w:rPr>
          <w:rStyle w:val="StyleUnderline"/>
        </w:rPr>
        <w:t xml:space="preserve">Writing, which is to say </w:t>
      </w:r>
      <w:r w:rsidRPr="008B733F">
        <w:rPr>
          <w:rStyle w:val="StyleUnderline"/>
          <w:highlight w:val="yellow"/>
        </w:rPr>
        <w:t>the unleashing of the creative force of becoming</w:t>
      </w:r>
      <w:r w:rsidRPr="008B733F">
        <w:rPr>
          <w:rStyle w:val="StyleUnderline"/>
        </w:rPr>
        <w:t xml:space="preserve"> in language (a line of flight), is not finally </w:t>
      </w:r>
      <w:r w:rsidRPr="008B733F">
        <w:rPr>
          <w:rStyle w:val="StyleUnderline"/>
          <w:highlight w:val="yellow"/>
        </w:rPr>
        <w:t>reducible</w:t>
      </w:r>
      <w:r w:rsidRPr="008B733F">
        <w:rPr>
          <w:rStyle w:val="StyleUnderline"/>
        </w:rPr>
        <w:t xml:space="preserve"> to already </w:t>
      </w:r>
      <w:r w:rsidRPr="008B733F">
        <w:rPr>
          <w:rStyle w:val="StyleUnderline"/>
          <w:highlight w:val="yellow"/>
        </w:rPr>
        <w:t>existing historical conditions</w:t>
      </w:r>
      <w:r w:rsidRPr="008B733F">
        <w:rPr>
          <w:rStyle w:val="StyleUnderline"/>
        </w:rPr>
        <w:t xml:space="preserve">, because such an act involves </w:t>
      </w:r>
      <w:r w:rsidRPr="008B733F">
        <w:rPr>
          <w:rStyle w:val="StyleUnderline"/>
          <w:highlight w:val="yellow"/>
        </w:rPr>
        <w:t>the production of new conditions</w:t>
      </w:r>
      <w:r w:rsidRPr="008B733F">
        <w:rPr>
          <w:rStyle w:val="StyleUnderline"/>
        </w:rPr>
        <w:t xml:space="preserve">. </w:t>
      </w:r>
      <w:r w:rsidRPr="008B733F">
        <w:rPr>
          <w:rStyle w:val="StyleUnderline"/>
          <w:highlight w:val="yellow"/>
        </w:rPr>
        <w:t>Literature</w:t>
      </w:r>
      <w:r w:rsidRPr="00A73DF2">
        <w:rPr>
          <w:sz w:val="16"/>
          <w:szCs w:val="26"/>
        </w:rPr>
        <w:t xml:space="preserve">, as they underscore, </w:t>
      </w:r>
      <w:r w:rsidRPr="008B733F">
        <w:rPr>
          <w:rStyle w:val="StyleUnderline"/>
          <w:highlight w:val="yellow"/>
        </w:rPr>
        <w:t>is driven by a desire to liberate what existing conditions seek to govern, block, capture; as such, it asserts a force in the world that existing conditions would otherwise reduce to nonexistence</w:t>
      </w:r>
      <w:r w:rsidRPr="008B733F">
        <w:rPr>
          <w:rStyle w:val="StyleUnderline"/>
        </w:rPr>
        <w:t xml:space="preserve">. </w:t>
      </w:r>
      <w:r w:rsidRPr="00A73DF2">
        <w:rPr>
          <w:sz w:val="16"/>
          <w:szCs w:val="26"/>
        </w:rPr>
        <w:t xml:space="preserve">Such formulations enable a radical assertion: </w:t>
      </w:r>
      <w:r w:rsidRPr="008B733F">
        <w:rPr>
          <w:rStyle w:val="StyleUnderline"/>
        </w:rPr>
        <w:t>Soledad Brother</w:t>
      </w:r>
      <w:r w:rsidRPr="00A73DF2">
        <w:rPr>
          <w:sz w:val="16"/>
          <w:szCs w:val="26"/>
        </w:rPr>
        <w:t xml:space="preserve">, insofar as </w:t>
      </w:r>
      <w:r w:rsidRPr="008B733F">
        <w:rPr>
          <w:rStyle w:val="StyleUnderline"/>
        </w:rPr>
        <w:t xml:space="preserve">Jackson’s letters defy the prison system and the arrangement of a social order defined by the criminalization and capture of blackness, </w:t>
      </w:r>
      <w:r w:rsidRPr="008B733F">
        <w:rPr>
          <w:rStyle w:val="StyleUnderline"/>
          <w:highlight w:val="yellow"/>
        </w:rPr>
        <w:t>escapes</w:t>
      </w:r>
      <w:r w:rsidRPr="008B733F">
        <w:rPr>
          <w:rStyle w:val="StyleUnderline"/>
        </w:rPr>
        <w:t xml:space="preserve"> what would otherwise be thought of as </w:t>
      </w:r>
      <w:r w:rsidRPr="008B733F">
        <w:rPr>
          <w:rStyle w:val="StyleUnderline"/>
          <w:highlight w:val="yellow"/>
        </w:rPr>
        <w:t>the historical conditions of its production</w:t>
      </w:r>
      <w:r w:rsidRPr="00A73DF2">
        <w:rPr>
          <w:sz w:val="16"/>
          <w:szCs w:val="26"/>
        </w:rPr>
        <w:t xml:space="preserve">. Jackson’s writing gains its real force by a total refusal to adjust to existing conditions of capture, enslavement, and incarceration. And </w:t>
      </w:r>
      <w:r w:rsidRPr="008B733F">
        <w:rPr>
          <w:rStyle w:val="StyleUnderline"/>
        </w:rPr>
        <w:t xml:space="preserve">it does so concretely by </w:t>
      </w:r>
      <w:r w:rsidRPr="008B733F">
        <w:rPr>
          <w:rStyle w:val="StyleUnderline"/>
          <w:highlight w:val="yellow"/>
        </w:rPr>
        <w:t>rejecting the subjectivity</w:t>
      </w:r>
      <w:r w:rsidRPr="008B733F">
        <w:rPr>
          <w:rStyle w:val="StyleUnderline"/>
        </w:rPr>
        <w:t xml:space="preserve"> produced by the structures of</w:t>
      </w:r>
      <w:r w:rsidRPr="00A73DF2">
        <w:rPr>
          <w:sz w:val="16"/>
          <w:szCs w:val="26"/>
        </w:rPr>
        <w:t xml:space="preserve"> what Genet, in his introduction to the letters, </w:t>
      </w:r>
      <w:r w:rsidRPr="008B733F">
        <w:rPr>
          <w:rStyle w:val="StyleUnderline"/>
          <w:highlight w:val="yellow"/>
        </w:rPr>
        <w:t>called the “enemy’s language”</w:t>
      </w:r>
      <w:r w:rsidRPr="00A73DF2">
        <w:rPr>
          <w:sz w:val="16"/>
          <w:szCs w:val="26"/>
        </w:rPr>
        <w:t xml:space="preserve"> (Jackson [1970] 1994: 336). </w:t>
      </w:r>
      <w:r w:rsidRPr="008B733F">
        <w:rPr>
          <w:rStyle w:val="StyleUnderline"/>
        </w:rPr>
        <w:t>Jackson</w:t>
      </w:r>
      <w:r w:rsidRPr="00A73DF2">
        <w:rPr>
          <w:sz w:val="16"/>
          <w:szCs w:val="26"/>
        </w:rPr>
        <w:t xml:space="preserve"> (ibid.: 190, 305) </w:t>
      </w:r>
      <w:r w:rsidRPr="008B733F">
        <w:rPr>
          <w:rStyle w:val="StyleUnderline"/>
        </w:rPr>
        <w:t>himself underscores</w:t>
      </w:r>
      <w:r w:rsidRPr="00A73DF2">
        <w:rPr>
          <w:sz w:val="16"/>
          <w:szCs w:val="26"/>
        </w:rPr>
        <w:t xml:space="preserve"> this dimension of the letters several times, remarking, </w:t>
      </w:r>
      <w:r w:rsidRPr="008B733F">
        <w:rPr>
          <w:rStyle w:val="StyleUnderline"/>
          <w:highlight w:val="yellow"/>
        </w:rPr>
        <w:t>“I work on words,”</w:t>
      </w:r>
      <w:r w:rsidRPr="00A73DF2">
        <w:rPr>
          <w:sz w:val="16"/>
          <w:szCs w:val="26"/>
        </w:rPr>
        <w:t xml:space="preserve"> and more precisely </w:t>
      </w:r>
      <w:r w:rsidRPr="008B733F">
        <w:rPr>
          <w:rStyle w:val="StyleUnderline"/>
        </w:rPr>
        <w:t xml:space="preserve">describing an operation by which </w:t>
      </w:r>
      <w:r w:rsidRPr="008B733F">
        <w:rPr>
          <w:rStyle w:val="StyleUnderline"/>
          <w:highlight w:val="yellow"/>
        </w:rPr>
        <w:t>the intensities of black resistance</w:t>
      </w:r>
      <w:r w:rsidRPr="008B733F">
        <w:rPr>
          <w:rStyle w:val="StyleUnderline"/>
        </w:rPr>
        <w:t xml:space="preserve"> come to be expressed in writing</w:t>
      </w:r>
      <w:r w:rsidRPr="00A73DF2">
        <w:rPr>
          <w:sz w:val="16"/>
          <w:szCs w:val="26"/>
        </w:rPr>
        <w:t>: “</w:t>
      </w:r>
      <w:r w:rsidRPr="008B733F">
        <w:rPr>
          <w:rStyle w:val="StyleUnderline"/>
        </w:rPr>
        <w:t xml:space="preserve">We can connect the two, feeling and writing, </w:t>
      </w:r>
      <w:r w:rsidRPr="008B733F">
        <w:rPr>
          <w:rStyle w:val="StyleUnderline"/>
          <w:highlight w:val="yellow"/>
        </w:rPr>
        <w:t>just drop the syntax”</w:t>
      </w:r>
      <w:r w:rsidRPr="00A73DF2">
        <w:rPr>
          <w:sz w:val="16"/>
          <w:szCs w:val="26"/>
        </w:rPr>
        <w:t xml:space="preserve"> (ibid.: 331). The specific feeling invoked here is linked first to Jackson’s total rejection of the terms of captive society—“the feeling of capture . . . this slave can never adjust to it” (ibid.: 40) — but </w:t>
      </w:r>
      <w:r w:rsidRPr="008B733F">
        <w:rPr>
          <w:rStyle w:val="StyleUnderline"/>
        </w:rPr>
        <w:t>it further affirms a connection to the “uncounted generations” of enslaved black labor: “I feel all they ever felt, but double”</w:t>
      </w:r>
      <w:r w:rsidRPr="00A73DF2">
        <w:rPr>
          <w:sz w:val="16"/>
          <w:szCs w:val="26"/>
        </w:rPr>
        <w:t xml:space="preserve"> (ibid.: 233). </w:t>
      </w:r>
      <w:r w:rsidRPr="008B733F">
        <w:rPr>
          <w:rStyle w:val="StyleUnderline"/>
        </w:rPr>
        <w:t xml:space="preserve">In dropping the syntax, Jackson describes a method for </w:t>
      </w:r>
      <w:r w:rsidRPr="008B733F">
        <w:rPr>
          <w:rStyle w:val="StyleUnderline"/>
          <w:highlight w:val="yellow"/>
        </w:rPr>
        <w:t>rearticulating the relationship</w:t>
      </w:r>
      <w:r w:rsidRPr="008B733F">
        <w:rPr>
          <w:rStyle w:val="StyleUnderline"/>
        </w:rPr>
        <w:t xml:space="preserve"> between the historical experience of capture (and the multiplicity of feeling carried across the passage) and the feeling of that experience. </w:t>
      </w:r>
      <w:r w:rsidRPr="00A73DF2">
        <w:rPr>
          <w:sz w:val="16"/>
          <w:szCs w:val="26"/>
        </w:rPr>
        <w:t xml:space="preserve">In his introduction to Soledad Brother, Genet focuses almost entirely on how </w:t>
      </w:r>
      <w:r w:rsidRPr="008B733F">
        <w:rPr>
          <w:rStyle w:val="StyleUnderline"/>
        </w:rPr>
        <w:t xml:space="preserve">Jackson’s use of </w:t>
      </w:r>
      <w:r w:rsidRPr="008B733F">
        <w:rPr>
          <w:rStyle w:val="StyleUnderline"/>
          <w:highlight w:val="yellow"/>
        </w:rPr>
        <w:t>language could be understood as a “weapon”</w:t>
      </w:r>
      <w:r w:rsidRPr="008B733F">
        <w:rPr>
          <w:rStyle w:val="StyleUnderline"/>
        </w:rPr>
        <w:t xml:space="preserve"> precisely </w:t>
      </w:r>
      <w:r w:rsidRPr="008B733F">
        <w:rPr>
          <w:rStyle w:val="StyleUnderline"/>
          <w:highlight w:val="yellow"/>
        </w:rPr>
        <w:t>because</w:t>
      </w:r>
      <w:r w:rsidRPr="008B733F">
        <w:rPr>
          <w:rStyle w:val="StyleUnderline"/>
        </w:rPr>
        <w:t xml:space="preserve"> Jackson’s lines were shot through with such violent hatred of </w:t>
      </w:r>
      <w:r w:rsidRPr="008B733F">
        <w:rPr>
          <w:rStyle w:val="StyleUnderline"/>
          <w:highlight w:val="yellow"/>
        </w:rPr>
        <w:t>the “words and syntax of his enemy”</w:t>
      </w:r>
      <w:r w:rsidRPr="008B733F">
        <w:rPr>
          <w:rStyle w:val="StyleUnderline"/>
        </w:rPr>
        <w:t xml:space="preserve"> that he “has only one recourse: to accept this language but </w:t>
      </w:r>
      <w:r w:rsidRPr="008B733F">
        <w:rPr>
          <w:rStyle w:val="StyleUnderline"/>
          <w:highlight w:val="yellow"/>
        </w:rPr>
        <w:t>to corrupt it so skillfully the whites will be caught in his trap”</w:t>
      </w:r>
      <w:r w:rsidRPr="00A73DF2">
        <w:rPr>
          <w:sz w:val="16"/>
          <w:szCs w:val="26"/>
        </w:rPr>
        <w:t xml:space="preserve"> (ibid.: 336).11</w:t>
      </w:r>
      <w:r w:rsidRPr="007F00D7">
        <w:rPr>
          <w:b/>
          <w:sz w:val="16"/>
          <w:szCs w:val="26"/>
        </w:rPr>
        <w:t xml:space="preserve"> </w:t>
      </w:r>
      <w:r w:rsidRPr="008B733F">
        <w:rPr>
          <w:rStyle w:val="StyleUnderline"/>
          <w:highlight w:val="yellow"/>
        </w:rPr>
        <w:t>In corrupting the “words and syntax” of domination, one directly attacks the “conditions that destroy life,” because language is here considered a mechanism by which one’s thought, agency, relations, and subjectivity are “caught” by Power</w:t>
      </w:r>
      <w:r w:rsidRPr="00A73DF2">
        <w:rPr>
          <w:sz w:val="16"/>
          <w:szCs w:val="26"/>
        </w:rPr>
        <w:t xml:space="preserve">. As can be seen, </w:t>
      </w:r>
      <w:r w:rsidRPr="008B733F">
        <w:rPr>
          <w:rStyle w:val="StyleUnderline"/>
        </w:rPr>
        <w:t xml:space="preserve">this idea </w:t>
      </w:r>
      <w:r w:rsidRPr="008B733F">
        <w:rPr>
          <w:rStyle w:val="StyleUnderline"/>
          <w:highlight w:val="yellow"/>
        </w:rPr>
        <w:t>is not</w:t>
      </w:r>
      <w:r w:rsidRPr="008B733F">
        <w:rPr>
          <w:rStyle w:val="StyleUnderline"/>
        </w:rPr>
        <w:t xml:space="preserve"> one that Genet imports into Soledad Brother</w:t>
      </w:r>
      <w:r w:rsidRPr="00A73DF2">
        <w:rPr>
          <w:sz w:val="16"/>
          <w:szCs w:val="26"/>
        </w:rPr>
        <w:t xml:space="preserve">. Rather, these are ideas that Jackson himself has already emphasized. </w:t>
      </w:r>
      <w:r w:rsidRPr="008B733F">
        <w:rPr>
          <w:rStyle w:val="StyleUnderline"/>
        </w:rPr>
        <w:t xml:space="preserve">Jackson’s </w:t>
      </w:r>
      <w:r w:rsidRPr="008B733F">
        <w:rPr>
          <w:rStyle w:val="StyleUnderline"/>
          <w:highlight w:val="yellow"/>
        </w:rPr>
        <w:t>“minor use”</w:t>
      </w:r>
      <w:r w:rsidRPr="008B733F">
        <w:rPr>
          <w:rStyle w:val="StyleUnderline"/>
        </w:rPr>
        <w:t xml:space="preserve"> of a standard, major language thus contributes to Deleuze and Guattari’s understanding of literature</w:t>
      </w:r>
      <w:r w:rsidRPr="00A73DF2">
        <w:rPr>
          <w:sz w:val="16"/>
          <w:szCs w:val="26"/>
        </w:rPr>
        <w:t xml:space="preserve">. This is to say that, </w:t>
      </w:r>
      <w:r w:rsidRPr="008B733F">
        <w:rPr>
          <w:rStyle w:val="StyleUnderline"/>
        </w:rPr>
        <w:t>while commonly associated with Franz Kafka, the very notion of “minor literature” is also linked to the encounter between black radicalism and French philosophy in the early 1970s</w:t>
      </w:r>
      <w:r w:rsidRPr="00A73DF2">
        <w:rPr>
          <w:sz w:val="16"/>
          <w:szCs w:val="26"/>
        </w:rPr>
        <w:t xml:space="preserve">. The connection forged between writing and feeling in Jackson’s letters sug- gests that </w:t>
      </w:r>
      <w:r w:rsidRPr="008B733F">
        <w:rPr>
          <w:rStyle w:val="StyleUnderline"/>
        </w:rPr>
        <w:t>the production of resistant subjectivities always involves a dismantling of the dominant order of language</w:t>
      </w:r>
      <w:r w:rsidRPr="007F00D7">
        <w:rPr>
          <w:b/>
          <w:sz w:val="16"/>
          <w:szCs w:val="26"/>
        </w:rPr>
        <w:t xml:space="preserve">. </w:t>
      </w:r>
      <w:r w:rsidRPr="008B733F">
        <w:rPr>
          <w:rStyle w:val="StyleUnderline"/>
          <w:highlight w:val="yellow"/>
        </w:rPr>
        <w:t>To “drop the syntax” names a strategy for forcibly rearranging existing relations</w:t>
      </w:r>
      <w:r w:rsidRPr="00A73DF2">
        <w:rPr>
          <w:sz w:val="16"/>
          <w:szCs w:val="26"/>
        </w:rPr>
        <w:t xml:space="preserve">. </w:t>
      </w:r>
      <w:r w:rsidRPr="007F00D7">
        <w:rPr>
          <w:b/>
          <w:sz w:val="16"/>
          <w:szCs w:val="26"/>
        </w:rPr>
        <w:t xml:space="preserve">But </w:t>
      </w:r>
      <w:r w:rsidRPr="008B733F">
        <w:rPr>
          <w:rStyle w:val="StyleUnderline"/>
          <w:highlight w:val="yellow"/>
        </w:rPr>
        <w:t>such a strategy also implies that one releases something else, specifically the affective force of what resists those relations</w:t>
      </w:r>
      <w:r w:rsidRPr="007F00D7">
        <w:rPr>
          <w:b/>
          <w:sz w:val="16"/>
          <w:szCs w:val="26"/>
          <w:highlight w:val="yellow"/>
        </w:rPr>
        <w:t xml:space="preserve">. </w:t>
      </w:r>
      <w:r w:rsidRPr="008B733F">
        <w:rPr>
          <w:rStyle w:val="StyleUnderline"/>
          <w:highlight w:val="yellow"/>
        </w:rPr>
        <w:t>Writing here becomes the “active discharge of emotion, the counterattack</w:t>
      </w:r>
      <w:r w:rsidRPr="008B733F">
        <w:rPr>
          <w:rStyle w:val="StyleUnderline"/>
        </w:rPr>
        <w:t>”</w:t>
      </w:r>
      <w:r w:rsidRPr="00A73DF2">
        <w:rPr>
          <w:sz w:val="16"/>
          <w:szCs w:val="26"/>
        </w:rPr>
        <w:t xml:space="preserve"> (Deleuze and Guattari [1980] 1987: 400). Or put differently, </w:t>
      </w:r>
      <w:r w:rsidRPr="008B733F">
        <w:rPr>
          <w:rStyle w:val="StyleUnderline"/>
          <w:highlight w:val="yellow"/>
        </w:rPr>
        <w:t>writing becomes a weapon</w:t>
      </w:r>
      <w:r w:rsidRPr="00A73DF2">
        <w:rPr>
          <w:sz w:val="16"/>
          <w:szCs w:val="26"/>
        </w:rPr>
        <w:t>.12 When Deleuze (1997: 143) states that “</w:t>
      </w:r>
      <w:r w:rsidRPr="008B733F">
        <w:rPr>
          <w:rStyle w:val="StyleUnderline"/>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A73DF2">
        <w:rPr>
          <w:sz w:val="16"/>
          <w:szCs w:val="26"/>
        </w:rPr>
        <w:t xml:space="preserve">. As we will see, </w:t>
      </w:r>
      <w:r w:rsidRPr="008B733F">
        <w:rPr>
          <w:rStyle w:val="StyleUnderline"/>
        </w:rPr>
        <w:t xml:space="preserve">Jackson </w:t>
      </w:r>
      <w:r w:rsidRPr="008B733F">
        <w:rPr>
          <w:rStyle w:val="StyleUnderline"/>
          <w:highlight w:val="yellow"/>
        </w:rPr>
        <w:t>twists</w:t>
      </w:r>
      <w:r w:rsidRPr="008B733F">
        <w:rPr>
          <w:rStyle w:val="StyleUnderline"/>
        </w:rPr>
        <w:t xml:space="preserve"> and </w:t>
      </w:r>
      <w:r w:rsidRPr="008B733F">
        <w:rPr>
          <w:rStyle w:val="StyleUnderline"/>
          <w:highlight w:val="yellow"/>
        </w:rPr>
        <w:t>pulls</w:t>
      </w:r>
      <w:r w:rsidRPr="008B733F">
        <w:rPr>
          <w:rStyle w:val="StyleUnderline"/>
        </w:rPr>
        <w:t xml:space="preserve"> on </w:t>
      </w:r>
      <w:r w:rsidRPr="008B733F">
        <w:rPr>
          <w:rStyle w:val="StyleUnderline"/>
          <w:highlight w:val="yellow"/>
        </w:rPr>
        <w:t>the joints of language itself</w:t>
      </w:r>
      <w:r w:rsidRPr="008B733F">
        <w:rPr>
          <w:rStyle w:val="StyleUnderline"/>
        </w:rPr>
        <w:t>, quite literally seizing on the standard syntax until it breaks</w:t>
      </w:r>
      <w:r w:rsidRPr="00A73DF2">
        <w:rPr>
          <w:sz w:val="16"/>
          <w:szCs w:val="26"/>
        </w:rPr>
        <w:t xml:space="preserve">. In doing so, </w:t>
      </w:r>
      <w:r w:rsidRPr="008B733F">
        <w:rPr>
          <w:rStyle w:val="StyleUnderline"/>
        </w:rPr>
        <w:t xml:space="preserve">what Jackson describes as his “completely informal” style makes language an </w:t>
      </w:r>
      <w:r w:rsidRPr="008B733F">
        <w:rPr>
          <w:rStyle w:val="StyleUnderline"/>
          <w:highlight w:val="yellow"/>
        </w:rPr>
        <w:t>open field shot-through with fugitive uses</w:t>
      </w:r>
      <w:r w:rsidRPr="00A73DF2">
        <w:rPr>
          <w:sz w:val="16"/>
          <w:szCs w:val="26"/>
        </w:rPr>
        <w:t xml:space="preserve"> (Jackson [1970] 1994: 208). </w:t>
      </w:r>
      <w:r w:rsidRPr="008B733F">
        <w:rPr>
          <w:rStyle w:val="StyleUnderline"/>
        </w:rPr>
        <w:t xml:space="preserve">Writing becomes an </w:t>
      </w:r>
      <w:r w:rsidRPr="008B733F">
        <w:rPr>
          <w:rStyle w:val="StyleUnderline"/>
          <w:highlight w:val="yellow"/>
        </w:rPr>
        <w:t>expression of thought on the run</w:t>
      </w:r>
      <w:r w:rsidRPr="008B733F">
        <w:rPr>
          <w:rStyle w:val="StyleUnderline"/>
        </w:rPr>
        <w:t xml:space="preserve">, a way of </w:t>
      </w:r>
      <w:r w:rsidRPr="008B733F">
        <w:rPr>
          <w:rStyle w:val="StyleUnderline"/>
          <w:highlight w:val="yellow"/>
        </w:rPr>
        <w:t>mapping escape routes</w:t>
      </w:r>
      <w:r w:rsidRPr="008B733F">
        <w:rPr>
          <w:rStyle w:val="StyleUnderline"/>
        </w:rPr>
        <w:t xml:space="preserve"> and </w:t>
      </w:r>
      <w:r w:rsidRPr="008B733F">
        <w:rPr>
          <w:rStyle w:val="StyleUnderline"/>
          <w:highlight w:val="yellow"/>
        </w:rPr>
        <w:t>counterattacks</w:t>
      </w:r>
      <w:r w:rsidRPr="008B733F">
        <w:rPr>
          <w:rStyle w:val="StyleUnderline"/>
        </w:rPr>
        <w:t xml:space="preserve"> that cannot be adequately understood in terms of structure or an understanding of language as an invariable system. </w:t>
      </w:r>
      <w:r w:rsidRPr="00A73DF2">
        <w:rPr>
          <w:sz w:val="16"/>
          <w:szCs w:val="26"/>
        </w:rPr>
        <w:t xml:space="preserve">But </w:t>
      </w:r>
      <w:r w:rsidRPr="008B733F">
        <w:rPr>
          <w:rStyle w:val="StyleUnderline"/>
        </w:rPr>
        <w:t>escaping the existing dominant social order on “lines of flight”</w:t>
      </w:r>
      <w:r w:rsidRPr="00A73DF2">
        <w:rPr>
          <w:sz w:val="16"/>
          <w:szCs w:val="26"/>
        </w:rPr>
        <w:t xml:space="preserve"> — given the volatile intensities they assert in the world — </w:t>
      </w:r>
      <w:r w:rsidRPr="008B733F">
        <w:rPr>
          <w:rStyle w:val="StyleUnderline"/>
          <w:highlight w:val="yellow"/>
        </w:rPr>
        <w:t>carries a real danger</w:t>
      </w:r>
      <w:r w:rsidRPr="00A73DF2">
        <w:rPr>
          <w:sz w:val="16"/>
          <w:szCs w:val="26"/>
        </w:rPr>
        <w:t xml:space="preserve">. In A Thousand Plateaus Deleuze and Guattari ([1980] 1987: 229) note </w:t>
      </w:r>
      <w:r w:rsidRPr="008B733F">
        <w:rPr>
          <w:rStyle w:val="StyleUnderline"/>
        </w:rPr>
        <w:t xml:space="preserve">the risk of “the line of flight crossing the wall, getting out of the black holes, but </w:t>
      </w:r>
      <w:r w:rsidRPr="008B733F">
        <w:rPr>
          <w:rStyle w:val="StyleUnderline"/>
          <w:highlight w:val="yellow"/>
        </w:rPr>
        <w:t>instead of connecting</w:t>
      </w:r>
      <w:r w:rsidRPr="008B733F">
        <w:rPr>
          <w:rStyle w:val="StyleUnderline"/>
        </w:rPr>
        <w:t xml:space="preserve"> with other lines and each time augmenting its valence, </w:t>
      </w:r>
      <w:r w:rsidRPr="008B733F">
        <w:rPr>
          <w:rStyle w:val="StyleUnderline"/>
          <w:highlight w:val="yellow"/>
        </w:rPr>
        <w:t>turns to destruction</w:t>
      </w:r>
      <w:r w:rsidRPr="008B733F">
        <w:rPr>
          <w:rStyle w:val="StyleUnderline"/>
        </w:rPr>
        <w:t xml:space="preserve">, </w:t>
      </w:r>
      <w:r w:rsidRPr="008B733F">
        <w:rPr>
          <w:rStyle w:val="StyleUnderline"/>
          <w:highlight w:val="yellow"/>
        </w:rPr>
        <w:t>abolition</w:t>
      </w:r>
      <w:r w:rsidRPr="008B733F">
        <w:rPr>
          <w:rStyle w:val="StyleUnderline"/>
        </w:rPr>
        <w:t xml:space="preserve"> pure and simple, </w:t>
      </w:r>
      <w:r w:rsidRPr="008B733F">
        <w:rPr>
          <w:rStyle w:val="StyleUnderline"/>
          <w:highlight w:val="yellow"/>
        </w:rPr>
        <w:t>the passion of abolition</w:t>
      </w:r>
      <w:r w:rsidRPr="00A73DF2">
        <w:rPr>
          <w:sz w:val="16"/>
          <w:szCs w:val="26"/>
        </w:rPr>
        <w:t xml:space="preserve">.” Here, </w:t>
      </w:r>
      <w:r w:rsidRPr="008B733F">
        <w:rPr>
          <w:rStyle w:val="StyleUnderline"/>
        </w:rPr>
        <w:t xml:space="preserve">a </w:t>
      </w:r>
      <w:r w:rsidRPr="008B733F">
        <w:rPr>
          <w:rStyle w:val="StyleUnderline"/>
          <w:highlight w:val="yellow"/>
        </w:rPr>
        <w:t>restricted concept of abolition</w:t>
      </w:r>
      <w:r w:rsidRPr="008B733F">
        <w:rPr>
          <w:rStyle w:val="StyleUnderline"/>
        </w:rPr>
        <w:t xml:space="preserve">, understood simply as the </w:t>
      </w:r>
      <w:r w:rsidRPr="008B733F">
        <w:rPr>
          <w:rStyle w:val="StyleUnderline"/>
          <w:highlight w:val="yellow"/>
        </w:rPr>
        <w:t>destruction</w:t>
      </w:r>
      <w:r w:rsidRPr="008B733F">
        <w:rPr>
          <w:rStyle w:val="StyleUnderline"/>
        </w:rPr>
        <w:t xml:space="preserve"> of the existing </w:t>
      </w:r>
      <w:r w:rsidRPr="008B733F">
        <w:rPr>
          <w:rStyle w:val="StyleUnderline"/>
          <w:highlight w:val="yellow"/>
        </w:rPr>
        <w:t>social order</w:t>
      </w:r>
      <w:r w:rsidRPr="008B733F">
        <w:rPr>
          <w:rStyle w:val="StyleUnderline"/>
        </w:rPr>
        <w:t xml:space="preserve">, runs the risk of transforming the “line of flight” into </w:t>
      </w:r>
      <w:r w:rsidRPr="008B733F">
        <w:rPr>
          <w:rStyle w:val="StyleUnderline"/>
          <w:highlight w:val="yellow"/>
        </w:rPr>
        <w:t>a line of death</w:t>
      </w:r>
      <w:r w:rsidRPr="00A73DF2">
        <w:rPr>
          <w:sz w:val="16"/>
          <w:szCs w:val="26"/>
        </w:rPr>
        <w:t xml:space="preserve">. For this reason </w:t>
      </w:r>
      <w:r w:rsidRPr="008B733F">
        <w:rPr>
          <w:rStyle w:val="StyleUnderline"/>
        </w:rPr>
        <w:t xml:space="preserve">the issue of escape </w:t>
      </w:r>
      <w:r w:rsidRPr="008B733F">
        <w:rPr>
          <w:rStyle w:val="StyleUnderline"/>
          <w:highlight w:val="yellow"/>
        </w:rPr>
        <w:t>must not stop at negation</w:t>
      </w:r>
      <w:r w:rsidRPr="008B733F">
        <w:rPr>
          <w:rStyle w:val="StyleUnderline"/>
        </w:rPr>
        <w:t xml:space="preserve"> “pure and simple” but become one of construction and </w:t>
      </w:r>
      <w:r w:rsidRPr="008B733F">
        <w:rPr>
          <w:rStyle w:val="StyleUnderline"/>
          <w:highlight w:val="yellow"/>
        </w:rPr>
        <w:t>the affirmation of life</w:t>
      </w:r>
      <w:r w:rsidRPr="00A73DF2">
        <w:rPr>
          <w:sz w:val="16"/>
          <w:szCs w:val="26"/>
        </w:rPr>
        <w:t xml:space="preserve">. And it is for this reason that </w:t>
      </w:r>
      <w:r w:rsidRPr="008B733F">
        <w:rPr>
          <w:rStyle w:val="StyleUnderline"/>
        </w:rPr>
        <w:t>the effort to connect “lines of flight” and to compose consistencies across these lines becomes a matter of politics: an affirmation of a politics of reconstruction as the immanent condition of abolition</w:t>
      </w:r>
      <w:r w:rsidRPr="00A73DF2">
        <w:rPr>
          <w:sz w:val="16"/>
          <w:szCs w:val="26"/>
        </w:rPr>
        <w:t>. Jackson ([1970] 1994: 328) wrote from prison: “</w:t>
      </w:r>
      <w:r w:rsidRPr="008B733F">
        <w:rPr>
          <w:rStyle w:val="StyleUnderline"/>
          <w:highlight w:val="yellow"/>
        </w:rPr>
        <w:t>Don’t</w:t>
      </w:r>
      <w:r w:rsidRPr="008B733F">
        <w:rPr>
          <w:rStyle w:val="StyleUnderline"/>
        </w:rPr>
        <w:t xml:space="preserve"> mistake this as a message from George to Fay. It’s a message </w:t>
      </w:r>
      <w:r w:rsidRPr="008B733F">
        <w:rPr>
          <w:rStyle w:val="StyleUnderline"/>
          <w:highlight w:val="yellow"/>
        </w:rPr>
        <w:t>from the hunted running blacks</w:t>
      </w:r>
      <w:r w:rsidRPr="008B733F">
        <w:rPr>
          <w:rStyle w:val="StyleUnderline"/>
        </w:rPr>
        <w:t xml:space="preserve"> to those people of this society who </w:t>
      </w:r>
      <w:r w:rsidRPr="008B733F">
        <w:rPr>
          <w:rStyle w:val="StyleUnderline"/>
          <w:highlight w:val="yellow"/>
        </w:rPr>
        <w:t>profess</w:t>
      </w:r>
      <w:r w:rsidRPr="008B733F">
        <w:rPr>
          <w:rStyle w:val="StyleUnderline"/>
        </w:rPr>
        <w:t xml:space="preserve"> to want to </w:t>
      </w:r>
      <w:r w:rsidRPr="008B733F">
        <w:rPr>
          <w:rStyle w:val="StyleUnderline"/>
          <w:highlight w:val="yellow"/>
        </w:rPr>
        <w:t>change the conditions that destroy life</w:t>
      </w:r>
      <w:r w:rsidRPr="008B733F">
        <w:rPr>
          <w:rStyle w:val="StyleUnderline"/>
        </w:rPr>
        <w:t>.</w:t>
      </w:r>
      <w:r w:rsidRPr="00A73DF2">
        <w:rPr>
          <w:sz w:val="16"/>
          <w:szCs w:val="26"/>
        </w:rPr>
        <w:t xml:space="preserve">” A collective imperative determines the reading of these letters—namely, the necessity to put them in connection with other lines. </w:t>
      </w:r>
      <w:r w:rsidRPr="008B733F">
        <w:rPr>
          <w:rStyle w:val="StyleUnderline"/>
        </w:rPr>
        <w:t>The circulation of these letters in France during the 1970s offers a compelling example of how Jackson’s message insinuated itself into what would seem an unlikely arrangement of French philosophy in the 1970s</w:t>
      </w:r>
      <w:r w:rsidRPr="00A73DF2">
        <w:rPr>
          <w:sz w:val="16"/>
          <w:szCs w:val="26"/>
        </w:rPr>
        <w:t xml:space="preserve">. </w:t>
      </w:r>
      <w:r w:rsidRPr="008B733F">
        <w:rPr>
          <w:rStyle w:val="StyleUnderline"/>
        </w:rPr>
        <w:t xml:space="preserve">Yet it is precisely in understanding that moment in French thought as an effort to </w:t>
      </w:r>
      <w:r w:rsidRPr="008B733F">
        <w:rPr>
          <w:rStyle w:val="StyleUnderline"/>
          <w:highlight w:val="yellow"/>
        </w:rPr>
        <w:t>“change conditions that destroy life”</w:t>
      </w:r>
      <w:r w:rsidRPr="008B733F">
        <w:rPr>
          <w:rStyle w:val="StyleUnderline"/>
        </w:rPr>
        <w:t xml:space="preserve"> that we gain a sense of how Jackson’s book arrives at its expressly stated destination. In making the connection between Jackson’s line and the lines of Capitalism and Schizophrenia, Deleuze and his coauthors can be said to have </w:t>
      </w:r>
      <w:r w:rsidRPr="008B733F">
        <w:rPr>
          <w:rStyle w:val="StyleUnderline"/>
          <w:highlight w:val="yellow"/>
        </w:rPr>
        <w:t>gotten the message.</w:t>
      </w:r>
    </w:p>
    <w:p w:rsidR="00E07667" w:rsidRDefault="00E07667" w:rsidP="00E07667">
      <w:pPr>
        <w:autoSpaceDE w:val="0"/>
        <w:autoSpaceDN w:val="0"/>
        <w:adjustRightInd w:val="0"/>
        <w:rPr>
          <w:rFonts w:ascii="Times New Roman" w:eastAsia="Batang" w:hAnsi="Times New Roman" w:cs="Times New Roman"/>
          <w:sz w:val="20"/>
          <w:szCs w:val="20"/>
          <w:highlight w:val="yellow"/>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7111324"/>
    <w:docVar w:name="VerbatimVersion" w:val="5.1"/>
  </w:docVars>
  <w:rsids>
    <w:rsidRoot w:val="006D1D75"/>
    <w:rsid w:val="000139A3"/>
    <w:rsid w:val="00090E6A"/>
    <w:rsid w:val="000D3888"/>
    <w:rsid w:val="000F274F"/>
    <w:rsid w:val="00100833"/>
    <w:rsid w:val="00104529"/>
    <w:rsid w:val="00105942"/>
    <w:rsid w:val="00107396"/>
    <w:rsid w:val="00144A4C"/>
    <w:rsid w:val="00176AB0"/>
    <w:rsid w:val="00177B7D"/>
    <w:rsid w:val="0018322D"/>
    <w:rsid w:val="001876DD"/>
    <w:rsid w:val="001B5776"/>
    <w:rsid w:val="001E527A"/>
    <w:rsid w:val="001F78CE"/>
    <w:rsid w:val="0022757E"/>
    <w:rsid w:val="00251FC7"/>
    <w:rsid w:val="002855A7"/>
    <w:rsid w:val="002B146A"/>
    <w:rsid w:val="002B5E17"/>
    <w:rsid w:val="00315690"/>
    <w:rsid w:val="00316B75"/>
    <w:rsid w:val="00325646"/>
    <w:rsid w:val="003460F2"/>
    <w:rsid w:val="0038158C"/>
    <w:rsid w:val="003902BA"/>
    <w:rsid w:val="003A09E2"/>
    <w:rsid w:val="003A3DB3"/>
    <w:rsid w:val="00402496"/>
    <w:rsid w:val="00407037"/>
    <w:rsid w:val="00411E91"/>
    <w:rsid w:val="004605D6"/>
    <w:rsid w:val="004C60E8"/>
    <w:rsid w:val="004E3579"/>
    <w:rsid w:val="004E728B"/>
    <w:rsid w:val="004F39E0"/>
    <w:rsid w:val="00537BD5"/>
    <w:rsid w:val="0056558B"/>
    <w:rsid w:val="0057268A"/>
    <w:rsid w:val="005D2912"/>
    <w:rsid w:val="006065BD"/>
    <w:rsid w:val="00635B10"/>
    <w:rsid w:val="00645FA9"/>
    <w:rsid w:val="00647866"/>
    <w:rsid w:val="00665003"/>
    <w:rsid w:val="00665094"/>
    <w:rsid w:val="006832C9"/>
    <w:rsid w:val="006A2AD0"/>
    <w:rsid w:val="006C2375"/>
    <w:rsid w:val="006D1D75"/>
    <w:rsid w:val="006D4ECC"/>
    <w:rsid w:val="00722258"/>
    <w:rsid w:val="007243E5"/>
    <w:rsid w:val="00766EA0"/>
    <w:rsid w:val="007A2226"/>
    <w:rsid w:val="007B1B62"/>
    <w:rsid w:val="007E34DB"/>
    <w:rsid w:val="007F00D7"/>
    <w:rsid w:val="007F5B66"/>
    <w:rsid w:val="00823A1C"/>
    <w:rsid w:val="00845B9D"/>
    <w:rsid w:val="008570DD"/>
    <w:rsid w:val="00860984"/>
    <w:rsid w:val="008B3ECB"/>
    <w:rsid w:val="008B4E85"/>
    <w:rsid w:val="008B733F"/>
    <w:rsid w:val="008C1B2E"/>
    <w:rsid w:val="009116B2"/>
    <w:rsid w:val="0091627E"/>
    <w:rsid w:val="009650FD"/>
    <w:rsid w:val="0097032B"/>
    <w:rsid w:val="009D2EAD"/>
    <w:rsid w:val="009D54B2"/>
    <w:rsid w:val="009E1922"/>
    <w:rsid w:val="009F7ED2"/>
    <w:rsid w:val="00A93661"/>
    <w:rsid w:val="00A95652"/>
    <w:rsid w:val="00AC0AB8"/>
    <w:rsid w:val="00B14487"/>
    <w:rsid w:val="00B33C6D"/>
    <w:rsid w:val="00B4508F"/>
    <w:rsid w:val="00B55AD5"/>
    <w:rsid w:val="00B8057C"/>
    <w:rsid w:val="00BD6238"/>
    <w:rsid w:val="00BF593B"/>
    <w:rsid w:val="00BF773A"/>
    <w:rsid w:val="00BF7E81"/>
    <w:rsid w:val="00C13773"/>
    <w:rsid w:val="00C17CC8"/>
    <w:rsid w:val="00C50D4D"/>
    <w:rsid w:val="00C643FF"/>
    <w:rsid w:val="00C764FB"/>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07667"/>
    <w:rsid w:val="00E15E75"/>
    <w:rsid w:val="00E21562"/>
    <w:rsid w:val="00E5262C"/>
    <w:rsid w:val="00E9066A"/>
    <w:rsid w:val="00E93C32"/>
    <w:rsid w:val="00EC1156"/>
    <w:rsid w:val="00EC7DC4"/>
    <w:rsid w:val="00ED30CF"/>
    <w:rsid w:val="00F176EF"/>
    <w:rsid w:val="00F45E10"/>
    <w:rsid w:val="00F51602"/>
    <w:rsid w:val="00F6364A"/>
    <w:rsid w:val="00F81A46"/>
    <w:rsid w:val="00F9113A"/>
    <w:rsid w:val="00FE2546"/>
    <w:rsid w:val="00FE51C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5220A6-440D-48E0-B62E-B94C9D45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B733F"/>
    <w:pPr>
      <w:spacing w:after="0" w:line="240" w:lineRule="auto"/>
    </w:pPr>
    <w:rPr>
      <w:rFonts w:ascii="Calibri" w:hAnsi="Calibri" w:cs="Arial"/>
    </w:rPr>
  </w:style>
  <w:style w:type="paragraph" w:styleId="Heading1">
    <w:name w:val="heading 1"/>
    <w:aliases w:val="Pocket"/>
    <w:basedOn w:val="Normal"/>
    <w:next w:val="Normal"/>
    <w:link w:val="Heading1Char"/>
    <w:qFormat/>
    <w:rsid w:val="008B73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B733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B733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No Spacing112,No Spacing1121,CD - Cite,small space,No Spacing1,No Spacing11,No Spacing111,t"/>
    <w:basedOn w:val="Normal"/>
    <w:next w:val="Normal"/>
    <w:link w:val="Heading4Char"/>
    <w:uiPriority w:val="3"/>
    <w:unhideWhenUsed/>
    <w:qFormat/>
    <w:rsid w:val="008B733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B7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33F"/>
  </w:style>
  <w:style w:type="character" w:customStyle="1" w:styleId="Heading1Char">
    <w:name w:val="Heading 1 Char"/>
    <w:aliases w:val="Pocket Char"/>
    <w:basedOn w:val="DefaultParagraphFont"/>
    <w:link w:val="Heading1"/>
    <w:rsid w:val="008B73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733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73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CD - Cite Char"/>
    <w:basedOn w:val="DefaultParagraphFont"/>
    <w:link w:val="Heading4"/>
    <w:uiPriority w:val="3"/>
    <w:rsid w:val="008B733F"/>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8B733F"/>
    <w:rPr>
      <w:rFonts w:ascii="Calibri" w:hAnsi="Calibri" w:cs="Arial"/>
      <w:b/>
      <w:i w:val="0"/>
      <w:iCs/>
      <w:sz w:val="22"/>
      <w:u w:val="single"/>
      <w:bdr w:val="none" w:sz="0" w:space="0" w:color="auto"/>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
    <w:basedOn w:val="DefaultParagraphFont"/>
    <w:uiPriority w:val="5"/>
    <w:qFormat/>
    <w:rsid w:val="008B733F"/>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8B733F"/>
    <w:rPr>
      <w:b w:val="0"/>
      <w:sz w:val="22"/>
      <w:u w:val="single"/>
    </w:rPr>
  </w:style>
  <w:style w:type="character" w:styleId="Hyperlink">
    <w:name w:val="Hyperlink"/>
    <w:basedOn w:val="DefaultParagraphFont"/>
    <w:uiPriority w:val="99"/>
    <w:unhideWhenUsed/>
    <w:rsid w:val="008B733F"/>
    <w:rPr>
      <w:color w:val="auto"/>
      <w:u w:val="none"/>
    </w:rPr>
  </w:style>
  <w:style w:type="character" w:styleId="FollowedHyperlink">
    <w:name w:val="FollowedHyperlink"/>
    <w:basedOn w:val="DefaultParagraphFont"/>
    <w:uiPriority w:val="99"/>
    <w:semiHidden/>
    <w:unhideWhenUsed/>
    <w:rsid w:val="008B733F"/>
    <w:rPr>
      <w:color w:val="auto"/>
      <w:u w:val="none"/>
    </w:rPr>
  </w:style>
  <w:style w:type="paragraph" w:customStyle="1" w:styleId="Standard">
    <w:name w:val="Standard"/>
    <w:rsid w:val="006D1D75"/>
    <w:pPr>
      <w:widowControl w:val="0"/>
      <w:suppressAutoHyphens/>
      <w:autoSpaceDN w:val="0"/>
      <w:spacing w:after="0" w:line="240" w:lineRule="auto"/>
      <w:textAlignment w:val="baseline"/>
    </w:pPr>
    <w:rPr>
      <w:rFonts w:ascii="Times New Roman" w:eastAsia="SimSun" w:hAnsi="Times New Roman" w:cs="Mangal"/>
      <w:kern w:val="3"/>
      <w:sz w:val="24"/>
      <w:szCs w:val="24"/>
    </w:rPr>
  </w:style>
  <w:style w:type="character" w:customStyle="1" w:styleId="StyleStyleBold12pt">
    <w:name w:val="Style Style Bold + 12 pt"/>
    <w:basedOn w:val="DefaultParagraphFont"/>
    <w:rsid w:val="006D1D75"/>
    <w:rPr>
      <w:b/>
      <w:sz w:val="26"/>
      <w:u w:val="none"/>
    </w:rPr>
  </w:style>
  <w:style w:type="character" w:customStyle="1" w:styleId="Author-Date">
    <w:name w:val="Author-Date"/>
    <w:rsid w:val="00E07667"/>
    <w:rPr>
      <w:b/>
      <w:sz w:val="24"/>
    </w:rPr>
  </w:style>
  <w:style w:type="character" w:customStyle="1" w:styleId="apple-converted-space">
    <w:name w:val="apple-converted-space"/>
    <w:basedOn w:val="DefaultParagraphFont"/>
    <w:rsid w:val="00E93C32"/>
  </w:style>
  <w:style w:type="paragraph" w:customStyle="1" w:styleId="textbold">
    <w:name w:val="text bold"/>
    <w:basedOn w:val="Normal"/>
    <w:link w:val="Emphasis"/>
    <w:uiPriority w:val="7"/>
    <w:qFormat/>
    <w:rsid w:val="00E93C32"/>
    <w:pPr>
      <w:ind w:left="720"/>
      <w:jc w:val="both"/>
    </w:pPr>
    <w:rPr>
      <w:b/>
      <w:iCs/>
      <w:u w:val="single"/>
    </w:rPr>
  </w:style>
  <w:style w:type="character" w:customStyle="1" w:styleId="underline">
    <w:name w:val="underline"/>
    <w:qFormat/>
    <w:rsid w:val="007B1B62"/>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450096">
      <w:bodyDiv w:val="1"/>
      <w:marLeft w:val="0"/>
      <w:marRight w:val="0"/>
      <w:marTop w:val="0"/>
      <w:marBottom w:val="0"/>
      <w:divBdr>
        <w:top w:val="none" w:sz="0" w:space="0" w:color="auto"/>
        <w:left w:val="none" w:sz="0" w:space="0" w:color="auto"/>
        <w:bottom w:val="none" w:sz="0" w:space="0" w:color="auto"/>
        <w:right w:val="none" w:sz="0" w:space="0" w:color="auto"/>
      </w:divBdr>
      <w:divsChild>
        <w:div w:id="1832912772">
          <w:marLeft w:val="0"/>
          <w:marRight w:val="0"/>
          <w:marTop w:val="0"/>
          <w:marBottom w:val="0"/>
          <w:divBdr>
            <w:top w:val="none" w:sz="0" w:space="0" w:color="auto"/>
            <w:left w:val="none" w:sz="0" w:space="0" w:color="auto"/>
            <w:bottom w:val="none" w:sz="0" w:space="0" w:color="auto"/>
            <w:right w:val="none" w:sz="0" w:space="0" w:color="auto"/>
          </w:divBdr>
        </w:div>
        <w:div w:id="1400178569">
          <w:marLeft w:val="0"/>
          <w:marRight w:val="0"/>
          <w:marTop w:val="0"/>
          <w:marBottom w:val="0"/>
          <w:divBdr>
            <w:top w:val="none" w:sz="0" w:space="0" w:color="auto"/>
            <w:left w:val="none" w:sz="0" w:space="0" w:color="auto"/>
            <w:bottom w:val="none" w:sz="0" w:space="0" w:color="auto"/>
            <w:right w:val="none" w:sz="0" w:space="0" w:color="auto"/>
          </w:divBdr>
        </w:div>
      </w:divsChild>
    </w:div>
    <w:div w:id="529614129">
      <w:bodyDiv w:val="1"/>
      <w:marLeft w:val="0"/>
      <w:marRight w:val="0"/>
      <w:marTop w:val="0"/>
      <w:marBottom w:val="0"/>
      <w:divBdr>
        <w:top w:val="none" w:sz="0" w:space="0" w:color="auto"/>
        <w:left w:val="none" w:sz="0" w:space="0" w:color="auto"/>
        <w:bottom w:val="none" w:sz="0" w:space="0" w:color="auto"/>
        <w:right w:val="none" w:sz="0" w:space="0" w:color="auto"/>
      </w:divBdr>
      <w:divsChild>
        <w:div w:id="325207396">
          <w:marLeft w:val="0"/>
          <w:marRight w:val="0"/>
          <w:marTop w:val="0"/>
          <w:marBottom w:val="0"/>
          <w:divBdr>
            <w:top w:val="none" w:sz="0" w:space="0" w:color="auto"/>
            <w:left w:val="none" w:sz="0" w:space="0" w:color="auto"/>
            <w:bottom w:val="none" w:sz="0" w:space="0" w:color="auto"/>
            <w:right w:val="none" w:sz="0" w:space="0" w:color="auto"/>
          </w:divBdr>
        </w:div>
        <w:div w:id="5851147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flux.com/journal/the-opacity-of-queer-language-2/" TargetMode="External"/><Relationship Id="rId18" Type="http://schemas.openxmlformats.org/officeDocument/2006/relationships/hyperlink" Target="http://www.e-flux.com/journal/the-opacity-of-queer-language-2/" TargetMode="External"/><Relationship Id="rId26" Type="http://schemas.openxmlformats.org/officeDocument/2006/relationships/hyperlink" Target="http://www.e-flux.com/journal/the-opacity-of-queer-language-2/" TargetMode="External"/><Relationship Id="rId3" Type="http://schemas.openxmlformats.org/officeDocument/2006/relationships/styles" Target="styles.xml"/><Relationship Id="rId21" Type="http://schemas.openxmlformats.org/officeDocument/2006/relationships/hyperlink" Target="http://www.e-flux.com/journal/the-opacity-of-queer-language-2/" TargetMode="External"/><Relationship Id="rId7" Type="http://schemas.openxmlformats.org/officeDocument/2006/relationships/hyperlink" Target="http://www.e-flux.com/journal/the-opacity-of-queer-language-2/" TargetMode="External"/><Relationship Id="rId12" Type="http://schemas.openxmlformats.org/officeDocument/2006/relationships/hyperlink" Target="http://www.e-flux.com/journal/the-opacity-of-queer-language-2/" TargetMode="External"/><Relationship Id="rId17" Type="http://schemas.openxmlformats.org/officeDocument/2006/relationships/hyperlink" Target="http://www.e-flux.com/journal/the-opacity-of-queer-language-2/" TargetMode="External"/><Relationship Id="rId25" Type="http://schemas.openxmlformats.org/officeDocument/2006/relationships/hyperlink" Target="http://www.e-flux.com/journal/the-opacity-of-queer-language-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e-flux.com/journal/the-opacity-of-queer-language-2/" TargetMode="External"/><Relationship Id="rId20" Type="http://schemas.openxmlformats.org/officeDocument/2006/relationships/hyperlink" Target="http://www.e-flux.com/journal/the-opacity-of-queer-language-2/" TargetMode="External"/><Relationship Id="rId29" Type="http://schemas.openxmlformats.org/officeDocument/2006/relationships/hyperlink" Target="http://www.e-flux.com/journal/the-opacity-of-queer-language-2/" TargetMode="External"/><Relationship Id="rId1" Type="http://schemas.openxmlformats.org/officeDocument/2006/relationships/customXml" Target="../customXml/item1.xml"/><Relationship Id="rId6" Type="http://schemas.openxmlformats.org/officeDocument/2006/relationships/hyperlink" Target="http://www.e-flux.com/journal/the-opacity-of-queer-language-2/" TargetMode="External"/><Relationship Id="rId11" Type="http://schemas.openxmlformats.org/officeDocument/2006/relationships/hyperlink" Target="http://www.e-flux.com/journal/the-opacity-of-queer-language-2/" TargetMode="External"/><Relationship Id="rId24" Type="http://schemas.openxmlformats.org/officeDocument/2006/relationships/hyperlink" Target="http://www.e-flux.com/journal/the-opacity-of-queer-language-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e-flux.com/journal/the-opacity-of-queer-language-2/" TargetMode="External"/><Relationship Id="rId23" Type="http://schemas.openxmlformats.org/officeDocument/2006/relationships/hyperlink" Target="http://www.e-flux.com/journal/the-opacity-of-queer-language-2/" TargetMode="External"/><Relationship Id="rId28" Type="http://schemas.openxmlformats.org/officeDocument/2006/relationships/hyperlink" Target="http://www.e-flux.com/journal/the-opacity-of-queer-language-2/" TargetMode="External"/><Relationship Id="rId10" Type="http://schemas.openxmlformats.org/officeDocument/2006/relationships/hyperlink" Target="http://www.e-flux.com/journal/the-opacity-of-queer-language-2/" TargetMode="External"/><Relationship Id="rId19" Type="http://schemas.openxmlformats.org/officeDocument/2006/relationships/hyperlink" Target="http://www.e-flux.com/journal/the-opacity-of-queer-language-2/" TargetMode="External"/><Relationship Id="rId31" Type="http://schemas.openxmlformats.org/officeDocument/2006/relationships/hyperlink" Target="http://www.e-flux.com/journal/the-opacity-of-queer-language-2/" TargetMode="External"/><Relationship Id="rId4" Type="http://schemas.openxmlformats.org/officeDocument/2006/relationships/settings" Target="settings.xml"/><Relationship Id="rId9" Type="http://schemas.openxmlformats.org/officeDocument/2006/relationships/hyperlink" Target="http://www.e-flux.com/journal/the-opacity-of-queer-language-2/" TargetMode="External"/><Relationship Id="rId14" Type="http://schemas.openxmlformats.org/officeDocument/2006/relationships/hyperlink" Target="http://www.e-flux.com/journal/the-opacity-of-queer-language-2/" TargetMode="External"/><Relationship Id="rId22" Type="http://schemas.openxmlformats.org/officeDocument/2006/relationships/hyperlink" Target="http://www.e-flux.com/journal/the-opacity-of-queer-language-2/" TargetMode="External"/><Relationship Id="rId27" Type="http://schemas.openxmlformats.org/officeDocument/2006/relationships/hyperlink" Target="http://www.e-flux.com/journal/the-opacity-of-queer-language-2/" TargetMode="External"/><Relationship Id="rId30" Type="http://schemas.openxmlformats.org/officeDocument/2006/relationships/hyperlink" Target="http://www.e-flux.com/journal/the-opacity-of-queer-language-2/" TargetMode="External"/><Relationship Id="rId8" Type="http://schemas.openxmlformats.org/officeDocument/2006/relationships/hyperlink" Target="http://www.e-flux.com/journal/the-opacity-of-queer-languag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B5646-0BAB-403F-8F9E-D08E64C92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6657</Words>
  <Characters>37950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Williams</dc:creator>
  <cp:keywords>5.1.1</cp:keywords>
  <cp:lastModifiedBy>Sarah Spring</cp:lastModifiedBy>
  <cp:revision>2</cp:revision>
  <dcterms:created xsi:type="dcterms:W3CDTF">2015-08-06T18:05:00Z</dcterms:created>
  <dcterms:modified xsi:type="dcterms:W3CDTF">2015-08-06T18:05:00Z</dcterms:modified>
</cp:coreProperties>
</file>