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6B38F1" w:rsidRDefault="006B38F1" w:rsidP="006B38F1">
      <w:pPr>
        <w:pStyle w:val="Heading1"/>
      </w:pPr>
      <w:r>
        <w:t>Antiblackness</w:t>
      </w:r>
    </w:p>
    <w:p w:rsidR="006B38F1" w:rsidRDefault="006B38F1" w:rsidP="006B38F1">
      <w:pPr>
        <w:pStyle w:val="Heading2"/>
      </w:pPr>
      <w:r>
        <w:t>Coalitions</w:t>
      </w:r>
    </w:p>
    <w:p w:rsidR="006B38F1" w:rsidRDefault="006B38F1" w:rsidP="006B38F1">
      <w:pPr>
        <w:pStyle w:val="Heading4"/>
      </w:pPr>
      <w:r>
        <w:t xml:space="preserve">Historically failed coalitions do not mean that they can never succeed – now is key. </w:t>
      </w:r>
    </w:p>
    <w:p w:rsidR="006B38F1" w:rsidRPr="000475E2" w:rsidRDefault="006B38F1" w:rsidP="006B38F1">
      <w:pPr>
        <w:rPr>
          <w:rStyle w:val="Style13ptBold"/>
        </w:rPr>
      </w:pPr>
      <w:r>
        <w:rPr>
          <w:rStyle w:val="Style13ptBold"/>
        </w:rPr>
        <w:t xml:space="preserve">Kim 98 </w:t>
      </w:r>
      <w:r w:rsidRPr="000475E2">
        <w:t xml:space="preserve">(Elaine H., Professor in Asian American Studies at the University of California, Berkeley, “’At least you’re not black’: Asian Americans in U.S. race relations”, Social Justice Fall 1998 v25 i3 </w:t>
      </w:r>
      <w:proofErr w:type="gramStart"/>
      <w:r w:rsidRPr="000475E2">
        <w:t>p3(</w:t>
      </w:r>
      <w:proofErr w:type="gramEnd"/>
      <w:r w:rsidRPr="000475E2">
        <w:t xml:space="preserve">1), </w:t>
      </w:r>
      <w:hyperlink r:id="rId6" w:history="1">
        <w:r w:rsidRPr="000475E2">
          <w:rPr>
            <w:rStyle w:val="Hyperlink"/>
          </w:rPr>
          <w:t>http://maxweber.hunter.cuny.edu/pub/eres/SOC217_PIMENTEL/asians2.pdf</w:t>
        </w:r>
      </w:hyperlink>
      <w:r w:rsidRPr="000475E2">
        <w:t>, accessed 7/18/16)</w:t>
      </w:r>
    </w:p>
    <w:p w:rsidR="006B38F1" w:rsidRDefault="006B38F1" w:rsidP="006B38F1">
      <w:r>
        <w:t>In a society held together by hierarchical arrangements of power and the privileging of competitive individualism, it is difficult for groups of color to deal with each other on an equal basis, without falling into competition, ranking, and scrambling around hierarchies of oppression. This is all despite the indisputable fact that people of color in the U.S. wear at different moments and often at the same moment the face of both victim and victimizer. Even among Asian Americans, hierarchies operate. When Asian Americans came to fuller voice with the Civil Rights Movement of the 1960s, that voice, which has been the loudest ever since, was male, English-speaking, Chinese or Japanese, and heterosexual. Given this picture</w:t>
      </w:r>
      <w:r w:rsidRPr="00736595">
        <w:t>,</w:t>
      </w:r>
      <w:r>
        <w:t xml:space="preserve"> for Asian Americans to work together across nationalities, languages, generations, genders, and sometimes social classes is in itself almost a miracle. A few years ago, when the question arose of whether we were experiencing cultural diversity or racial "balkanization" at Berkeley, I remember thinking that experiences of cultural diversity were being defined exclusively from the standpoint of the dominant culture. For many students of color who come from communities where their group is very much in the minority and who have been overwhelmed with growing up brown, yellow, red, or black in a culture defined by whiteness, being with other students of color is experiencing cultural diversity. Moreover, </w:t>
      </w:r>
      <w:r w:rsidRPr="00736595">
        <w:t>even though all Asians may look alike</w:t>
      </w:r>
      <w:r w:rsidRPr="00736595">
        <w:rPr>
          <w:rStyle w:val="StyleUnderline"/>
        </w:rPr>
        <w:t xml:space="preserve"> </w:t>
      </w:r>
      <w:r>
        <w:t xml:space="preserve">to others, it is quite a step for some Korean Americans to make friends with Filipino Americans or for some Vietnamese Americans to take classes with Bangladeshi American students. Perhaps we need to redefine what we mean by "coalition." Racial meaning extends into social relations and social practices. What, indeed, is a person of color? On some California college campuses, Asian Americans are regarded by some as "inauthentic people of color." But different people of color experience racism and racialization differently. The income gap between Asian and white men is nowhere near as large as between Latino or black men and white men - unless the relationship between schooling and income is taken into account. </w:t>
      </w:r>
      <w:r w:rsidRPr="00736595">
        <w:t>An Asian American man must have much more education than a white man with comparable income must</w:t>
      </w:r>
      <w:r>
        <w:t xml:space="preserve">. </w:t>
      </w:r>
      <w:r w:rsidRPr="00736595">
        <w:rPr>
          <w:rStyle w:val="StyleUnderline"/>
        </w:rPr>
        <w:t xml:space="preserve">Racism against Asian Americans takes </w:t>
      </w:r>
      <w:r w:rsidRPr="00736595">
        <w:t>other</w:t>
      </w:r>
      <w:r w:rsidRPr="00736595">
        <w:rPr>
          <w:rStyle w:val="StyleUnderline"/>
        </w:rPr>
        <w:t xml:space="preserve"> unique forms</w:t>
      </w:r>
      <w:r>
        <w:t xml:space="preserve">: </w:t>
      </w:r>
      <w:r w:rsidRPr="00736595">
        <w:rPr>
          <w:rStyle w:val="StyleUnderline"/>
        </w:rPr>
        <w:t>resentment and fear of a yellow peril takeover by unassimilable foreigners</w:t>
      </w:r>
      <w:r>
        <w:t xml:space="preserve"> </w:t>
      </w:r>
      <w:r w:rsidRPr="00736595">
        <w:rPr>
          <w:rStyle w:val="StyleUnderline"/>
        </w:rPr>
        <w:t>who excel at copying but cannot originate</w:t>
      </w:r>
      <w:r>
        <w:t xml:space="preserve">, or </w:t>
      </w:r>
      <w:r w:rsidRPr="00736595">
        <w:rPr>
          <w:rStyle w:val="StyleUnderline"/>
        </w:rPr>
        <w:t>as robotic automatons</w:t>
      </w:r>
      <w:r>
        <w:t xml:space="preserve"> and </w:t>
      </w:r>
      <w:r w:rsidRPr="00736595">
        <w:rPr>
          <w:rStyle w:val="StyleUnderline"/>
        </w:rPr>
        <w:t>nerdy buffoons</w:t>
      </w:r>
      <w:r>
        <w:t xml:space="preserve"> </w:t>
      </w:r>
      <w:r w:rsidRPr="00736595">
        <w:rPr>
          <w:rStyle w:val="StyleUnderline"/>
        </w:rPr>
        <w:t>with no human or animal feelings</w:t>
      </w:r>
      <w:r>
        <w:t xml:space="preserve">. </w:t>
      </w:r>
      <w:r w:rsidRPr="00736595">
        <w:rPr>
          <w:rStyle w:val="StyleUnderline"/>
        </w:rPr>
        <w:t>Asian American men have often pointed to the feminization of Asian American</w:t>
      </w:r>
      <w:r>
        <w:t xml:space="preserve">s, who, whether male or female, gay or straight, are </w:t>
      </w:r>
      <w:r w:rsidRPr="00736595">
        <w:rPr>
          <w:rStyle w:val="StyleUnderline"/>
        </w:rPr>
        <w:t>only good for the "bottom" position</w:t>
      </w:r>
      <w:r>
        <w:t xml:space="preserve">. Since their information sources are primarily from the dominant culture, people of color are almost as susceptible to racist stereotyping as anyone else. Thus, it should not be surprising that what Cornel West has called xenophobia is so prevalent among African Americans and that many Asian Americans stereotype African Americans as unreliable or crime-prone, that many Latinos can routinely call an Asian of whatever background chino, or that many Korean immigrants still refer to all Latinos as "Mexican." Some </w:t>
      </w:r>
      <w:r w:rsidRPr="00736595">
        <w:rPr>
          <w:rStyle w:val="StyleUnderline"/>
        </w:rPr>
        <w:t>Asian American activists feel that other people of color do not respect and trust Asians in coalition work</w:t>
      </w:r>
      <w:r>
        <w:t xml:space="preserve"> </w:t>
      </w:r>
      <w:r w:rsidRPr="00736595">
        <w:rPr>
          <w:rStyle w:val="StyleUnderline"/>
        </w:rPr>
        <w:t>and that</w:t>
      </w:r>
      <w:r>
        <w:t xml:space="preserve"> other </w:t>
      </w:r>
      <w:r w:rsidRPr="00736595">
        <w:rPr>
          <w:rStyle w:val="StyleUnderline"/>
        </w:rPr>
        <w:t xml:space="preserve">people of color have a </w:t>
      </w:r>
      <w:proofErr w:type="gramStart"/>
      <w:r w:rsidRPr="00736595">
        <w:rPr>
          <w:rStyle w:val="StyleUnderline"/>
        </w:rPr>
        <w:t>difficult</w:t>
      </w:r>
      <w:proofErr w:type="gramEnd"/>
      <w:r w:rsidRPr="00736595">
        <w:rPr>
          <w:rStyle w:val="StyleUnderline"/>
        </w:rPr>
        <w:t xml:space="preserve"> time accepting the idea of Asian American leadership</w:t>
      </w:r>
      <w:r>
        <w:t xml:space="preserve">. Korean American members of the Oakland East Bay African Asian Roundtable have conjectured that this may be because </w:t>
      </w:r>
      <w:r w:rsidRPr="00736595">
        <w:rPr>
          <w:rStyle w:val="StyleUnderline"/>
        </w:rPr>
        <w:t>they accept the Fu Manchu notion of Asians as untrustworthy aliens</w:t>
      </w:r>
      <w:r>
        <w:t xml:space="preserve">. I recall the National Conference poll, according to which more than four blacks and Latinos in 10 and 27% of whites agreed with the stereotype of Asian Americans as "unscrupulous, crafty, and devious in business" (San Francisco Chronicle, March 3, 1994). It has been suggested that other people of color have good reason not to trust Asian Americans, who have not been widely known in this country for risking our own hides or sticking out our own necks for someone else. After African American skulls were cracked in protests over employment discrimination, Asian Americans stepped in to take up the consent decree </w:t>
      </w:r>
      <w:r w:rsidRPr="00736595">
        <w:rPr>
          <w:rStyle w:val="StyleUnderline"/>
        </w:rPr>
        <w:t>jobs. Recently, Ling-Chi Wang was feted by the National Association for Bilingual Education</w:t>
      </w:r>
      <w:r>
        <w:t xml:space="preserve"> for his role in Lau vs. Nichols, which had far-reaching effects on the language and education rights of both Asians and Latinos. </w:t>
      </w:r>
      <w:r w:rsidRPr="00736595">
        <w:rPr>
          <w:rStyle w:val="StyleUnderline"/>
        </w:rPr>
        <w:t>However, while the organization boasts a membership of 10,000 Latinos</w:t>
      </w:r>
      <w:r>
        <w:t xml:space="preserve"> and Chicanos, </w:t>
      </w:r>
      <w:r w:rsidRPr="00736595">
        <w:rPr>
          <w:rStyle w:val="StyleUnderline"/>
        </w:rPr>
        <w:t>very few Asians participate</w:t>
      </w:r>
      <w:r>
        <w:t xml:space="preserve">. </w:t>
      </w:r>
      <w:r w:rsidRPr="00736595">
        <w:rPr>
          <w:rStyle w:val="StyleUnderline"/>
        </w:rPr>
        <w:t>Looking more closely, we can better understand why.</w:t>
      </w:r>
      <w:r>
        <w:t xml:space="preserve"> </w:t>
      </w:r>
      <w:r w:rsidRPr="00736595">
        <w:rPr>
          <w:rStyle w:val="StyleUnderline"/>
        </w:rPr>
        <w:t>Asians are fewer in number and far less politically and linguistically powerful</w:t>
      </w:r>
      <w:r>
        <w:t xml:space="preserve"> than are Latinos, especially because there are so many different Asian languages, including multiple Chinese and Filipino languages. Though El Paso and Miami are virtually bilingual cities, nowhere in this country can a Chinese or Korean thrive without any English. Most people perhaps find it difficult to imagine Asian American leadership in coalitions with other people of color since </w:t>
      </w:r>
      <w:r w:rsidRPr="00736595">
        <w:rPr>
          <w:rStyle w:val="StyleUnderline"/>
        </w:rPr>
        <w:t>there has been little history of Asian Americans working in such coalitions</w:t>
      </w:r>
      <w:r>
        <w:t xml:space="preserve"> - despite a few spectacular examples, mostly in agricultural labor org</w:t>
      </w:r>
      <w:r w:rsidRPr="00736595">
        <w:t>a</w:t>
      </w:r>
      <w:r>
        <w:t xml:space="preserve">nizing during the first half of this century. They may not realize that the majority of Asian Americans today are primarily newcomers who have been in this country fewer than 25 years. Some say that irreconcilable differences arise between Asian American newcomers and other people of color who trace their political consciousness and understanding of racial and economic justice to the Civil Rights Movement of the 1960s. Yet, I see the struggle for affirmative action and other compensatory programs as having affinity with the movement for immigrant rights. At base, both are about equal access. Even though many of today’s Asian immigrants can’t claim the U.S. Civil Rights Movement as their legacy, organizing efforts among them could stress heritages in the Asian homelands that are also rooted in struggles for justice and equality, such as the long and bloody movement against martial law in the Philippines and Taiwan and the democracy movements in China, India, and Burma. Every Japanese American can be proud of the huge peace movement in Japan, where the atomic bomb was dropped. In addition, for the past three decades, the most spectacular labor movement in the world has been taking place in South Korea, the country that boasted the world’s longest work week, and where murder and assault of labor leaders have been legendary. </w:t>
      </w:r>
      <w:r w:rsidRPr="00736595">
        <w:rPr>
          <w:rStyle w:val="StyleUnderline"/>
        </w:rPr>
        <w:t>Coalition work is not easy for anyone</w:t>
      </w:r>
      <w:r>
        <w:t xml:space="preserve">. </w:t>
      </w:r>
      <w:r w:rsidRPr="00736595">
        <w:rPr>
          <w:rStyle w:val="StyleUnderline"/>
        </w:rPr>
        <w:t>Moreover, coalition is not right for everything we do</w:t>
      </w:r>
      <w:r>
        <w:t xml:space="preserve">. Perhaps </w:t>
      </w:r>
      <w:r w:rsidRPr="00736595">
        <w:rPr>
          <w:rStyle w:val="StyleUnderline"/>
        </w:rPr>
        <w:t>it might help for us to view coalition not as a site of comfort and refuge, but as a site of struggle</w:t>
      </w:r>
      <w:r>
        <w:t xml:space="preserve">. The fact is that </w:t>
      </w:r>
      <w:r w:rsidRPr="00736595">
        <w:rPr>
          <w:rStyle w:val="StyleUnderline"/>
        </w:rPr>
        <w:t>the ever-increasing visibility of Asian Americans means</w:t>
      </w:r>
      <w:r>
        <w:t xml:space="preserve"> that we can no longer be dismissed as honorary whites, honorary blacks, or a wedge between the two. </w:t>
      </w:r>
      <w:r w:rsidRPr="00736595">
        <w:rPr>
          <w:rStyle w:val="StyleUnderline"/>
        </w:rPr>
        <w:t>We need to end "biracial theorizing" and zero-sum thinking. A third space is needed</w:t>
      </w:r>
      <w:r>
        <w:t xml:space="preserve">. Tiger Woods has said, "I don’t consider myself a Great Black Hope. I’m just a golfer who happens to be black and Asian." Why can’t a person be both black and Asian? Or will we just let Nike decide what Tiger Woods "is"? It seems clear that these days we are hurtling toward the bifurcation of U.S. society into two major economic classes - the very rich and the poor. Most Asian immigrant parents, having struggled so hard to make a new life in an adopted country, want economic security and social success for their children at almost any price. The children do not want to fall their parents. In many ways, it would be a luxury for either parents or children to stop to think about the so-called bigger picture. In commodity capitalism, both in the U.S. and in Asia, we are strongly discouraged from recalling that the well-being of every American, every Asian, indeed of everyone on the planet, depends on the well-being of the collectivity. No matter what, in the end there is no real turning away from other people’s straggles for equality and justice. Yet the combination of pressures from within the Asian family and community and from the often competitively cutthroat world outside the family could poison the atmosphere, making it even more difficult for us to keep our eyes on the prize of peace and justice built on compassion, which are necessary for beauty and creativity to come into being. If we don’t watch out, Asian Americans may find ourselves one day schooled, credentialed, and trapped in the old "buffer zone" or "middleman" position, attempting an ultimately impossible mediation between those mostly white people who have the power to make the rules and those mostly black and brown people who are oppressed by them. Whether as professors, newscasters, attorneys, or middle managers, we could be positioned to serve as apologists for and explicators, upholders, and functionaries of the status quo. </w:t>
      </w:r>
      <w:r w:rsidRPr="00736595">
        <w:rPr>
          <w:rStyle w:val="StyleUnderline"/>
        </w:rPr>
        <w:t>We are all now facing the enormous challenge of the direct and indirect impact of a shameful assault on the poor, immigrants, and people of color in this country</w:t>
      </w:r>
      <w:r>
        <w:t xml:space="preserve">. </w:t>
      </w:r>
      <w:r w:rsidRPr="00736595">
        <w:rPr>
          <w:rStyle w:val="StyleUnderline"/>
        </w:rPr>
        <w:t>How will Asian Americans face this challenge? With whom will we join forces and what values will we espouse?</w:t>
      </w:r>
      <w:r>
        <w:t xml:space="preserve"> In my view, </w:t>
      </w:r>
      <w:r w:rsidRPr="00736595">
        <w:rPr>
          <w:rStyle w:val="StyleUnderline"/>
        </w:rPr>
        <w:t>one of the challenges for Asian Americans in the 21st century will be resisting the "gatekeeper function"</w:t>
      </w:r>
      <w:r>
        <w:t xml:space="preserve"> </w:t>
      </w:r>
      <w:r w:rsidRPr="00736595">
        <w:rPr>
          <w:rStyle w:val="StyleUnderline"/>
        </w:rPr>
        <w:t>with strong and focused commitment to place first priority, in whatever arenas we occupy,</w:t>
      </w:r>
      <w:r>
        <w:t xml:space="preserve"> on the needs and well-being of the disenfranchised. This work can be done quite creatively, I think, from an interstitial location, with one foot in the margins and the other in the mainstream much of the time. </w:t>
      </w:r>
      <w:r w:rsidRPr="00736595">
        <w:rPr>
          <w:rStyle w:val="StyleUnderline"/>
        </w:rPr>
        <w:t xml:space="preserve">An interstitial location is different from a buffer zone. It is "both/and" rather than "either/or." It bears more resemblance to a Trojan </w:t>
      </w:r>
      <w:proofErr w:type="gramStart"/>
      <w:r w:rsidRPr="00736595">
        <w:rPr>
          <w:rStyle w:val="StyleUnderline"/>
        </w:rPr>
        <w:t>Horse</w:t>
      </w:r>
      <w:proofErr w:type="gramEnd"/>
      <w:r w:rsidRPr="00736595">
        <w:rPr>
          <w:rStyle w:val="StyleUnderline"/>
        </w:rPr>
        <w:t xml:space="preserve"> than to a mascot</w:t>
      </w:r>
      <w:r>
        <w:t xml:space="preserve">. </w:t>
      </w:r>
      <w:r w:rsidRPr="00736595">
        <w:rPr>
          <w:rStyle w:val="StyleUnderline"/>
        </w:rPr>
        <w:t xml:space="preserve">If we remember the traditional Korean belief that the social health of the individual cannot be separated from the health of the collectivity, </w:t>
      </w:r>
      <w:r w:rsidRPr="00736595">
        <w:t>then we will be able to see clearly that we might play a pivotal part in this country’s progress by helping to envision and participate in the emergence of a multiracial democracy</w:t>
      </w:r>
      <w:r>
        <w:t xml:space="preserve">. </w:t>
      </w:r>
      <w:r w:rsidRPr="00736595">
        <w:rPr>
          <w:rStyle w:val="StyleUnderline"/>
        </w:rPr>
        <w:t>For the health of a larger community, can we declare our support for policies that might benefit us only indirectly and in the long term</w:t>
      </w:r>
      <w:r>
        <w:t xml:space="preserve">, </w:t>
      </w:r>
      <w:r w:rsidRPr="00736595">
        <w:rPr>
          <w:rStyle w:val="StyleUnderline"/>
        </w:rPr>
        <w:t>just like those</w:t>
      </w:r>
      <w:r>
        <w:t xml:space="preserve"> justice-</w:t>
      </w:r>
      <w:r w:rsidRPr="00736595">
        <w:rPr>
          <w:rStyle w:val="StyleUnderline"/>
        </w:rPr>
        <w:t>loving African Americans who declared their support for the politically isolated Japanese Americans during World War II?</w:t>
      </w:r>
      <w:r>
        <w:t xml:space="preserve"> Asian Americans can set an example of commitment to a fairness that rejects narrow self-interest in favor of a community of justice. From our quite different exclusions, from our specific sites of contradiction, from our heterogeneous communities of resistance, perhaps we can reach across our pain and differences to build bridges to one another.</w:t>
      </w:r>
    </w:p>
    <w:p w:rsidR="006B38F1" w:rsidRDefault="006B38F1" w:rsidP="006B38F1"/>
    <w:p w:rsidR="006B38F1" w:rsidRDefault="006B38F1" w:rsidP="006B38F1">
      <w:pPr>
        <w:pStyle w:val="Heading2"/>
      </w:pPr>
      <w:proofErr w:type="spellStart"/>
      <w:r>
        <w:t>Prashad</w:t>
      </w:r>
      <w:proofErr w:type="spellEnd"/>
    </w:p>
    <w:p w:rsidR="006B38F1" w:rsidRDefault="006B38F1" w:rsidP="006B38F1">
      <w:pPr>
        <w:pStyle w:val="Heading4"/>
      </w:pPr>
      <w:r>
        <w:t xml:space="preserve">We are neither color-blindness nor multiculturalism, but </w:t>
      </w:r>
      <w:proofErr w:type="spellStart"/>
      <w:r>
        <w:t>polyculturalism</w:t>
      </w:r>
      <w:proofErr w:type="spellEnd"/>
      <w:r>
        <w:t xml:space="preserve">. </w:t>
      </w:r>
    </w:p>
    <w:p w:rsidR="006B38F1" w:rsidRPr="00E50B03" w:rsidRDefault="006B38F1" w:rsidP="006B38F1">
      <w:proofErr w:type="spellStart"/>
      <w:r>
        <w:rPr>
          <w:rStyle w:val="Style13ptBold"/>
        </w:rPr>
        <w:t>Prashad</w:t>
      </w:r>
      <w:proofErr w:type="spellEnd"/>
      <w:r>
        <w:rPr>
          <w:rStyle w:val="Style13ptBold"/>
        </w:rPr>
        <w:t xml:space="preserve"> 01 </w:t>
      </w:r>
      <w:r w:rsidRPr="00306739">
        <w:t>(Vijay, George and Martha Kellner Chair in South Asian History and Professor of International Studies at Trinity College, “Everybody Was Kung Fu Fighting”, Beacon Press, 2001)</w:t>
      </w:r>
    </w:p>
    <w:p w:rsidR="006B38F1" w:rsidRDefault="006B38F1" w:rsidP="006B38F1">
      <w:r>
        <w:t>W</w:t>
      </w:r>
      <w:r w:rsidRPr="00736595">
        <w:rPr>
          <w:rStyle w:val="StyleUnderline"/>
        </w:rPr>
        <w:t>. E. B. Du Bois proclaimed that the problem of the twentieth century would be the problem of the color line</w:t>
      </w:r>
      <w:r>
        <w:t xml:space="preserve">.1 </w:t>
      </w:r>
      <w:r w:rsidRPr="00736595">
        <w:rPr>
          <w:rStyle w:val="StyleUnderline"/>
        </w:rPr>
        <w:t>Indeed, looking back at a century of racist oppression, Du Bois could only have judged that the hundred years ahead would mirror its past</w:t>
      </w:r>
      <w:r>
        <w:t xml:space="preserve">, and that the main fights for progressive forces would be along the color line. In  Pan-Africanist intellectuals gathered in London to ‘‘encourage a feeling of unity and to facilitate friendly intercourse among Africans in general; to promote and protect the interests of all subjects claiming African descent.’’2 It was at this gathering that Du Bois first enunciated his dictum, in trepidation and with hope for the world to come. </w:t>
      </w:r>
      <w:proofErr w:type="spellStart"/>
      <w:r>
        <w:t>Anticolonialism</w:t>
      </w:r>
      <w:proofErr w:type="spellEnd"/>
      <w:r>
        <w:t xml:space="preserve"> in the entire oppressed world threw down a severe challenge to colonial puissance, whether through countless acts of disorganized resistance or through the sporadic organizations of </w:t>
      </w:r>
      <w:proofErr w:type="spellStart"/>
      <w:r>
        <w:t>anticolonialism</w:t>
      </w:r>
      <w:proofErr w:type="spellEnd"/>
      <w:r>
        <w:t xml:space="preserve">. The fights of the anticolonial and antiracist forces produced the social democratic agenda of the elite, whose concessions, whether of the Great Society or the Scandinavian variety, came in response to the challenges from below. Withdrawal of colonial rule in the s and s—India/Pakistan in , Indonesia in , and Ghana in —was met with a shift in strategy from the captains of capitalism, who produced a phenomenon that the first president of Ghana, Kwame Nkrumah, was to quickly label ‘‘neocolonialism.’’ ‘‘The essence of neocolonialism,’’ wrote Nkrumah, ‘‘is that the State which is subject to it is, in theory, independent and has all the outward trappings of international sovereignty. In reality its economic system and thus its political policy is directed from outside,’’ by which he meant by mainly U.S. and European finance capital.3 </w:t>
      </w:r>
      <w:proofErr w:type="gramStart"/>
      <w:r>
        <w:t>During</w:t>
      </w:r>
      <w:proofErr w:type="gramEnd"/>
      <w:r>
        <w:t xml:space="preserve"> the era of neocolonialism, the presence of the USSR allowed the nascent ‘‘Third World’’ to lobby between the powers for the means of development. As the USSR collapsed in the s, neocolonialism was replaced by the theory of neoliberalism in which freedom came to mean liberty of the moneyed to act unburdened by notions of justice and democracy.4 Neoliberalism threatens us with the reproach of equality, and forbids us to create organizational platforms based on our historical and current oppression. To fight against racism is twisted into a racist act, for to invoke race even in a progressive antiracist agenda is seen as divisive. The same may be said of other oppressions: Did feminism produce a high divorce rate, or didn’t sexism set the terms for the failure of companionate marriages? Are people poor because of trade unions or because of the ravages of profit? The problem of the twenty-first century, then, is the problem of the color blind. This problem is simple: it believes that to redress racism, we need to not consider race in social practice, notably in the sphere of governmental action. The state, we are told, must be above race. It must not actively discriminate against people on the basis of race in its actions. At the dawn of a new millennium, there is widespread satisfaction of the progress on the ‘‘race problem’’; this is so to some extent, but the compass of attacks against blacks and Latinos remains routine. If we do not live by ’s Plessy v. Ferguson, we continue to live by its principle axiom—that ‘‘race’’ is a formal and individual designation and not a historical and social one.5 That is, we are led to believe that racism is a prejudicial behavior of one party against another rather than the coagulation of socioeconomic injustice against groups. If the state acts without prejudice (that is, if it acts equally), then that is proof of the end of racism. Unequal socioeconomic conditions of today, based as they are on racisms of the past and of the present, are thereby rendered untouchable by the state. Color-blind justice privatizes inequality and racism, and it removes itself from the project of redistributive and anti-racist justice. This is the genteel racism of our new millennium. In this chapter</w:t>
      </w:r>
      <w:r w:rsidRPr="00736595">
        <w:rPr>
          <w:rStyle w:val="StyleUnderline"/>
        </w:rPr>
        <w:t xml:space="preserve"> I propose to settle accounts with the two major theoretical and political approaches to racism. </w:t>
      </w:r>
      <w:r>
        <w:t xml:space="preserve">The first is that of the color blind, for this is the dominant framework that stretches from neoconservatives to all manner of liberals, and frequently includes people of all colors, many of whom have ‘‘made it’’ (often at great odds, and with the immense effort of families and friends—an effort that is generally ignored when their success is touted). Cultural critic Michael Eric Dyson correctly notes Martin Luther King Jr.’s use of an argument ‘‘beyond race’’ in which he conceived of color blindness as ‘‘a crushing blow to the pigmented morality of white chauvinists.’’6 While today King’s words (‘‘content of their character’’ not ‘‘color of their skin’’) are used against antiracists, in his own day King deployed a kind of color-blind argument to pledge a black humanity, forged in slavery, survival, and struggle, to the reconstruction of society, not the maintenance of extant social relations. Against King, </w:t>
      </w:r>
      <w:r w:rsidRPr="00736595">
        <w:rPr>
          <w:rStyle w:val="StyleUnderline"/>
        </w:rPr>
        <w:t>color blindness is generally used in our day as a way to argue that things must remain the same, for the structural features of racism cannot be touched by the manner in which contemporary color blindness operates.</w:t>
      </w:r>
      <w:r>
        <w:t xml:space="preserve"> </w:t>
      </w:r>
      <w:r w:rsidRPr="00736595">
        <w:rPr>
          <w:rStyle w:val="StyleUnderline"/>
        </w:rPr>
        <w:t xml:space="preserve">If color blindness occludes the </w:t>
      </w:r>
      <w:proofErr w:type="spellStart"/>
      <w:r w:rsidRPr="00736595">
        <w:rPr>
          <w:rStyle w:val="StyleUnderline"/>
        </w:rPr>
        <w:t>stuctures</w:t>
      </w:r>
      <w:proofErr w:type="spellEnd"/>
      <w:r w:rsidRPr="00736595">
        <w:rPr>
          <w:rStyle w:val="StyleUnderline"/>
        </w:rPr>
        <w:t xml:space="preserve"> and practices of actually existing</w:t>
      </w:r>
      <w:r>
        <w:t xml:space="preserve"> </w:t>
      </w:r>
      <w:r w:rsidRPr="00736595">
        <w:rPr>
          <w:rStyle w:val="StyleUnderline"/>
        </w:rPr>
        <w:t>racism</w:t>
      </w:r>
      <w:r>
        <w:t xml:space="preserve">, a kind of </w:t>
      </w:r>
      <w:proofErr w:type="spellStart"/>
      <w:r>
        <w:t>primordialism</w:t>
      </w:r>
      <w:proofErr w:type="spellEnd"/>
      <w:r>
        <w:t xml:space="preserve"> puts too much stake in race. </w:t>
      </w:r>
      <w:r w:rsidRPr="00736595">
        <w:rPr>
          <w:rStyle w:val="StyleUnderline"/>
        </w:rPr>
        <w:t>Despite all indications that race is not a phenomenon that can be gleaned in the bloodstream</w:t>
      </w:r>
      <w:r>
        <w:t xml:space="preserve">,7 </w:t>
      </w:r>
      <w:r w:rsidRPr="00736595">
        <w:rPr>
          <w:rStyle w:val="StyleUnderline"/>
        </w:rPr>
        <w:t xml:space="preserve">but that it is a social institution, those who advocate a </w:t>
      </w:r>
      <w:proofErr w:type="spellStart"/>
      <w:r w:rsidRPr="00736595">
        <w:rPr>
          <w:rStyle w:val="StyleUnderline"/>
        </w:rPr>
        <w:t>primordialism</w:t>
      </w:r>
      <w:proofErr w:type="spellEnd"/>
      <w:r w:rsidRPr="00736595">
        <w:rPr>
          <w:rStyle w:val="StyleUnderline"/>
        </w:rPr>
        <w:t xml:space="preserve"> see race both as people organized by the color of their skin and by genetic predispositions</w:t>
      </w:r>
      <w:r>
        <w:t xml:space="preserve">. </w:t>
      </w:r>
      <w:r w:rsidRPr="00736595">
        <w:rPr>
          <w:rStyle w:val="StyleUnderline"/>
        </w:rPr>
        <w:t xml:space="preserve">The most virulent practitioners of this line of argument are the militant and illiberal white supremacists, </w:t>
      </w:r>
      <w:r>
        <w:t xml:space="preserve">such as those who congregate in the militia movement, the fascist brigades, the Ku Klux Klan, and other such monstrous organizations. I limit my discussion of their position here mainly because the arguments are well made elsewhere.8 </w:t>
      </w:r>
      <w:proofErr w:type="gramStart"/>
      <w:r w:rsidRPr="00736595">
        <w:rPr>
          <w:rStyle w:val="StyleUnderline"/>
        </w:rPr>
        <w:t>Beyond</w:t>
      </w:r>
      <w:proofErr w:type="gramEnd"/>
      <w:r w:rsidRPr="00736595">
        <w:rPr>
          <w:rStyle w:val="StyleUnderline"/>
        </w:rPr>
        <w:t xml:space="preserve"> the color blind and the primordial is the problem of multiculturalism</w:t>
      </w:r>
      <w:r>
        <w:t xml:space="preserve">. It is currently the most compelling framework for a supposed social justice movement, but as literary critic Stanley Fish puts it so clearly, </w:t>
      </w:r>
      <w:r w:rsidRPr="00736595">
        <w:rPr>
          <w:rStyle w:val="StyleUnderline"/>
        </w:rPr>
        <w:t>there is no justifiable principle for multiculturalism.9</w:t>
      </w:r>
      <w:r>
        <w:t xml:space="preserve"> ‘‘</w:t>
      </w:r>
      <w:r w:rsidRPr="00736595">
        <w:rPr>
          <w:rStyle w:val="StyleUnderline"/>
        </w:rPr>
        <w:t>Boutique multiculturalists’’ who like the faddishness of difference cannot be taken seriously,</w:t>
      </w:r>
      <w:r>
        <w:t xml:space="preserve"> since </w:t>
      </w:r>
      <w:r w:rsidRPr="00736595">
        <w:rPr>
          <w:rStyle w:val="StyleUnderline"/>
        </w:rPr>
        <w:t>they reduce different ways of life to superficial token</w:t>
      </w:r>
      <w:r>
        <w:t>s that they can harness as style, but refuse to engage with those parts of difference with which they disagree. In short, they want the fun, but not the fundamentalism. ‘‘</w:t>
      </w:r>
      <w:r w:rsidRPr="00736595">
        <w:rPr>
          <w:rStyle w:val="StyleUnderline"/>
        </w:rPr>
        <w:t>Strong multiculturalists’’ claim to tolerate difference</w:t>
      </w:r>
      <w:r>
        <w:t xml:space="preserve">, </w:t>
      </w:r>
      <w:r w:rsidRPr="00736595">
        <w:rPr>
          <w:rStyle w:val="StyleUnderline"/>
        </w:rPr>
        <w:t>but, often only if what differs is a kind of ‘‘reasonable’’ difference</w:t>
      </w:r>
      <w:r>
        <w:t xml:space="preserve"> (thereby joining ranks with cultural browsers). Fish argues that since few people in the world live in homogeneous zones, it behooves us all to be multiculturalists. </w:t>
      </w:r>
      <w:r w:rsidRPr="00736595">
        <w:rPr>
          <w:rStyle w:val="StyleUnderline"/>
        </w:rPr>
        <w:t xml:space="preserve">The tolerance we practice should be based on a kind of ‘‘inspired </w:t>
      </w:r>
      <w:proofErr w:type="spellStart"/>
      <w:r w:rsidRPr="00736595">
        <w:rPr>
          <w:rStyle w:val="StyleUnderline"/>
        </w:rPr>
        <w:t>adhoccery</w:t>
      </w:r>
      <w:proofErr w:type="spellEnd"/>
      <w:r w:rsidRPr="00736595">
        <w:rPr>
          <w:rStyle w:val="StyleUnderline"/>
        </w:rPr>
        <w:t>’’</w:t>
      </w:r>
      <w:r>
        <w:t xml:space="preserve"> where we make decisions on the fly and not based on any regulated principles.10 I admit there is something attractive about unregulated life, about existence along the grain of the quotidian choices made by people. What is unclear from Fish is whether there is any power for the regulation of the ethical choices we make and the acts we commit in our everyday lives. I’m not keen on a life governed by the anarchical production of morality by a free market. My sense of ‘‘inspired </w:t>
      </w:r>
      <w:proofErr w:type="spellStart"/>
      <w:r>
        <w:t>adhoccery</w:t>
      </w:r>
      <w:proofErr w:type="spellEnd"/>
      <w:r>
        <w:t xml:space="preserve">’’ is that a population galvanized by the struggle for social justice willfully creates principles of and institutions for interaction and then mediates those principles through itself. </w:t>
      </w:r>
      <w:r w:rsidRPr="00736595">
        <w:rPr>
          <w:rStyle w:val="StyleUnderline"/>
        </w:rPr>
        <w:t>Multiculturalism is a principle for the regulation of social life from above</w:t>
      </w:r>
      <w:r>
        <w:t xml:space="preserve">, one that can only fitfully find itself in the sorts of struggles that produce the values of interaction from below. </w:t>
      </w:r>
      <w:r w:rsidRPr="00736595">
        <w:rPr>
          <w:rStyle w:val="StyleUnderline"/>
        </w:rPr>
        <w:t xml:space="preserve">A close engagement with the concept of multiculturalism allows us </w:t>
      </w:r>
      <w:r w:rsidRPr="00736595">
        <w:rPr>
          <w:rStyle w:val="Emphasis"/>
        </w:rPr>
        <w:t xml:space="preserve">to cultivate the category of the </w:t>
      </w:r>
      <w:proofErr w:type="spellStart"/>
      <w:r w:rsidRPr="00736595">
        <w:rPr>
          <w:rStyle w:val="Emphasis"/>
        </w:rPr>
        <w:t>polycultural</w:t>
      </w:r>
      <w:proofErr w:type="spellEnd"/>
      <w:r w:rsidRPr="00736595">
        <w:rPr>
          <w:rStyle w:val="StyleUnderline"/>
        </w:rPr>
        <w:t xml:space="preserve">, one that not only encourages the inherent complexity of cultures, but that also stakes its claim to political, and delimited, claims rather than the pretense of universal, and </w:t>
      </w:r>
      <w:proofErr w:type="spellStart"/>
      <w:r w:rsidRPr="00736595">
        <w:rPr>
          <w:rStyle w:val="StyleUnderline"/>
        </w:rPr>
        <w:t>nonembodied</w:t>
      </w:r>
      <w:proofErr w:type="spellEnd"/>
      <w:r w:rsidRPr="00736595">
        <w:rPr>
          <w:rStyle w:val="StyleUnderline"/>
        </w:rPr>
        <w:t>, values</w:t>
      </w:r>
      <w:r>
        <w:t>. But more on that later.</w:t>
      </w:r>
    </w:p>
    <w:p w:rsidR="006B38F1" w:rsidRDefault="006B38F1" w:rsidP="006B38F1">
      <w:pPr>
        <w:pStyle w:val="Heading2"/>
      </w:pPr>
      <w:r>
        <w:t>Butler – Precarious Life</w:t>
      </w:r>
    </w:p>
    <w:p w:rsidR="006B38F1" w:rsidRPr="00736595" w:rsidRDefault="006B38F1" w:rsidP="006B38F1">
      <w:pPr>
        <w:pStyle w:val="Heading4"/>
      </w:pPr>
      <w:r>
        <w:t xml:space="preserve">Precarious Life DA: Their acceptance of the human as a point of analysis fortifies the human/nonhuman dyad making the humanist quest to exterminate the anti-human inevitable, outweighs and turns. Only the </w:t>
      </w:r>
      <w:proofErr w:type="spellStart"/>
      <w:r>
        <w:t>aff’s</w:t>
      </w:r>
      <w:proofErr w:type="spellEnd"/>
      <w:r>
        <w:t xml:space="preserve"> genealogy destabilizes the binary between human and bestial bodies. </w:t>
      </w:r>
    </w:p>
    <w:p w:rsidR="006B38F1" w:rsidRPr="00736595" w:rsidRDefault="006B38F1" w:rsidP="006B38F1">
      <w:pPr>
        <w:rPr>
          <w:rStyle w:val="Style13ptBold"/>
        </w:rPr>
      </w:pPr>
      <w:r>
        <w:rPr>
          <w:rStyle w:val="Style13ptBold"/>
        </w:rPr>
        <w:t xml:space="preserve">Butler 12 </w:t>
      </w:r>
      <w:r w:rsidRPr="00736595">
        <w:t xml:space="preserve">(Judith, Maxine Elliot Professor in the Departments of Rhetoric and Comparative Literature and the </w:t>
      </w:r>
      <w:proofErr w:type="spellStart"/>
      <w:r w:rsidRPr="00736595">
        <w:t>codirector</w:t>
      </w:r>
      <w:proofErr w:type="spellEnd"/>
      <w:r w:rsidRPr="00736595">
        <w:t xml:space="preserve"> of the Program of Critical Theory at the University of California, Berkeley, </w:t>
      </w:r>
      <w:proofErr w:type="spellStart"/>
      <w:r w:rsidRPr="00736595">
        <w:t>Precarity</w:t>
      </w:r>
      <w:proofErr w:type="spellEnd"/>
      <w:r w:rsidRPr="00736595">
        <w:t xml:space="preserve"> Talk A Virtual Roundtable with Lauren </w:t>
      </w:r>
      <w:proofErr w:type="spellStart"/>
      <w:r w:rsidRPr="00736595">
        <w:t>Berlant</w:t>
      </w:r>
      <w:proofErr w:type="spellEnd"/>
      <w:r w:rsidRPr="00736595">
        <w:t xml:space="preserve">, Judith Butler, </w:t>
      </w:r>
      <w:proofErr w:type="spellStart"/>
      <w:r w:rsidRPr="00736595">
        <w:t>Bojana</w:t>
      </w:r>
      <w:proofErr w:type="spellEnd"/>
      <w:r w:rsidRPr="00736595">
        <w:t xml:space="preserve"> </w:t>
      </w:r>
      <w:proofErr w:type="spellStart"/>
      <w:r w:rsidRPr="00736595">
        <w:t>Cvejic</w:t>
      </w:r>
      <w:proofErr w:type="spellEnd"/>
      <w:r w:rsidRPr="00736595">
        <w:t xml:space="preserve">, Isabell </w:t>
      </w:r>
      <w:proofErr w:type="spellStart"/>
      <w:r w:rsidRPr="00736595">
        <w:t>Lorey</w:t>
      </w:r>
      <w:proofErr w:type="spellEnd"/>
      <w:r w:rsidRPr="00736595">
        <w:t xml:space="preserve">, </w:t>
      </w:r>
      <w:proofErr w:type="spellStart"/>
      <w:r w:rsidRPr="00736595">
        <w:t>Jasbir</w:t>
      </w:r>
      <w:proofErr w:type="spellEnd"/>
      <w:r w:rsidRPr="00736595">
        <w:t xml:space="preserve"> </w:t>
      </w:r>
      <w:proofErr w:type="spellStart"/>
      <w:r w:rsidRPr="00736595">
        <w:t>Puar</w:t>
      </w:r>
      <w:proofErr w:type="spellEnd"/>
      <w:r w:rsidRPr="00736595">
        <w:t xml:space="preserve">, and Ana </w:t>
      </w:r>
      <w:proofErr w:type="spellStart"/>
      <w:r w:rsidRPr="00736595">
        <w:t>Vujanovic</w:t>
      </w:r>
      <w:proofErr w:type="spellEnd"/>
      <w:r w:rsidRPr="00736595">
        <w:t xml:space="preserve"> ; ; edited by </w:t>
      </w:r>
      <w:proofErr w:type="spellStart"/>
      <w:r w:rsidRPr="00736595">
        <w:t>Jasbir</w:t>
      </w:r>
      <w:proofErr w:type="spellEnd"/>
      <w:r w:rsidRPr="00736595">
        <w:t xml:space="preserve"> </w:t>
      </w:r>
      <w:proofErr w:type="spellStart"/>
      <w:r w:rsidRPr="00736595">
        <w:t>Puar</w:t>
      </w:r>
      <w:proofErr w:type="spellEnd"/>
      <w:r w:rsidRPr="00736595">
        <w:t xml:space="preserve">, TDR: The Drama Review 56:4 (T216) Winter 2012. ©2012 New York University and the Massachusetts Institute of Technology, </w:t>
      </w:r>
      <w:hyperlink r:id="rId7" w:history="1">
        <w:r w:rsidRPr="00736595">
          <w:rPr>
            <w:rStyle w:val="Hyperlink"/>
          </w:rPr>
          <w:t>http://www.jasbirpuar.com/assets/JKP_Precarity-Talk.pdf</w:t>
        </w:r>
      </w:hyperlink>
      <w:r w:rsidRPr="00736595">
        <w:t>, accessed 7/18/16)</w:t>
      </w:r>
    </w:p>
    <w:p w:rsidR="006B38F1" w:rsidRPr="00093497" w:rsidRDefault="006B38F1" w:rsidP="006B38F1">
      <w:r>
        <w:t xml:space="preserve">I thought to take up this question of the human since references to </w:t>
      </w:r>
      <w:proofErr w:type="spellStart"/>
      <w:r>
        <w:t>precarity</w:t>
      </w:r>
      <w:proofErr w:type="spellEnd"/>
      <w:r>
        <w:t xml:space="preserve"> sometimes rely on ideals of humanization and sometimes actually decenter the human itself. It is always possible to say that the affective register where </w:t>
      </w:r>
      <w:proofErr w:type="spellStart"/>
      <w:r>
        <w:t>precarity</w:t>
      </w:r>
      <w:proofErr w:type="spellEnd"/>
      <w:r>
        <w:t xml:space="preserve"> dwells is something like </w:t>
      </w:r>
      <w:r w:rsidRPr="00093497">
        <w:rPr>
          <w:rStyle w:val="StyleUnderline"/>
        </w:rPr>
        <w:t>dehumanization</w:t>
      </w:r>
      <w:r>
        <w:t xml:space="preserve">. And yet, we know that such a word </w:t>
      </w:r>
      <w:r w:rsidRPr="00093497">
        <w:rPr>
          <w:rStyle w:val="StyleUnderline"/>
        </w:rPr>
        <w:t>relies on a human/animal distinction that cannot and should not be sustained</w:t>
      </w:r>
      <w:r>
        <w:t xml:space="preserve">. Indeed, </w:t>
      </w:r>
      <w:r w:rsidRPr="00736595">
        <w:rPr>
          <w:rStyle w:val="Emphasis"/>
        </w:rPr>
        <w:t>if we call for</w:t>
      </w:r>
      <w:r>
        <w:t xml:space="preserve"> humanization and </w:t>
      </w:r>
      <w:r w:rsidRPr="00736595">
        <w:rPr>
          <w:rStyle w:val="Emphasis"/>
        </w:rPr>
        <w:t>struggle against</w:t>
      </w:r>
      <w:r w:rsidRPr="00093497">
        <w:rPr>
          <w:rStyle w:val="StyleUnderline"/>
        </w:rPr>
        <w:t xml:space="preserve"> “</w:t>
      </w:r>
      <w:proofErr w:type="spellStart"/>
      <w:r w:rsidRPr="00736595">
        <w:rPr>
          <w:rStyle w:val="Emphasis"/>
        </w:rPr>
        <w:t>bestialization</w:t>
      </w:r>
      <w:proofErr w:type="spellEnd"/>
      <w:r w:rsidRPr="00736595">
        <w:rPr>
          <w:rStyle w:val="Emphasis"/>
        </w:rPr>
        <w:t>”</w:t>
      </w:r>
      <w:r>
        <w:t xml:space="preserve"> </w:t>
      </w:r>
      <w:r w:rsidRPr="00736595">
        <w:rPr>
          <w:rStyle w:val="Emphasis"/>
        </w:rPr>
        <w:t>then we affirm</w:t>
      </w:r>
      <w:r w:rsidRPr="00093497">
        <w:rPr>
          <w:rStyle w:val="StyleUnderline"/>
        </w:rPr>
        <w:t xml:space="preserve"> that </w:t>
      </w:r>
      <w:r w:rsidRPr="00736595">
        <w:rPr>
          <w:rStyle w:val="Emphasis"/>
        </w:rPr>
        <w:t>the bestial is separate from and subordinate to the human</w:t>
      </w:r>
      <w:r w:rsidRPr="00093497">
        <w:rPr>
          <w:rStyle w:val="StyleUnderline"/>
        </w:rPr>
        <w:t>,</w:t>
      </w:r>
      <w:r>
        <w:t xml:space="preserve"> </w:t>
      </w:r>
      <w:r w:rsidRPr="00093497">
        <w:rPr>
          <w:rStyle w:val="StyleUnderline"/>
        </w:rPr>
        <w:t>something that clearly breaks our broader commitments to rethinking the networks of life</w:t>
      </w:r>
      <w:r>
        <w:t xml:space="preserve">. On the one hand, I want to be able to say that the “human” operates differentially, as </w:t>
      </w:r>
      <w:r w:rsidRPr="00736595">
        <w:rPr>
          <w:rStyle w:val="Emphasis"/>
        </w:rPr>
        <w:t>Fanon</w:t>
      </w:r>
      <w:r w:rsidRPr="00093497">
        <w:rPr>
          <w:rStyle w:val="StyleUnderline"/>
        </w:rPr>
        <w:t xml:space="preserve"> clearly </w:t>
      </w:r>
      <w:r w:rsidRPr="00736595">
        <w:rPr>
          <w:rStyle w:val="Emphasis"/>
        </w:rPr>
        <w:t xml:space="preserve">thought </w:t>
      </w:r>
      <w:r>
        <w:t xml:space="preserve">it did ([1952] 2008; [1961] 2005), such </w:t>
      </w:r>
      <w:r w:rsidRPr="00093497">
        <w:rPr>
          <w:rStyle w:val="StyleUnderline"/>
        </w:rPr>
        <w:t xml:space="preserve">that </w:t>
      </w:r>
      <w:r w:rsidRPr="00736595">
        <w:rPr>
          <w:rStyle w:val="Emphasis"/>
        </w:rPr>
        <w:t>some are humanized and others are not,</w:t>
      </w:r>
      <w:r>
        <w:t xml:space="preserve"> </w:t>
      </w:r>
      <w:r w:rsidRPr="00093497">
        <w:rPr>
          <w:rStyle w:val="StyleUnderline"/>
        </w:rPr>
        <w:t>and that this inequality must be opposed.</w:t>
      </w:r>
      <w:r>
        <w:t xml:space="preserve"> </w:t>
      </w:r>
      <w:r w:rsidRPr="00736595">
        <w:rPr>
          <w:rStyle w:val="Emphasis"/>
        </w:rPr>
        <w:t>But the critical task is to find a way to oppose that inequality without embracing anthropocentrism</w:t>
      </w:r>
      <w:r>
        <w:t xml:space="preserve">. So </w:t>
      </w:r>
      <w:r w:rsidRPr="00093497">
        <w:rPr>
          <w:rStyle w:val="StyleUnderline"/>
        </w:rPr>
        <w:t xml:space="preserve">we have to rethink the human in light of </w:t>
      </w:r>
      <w:proofErr w:type="spellStart"/>
      <w:r w:rsidRPr="00093497">
        <w:rPr>
          <w:rStyle w:val="StyleUnderline"/>
        </w:rPr>
        <w:t>precarity</w:t>
      </w:r>
      <w:proofErr w:type="spellEnd"/>
      <w:r w:rsidRPr="00093497">
        <w:rPr>
          <w:rStyle w:val="StyleUnderline"/>
        </w:rPr>
        <w:t>,</w:t>
      </w:r>
      <w:r>
        <w:t xml:space="preserve"> showing that there is no human without those networks of life within which </w:t>
      </w:r>
      <w:r w:rsidRPr="00093497">
        <w:rPr>
          <w:rStyle w:val="StyleUnderline"/>
        </w:rPr>
        <w:t>human life is but one sort of life</w:t>
      </w:r>
      <w:r>
        <w:t xml:space="preserve">. Otherwise, we end up breaking off the human from all of its sustaining conditions (and in that way become complicit with the process of </w:t>
      </w:r>
      <w:proofErr w:type="spellStart"/>
      <w:r>
        <w:t>precaritization</w:t>
      </w:r>
      <w:proofErr w:type="spellEnd"/>
      <w:r>
        <w:t xml:space="preserve"> </w:t>
      </w:r>
      <w:proofErr w:type="gramStart"/>
      <w:r>
        <w:t>itself )</w:t>
      </w:r>
      <w:proofErr w:type="gramEnd"/>
      <w:r>
        <w:t xml:space="preserve">. So </w:t>
      </w:r>
      <w:r w:rsidRPr="00093497">
        <w:rPr>
          <w:rStyle w:val="StyleUnderline"/>
        </w:rPr>
        <w:t xml:space="preserve">the point is not to develop a conception of the human that would include every possible person </w:t>
      </w:r>
      <w:r>
        <w:t xml:space="preserve">first because such conceptions come to operate as exclusionary norms, and they are based on this breaking off of the human from its own material need, and the broader fields of life in which that need is implicated. </w:t>
      </w:r>
      <w:r w:rsidRPr="00093497">
        <w:rPr>
          <w:rStyle w:val="StyleUnderline"/>
        </w:rPr>
        <w:t>To think critically</w:t>
      </w:r>
      <w:r>
        <w:t xml:space="preserve">, usefully, </w:t>
      </w:r>
      <w:r w:rsidRPr="00093497">
        <w:rPr>
          <w:rStyle w:val="StyleUnderline"/>
        </w:rPr>
        <w:t xml:space="preserve">about how </w:t>
      </w:r>
      <w:r w:rsidRPr="00736595">
        <w:rPr>
          <w:rStyle w:val="Emphasis"/>
        </w:rPr>
        <w:t>the norm of the human is constructed</w:t>
      </w:r>
      <w:r w:rsidRPr="00093497">
        <w:rPr>
          <w:rStyle w:val="StyleUnderline"/>
        </w:rPr>
        <w:t xml:space="preserve"> </w:t>
      </w:r>
      <w:r w:rsidRPr="00736595">
        <w:rPr>
          <w:rStyle w:val="Emphasis"/>
        </w:rPr>
        <w:t>and maintained requires</w:t>
      </w:r>
      <w:r>
        <w:t xml:space="preserve"> </w:t>
      </w:r>
      <w:r w:rsidRPr="00093497">
        <w:rPr>
          <w:rStyle w:val="StyleUnderline"/>
        </w:rPr>
        <w:t xml:space="preserve">that </w:t>
      </w:r>
      <w:r w:rsidRPr="00736595">
        <w:rPr>
          <w:rStyle w:val="Emphasis"/>
        </w:rPr>
        <w:t>we take up a position</w:t>
      </w:r>
      <w:r w:rsidRPr="00093497">
        <w:rPr>
          <w:rStyle w:val="StyleUnderline"/>
        </w:rPr>
        <w:t xml:space="preserve"> outside of its terms, </w:t>
      </w:r>
      <w:r w:rsidRPr="00736595">
        <w:rPr>
          <w:rStyle w:val="Emphasis"/>
        </w:rPr>
        <w:t>not as</w:t>
      </w:r>
      <w:r w:rsidRPr="00093497">
        <w:rPr>
          <w:rStyle w:val="StyleUnderline"/>
        </w:rPr>
        <w:t xml:space="preserve"> </w:t>
      </w:r>
      <w:r w:rsidRPr="00093497">
        <w:t>the nonhuman or even</w:t>
      </w:r>
      <w:r w:rsidRPr="00093497">
        <w:rPr>
          <w:rStyle w:val="StyleUnderline"/>
        </w:rPr>
        <w:t xml:space="preserve"> </w:t>
      </w:r>
      <w:r w:rsidRPr="00736595">
        <w:rPr>
          <w:rStyle w:val="Emphasis"/>
        </w:rPr>
        <w:t>the antihuman</w:t>
      </w:r>
      <w:r w:rsidRPr="00093497">
        <w:rPr>
          <w:rStyle w:val="StyleUnderline"/>
        </w:rPr>
        <w:t>,</w:t>
      </w:r>
      <w:r>
        <w:t xml:space="preserve"> </w:t>
      </w:r>
      <w:r w:rsidRPr="00093497">
        <w:rPr>
          <w:rStyle w:val="StyleUnderline"/>
        </w:rPr>
        <w:t xml:space="preserve">but </w:t>
      </w:r>
      <w:r>
        <w:t xml:space="preserve">rather precisely through </w:t>
      </w:r>
      <w:r w:rsidRPr="00093497">
        <w:rPr>
          <w:rStyle w:val="StyleUnderline"/>
        </w:rPr>
        <w:t>thinking</w:t>
      </w:r>
      <w:r>
        <w:t xml:space="preserve"> </w:t>
      </w:r>
      <w:r w:rsidRPr="00093497">
        <w:rPr>
          <w:rStyle w:val="StyleUnderline"/>
        </w:rPr>
        <w:t>forms of sociality</w:t>
      </w:r>
      <w:r>
        <w:t xml:space="preserve"> and interdependence, no matter how difficult, </w:t>
      </w:r>
      <w:r w:rsidRPr="00093497">
        <w:rPr>
          <w:rStyle w:val="StyleUnderline"/>
        </w:rPr>
        <w:t>that are irreducible to uniquely human forms of life</w:t>
      </w:r>
      <w:r>
        <w:t xml:space="preserve"> and so cannot be adequately addressed by any definition of human nature or the human individual. </w:t>
      </w:r>
      <w:r w:rsidRPr="00093497">
        <w:rPr>
          <w:rStyle w:val="StyleUnderline"/>
        </w:rPr>
        <w:t xml:space="preserve">To speak about what is living in human life is already to admit that human ways of living are bound up with nonhuman modes of life. </w:t>
      </w:r>
      <w:r>
        <w:t xml:space="preserve">Indeed, the connection with nonhuman life is indispensable to what we call human life. </w:t>
      </w:r>
      <w:r w:rsidRPr="00736595">
        <w:rPr>
          <w:rStyle w:val="Emphasis"/>
        </w:rPr>
        <w:t>In Hegelian terms</w:t>
      </w:r>
      <w:r w:rsidRPr="00093497">
        <w:rPr>
          <w:rStyle w:val="StyleUnderline"/>
        </w:rPr>
        <w:t>, if the human cannot be the human without the inhuman, then the inhuman is not only essential to the human, but is therefore the essence of the human</w:t>
      </w:r>
      <w:r w:rsidRPr="00736595">
        <w:rPr>
          <w:rStyle w:val="Emphasis"/>
        </w:rPr>
        <w:t>. The point is not to simply invert the relations</w:t>
      </w:r>
      <w:r>
        <w:t xml:space="preserve">, </w:t>
      </w:r>
      <w:r w:rsidRPr="00093497">
        <w:rPr>
          <w:rStyle w:val="StyleUnderline"/>
        </w:rPr>
        <w:t>but rather to gather</w:t>
      </w:r>
      <w:r>
        <w:t xml:space="preserve"> and hold </w:t>
      </w:r>
      <w:r w:rsidRPr="00093497">
        <w:rPr>
          <w:rStyle w:val="StyleUnderline"/>
        </w:rPr>
        <w:t xml:space="preserve">this </w:t>
      </w:r>
      <w:r>
        <w:t xml:space="preserve">merely apparent </w:t>
      </w:r>
      <w:r w:rsidRPr="00093497">
        <w:rPr>
          <w:rStyle w:val="StyleUnderline"/>
        </w:rPr>
        <w:t>paradox together in a new thought of “human life”</w:t>
      </w:r>
      <w:r>
        <w:t xml:space="preserve"> </w:t>
      </w:r>
      <w:r w:rsidRPr="00093497">
        <w:rPr>
          <w:rStyle w:val="StyleUnderline"/>
        </w:rPr>
        <w:t>in which its component parts, “human” and “life,” never fully coincide with one another</w:t>
      </w:r>
      <w:r>
        <w:t>. In other words, if we have to hold onto this term “human life” in order to describe and oppose those situations in which “human life” is jeopardized, it will have to be done in such a way that the very conjunction—human life—will on occasion seek to hold together two terms that repel one another, or that work in divergent directions</w:t>
      </w:r>
      <w:r w:rsidRPr="00093497">
        <w:rPr>
          <w:rStyle w:val="StyleUnderline"/>
        </w:rPr>
        <w:t>. Human life is never the entirety of life</w:t>
      </w:r>
      <w:r>
        <w:t xml:space="preserve">, and life can never fully define the human—so whatever we might want to call human life will inevitably consist of a negotiation with this tension. Perhaps the human is the name we give to this very negotiation. </w:t>
      </w:r>
      <w:r w:rsidRPr="00736595">
        <w:rPr>
          <w:rStyle w:val="Emphasis"/>
        </w:rPr>
        <w:t>What seems to follow is this</w:t>
      </w:r>
      <w:r w:rsidRPr="00093497">
        <w:rPr>
          <w:rStyle w:val="StyleUnderline"/>
        </w:rPr>
        <w:t>:</w:t>
      </w:r>
      <w:r>
        <w:t xml:space="preserve"> while it is important to ask, </w:t>
      </w:r>
      <w:r w:rsidRPr="00736595">
        <w:rPr>
          <w:rStyle w:val="Emphasis"/>
        </w:rPr>
        <w:t>Whose life qualifies as a human</w:t>
      </w:r>
      <w:r w:rsidRPr="00093497">
        <w:rPr>
          <w:rStyle w:val="StyleUnderline"/>
        </w:rPr>
        <w:t xml:space="preserve"> life</w:t>
      </w:r>
      <w:proofErr w:type="gramStart"/>
      <w:r w:rsidRPr="00093497">
        <w:rPr>
          <w:rStyle w:val="StyleUnderline"/>
        </w:rPr>
        <w:t>?,</w:t>
      </w:r>
      <w:proofErr w:type="gramEnd"/>
      <w:r>
        <w:t xml:space="preserve"> we have also to ask the inverse question: </w:t>
      </w:r>
      <w:r w:rsidRPr="00736595">
        <w:rPr>
          <w:rStyle w:val="Emphasis"/>
        </w:rPr>
        <w:t>What of human life is inevitably nonhuman</w:t>
      </w:r>
      <w:r w:rsidRPr="00093497">
        <w:rPr>
          <w:rStyle w:val="StyleUnderline"/>
        </w:rPr>
        <w:t>?</w:t>
      </w:r>
      <w:r>
        <w:t xml:space="preserve"> </w:t>
      </w:r>
      <w:r w:rsidRPr="00736595">
        <w:rPr>
          <w:rStyle w:val="Emphasis"/>
        </w:rPr>
        <w:t>If there is a human life that does not qualify as human</w:t>
      </w:r>
      <w:r w:rsidRPr="00093497">
        <w:rPr>
          <w:rStyle w:val="StyleUnderline"/>
        </w:rPr>
        <w:t xml:space="preserve">, </w:t>
      </w:r>
      <w:r w:rsidRPr="00736595">
        <w:rPr>
          <w:rStyle w:val="Emphasis"/>
        </w:rPr>
        <w:t>that has to be marked</w:t>
      </w:r>
      <w:r w:rsidRPr="00093497">
        <w:rPr>
          <w:rStyle w:val="StyleUnderline"/>
        </w:rPr>
        <w:t xml:space="preserve"> and opposed, </w:t>
      </w:r>
      <w:r w:rsidRPr="00736595">
        <w:rPr>
          <w:rStyle w:val="Emphasis"/>
        </w:rPr>
        <w:t>then the question becomes</w:t>
      </w:r>
      <w:r w:rsidRPr="00093497">
        <w:rPr>
          <w:rStyle w:val="StyleUnderline"/>
        </w:rPr>
        <w:t xml:space="preserve">: </w:t>
      </w:r>
      <w:r w:rsidRPr="00736595">
        <w:rPr>
          <w:rStyle w:val="Emphasis"/>
        </w:rPr>
        <w:t>Through what modes of sociality is that opposition articulated</w:t>
      </w:r>
      <w:r w:rsidRPr="00093497">
        <w:rPr>
          <w:rStyle w:val="StyleUnderline"/>
        </w:rPr>
        <w:t>?</w:t>
      </w:r>
      <w:r>
        <w:t xml:space="preserve"> And how do those modes of oppositional sociality redefine and resituate the human in light of animal and organic networks of life? There has to be a way to find and forge a set of bonds that can produce alliances over and against this grid of power that differentially allocates </w:t>
      </w:r>
      <w:proofErr w:type="spellStart"/>
      <w:r>
        <w:t>recognizability</w:t>
      </w:r>
      <w:proofErr w:type="spellEnd"/>
      <w:r>
        <w:t xml:space="preserve"> and uses the “human” as a term through which to institute inequality and unrecognizability. The beginning of such alliances can be found in ethical formulations such as these: even if my life is not destroyed in war, something of my life is destroyed in war when other lives are destroyed in war, and when living processes and organisms are also destroyed in war. Since the existence of other lives, understood as any mode of life that exceeds me, is a condition of who I am, my life can make no exclusive claim on life (“I am not the only living thing”). At the same time, </w:t>
      </w:r>
      <w:r w:rsidRPr="00093497">
        <w:rPr>
          <w:rStyle w:val="StyleUnderline"/>
        </w:rPr>
        <w:t>my own life is not every other life, and cannot be</w:t>
      </w:r>
      <w:r>
        <w:t xml:space="preserve"> (“My life is not the same as other lives”). In other words, to be alive is already to be connected with, dependent upon, what is living not only before and beyond myself, but before and beyond my humanness. </w:t>
      </w:r>
      <w:r w:rsidRPr="00093497">
        <w:rPr>
          <w:rStyle w:val="StyleUnderline"/>
        </w:rPr>
        <w:t>No self and no human can live without this connection to a biological network of life that exceeds and includes the domain of the human animal.</w:t>
      </w:r>
      <w:r>
        <w:t xml:space="preserve"> This is why in opposing war, for example, one not only opposes the destruction of other human lives, but also the poisoning of the environment and the assault on living beings and a living world.</w:t>
      </w:r>
    </w:p>
    <w:p w:rsidR="006B38F1" w:rsidRDefault="006B38F1" w:rsidP="006B38F1">
      <w:pPr>
        <w:pStyle w:val="Heading2"/>
      </w:pPr>
      <w:r>
        <w:t>Hudson</w:t>
      </w:r>
    </w:p>
    <w:p w:rsidR="006B38F1" w:rsidRDefault="006B38F1" w:rsidP="006B38F1">
      <w:pPr>
        <w:pStyle w:val="Heading3"/>
      </w:pPr>
      <w:r>
        <w:t>2AC Hudson</w:t>
      </w:r>
    </w:p>
    <w:p w:rsidR="006B38F1" w:rsidRDefault="006B38F1" w:rsidP="006B38F1">
      <w:pPr>
        <w:pStyle w:val="Heading4"/>
      </w:pPr>
      <w:r w:rsidRPr="007137FD">
        <w:t>Blackness is not ontological but a snapshot image of a broader contingent structure within a colonial matrix that posits whiteness as the master signifier and everything else as occupying degrees of deviance from whiteness. Anti-blackness is not the global stage of violence and their fatalism re-entrenches this relation that thrives upon militant antagonism</w:t>
      </w:r>
      <w:r>
        <w:t xml:space="preserve">.  </w:t>
      </w:r>
    </w:p>
    <w:p w:rsidR="006B38F1" w:rsidRPr="004F6707" w:rsidRDefault="006B38F1" w:rsidP="006B38F1">
      <w:pPr>
        <w:pStyle w:val="ListParagraph"/>
        <w:numPr>
          <w:ilvl w:val="0"/>
          <w:numId w:val="11"/>
        </w:numPr>
      </w:pPr>
      <w:r>
        <w:t>Human history is so short.</w:t>
      </w:r>
    </w:p>
    <w:p w:rsidR="006B38F1" w:rsidRPr="00341744" w:rsidRDefault="006B38F1" w:rsidP="006B38F1">
      <w:pPr>
        <w:pStyle w:val="ListParagraph"/>
        <w:numPr>
          <w:ilvl w:val="0"/>
          <w:numId w:val="11"/>
        </w:numPr>
      </w:pPr>
      <w:r>
        <w:t>No stage: Everyone is white, some are just less white than others</w:t>
      </w:r>
    </w:p>
    <w:p w:rsidR="006B38F1" w:rsidRPr="009B31F8" w:rsidRDefault="006B38F1" w:rsidP="006B38F1">
      <w:pPr>
        <w:rPr>
          <w:b/>
          <w:bCs/>
          <w:sz w:val="26"/>
        </w:rPr>
      </w:pPr>
      <w:r>
        <w:rPr>
          <w:rStyle w:val="Style13ptBold"/>
        </w:rPr>
        <w:t xml:space="preserve">Hudson 13 </w:t>
      </w:r>
      <w:r w:rsidRPr="00223C07">
        <w:t xml:space="preserve">(Peter, Political Studies Department, University of the Witwatersrand, Johannesburg, “The state and the colonial unconscious”, Social Dynamics, 39:2, 263-277, </w:t>
      </w:r>
      <w:hyperlink r:id="rId8" w:history="1">
        <w:r w:rsidRPr="00223C07">
          <w:rPr>
            <w:rStyle w:val="Hyperlink"/>
          </w:rPr>
          <w:t>http://dx.doi.org/10.1080/02533952.2013.802867</w:t>
        </w:r>
      </w:hyperlink>
      <w:r w:rsidRPr="00223C07">
        <w:t>, accessed 7/18/16)</w:t>
      </w:r>
    </w:p>
    <w:p w:rsidR="006B38F1" w:rsidRDefault="006B38F1" w:rsidP="006B38F1">
      <w:r>
        <w:t xml:space="preserve">This is a slightly more developed version of a paper first presented at a Public Affairs Research Institute (PARI) seminar on the South African State in May 2012 in which I address the relationship between liberal democracy and national democracy, and do so by examining their respective articulations with the colonial unconscious.1 In this version, I firstly elaborate on the concept of colonialism itself, addressing in particular the issue of the specificity of the </w:t>
      </w:r>
      <w:proofErr w:type="spellStart"/>
      <w:r>
        <w:t>colonised</w:t>
      </w:r>
      <w:proofErr w:type="spellEnd"/>
      <w:r>
        <w:t xml:space="preserve"> in relation to both the reproduction and transformation of colonialism;2 [Begin Footnote] </w:t>
      </w:r>
      <w:r w:rsidRPr="009B31F8">
        <w:rPr>
          <w:rStyle w:val="StyleUnderline"/>
        </w:rPr>
        <w:t xml:space="preserve">My foil here is the ontological fatalism of Frank </w:t>
      </w:r>
      <w:proofErr w:type="spellStart"/>
      <w:r w:rsidRPr="009B31F8">
        <w:rPr>
          <w:rStyle w:val="StyleUnderline"/>
        </w:rPr>
        <w:t>Wilderson’s</w:t>
      </w:r>
      <w:proofErr w:type="spellEnd"/>
      <w:r w:rsidRPr="009B31F8">
        <w:rPr>
          <w:rStyle w:val="StyleUnderline"/>
        </w:rPr>
        <w:t xml:space="preserve"> argument</w:t>
      </w:r>
      <w:r>
        <w:t xml:space="preserve">. See </w:t>
      </w:r>
      <w:proofErr w:type="spellStart"/>
      <w:r>
        <w:t>Wilderson</w:t>
      </w:r>
      <w:proofErr w:type="spellEnd"/>
      <w:r>
        <w:t xml:space="preserve"> (2008), </w:t>
      </w:r>
      <w:r w:rsidRPr="009B31F8">
        <w:rPr>
          <w:rStyle w:val="StyleUnderline"/>
        </w:rPr>
        <w:t>according to which “the only way Humanity can maintain both its corporeal and libidinal integrity is through the various strategies through which Blackness is the abyss into which humanness can never fall</w:t>
      </w:r>
      <w:r>
        <w:t xml:space="preserve">” (105). </w:t>
      </w:r>
      <w:r w:rsidRPr="009B31F8">
        <w:rPr>
          <w:rStyle w:val="StyleUnderline"/>
        </w:rPr>
        <w:t>And “were there to be a place and time for blacks cartography and temporality would be impossible</w:t>
      </w:r>
      <w:r>
        <w:t xml:space="preserve">” (111). </w:t>
      </w:r>
      <w:r w:rsidRPr="009B31F8">
        <w:rPr>
          <w:rStyle w:val="StyleUnderline"/>
        </w:rPr>
        <w:t xml:space="preserve">Here then, the closure of colonialism is absolute. </w:t>
      </w:r>
      <w:r>
        <w:t xml:space="preserve">[End Footnote] and secondly, make use of Freud’s analysis of the joke form (in Jokes and the Unconscious, Freud 1976) to buttress the analysis of how Brett Murray’s controversial 2012 painting of President Zuma, titled The Spear, works as a determinate practice of signification. The painting depicted Jacob Zuma with his penis exposed, in a pose reminiscent of Lenin in Victor Ivanov’s work. It provoked outrage in various quarters and was eventually </w:t>
      </w:r>
      <w:proofErr w:type="spellStart"/>
      <w:r>
        <w:t>vandalised</w:t>
      </w:r>
      <w:proofErr w:type="spellEnd"/>
      <w:r>
        <w:t xml:space="preserve"> in the Goodman Gallery, where it formed part of Murray’s exhibition titled “Hail to the Thief II.” I examine the South African state, but not from a perspective that it is often – if ever – considered. I examine the colonial collective unconscious and the relation between it, and on the one hand the South African state as a liberal democratic constitutional state, and on the other, the South African state qua national democratic state (that is, qua state defined by its anti-colonialism). My question then is this: Can the South African state, understood as a liberal democratic constitutional state, </w:t>
      </w:r>
      <w:proofErr w:type="spellStart"/>
      <w:r>
        <w:t>recognise</w:t>
      </w:r>
      <w:proofErr w:type="spellEnd"/>
      <w:r>
        <w:t xml:space="preserve"> the political significance of the colonial unconscious? What is the difference in the ways a liberal democratic state and a national democratic state are related to this “colonial unconscious?” What should the South African state qua National Democratic state “do” about this “colonial unconscious”? What is the appropriate political way of dealing with this specific mode of existence of colonialism? “The black man is not. Any more than the white man.” (Fanon 1968, 165) Fundamentally, </w:t>
      </w:r>
      <w:r w:rsidRPr="009B31F8">
        <w:rPr>
          <w:rStyle w:val="StyleUnderline"/>
        </w:rPr>
        <w:t>for Fanon, colonialism is about the construction of white subjects and black subjects</w:t>
      </w:r>
      <w:r>
        <w:t xml:space="preserve"> – </w:t>
      </w:r>
      <w:r w:rsidRPr="009B31F8">
        <w:rPr>
          <w:rStyle w:val="Emphasis"/>
        </w:rPr>
        <w:t>these are in no sense necessary identities</w:t>
      </w:r>
      <w:r>
        <w:t xml:space="preserve"> (</w:t>
      </w:r>
      <w:r w:rsidRPr="009B31F8">
        <w:rPr>
          <w:rStyle w:val="Emphasis"/>
        </w:rPr>
        <w:t>as racist discourse claims</w:t>
      </w:r>
      <w:r>
        <w:t xml:space="preserve">). Secondly, flowing from this, </w:t>
      </w:r>
      <w:r w:rsidRPr="00341744">
        <w:rPr>
          <w:rStyle w:val="StyleUnderline"/>
        </w:rPr>
        <w:t>there is no foundation to colonialism</w:t>
      </w:r>
      <w:r>
        <w:t xml:space="preserve">: </w:t>
      </w:r>
      <w:r w:rsidRPr="00341744">
        <w:rPr>
          <w:rStyle w:val="Emphasis"/>
        </w:rPr>
        <w:t>it doesn’t rest on Man or History</w:t>
      </w:r>
      <w:r>
        <w:t xml:space="preserve">, it </w:t>
      </w:r>
      <w:r w:rsidRPr="00341744">
        <w:rPr>
          <w:rStyle w:val="Emphasis"/>
        </w:rPr>
        <w:t>is just a contingent social relation</w:t>
      </w:r>
      <w:r>
        <w:t xml:space="preserve"> – </w:t>
      </w:r>
      <w:r w:rsidRPr="00341744">
        <w:rPr>
          <w:rStyle w:val="StyleUnderline"/>
        </w:rPr>
        <w:t>a differential (over-determined) relation</w:t>
      </w:r>
      <w:r>
        <w:t xml:space="preserve">, which it’s got to be if </w:t>
      </w:r>
      <w:r w:rsidRPr="00341744">
        <w:rPr>
          <w:rStyle w:val="StyleUnderline"/>
        </w:rPr>
        <w:t>it is a contingent construction that can be transformed and replaced</w:t>
      </w:r>
      <w:r>
        <w:t xml:space="preserve">. </w:t>
      </w:r>
      <w:r w:rsidRPr="00341744">
        <w:rPr>
          <w:rStyle w:val="StyleUnderline"/>
        </w:rPr>
        <w:t>Neither white nor black has value independently of their relationship</w:t>
      </w:r>
      <w:r>
        <w:t xml:space="preserve"> – </w:t>
      </w:r>
      <w:r w:rsidRPr="00341744">
        <w:rPr>
          <w:rStyle w:val="StyleUnderline"/>
        </w:rPr>
        <w:t>white is the difference between it and black, and vice versa</w:t>
      </w:r>
      <w:r>
        <w:t xml:space="preserve">. </w:t>
      </w:r>
      <w:r w:rsidRPr="00341744">
        <w:rPr>
          <w:rStyle w:val="StyleUnderline"/>
        </w:rPr>
        <w:t>The whiteness of white, where “</w:t>
      </w:r>
      <w:r w:rsidRPr="00341744">
        <w:rPr>
          <w:rStyle w:val="Emphasis"/>
        </w:rPr>
        <w:t>whiteness</w:t>
      </w:r>
      <w:r w:rsidRPr="00341744">
        <w:rPr>
          <w:rStyle w:val="StyleUnderline"/>
        </w:rPr>
        <w:t>” = “</w:t>
      </w:r>
      <w:r w:rsidRPr="00341744">
        <w:rPr>
          <w:rStyle w:val="Emphasis"/>
        </w:rPr>
        <w:t>brimming with identity self-possession and sovereignty</w:t>
      </w:r>
      <w:r w:rsidRPr="00341744">
        <w:rPr>
          <w:rStyle w:val="StyleUnderline"/>
        </w:rPr>
        <w:t>”</w:t>
      </w:r>
      <w:r>
        <w:t xml:space="preserve"> </w:t>
      </w:r>
      <w:r w:rsidRPr="00341744">
        <w:rPr>
          <w:rStyle w:val="Emphasis"/>
        </w:rPr>
        <w:t>depends on</w:t>
      </w:r>
      <w:r w:rsidRPr="00341744">
        <w:rPr>
          <w:rStyle w:val="StyleUnderline"/>
        </w:rPr>
        <w:t xml:space="preserve"> the blackness of black</w:t>
      </w:r>
      <w:r>
        <w:t xml:space="preserve">, where </w:t>
      </w:r>
      <w:r w:rsidRPr="00341744">
        <w:rPr>
          <w:rStyle w:val="Emphasis"/>
        </w:rPr>
        <w:t>‘blackness’ = without identity and self-control.</w:t>
      </w:r>
      <w:r>
        <w:t xml:space="preserve"> Colonialism satisfies the conditions of a signifying dyad in that </w:t>
      </w:r>
      <w:r w:rsidRPr="00341744">
        <w:t>its elements</w:t>
      </w:r>
      <w:r>
        <w:t xml:space="preserve"> (</w:t>
      </w:r>
      <w:proofErr w:type="spellStart"/>
      <w:r w:rsidRPr="00341744">
        <w:rPr>
          <w:rStyle w:val="Emphasis"/>
        </w:rPr>
        <w:t>coloniser</w:t>
      </w:r>
      <w:proofErr w:type="spellEnd"/>
      <w:r w:rsidRPr="00341744">
        <w:rPr>
          <w:rStyle w:val="Emphasis"/>
        </w:rPr>
        <w:t xml:space="preserve"> and </w:t>
      </w:r>
      <w:proofErr w:type="spellStart"/>
      <w:r w:rsidRPr="00341744">
        <w:rPr>
          <w:rStyle w:val="Emphasis"/>
        </w:rPr>
        <w:t>colonised</w:t>
      </w:r>
      <w:proofErr w:type="spellEnd"/>
      <w:r>
        <w:t xml:space="preserve">) </w:t>
      </w:r>
      <w:r w:rsidRPr="00341744">
        <w:rPr>
          <w:rStyle w:val="Emphasis"/>
        </w:rPr>
        <w:t>do not exist independently</w:t>
      </w:r>
      <w:r>
        <w:t xml:space="preserve"> </w:t>
      </w:r>
      <w:r w:rsidRPr="00341744">
        <w:rPr>
          <w:rStyle w:val="Emphasis"/>
        </w:rPr>
        <w:t>of the relation</w:t>
      </w:r>
      <w:r w:rsidRPr="00341744">
        <w:rPr>
          <w:rStyle w:val="StyleUnderline"/>
        </w:rPr>
        <w:t>s into which they enter</w:t>
      </w:r>
      <w:r>
        <w:t xml:space="preserve"> </w:t>
      </w:r>
      <w:r w:rsidRPr="00341744">
        <w:rPr>
          <w:rStyle w:val="StyleUnderline"/>
        </w:rPr>
        <w:t xml:space="preserve">and through which they determine each other reciprocally </w:t>
      </w:r>
      <w:r>
        <w:t>(</w:t>
      </w:r>
      <w:proofErr w:type="spellStart"/>
      <w:r>
        <w:t>Deleuze</w:t>
      </w:r>
      <w:proofErr w:type="spellEnd"/>
      <w:r>
        <w:t xml:space="preserve"> 1973, 302). On their own, </w:t>
      </w:r>
      <w:r w:rsidRPr="008061FE">
        <w:rPr>
          <w:rStyle w:val="StyleUnderline"/>
        </w:rPr>
        <w:t>they don’t have a determinate value but only acquire one through their reciprocal determination</w:t>
      </w:r>
      <w:r>
        <w:t xml:space="preserve"> </w:t>
      </w:r>
      <w:r w:rsidRPr="008061FE">
        <w:rPr>
          <w:rStyle w:val="StyleUnderline"/>
        </w:rPr>
        <w:t>in relation</w:t>
      </w:r>
      <w:r>
        <w:t xml:space="preserve">. This is a differential relation, because </w:t>
      </w:r>
      <w:r w:rsidRPr="008061FE">
        <w:rPr>
          <w:rStyle w:val="StyleUnderline"/>
        </w:rPr>
        <w:t>whiteness only has its colonial meaning in its relation to blackness, and vice versa</w:t>
      </w:r>
      <w:r>
        <w:t xml:space="preserve">. </w:t>
      </w:r>
      <w:r w:rsidRPr="008061FE">
        <w:rPr>
          <w:rStyle w:val="StyleUnderline"/>
        </w:rPr>
        <w:t>The presence of the one in the other precludes either from attaining full identity to itself.</w:t>
      </w:r>
      <w:r>
        <w:t xml:space="preserve"> Neither is a self-sufficient substance that can rest on itself; rather, each only exists through its relational–differential tension vis-à-vis the other in the colonial matrix. </w:t>
      </w:r>
      <w:r w:rsidRPr="008061FE">
        <w:rPr>
          <w:rStyle w:val="StyleUnderline"/>
        </w:rPr>
        <w:t>This</w:t>
      </w:r>
      <w:r>
        <w:t xml:space="preserve"> latter </w:t>
      </w:r>
      <w:r w:rsidRPr="008061FE">
        <w:rPr>
          <w:rStyle w:val="StyleUnderline"/>
        </w:rPr>
        <w:t>is itself a contingent set of signifying practices</w:t>
      </w:r>
      <w:r>
        <w:t xml:space="preserve">, </w:t>
      </w:r>
      <w:r w:rsidRPr="008061FE">
        <w:rPr>
          <w:rStyle w:val="StyleUnderline"/>
        </w:rPr>
        <w:t>notwithstanding the fact that the fundamental social division they institute presents itself as “ontological”.</w:t>
      </w:r>
      <w:r>
        <w:t xml:space="preserve"> But – and this is crucial – within this interdependence, </w:t>
      </w:r>
      <w:r w:rsidRPr="008061FE">
        <w:rPr>
          <w:rStyle w:val="StyleUnderline"/>
        </w:rPr>
        <w:t>there is asymmetry</w:t>
      </w:r>
      <w:r>
        <w:t xml:space="preserve">: </w:t>
      </w:r>
      <w:r w:rsidRPr="008061FE">
        <w:rPr>
          <w:rStyle w:val="StyleUnderline"/>
        </w:rPr>
        <w:t>“whiteness” is the master signifier, and it has both white and black subjects in its grip</w:t>
      </w:r>
      <w:r>
        <w:t xml:space="preserve">. </w:t>
      </w:r>
      <w:r w:rsidRPr="008061FE">
        <w:rPr>
          <w:rStyle w:val="StyleUnderline"/>
        </w:rPr>
        <w:t>White subjects identify with it and thus see themselves</w:t>
      </w:r>
      <w:r>
        <w:t xml:space="preserve"> </w:t>
      </w:r>
      <w:r w:rsidRPr="008061FE">
        <w:rPr>
          <w:rStyle w:val="StyleUnderline"/>
        </w:rPr>
        <w:t>through it as whole</w:t>
      </w:r>
      <w:r>
        <w:t xml:space="preserve"> and in control of themselves – it invests them with at least the illusion of </w:t>
      </w:r>
      <w:proofErr w:type="spellStart"/>
      <w:r>
        <w:t>selfsufficiency</w:t>
      </w:r>
      <w:proofErr w:type="spellEnd"/>
      <w:r>
        <w:t xml:space="preserve"> and full autonomy. </w:t>
      </w:r>
      <w:r w:rsidRPr="008061FE">
        <w:rPr>
          <w:rStyle w:val="StyleUnderline"/>
        </w:rPr>
        <w:t xml:space="preserve">But black subjects also identify with it – </w:t>
      </w:r>
      <w:r w:rsidRPr="008061FE">
        <w:t>they want to be white</w:t>
      </w:r>
      <w:r>
        <w:t xml:space="preserve"> (a central theme of Black Skin, White Masks) and so </w:t>
      </w:r>
      <w:r w:rsidRPr="008061FE">
        <w:rPr>
          <w:rStyle w:val="StyleUnderline"/>
        </w:rPr>
        <w:t>they look at themselves</w:t>
      </w:r>
      <w:r>
        <w:t xml:space="preserve"> (blacks) </w:t>
      </w:r>
      <w:r w:rsidRPr="008061FE">
        <w:rPr>
          <w:rStyle w:val="StyleUnderline"/>
        </w:rPr>
        <w:t>through the white signifier</w:t>
      </w:r>
      <w:r>
        <w:t xml:space="preserve"> </w:t>
      </w:r>
      <w:r w:rsidRPr="0010039B">
        <w:rPr>
          <w:rStyle w:val="StyleUnderline"/>
        </w:rPr>
        <w:t>also but what they see</w:t>
      </w:r>
      <w:r>
        <w:t xml:space="preserve"> (which is exactly the same as what the white subject sees when he looks at the black) </w:t>
      </w:r>
      <w:r w:rsidRPr="0010039B">
        <w:rPr>
          <w:rStyle w:val="StyleUnderline"/>
        </w:rPr>
        <w:t>is a “body manqué”</w:t>
      </w:r>
      <w:r>
        <w:t xml:space="preserve"> – not the “corporeal schema” (Fanon 1968, 78) the white sees when he looks at himself which gives him a body image and an image of himself which is “structurally harmonious” (114) but something </w:t>
      </w:r>
      <w:r w:rsidRPr="0010039B">
        <w:rPr>
          <w:rStyle w:val="StyleUnderline"/>
        </w:rPr>
        <w:t>“undefinable” and “unassimilable”</w:t>
      </w:r>
      <w:r>
        <w:t xml:space="preserve"> (114) into the white order of being with which he seeks to identify – the black sees himself as “non-existent” (98, 139), </w:t>
      </w:r>
      <w:r w:rsidRPr="0010039B">
        <w:rPr>
          <w:rStyle w:val="StyleUnderline"/>
        </w:rPr>
        <w:t>with nothing to hold onto</w:t>
      </w:r>
      <w:r>
        <w:t xml:space="preserve">. Torn between two </w:t>
      </w:r>
      <w:proofErr w:type="spellStart"/>
      <w:r>
        <w:t>impossibles</w:t>
      </w:r>
      <w:proofErr w:type="spellEnd"/>
      <w:r>
        <w:t xml:space="preserve"> – to be white and to be black – the first barred and second an impossibility in its own terms as there is no black “being” – blackness produces no “ontological resistance” (77, 78) – “turn white or disappear” (71) sums up the ontological void of the black </w:t>
      </w:r>
      <w:proofErr w:type="spellStart"/>
      <w:r>
        <w:t>colonised</w:t>
      </w:r>
      <w:proofErr w:type="spellEnd"/>
      <w:r>
        <w:t xml:space="preserve"> subject. Made to want to be white, but incapable of this – he is black; and his blackness seen through his own “white” eyes reduces him to “nothing.” The colonial symbolic is so constructed as to give the black subject nothing to hold onto – no </w:t>
      </w:r>
      <w:proofErr w:type="spellStart"/>
      <w:r>
        <w:t>orthopaedic</w:t>
      </w:r>
      <w:proofErr w:type="spellEnd"/>
      <w:r>
        <w:t xml:space="preserve"> support for an identity – just a whiteness forever eluding him and a blackness that doesn’t “exist” in any case. </w:t>
      </w:r>
      <w:r w:rsidRPr="0010039B">
        <w:rPr>
          <w:rStyle w:val="StyleUnderline"/>
        </w:rPr>
        <w:t xml:space="preserve">Within the colonial matrix, this is the ontological vortex that is the elementary colonial identity and lived experience of the </w:t>
      </w:r>
      <w:proofErr w:type="spellStart"/>
      <w:r w:rsidRPr="0010039B">
        <w:rPr>
          <w:rStyle w:val="StyleUnderline"/>
        </w:rPr>
        <w:t>colonised</w:t>
      </w:r>
      <w:proofErr w:type="spellEnd"/>
      <w:r w:rsidRPr="0010039B">
        <w:rPr>
          <w:rStyle w:val="StyleUnderline"/>
        </w:rPr>
        <w:t xml:space="preserve"> black subject;</w:t>
      </w:r>
      <w:r>
        <w:t xml:space="preserve"> and all his compulsive (self-destructive) pathologies, his specific repertoire of “reactional” conduct, have their source in this primary ontological differential. So, fundamentally, colonialism is an ontological differential between white and black subjects; and this orders each and every sphere or sector of colonial society (including the economy). “Whiteness” as whiteness – </w:t>
      </w:r>
      <w:r w:rsidRPr="0010039B">
        <w:rPr>
          <w:rStyle w:val="StyleUnderline"/>
        </w:rPr>
        <w:t>the meaning of whiteness and that of “blackness” – is carried via “a constellation of postulates, a series of propositions that slowly and subtly work their way into one’s mind and shape one’s view of the world of the group to which one belongs”–“a thousand details, anecdote stories” which are “woven” into “prejudices, myths, the collective attitudes of a given group”</w:t>
      </w:r>
      <w:r>
        <w:t xml:space="preserve"> (Fanon 1968, 78, 133). </w:t>
      </w:r>
      <w:r w:rsidRPr="0010039B">
        <w:rPr>
          <w:rStyle w:val="StyleUnderline"/>
        </w:rPr>
        <w:t>This is how the “subject positions” of both whites and blacks are constituted.</w:t>
      </w:r>
      <w:r>
        <w:t xml:space="preserve"> </w:t>
      </w:r>
      <w:r w:rsidRPr="0010039B">
        <w:rPr>
          <w:rStyle w:val="StyleUnderline"/>
        </w:rPr>
        <w:t>We can call this constellation the Colonial Big Other (symbolic)</w:t>
      </w:r>
      <w:r>
        <w:t xml:space="preserve"> in and </w:t>
      </w:r>
      <w:r w:rsidRPr="0010039B">
        <w:rPr>
          <w:rStyle w:val="StyleUnderline"/>
        </w:rPr>
        <w:t xml:space="preserve">through which the colonial relation is constituted and reproduced. </w:t>
      </w:r>
      <w:r>
        <w:t xml:space="preserve">This Big </w:t>
      </w:r>
      <w:proofErr w:type="gramStart"/>
      <w:r>
        <w:t>Other</w:t>
      </w:r>
      <w:proofErr w:type="gramEnd"/>
      <w:r>
        <w:t xml:space="preserve"> is white, in that whiteness is its master signifier and therefore all identities are “white” under colonialism. </w:t>
      </w:r>
      <w:r w:rsidRPr="0010039B">
        <w:rPr>
          <w:rStyle w:val="Emphasis"/>
        </w:rPr>
        <w:t>Everyone is white in the colonial symbolic – including blacks; it is just that they are “less white” than “whites” to the point of not being at all</w:t>
      </w:r>
      <w:r>
        <w:t xml:space="preserve"> – Fanon says again and again that “the black man desires to be white” – but, when he looks at himself through the eyes he has adopted, the “eyes” that are “his” – what he (qua white eyes) sees is something that doesn’t exist – “inequality, no non-existence” (Fanon 1968, 98, original emphasis). He “subsists at the level of non-being” (131) – just as the white, when it sees the black, sees </w:t>
      </w:r>
      <w:proofErr w:type="spellStart"/>
      <w:proofErr w:type="gramStart"/>
      <w:r>
        <w:t>an other</w:t>
      </w:r>
      <w:proofErr w:type="spellEnd"/>
      <w:proofErr w:type="gramEnd"/>
      <w:r>
        <w:t xml:space="preserve"> that is, as Fanon says “absolutely not self,” so does the black see himself – “as absolutely not self” (114). This is the depth of the fissure in the black colonial subject position, caught between two </w:t>
      </w:r>
      <w:proofErr w:type="spellStart"/>
      <w:r>
        <w:t>impossibles</w:t>
      </w:r>
      <w:proofErr w:type="spellEnd"/>
      <w:r>
        <w:t xml:space="preserve">: “whiteness,” which he desires but which is barred to him, and “blackness,” which is “non-existence.” Colonialism, anxiety and emancipation3 </w:t>
      </w:r>
      <w:proofErr w:type="gramStart"/>
      <w:r w:rsidRPr="0010039B">
        <w:rPr>
          <w:rStyle w:val="StyleUnderline"/>
        </w:rPr>
        <w:t>Thus</w:t>
      </w:r>
      <w:proofErr w:type="gramEnd"/>
      <w:r w:rsidRPr="0010039B">
        <w:rPr>
          <w:rStyle w:val="StyleUnderline"/>
        </w:rPr>
        <w:t xml:space="preserve"> the self-same/other distinction is necessary for the possibility of identity itself.</w:t>
      </w:r>
      <w:r>
        <w:t xml:space="preserve"> </w:t>
      </w:r>
      <w:r w:rsidRPr="0010039B">
        <w:rPr>
          <w:rStyle w:val="Emphasis"/>
        </w:rPr>
        <w:t>There always has to exist an outside</w:t>
      </w:r>
      <w:r>
        <w:t xml:space="preserve">, </w:t>
      </w:r>
      <w:r w:rsidRPr="0010039B">
        <w:rPr>
          <w:rStyle w:val="Emphasis"/>
        </w:rPr>
        <w:t>which is also inside,</w:t>
      </w:r>
      <w:r>
        <w:t xml:space="preserve"> to the extent it is designated as the impossibility from which the possibility of the existence of the subject derives its rule (</w:t>
      </w:r>
      <w:proofErr w:type="spellStart"/>
      <w:r>
        <w:t>Badiou</w:t>
      </w:r>
      <w:proofErr w:type="spellEnd"/>
      <w:r>
        <w:t xml:space="preserve"> 2009, 220). </w:t>
      </w:r>
      <w:r w:rsidRPr="0010039B">
        <w:rPr>
          <w:rStyle w:val="Emphasis"/>
        </w:rPr>
        <w:t xml:space="preserve">But although the excluded place </w:t>
      </w:r>
      <w:r>
        <w:t>which isn’t excluded insofar as it is necessary for the very possibility of inclusion and identity may be universal (</w:t>
      </w:r>
      <w:r w:rsidRPr="0010039B">
        <w:rPr>
          <w:rStyle w:val="Emphasis"/>
        </w:rPr>
        <w:t>may be considered “ontological</w:t>
      </w:r>
      <w:r>
        <w:t xml:space="preserve">”), </w:t>
      </w:r>
      <w:r w:rsidRPr="0010039B">
        <w:rPr>
          <w:rStyle w:val="Emphasis"/>
        </w:rPr>
        <w:t>its content</w:t>
      </w:r>
      <w:r>
        <w:t xml:space="preserve"> (what fills it) – </w:t>
      </w:r>
      <w:r w:rsidRPr="0010039B">
        <w:rPr>
          <w:rStyle w:val="StyleUnderline"/>
        </w:rPr>
        <w:t>as well as the mode of this filling and its reproduction</w:t>
      </w:r>
      <w:r>
        <w:t xml:space="preserve"> – </w:t>
      </w:r>
      <w:r w:rsidRPr="0010039B">
        <w:rPr>
          <w:rStyle w:val="Emphasis"/>
        </w:rPr>
        <w:t>are contingent</w:t>
      </w:r>
      <w:r>
        <w:t xml:space="preserve">. In other words, </w:t>
      </w:r>
      <w:r w:rsidRPr="0010039B">
        <w:rPr>
          <w:rStyle w:val="Emphasis"/>
        </w:rPr>
        <w:t>the meaning of the signifier of exclusion is not determined once and for all</w:t>
      </w:r>
      <w:r>
        <w:t xml:space="preserve">: </w:t>
      </w:r>
      <w:r w:rsidRPr="0010039B">
        <w:rPr>
          <w:rStyle w:val="StyleUnderline"/>
        </w:rPr>
        <w:t>the place of the place of exclusion, of death is itself over-determined</w:t>
      </w:r>
      <w:r>
        <w:t xml:space="preserve">, i.e. </w:t>
      </w:r>
      <w:r w:rsidRPr="0010039B">
        <w:rPr>
          <w:rStyle w:val="StyleUnderline"/>
        </w:rPr>
        <w:t>the very framework for deciding the other and the same</w:t>
      </w:r>
      <w:r>
        <w:t xml:space="preserve">, exclusion and inclusion, </w:t>
      </w:r>
      <w:r w:rsidRPr="0010039B">
        <w:rPr>
          <w:rStyle w:val="StyleUnderline"/>
        </w:rPr>
        <w:t>is nowhere engraved in ontological stone but is political and never terminally settled</w:t>
      </w:r>
      <w:r>
        <w:t xml:space="preserve">. Put differently, the “curvature of intersubjective space” (Critchley 2007, 61) and thus, </w:t>
      </w:r>
      <w:r w:rsidRPr="0010039B">
        <w:rPr>
          <w:rStyle w:val="StyleUnderline"/>
        </w:rPr>
        <w:t>the specific modes of the “othering” of “otherness” are nowhere decided in advance</w:t>
      </w:r>
      <w:r>
        <w:t xml:space="preserve"> (as Social Dynamics a certain ontological fatalism might have it) (see </w:t>
      </w:r>
      <w:proofErr w:type="spellStart"/>
      <w:r>
        <w:t>Wilderson</w:t>
      </w:r>
      <w:proofErr w:type="spellEnd"/>
      <w:r>
        <w:t xml:space="preserve"> 2008). </w:t>
      </w:r>
      <w:r w:rsidRPr="0010039B">
        <w:rPr>
          <w:rStyle w:val="StyleUnderline"/>
        </w:rPr>
        <w:t>The social does not have to be divided into white and black</w:t>
      </w:r>
      <w:r>
        <w:t xml:space="preserve">, </w:t>
      </w:r>
      <w:r w:rsidRPr="0010039B">
        <w:rPr>
          <w:rStyle w:val="StyleUnderline"/>
        </w:rPr>
        <w:t>and the meaning of these signifiers is never necessary</w:t>
      </w:r>
      <w:r>
        <w:t xml:space="preserve"> – because </w:t>
      </w:r>
      <w:r w:rsidRPr="0010039B">
        <w:rPr>
          <w:rStyle w:val="Emphasis"/>
        </w:rPr>
        <w:t>they are signifiers</w:t>
      </w:r>
      <w:r>
        <w:t xml:space="preserve">. To be sure, </w:t>
      </w:r>
      <w:r w:rsidRPr="0010039B">
        <w:rPr>
          <w:rStyle w:val="StyleUnderline"/>
        </w:rPr>
        <w:t>colonialism institutes an ontological division</w:t>
      </w:r>
      <w:r>
        <w:t xml:space="preserve">, in that whites exist in a way barred to blacks – who are not. </w:t>
      </w:r>
      <w:r w:rsidRPr="0010039B">
        <w:rPr>
          <w:rStyle w:val="StyleUnderline"/>
        </w:rPr>
        <w:t xml:space="preserve">But </w:t>
      </w:r>
      <w:r w:rsidRPr="0010039B">
        <w:rPr>
          <w:rStyle w:val="Emphasis"/>
        </w:rPr>
        <w:t>this ontological relation is</w:t>
      </w:r>
      <w:r w:rsidRPr="0010039B">
        <w:rPr>
          <w:rStyle w:val="StyleUnderline"/>
        </w:rPr>
        <w:t xml:space="preserve"> really </w:t>
      </w:r>
      <w:r w:rsidRPr="0010039B">
        <w:rPr>
          <w:rStyle w:val="Emphasis"/>
        </w:rPr>
        <w:t>on the side of the ontic</w:t>
      </w:r>
      <w:r>
        <w:t xml:space="preserve"> – that is, of all contingently constructed identities, rather than the ontology of the social which refers to the ultimate unfixity, the indeterminacy or lack of the social. In this sense, then, the white man doesn’t exist, the black man doesn’t exist (Fanon 1968, 165); and neither does the colonial symbolic itself, including its most intimate structuring relations – division is constitutive of the social, not the colonial division. </w:t>
      </w:r>
      <w:r w:rsidRPr="0010039B">
        <w:rPr>
          <w:rStyle w:val="StyleUnderline"/>
        </w:rPr>
        <w:t>“Whiteness” may well be very deeply sediment in modernity itself, but respect for the “ontological difference</w:t>
      </w:r>
      <w:r>
        <w:t xml:space="preserve">” (see Heidegger 1962, 26; Watts 2011, 279) </w:t>
      </w:r>
      <w:r w:rsidRPr="0010039B">
        <w:rPr>
          <w:rStyle w:val="StyleUnderline"/>
        </w:rPr>
        <w:t>shows up its ontological status as ontic</w:t>
      </w:r>
      <w:r>
        <w:t xml:space="preserve">. </w:t>
      </w:r>
      <w:r w:rsidRPr="0010039B">
        <w:rPr>
          <w:rStyle w:val="Emphasis"/>
        </w:rPr>
        <w:t xml:space="preserve">It may </w:t>
      </w:r>
      <w:r w:rsidRPr="0010039B">
        <w:rPr>
          <w:rStyle w:val="StyleUnderline"/>
        </w:rPr>
        <w:t>be</w:t>
      </w:r>
      <w:r w:rsidRPr="0010039B">
        <w:rPr>
          <w:rStyle w:val="Emphasis"/>
        </w:rPr>
        <w:t xml:space="preserve"> so deeply </w:t>
      </w:r>
      <w:proofErr w:type="spellStart"/>
      <w:r w:rsidRPr="0010039B">
        <w:rPr>
          <w:rStyle w:val="Emphasis"/>
        </w:rPr>
        <w:t>sedimented</w:t>
      </w:r>
      <w:proofErr w:type="spellEnd"/>
      <w:r w:rsidRPr="0010039B">
        <w:rPr>
          <w:rStyle w:val="StyleUnderline"/>
        </w:rPr>
        <w:t xml:space="preserve"> that it becomes difficult even to identify the very possibility of the separation of whiteness </w:t>
      </w:r>
      <w:r>
        <w:t xml:space="preserve">from the very possibility of order, </w:t>
      </w:r>
      <w:r w:rsidRPr="0010039B">
        <w:rPr>
          <w:rStyle w:val="Emphasis"/>
        </w:rPr>
        <w:t>but from this it does not follow that the “void” of “black being” functions as the ultimate substance,</w:t>
      </w:r>
      <w:r>
        <w:t xml:space="preserve"> </w:t>
      </w:r>
      <w:r w:rsidRPr="0010039B">
        <w:rPr>
          <w:rStyle w:val="StyleUnderline"/>
        </w:rPr>
        <w:t xml:space="preserve">the transcendental signified on which all possible forms of sociality are said to rest. </w:t>
      </w:r>
      <w:r>
        <w:t xml:space="preserve">What gets lost here, then, is the specificity of colonialism, of its constitutive axis, its “ontological” differential. A crucial feature of the colonial symbolic is that the real is not screened off by the imaginary in the way it is under capitalism. At the place of the </w:t>
      </w:r>
      <w:proofErr w:type="spellStart"/>
      <w:r>
        <w:t>colonised</w:t>
      </w:r>
      <w:proofErr w:type="spellEnd"/>
      <w:r>
        <w:t>, the symbolic and the imaginary give way because non-identity (the real of the social) is immediately inscribed in the “lived experience” (</w:t>
      </w:r>
      <w:proofErr w:type="spellStart"/>
      <w:r>
        <w:t>vécu</w:t>
      </w:r>
      <w:proofErr w:type="spellEnd"/>
      <w:r>
        <w:t xml:space="preserve">) of the </w:t>
      </w:r>
      <w:proofErr w:type="spellStart"/>
      <w:r>
        <w:t>colonised</w:t>
      </w:r>
      <w:proofErr w:type="spellEnd"/>
      <w:r>
        <w:t xml:space="preserve"> subject. The </w:t>
      </w:r>
      <w:proofErr w:type="spellStart"/>
      <w:r>
        <w:t>colonised</w:t>
      </w:r>
      <w:proofErr w:type="spellEnd"/>
      <w:r>
        <w:t xml:space="preserve"> is “traversing the fantasy” (</w:t>
      </w:r>
      <w:proofErr w:type="spellStart"/>
      <w:r>
        <w:t>Zizek</w:t>
      </w:r>
      <w:proofErr w:type="spellEnd"/>
      <w:r>
        <w:t xml:space="preserve"> 2006a, 40–60) all the time; the void of the verb “to be” is the very content of his interpellation. The </w:t>
      </w:r>
      <w:proofErr w:type="spellStart"/>
      <w:r>
        <w:t>colonised</w:t>
      </w:r>
      <w:proofErr w:type="spellEnd"/>
      <w:r>
        <w:t xml:space="preserve"> is, in other words, the subject of anxiety for whom the symbolic and the imaginary never work, who is left stranded by his very interpellation.4 “Fixed” into “non-fixity,” he is eternally suspended between “element” and “moment” 5 – he is where the colonial symbolic falters in the production of meaning and is thus the point of entry of the real into the texture itself of colonialism. Be this as it may, whiteness and blackness are (sustained by) determinate and contingent practices of signification; the “structuring relation” of colonialism thus itself comprises a knot of significations which, no matter how tight, can always be undone. </w:t>
      </w:r>
      <w:r w:rsidRPr="0010039B">
        <w:rPr>
          <w:rStyle w:val="StyleUnderline"/>
        </w:rPr>
        <w:t>Anti-colonial – i.e., anti-“white” – modes of struggle are not (just) “psychic” 6 but involve the “reactivation” (or “de-sedimentation”) 7 of colonial objectivity itself</w:t>
      </w:r>
      <w:r>
        <w:t xml:space="preserve">. </w:t>
      </w:r>
      <w:r w:rsidRPr="0010039B">
        <w:rPr>
          <w:rStyle w:val="Emphasis"/>
        </w:rPr>
        <w:t xml:space="preserve">No matter how </w:t>
      </w:r>
      <w:proofErr w:type="spellStart"/>
      <w:r w:rsidRPr="0010039B">
        <w:rPr>
          <w:rStyle w:val="Emphasis"/>
        </w:rPr>
        <w:t>sedimented</w:t>
      </w:r>
      <w:proofErr w:type="spellEnd"/>
      <w:r>
        <w:t xml:space="preserve"> (</w:t>
      </w:r>
      <w:r w:rsidRPr="0010039B">
        <w:rPr>
          <w:rStyle w:val="Emphasis"/>
        </w:rPr>
        <w:t>or global</w:t>
      </w:r>
      <w:r>
        <w:t xml:space="preserve">), </w:t>
      </w:r>
      <w:r w:rsidRPr="0010039B">
        <w:rPr>
          <w:rStyle w:val="Emphasis"/>
        </w:rPr>
        <w:t>colonial objectivity</w:t>
      </w:r>
      <w:r>
        <w:t xml:space="preserve"> </w:t>
      </w:r>
      <w:r w:rsidRPr="0010039B">
        <w:rPr>
          <w:rStyle w:val="Emphasis"/>
        </w:rPr>
        <w:t>is not ontologically immune to antagonism</w:t>
      </w:r>
      <w:r>
        <w:t xml:space="preserve">. </w:t>
      </w:r>
      <w:proofErr w:type="spellStart"/>
      <w:r>
        <w:t>Differentiality</w:t>
      </w:r>
      <w:proofErr w:type="spellEnd"/>
      <w:r>
        <w:t xml:space="preserve">, as </w:t>
      </w:r>
      <w:proofErr w:type="spellStart"/>
      <w:r>
        <w:t>Zizek</w:t>
      </w:r>
      <w:proofErr w:type="spellEnd"/>
      <w:r>
        <w:t xml:space="preserve"> insists (see </w:t>
      </w:r>
      <w:proofErr w:type="spellStart"/>
      <w:r>
        <w:t>Zizek</w:t>
      </w:r>
      <w:proofErr w:type="spellEnd"/>
      <w:r>
        <w:t xml:space="preserve"> 2012, chapter 11, 771 n48), immanently entails antagonism in that </w:t>
      </w:r>
      <w:proofErr w:type="spellStart"/>
      <w:r>
        <w:t>differentiality</w:t>
      </w:r>
      <w:proofErr w:type="spellEnd"/>
      <w:r>
        <w:t xml:space="preserve"> both makes possible the existence of any identity whatsoever and at the same time – because it is the presence of one object in another – undermines any identity ever being (fully) itself. Each element in a differential relation is the condition of possibility and the condition of impossibility of each other. It is this dimension of antagonism that the Master Signifier covers over transforming its outside (Other) into an element of itself, reducing it to a condition of its possibility.8 </w:t>
      </w:r>
      <w:r w:rsidRPr="004F6707">
        <w:rPr>
          <w:rStyle w:val="StyleUnderline"/>
        </w:rPr>
        <w:t xml:space="preserve">All </w:t>
      </w:r>
      <w:proofErr w:type="spellStart"/>
      <w:r w:rsidRPr="004F6707">
        <w:rPr>
          <w:rStyle w:val="StyleUnderline"/>
        </w:rPr>
        <w:t>symbolisation</w:t>
      </w:r>
      <w:proofErr w:type="spellEnd"/>
      <w:r w:rsidRPr="004F6707">
        <w:rPr>
          <w:rStyle w:val="StyleUnderline"/>
        </w:rPr>
        <w:t xml:space="preserve"> produces an ineradicable excess over itself, something it can’t </w:t>
      </w:r>
      <w:proofErr w:type="spellStart"/>
      <w:r w:rsidRPr="004F6707">
        <w:rPr>
          <w:rStyle w:val="StyleUnderline"/>
        </w:rPr>
        <w:t>totalise</w:t>
      </w:r>
      <w:proofErr w:type="spellEnd"/>
      <w:r w:rsidRPr="004F6707">
        <w:rPr>
          <w:rStyle w:val="StyleUnderline"/>
        </w:rPr>
        <w:t xml:space="preserve"> or make sense of, where its production of meaning falters</w:t>
      </w:r>
      <w:r>
        <w:t xml:space="preserve">. </w:t>
      </w:r>
      <w:r w:rsidRPr="004F6707">
        <w:rPr>
          <w:rStyle w:val="StyleUnderline"/>
        </w:rPr>
        <w:t>This is its internal limit point</w:t>
      </w:r>
      <w:r>
        <w:t xml:space="preserve">, </w:t>
      </w:r>
      <w:proofErr w:type="spellStart"/>
      <w:r>
        <w:t>its</w:t>
      </w:r>
      <w:proofErr w:type="spellEnd"/>
      <w:r>
        <w:t xml:space="preserve"> real:9 an errant “object” that has no place of its own, isn’t </w:t>
      </w:r>
      <w:proofErr w:type="spellStart"/>
      <w:r>
        <w:t>recognised</w:t>
      </w:r>
      <w:proofErr w:type="spellEnd"/>
      <w:r>
        <w:t xml:space="preserve"> in the categories of the system but is produced by it – its “part of no part” or “object small a.” 10 Correlative to this object “a” is the subject “</w:t>
      </w:r>
      <w:proofErr w:type="spellStart"/>
      <w:r>
        <w:t>stricto</w:t>
      </w:r>
      <w:proofErr w:type="spellEnd"/>
      <w:r>
        <w:t xml:space="preserve"> 266 P. </w:t>
      </w:r>
      <w:proofErr w:type="spellStart"/>
      <w:r>
        <w:t>sensu</w:t>
      </w:r>
      <w:proofErr w:type="spellEnd"/>
      <w:r>
        <w:t xml:space="preserve">” – i.e., as the empty subject of the signifier without an identity that pins it down.11 That is the subject of antagonism in confrontation with the real of the social, as distinct from “subject” position based on a determinate identity. As we’ve seen under colonialism, (the real of) non-meaning is brought into the logic of the system – the </w:t>
      </w:r>
      <w:proofErr w:type="spellStart"/>
      <w:r>
        <w:t>colonised</w:t>
      </w:r>
      <w:proofErr w:type="spellEnd"/>
      <w:r>
        <w:t xml:space="preserve"> directly experiences the void of non-identity as the meaning of its subject-position (or social “identity”). Under capitalism, “proletariat” designates this (non-designated) “part of no part,” this object without a designated place, this non-</w:t>
      </w:r>
      <w:proofErr w:type="spellStart"/>
      <w:r>
        <w:t>totalisable</w:t>
      </w:r>
      <w:proofErr w:type="spellEnd"/>
      <w:r>
        <w:t xml:space="preserve"> excess produced by the system that can’t integrate it, however, as it is not </w:t>
      </w:r>
      <w:proofErr w:type="spellStart"/>
      <w:r>
        <w:t>recognised</w:t>
      </w:r>
      <w:proofErr w:type="spellEnd"/>
      <w:r>
        <w:t xml:space="preserve"> in its categories. Note that under capitalism, the working class first has to separate itself from itself qua working-class before it can become proletariat – it has to “go through” self-dissolution, whereas the </w:t>
      </w:r>
      <w:proofErr w:type="spellStart"/>
      <w:r>
        <w:t>colonised</w:t>
      </w:r>
      <w:proofErr w:type="spellEnd"/>
      <w:r>
        <w:t xml:space="preserve"> is always already “dissolving.”</w:t>
      </w:r>
    </w:p>
    <w:p w:rsidR="006B38F1" w:rsidRDefault="006B38F1" w:rsidP="006B38F1">
      <w:pPr>
        <w:pStyle w:val="Heading3"/>
      </w:pPr>
      <w:r>
        <w:t>1AR XT Hudson</w:t>
      </w:r>
    </w:p>
    <w:p w:rsidR="006B38F1" w:rsidRDefault="006B38F1" w:rsidP="006B38F1">
      <w:pPr>
        <w:pStyle w:val="Heading4"/>
      </w:pPr>
      <w:r>
        <w:t>Multiple claims made by Hudson – they can’t drop any of them:</w:t>
      </w:r>
    </w:p>
    <w:p w:rsidR="006B38F1" w:rsidRDefault="006B38F1" w:rsidP="006B38F1">
      <w:pPr>
        <w:pStyle w:val="Heading4"/>
        <w:numPr>
          <w:ilvl w:val="0"/>
          <w:numId w:val="12"/>
        </w:numPr>
      </w:pPr>
      <w:r>
        <w:t xml:space="preserve">Anti-blackness is a contingent antagonism within a broader system of </w:t>
      </w:r>
      <w:proofErr w:type="spellStart"/>
      <w:r>
        <w:t>coloniality</w:t>
      </w:r>
      <w:proofErr w:type="spellEnd"/>
      <w:r>
        <w:t xml:space="preserve">. History has been so short and our understanding of it so limited. They take a snapshot image of history and use it to describe the world. That’s epistemically bankrupt. </w:t>
      </w:r>
    </w:p>
    <w:p w:rsidR="006B38F1" w:rsidRDefault="006B38F1" w:rsidP="006B38F1">
      <w:pPr>
        <w:pStyle w:val="Heading4"/>
        <w:numPr>
          <w:ilvl w:val="0"/>
          <w:numId w:val="12"/>
        </w:numPr>
      </w:pPr>
      <w:r>
        <w:t xml:space="preserve">Their fatalism re-entrenches the system. Signifiers always have the potential to change, but their investment in the colonial position of blackness is really an investment in whiteness as the positive to their negation. If it is true that white and black do not exist independent of the other, investing in one can only fortify the other. </w:t>
      </w:r>
    </w:p>
    <w:p w:rsidR="006B38F1" w:rsidRPr="007137FD" w:rsidRDefault="006B38F1" w:rsidP="006B38F1">
      <w:pPr>
        <w:pStyle w:val="Heading4"/>
        <w:numPr>
          <w:ilvl w:val="0"/>
          <w:numId w:val="12"/>
        </w:numPr>
      </w:pPr>
      <w:r>
        <w:t xml:space="preserve">They don’t solve our impacts but cause them – by entrenching a colonial matrix that undergirds violence. Anti-blackness is not a stage upon which all violence occurs. It is just a particularly </w:t>
      </w:r>
      <w:proofErr w:type="spellStart"/>
      <w:r>
        <w:t>sedimented</w:t>
      </w:r>
      <w:proofErr w:type="spellEnd"/>
      <w:r>
        <w:t xml:space="preserve"> relation. In fact, whiteness occupies the position of master signifier and subjects are assigned </w:t>
      </w:r>
      <w:r w:rsidRPr="00C729C4">
        <w:rPr>
          <w:u w:val="single"/>
        </w:rPr>
        <w:t>based on degrees of whiteness</w:t>
      </w:r>
      <w:r>
        <w:t xml:space="preserve">. They uphold that. </w:t>
      </w:r>
    </w:p>
    <w:p w:rsidR="006B38F1" w:rsidRDefault="006B38F1" w:rsidP="006B38F1">
      <w:pPr>
        <w:pStyle w:val="Heading3"/>
      </w:pPr>
      <w:r>
        <w:t xml:space="preserve">1AR AT Goes </w:t>
      </w:r>
      <w:proofErr w:type="spellStart"/>
      <w:r>
        <w:t>Neg</w:t>
      </w:r>
      <w:proofErr w:type="spellEnd"/>
    </w:p>
    <w:p w:rsidR="006B38F1" w:rsidRDefault="006B38F1" w:rsidP="006B38F1">
      <w:pPr>
        <w:pStyle w:val="Heading4"/>
      </w:pPr>
      <w:r>
        <w:t xml:space="preserve">Complete detachment from whiteness is a PREREQUISITE to alt solvency. All of our arguments about affective investment prove they accept the positionality of black as diametrically opposed to white, which is in fact the colonial identity as posited by whiteness. </w:t>
      </w:r>
    </w:p>
    <w:p w:rsidR="006B38F1" w:rsidRPr="00223C07" w:rsidRDefault="006B38F1" w:rsidP="006B38F1">
      <w:pPr>
        <w:rPr>
          <w:rStyle w:val="Style13ptBold"/>
        </w:rPr>
      </w:pPr>
      <w:r>
        <w:rPr>
          <w:rStyle w:val="Style13ptBold"/>
        </w:rPr>
        <w:t xml:space="preserve">Hudson 13 </w:t>
      </w:r>
      <w:r w:rsidRPr="00223C07">
        <w:t xml:space="preserve">(Peter, Political Studies Department, University of the Witwatersrand, Johannesburg, “The state and the colonial unconscious”, Social Dynamics, 39:2, 263-277, </w:t>
      </w:r>
      <w:hyperlink r:id="rId9" w:history="1">
        <w:r w:rsidRPr="00223C07">
          <w:rPr>
            <w:rStyle w:val="Hyperlink"/>
          </w:rPr>
          <w:t>http://dx.doi.org/10.1080/02533952.2013.802867</w:t>
        </w:r>
      </w:hyperlink>
      <w:r w:rsidRPr="00223C07">
        <w:t>, accessed 7/18/16)</w:t>
      </w:r>
    </w:p>
    <w:p w:rsidR="006B38F1" w:rsidRDefault="006B38F1" w:rsidP="006B38F1">
      <w:pPr>
        <w:rPr>
          <w:rStyle w:val="Emphasis"/>
        </w:rPr>
      </w:pPr>
      <w:r>
        <w:t xml:space="preserve">The </w:t>
      </w:r>
      <w:proofErr w:type="spellStart"/>
      <w:r>
        <w:t>colonised</w:t>
      </w:r>
      <w:proofErr w:type="spellEnd"/>
      <w:r>
        <w:t xml:space="preserve"> must in other words take the step of exposing himself to that “utterly naked declivity where an authentic upheaval can be born” (Fanon 1968, 7): he must withdraw even from the colonial nothing that he is, and “descend into real hell” where he is even emptier than he already is. In his elementary position, </w:t>
      </w:r>
      <w:r w:rsidRPr="00223C07">
        <w:rPr>
          <w:rStyle w:val="StyleUnderline"/>
        </w:rPr>
        <w:t xml:space="preserve">the </w:t>
      </w:r>
      <w:proofErr w:type="spellStart"/>
      <w:r w:rsidRPr="00223C07">
        <w:rPr>
          <w:rStyle w:val="StyleUnderline"/>
        </w:rPr>
        <w:t>colonised</w:t>
      </w:r>
      <w:proofErr w:type="spellEnd"/>
      <w:r w:rsidRPr="00223C07">
        <w:rPr>
          <w:rStyle w:val="StyleUnderline"/>
        </w:rPr>
        <w:t xml:space="preserve"> unconsciously identifies himself with whiteness</w:t>
      </w:r>
      <w:r>
        <w:t>, unconsciously believes that “whiteness” is his way out of his colonial destitution; and Fanon sees this stubborn clinging onto whiteness as being responsible for “the black man (lacking) the advantage of being able to accomplish this descent” (7). Whatever the case,</w:t>
      </w:r>
      <w:r w:rsidRPr="00223C07">
        <w:rPr>
          <w:rStyle w:val="StyleUnderline"/>
        </w:rPr>
        <w:t xml:space="preserve"> the </w:t>
      </w:r>
      <w:proofErr w:type="spellStart"/>
      <w:r w:rsidRPr="00223C07">
        <w:rPr>
          <w:rStyle w:val="StyleUnderline"/>
        </w:rPr>
        <w:t>colonised</w:t>
      </w:r>
      <w:proofErr w:type="spellEnd"/>
      <w:r w:rsidRPr="00223C07">
        <w:rPr>
          <w:rStyle w:val="StyleUnderline"/>
        </w:rPr>
        <w:t xml:space="preserve"> subject has to </w:t>
      </w:r>
      <w:r w:rsidRPr="00223C07">
        <w:rPr>
          <w:rStyle w:val="Emphasis"/>
        </w:rPr>
        <w:t>destroy his attachment to whiteness</w:t>
      </w:r>
      <w:r w:rsidRPr="00223C07">
        <w:rPr>
          <w:rStyle w:val="StyleUnderline"/>
        </w:rPr>
        <w:t xml:space="preserve"> by </w:t>
      </w:r>
      <w:r w:rsidRPr="00223C07">
        <w:rPr>
          <w:rStyle w:val="Emphasis"/>
        </w:rPr>
        <w:t>withdrawing to the point where he sustains himself</w:t>
      </w:r>
      <w:r w:rsidRPr="00223C07">
        <w:rPr>
          <w:rStyle w:val="StyleUnderline"/>
        </w:rPr>
        <w:t xml:space="preserve">, </w:t>
      </w:r>
      <w:r w:rsidRPr="00223C07">
        <w:rPr>
          <w:rStyle w:val="Emphasis"/>
        </w:rPr>
        <w:t>wiping the slate of his colonial identity clean</w:t>
      </w:r>
      <w:r w:rsidRPr="00223C07">
        <w:rPr>
          <w:rStyle w:val="StyleUnderline"/>
        </w:rPr>
        <w:t xml:space="preserve"> </w:t>
      </w:r>
      <w:r w:rsidRPr="00223C07">
        <w:rPr>
          <w:rStyle w:val="Emphasis"/>
        </w:rPr>
        <w:t>before any anti-colonial transformation is possible</w:t>
      </w:r>
    </w:p>
    <w:p w:rsidR="006B38F1" w:rsidRDefault="006B38F1" w:rsidP="006B38F1">
      <w:pPr>
        <w:pStyle w:val="Heading3"/>
      </w:pPr>
      <w:r>
        <w:t>AT Stage Metaphor</w:t>
      </w:r>
    </w:p>
    <w:p w:rsidR="006B38F1" w:rsidRPr="0077118E" w:rsidRDefault="006B38F1" w:rsidP="006B38F1">
      <w:pPr>
        <w:pStyle w:val="Heading4"/>
      </w:pPr>
      <w:r>
        <w:t>The stage is structured by affective investment not antiblackness. If it is contingent, then antiblackness is another tragedy played out on the stage. We don’t need to win that anti-</w:t>
      </w:r>
      <w:proofErr w:type="spellStart"/>
      <w:r>
        <w:t>asian</w:t>
      </w:r>
      <w:proofErr w:type="spellEnd"/>
      <w:r>
        <w:t xml:space="preserve"> violence is more important. But that they are part of a common structure. </w:t>
      </w:r>
    </w:p>
    <w:p w:rsidR="006B38F1" w:rsidRDefault="006B38F1" w:rsidP="006B38F1">
      <w:pPr>
        <w:pStyle w:val="Heading1"/>
      </w:pPr>
      <w:r>
        <w:t>Survival Strategies</w:t>
      </w:r>
    </w:p>
    <w:p w:rsidR="006B38F1" w:rsidRDefault="006B38F1" w:rsidP="006B38F1">
      <w:pPr>
        <w:pStyle w:val="Heading3"/>
      </w:pPr>
      <w:r>
        <w:t xml:space="preserve">FW AT Survival </w:t>
      </w:r>
      <w:proofErr w:type="spellStart"/>
      <w:r>
        <w:t>Strats</w:t>
      </w:r>
      <w:proofErr w:type="spellEnd"/>
    </w:p>
    <w:p w:rsidR="006B38F1" w:rsidRDefault="006B38F1" w:rsidP="006B38F1">
      <w:pPr>
        <w:pStyle w:val="Heading4"/>
      </w:pPr>
      <w:r>
        <w:t>Debating reform to the federal government IS a survival strategy—expanding the floor of the cage is necessary to challenge gratuitous state violence</w:t>
      </w:r>
    </w:p>
    <w:p w:rsidR="006B38F1" w:rsidRDefault="006B38F1" w:rsidP="006B38F1">
      <w:pPr>
        <w:widowControl w:val="0"/>
      </w:pPr>
      <w:r w:rsidRPr="001E212E">
        <w:rPr>
          <w:rStyle w:val="Style13ptBold"/>
        </w:rPr>
        <w:t>CHOMSKY 1997</w:t>
      </w:r>
      <w:r>
        <w:t xml:space="preserve"> (Noam, Interview with David </w:t>
      </w:r>
      <w:proofErr w:type="spellStart"/>
      <w:r>
        <w:t>Barsamian</w:t>
      </w:r>
      <w:proofErr w:type="spellEnd"/>
      <w:r>
        <w:t>, Z Magazine, March)</w:t>
      </w:r>
    </w:p>
    <w:p w:rsidR="006B38F1" w:rsidRPr="001E212E" w:rsidRDefault="006B38F1" w:rsidP="006B38F1">
      <w:pPr>
        <w:widowControl w:val="0"/>
        <w:rPr>
          <w:sz w:val="16"/>
        </w:rPr>
      </w:pPr>
      <w:r w:rsidRPr="001E212E">
        <w:rPr>
          <w:sz w:val="16"/>
        </w:rPr>
        <w:t xml:space="preserve">I don’t know if you recall that in a previous interview with you I made some comment about how, in the current circumstances, devolution from the federal government to the state level is disastrous. </w:t>
      </w:r>
      <w:r>
        <w:rPr>
          <w:u w:val="single"/>
        </w:rPr>
        <w:t xml:space="preserve">The federal government </w:t>
      </w:r>
      <w:r w:rsidRPr="001E212E">
        <w:rPr>
          <w:sz w:val="16"/>
        </w:rPr>
        <w:t>has all sorts of rotten things about it and</w:t>
      </w:r>
      <w:r>
        <w:rPr>
          <w:u w:val="single"/>
        </w:rPr>
        <w:t xml:space="preserve"> is fundamentally illegitimate, but weakening federal power </w:t>
      </w:r>
      <w:r w:rsidRPr="001E212E">
        <w:rPr>
          <w:sz w:val="16"/>
        </w:rPr>
        <w:t xml:space="preserve">and moving things to the state level </w:t>
      </w:r>
      <w:r>
        <w:rPr>
          <w:u w:val="single"/>
        </w:rPr>
        <w:t>is just a disaster</w:t>
      </w:r>
      <w:r w:rsidRPr="001E212E">
        <w:rPr>
          <w:sz w:val="16"/>
        </w:rPr>
        <w:t xml:space="preserve">. </w:t>
      </w:r>
      <w:r>
        <w:rPr>
          <w:u w:val="single"/>
        </w:rPr>
        <w:t>At the state level even middle-sized businesses can control what happens</w:t>
      </w:r>
      <w:r w:rsidRPr="001E212E">
        <w:rPr>
          <w:sz w:val="16"/>
        </w:rPr>
        <w:t xml:space="preserve">. At the federal level only the big guys can push it around. That means, that if you take, say, aid for hungry children, to the extent that it exists, if it’s distributed through the federal system, you can resist business pressure to some extent. It can actually get to poor children. If you move it to the state level in block grants, it will end up in the hands of Raytheon and Fidelity—exactly what’s happening here in Massachusetts. They have enough coercive power to force the fiscal structure of the state to accommodate to their needs, with things as simple as the threat of moving across the border. These are realities. But people here tend to be so doctrinaire. Obviously there are exceptions, but </w:t>
      </w:r>
      <w:r>
        <w:rPr>
          <w:u w:val="single"/>
        </w:rPr>
        <w:t xml:space="preserve">the tendencies </w:t>
      </w:r>
      <w:r w:rsidRPr="001E212E">
        <w:rPr>
          <w:sz w:val="16"/>
        </w:rPr>
        <w:t xml:space="preserve">here, </w:t>
      </w:r>
      <w:r>
        <w:rPr>
          <w:u w:val="single"/>
        </w:rPr>
        <w:t>both in elite circles and on the left, are such rigidity and doctrinaire inability to focus on complex issues that the left ends up removing itself from authentic social struggle and is caught up in its doctrinaire sectarianism</w:t>
      </w:r>
      <w:r w:rsidRPr="001E212E">
        <w:rPr>
          <w:sz w:val="16"/>
        </w:rPr>
        <w:t xml:space="preserve">. That’s very much less true there. I think that’s parallel to the fact that it’s less true among elite circles. </w:t>
      </w:r>
      <w:proofErr w:type="gramStart"/>
      <w:r w:rsidRPr="001E212E">
        <w:rPr>
          <w:sz w:val="16"/>
        </w:rPr>
        <w:t>So</w:t>
      </w:r>
      <w:proofErr w:type="gramEnd"/>
      <w:r w:rsidRPr="001E212E">
        <w:rPr>
          <w:sz w:val="16"/>
        </w:rPr>
        <w:t xml:space="preserve"> just as you can talk openly there about the fact that Brazil and Argentina don’t really have a debt, that it’s a social construct, not an economic fact—they may not agree, but at least they understand what you’re talking about—whereas here I think it would be extremely hard to get the point across. Again, I don’t want to overdraw the lines. There are plenty of exceptions. But the differences are noticeable, and I think the differences have to do with power.</w:t>
      </w:r>
      <w:r>
        <w:rPr>
          <w:u w:val="single"/>
        </w:rPr>
        <w:t xml:space="preserve"> The more power and privilege you have, the less it’s necessary to think, because you can do what you want anyway. When power and privilege decline, willingness to think becomes part of survival</w:t>
      </w:r>
      <w:r w:rsidRPr="001E212E">
        <w:rPr>
          <w:sz w:val="16"/>
        </w:rPr>
        <w:t xml:space="preserve">.  </w:t>
      </w:r>
    </w:p>
    <w:p w:rsidR="006B38F1" w:rsidRDefault="006B38F1" w:rsidP="006B38F1">
      <w:pPr>
        <w:widowControl w:val="0"/>
      </w:pPr>
      <w:r w:rsidRPr="001E212E">
        <w:rPr>
          <w:sz w:val="16"/>
        </w:rPr>
        <w:t>I know when excerpts from that interview we did were published in The Progressive, you got raked over the coals for this position.</w:t>
      </w:r>
    </w:p>
    <w:p w:rsidR="006B38F1" w:rsidRPr="001E212E" w:rsidRDefault="006B38F1" w:rsidP="006B38F1">
      <w:pPr>
        <w:rPr>
          <w:sz w:val="16"/>
        </w:rPr>
      </w:pPr>
      <w:r w:rsidRPr="001E212E">
        <w:rPr>
          <w:sz w:val="16"/>
        </w:rPr>
        <w:t xml:space="preserve">Exactly. When I talked to the anarchist group in Buenos Aires, we discussed this. Everybody basically had the same recognition. There’s an interesting slogan that’s used. We didn’t mention this, but quite apart from the Workers Party and the urban unions, there’s also a very lively rural workers organization. Millions of workers have become organized into rural unions which are very rarely discussed. One of the slogans that they use which is relevant here, is that </w:t>
      </w:r>
      <w:r>
        <w:rPr>
          <w:u w:val="single"/>
        </w:rPr>
        <w:t xml:space="preserve">we should "expand the floor of the cage." We know we’re in a cage. We know we’re trapped. We’re going to expand the floor, meaning we will extend to the limits what the cage will allow. And we intend to destroy the cage. But not by attacking the cage when we’re vulnerable, so they’ll murder us. That’s completely correct. You have to protect the cage when it’s under attack from even worse predators from outside, like private power. And you have to expand the floor of the cage, recognizing that it’s a cage. These are all preliminaries to dismantling it. Unless people are willing to tolerate that level of complexity, they’re going to be of no use to people who are suffering and who need help, or, </w:t>
      </w:r>
      <w:r w:rsidRPr="001E212E">
        <w:rPr>
          <w:sz w:val="16"/>
        </w:rPr>
        <w:t>for that matter</w:t>
      </w:r>
      <w:r>
        <w:rPr>
          <w:u w:val="single"/>
        </w:rPr>
        <w:t>, to themselves</w:t>
      </w:r>
      <w:r w:rsidRPr="001E212E">
        <w:rPr>
          <w:sz w:val="16"/>
        </w:rPr>
        <w:t>.</w:t>
      </w:r>
    </w:p>
    <w:p w:rsidR="006B38F1" w:rsidRDefault="006B38F1" w:rsidP="006B38F1">
      <w:pPr>
        <w:pStyle w:val="Heading3"/>
      </w:pPr>
      <w:proofErr w:type="spellStart"/>
      <w:r>
        <w:t>Neolib</w:t>
      </w:r>
      <w:proofErr w:type="spellEnd"/>
      <w:r>
        <w:t xml:space="preserve"> Link</w:t>
      </w:r>
    </w:p>
    <w:p w:rsidR="006B38F1" w:rsidRDefault="006B38F1" w:rsidP="006B38F1">
      <w:pPr>
        <w:pStyle w:val="Heading4"/>
      </w:pPr>
      <w:r>
        <w:t xml:space="preserve">Survival strategies fragments mass movements into a totality of atomized individuals, each struggling to survive, rendered reactive to dominant hierarchy. Their liberation is an illusion and only collective search for material transformation can solve. </w:t>
      </w:r>
    </w:p>
    <w:p w:rsidR="006B38F1" w:rsidRPr="00E94B2F" w:rsidRDefault="006B38F1" w:rsidP="006B38F1">
      <w:pPr>
        <w:rPr>
          <w:rStyle w:val="Style13ptBold"/>
        </w:rPr>
      </w:pPr>
      <w:proofErr w:type="spellStart"/>
      <w:r>
        <w:rPr>
          <w:rStyle w:val="Style13ptBold"/>
        </w:rPr>
        <w:t>Papantonopoulou</w:t>
      </w:r>
      <w:proofErr w:type="spellEnd"/>
      <w:r>
        <w:rPr>
          <w:rStyle w:val="Style13ptBold"/>
        </w:rPr>
        <w:t xml:space="preserve"> 14 </w:t>
      </w:r>
      <w:r w:rsidRPr="00E94B2F">
        <w:t>(</w:t>
      </w:r>
      <w:proofErr w:type="spellStart"/>
      <w:r w:rsidRPr="00E94B2F">
        <w:t>Saffa</w:t>
      </w:r>
      <w:proofErr w:type="spellEnd"/>
      <w:r w:rsidRPr="00E94B2F">
        <w:t xml:space="preserve">, </w:t>
      </w:r>
      <w:r>
        <w:t xml:space="preserve">Anthropology and Middle East Studies Dual PhD, </w:t>
      </w:r>
      <w:r w:rsidRPr="00E94B2F">
        <w:t xml:space="preserve">“Even a Freak </w:t>
      </w:r>
      <w:proofErr w:type="gramStart"/>
      <w:r w:rsidRPr="00E94B2F">
        <w:t>Like</w:t>
      </w:r>
      <w:proofErr w:type="gramEnd"/>
      <w:r w:rsidRPr="00E94B2F">
        <w:t xml:space="preserve"> You Would Be Safe in Tel Aviv”: Transgender Subjects, Wounded Attachments, and the Zionist Economy of Gratitude”, WSQ: Women’s Studies Quarterly 42: 1 &amp; 2 (Spring/Summer 2014), </w:t>
      </w:r>
      <w:r>
        <w:t xml:space="preserve">https://muse.jhu.edu/article/549603/summary, </w:t>
      </w:r>
      <w:r w:rsidRPr="00E94B2F">
        <w:t>accessed 7/18/16)</w:t>
      </w:r>
    </w:p>
    <w:p w:rsidR="006B38F1" w:rsidRPr="00E94B2F" w:rsidRDefault="006B38F1" w:rsidP="006B38F1">
      <w:pPr>
        <w:rPr>
          <w:rStyle w:val="Emphasis"/>
        </w:rPr>
      </w:pPr>
      <w:r>
        <w:t xml:space="preserve">Wendy Brown’s words ring just as true today as they did twenty years ago when they were written. While Brown did not explore what, exactly, mobilizes wounded attachments, </w:t>
      </w:r>
      <w:r w:rsidRPr="00E94B2F">
        <w:rPr>
          <w:rStyle w:val="StyleUnderline"/>
        </w:rPr>
        <w:t>what we have seen since 1993 is an increase in the deployment of wounded attachments by neoliberalism and neocolonialism</w:t>
      </w:r>
      <w:r>
        <w:t xml:space="preserve">. The Zionist economy of gratitude, as part of a multibillion-dollar propaganda industry, is an economy in a very literal sense. </w:t>
      </w:r>
      <w:proofErr w:type="spellStart"/>
      <w:r>
        <w:t>Pinkwashing</w:t>
      </w:r>
      <w:proofErr w:type="spellEnd"/>
      <w:r>
        <w:t xml:space="preserve"> deploys preexisting tropes of Jewish victimization inherent to Zionism, in an attempt to hail the transgender subject into a debt of gratitude toward neoliberalism. </w:t>
      </w:r>
      <w:r w:rsidRPr="00E94B2F">
        <w:rPr>
          <w:rStyle w:val="StyleUnderline"/>
        </w:rPr>
        <w:t>This narrative deploys vulnerability as economic capital, and its historical rise coincides with a tactical and discursive shift by radical and progressive politics within the West</w:t>
      </w:r>
      <w:r>
        <w:t xml:space="preserve">. </w:t>
      </w:r>
      <w:r w:rsidRPr="00E94B2F">
        <w:rPr>
          <w:rStyle w:val="StyleUnderline"/>
        </w:rPr>
        <w:t xml:space="preserve">This shift has been a move toward </w:t>
      </w:r>
      <w:proofErr w:type="spellStart"/>
      <w:r w:rsidRPr="00E94B2F">
        <w:rPr>
          <w:rStyle w:val="StyleUnderline"/>
        </w:rPr>
        <w:t>hyperindividualized</w:t>
      </w:r>
      <w:proofErr w:type="spellEnd"/>
      <w:r w:rsidRPr="00E94B2F">
        <w:rPr>
          <w:rStyle w:val="StyleUnderline"/>
        </w:rPr>
        <w:t xml:space="preserve"> projects of semiotic and representational</w:t>
      </w:r>
      <w:r>
        <w:t xml:space="preserve"> </w:t>
      </w:r>
      <w:r w:rsidRPr="00E94B2F">
        <w:rPr>
          <w:rStyle w:val="StyleUnderline"/>
        </w:rPr>
        <w:t>interventions into existing systems</w:t>
      </w:r>
      <w:r>
        <w:t xml:space="preserve">. </w:t>
      </w:r>
      <w:r w:rsidRPr="00E94B2F">
        <w:rPr>
          <w:rStyle w:val="StyleUnderline"/>
        </w:rPr>
        <w:t xml:space="preserve">This is encapsulated in the </w:t>
      </w:r>
      <w:proofErr w:type="spellStart"/>
      <w:r w:rsidRPr="00E94B2F">
        <w:rPr>
          <w:rStyle w:val="StyleUnderline"/>
        </w:rPr>
        <w:t>assump</w:t>
      </w:r>
      <w:proofErr w:type="spellEnd"/>
      <w:r w:rsidRPr="00E94B2F">
        <w:rPr>
          <w:rStyle w:val="StyleUnderline"/>
        </w:rPr>
        <w:t xml:space="preserve">- </w:t>
      </w:r>
      <w:proofErr w:type="spellStart"/>
      <w:r w:rsidRPr="00E94B2F">
        <w:rPr>
          <w:rStyle w:val="StyleUnderline"/>
        </w:rPr>
        <w:t>tion</w:t>
      </w:r>
      <w:proofErr w:type="spellEnd"/>
      <w:r w:rsidRPr="00E94B2F">
        <w:rPr>
          <w:rStyle w:val="StyleUnderline"/>
        </w:rPr>
        <w:t xml:space="preserve"> that through better</w:t>
      </w:r>
      <w:r>
        <w:t xml:space="preserve"> </w:t>
      </w:r>
      <w:r w:rsidRPr="00E94B2F">
        <w:rPr>
          <w:rStyle w:val="StyleUnderline"/>
        </w:rPr>
        <w:t>(media) representation</w:t>
      </w:r>
      <w:r>
        <w:t xml:space="preserve">, and precisely defined terminologies, transgender people and other </w:t>
      </w:r>
      <w:r w:rsidRPr="00E94B2F">
        <w:rPr>
          <w:rStyle w:val="StyleUnderline"/>
        </w:rPr>
        <w:t>oppressed people may find liberation</w:t>
      </w:r>
      <w:r>
        <w:t xml:space="preserve">. </w:t>
      </w:r>
      <w:r w:rsidRPr="00E94B2F">
        <w:rPr>
          <w:rStyle w:val="StyleUnderline"/>
        </w:rPr>
        <w:t xml:space="preserve">The </w:t>
      </w:r>
      <w:proofErr w:type="spellStart"/>
      <w:r w:rsidRPr="00E94B2F">
        <w:rPr>
          <w:rStyle w:val="StyleUnderline"/>
        </w:rPr>
        <w:t>renaturalization</w:t>
      </w:r>
      <w:proofErr w:type="spellEnd"/>
      <w:r w:rsidRPr="00E94B2F">
        <w:rPr>
          <w:rStyle w:val="StyleUnderline"/>
        </w:rPr>
        <w:t xml:space="preserve"> of capitalism within late twentieth-century identity politics is both a product of and produced by the reframing of </w:t>
      </w:r>
      <w:r>
        <w:t xml:space="preserve">both temporality and </w:t>
      </w:r>
      <w:r w:rsidRPr="00E94B2F">
        <w:rPr>
          <w:rStyle w:val="StyleUnderline"/>
        </w:rPr>
        <w:t xml:space="preserve">the individual’s relation to the collective within purportedly </w:t>
      </w:r>
      <w:proofErr w:type="spellStart"/>
      <w:r w:rsidRPr="00E94B2F">
        <w:rPr>
          <w:rStyle w:val="StyleUnderline"/>
        </w:rPr>
        <w:t>liberatory</w:t>
      </w:r>
      <w:proofErr w:type="spellEnd"/>
      <w:r w:rsidRPr="00E94B2F">
        <w:rPr>
          <w:rStyle w:val="StyleUnderline"/>
        </w:rPr>
        <w:t xml:space="preserve"> political projects.</w:t>
      </w:r>
      <w:r>
        <w:t xml:space="preserve"> </w:t>
      </w:r>
      <w:r w:rsidRPr="00E94B2F">
        <w:rPr>
          <w:rStyle w:val="Emphasis"/>
        </w:rPr>
        <w:t>No longer part of a mass movement that aims toward liberation of the collective in historical time, we are instead relegated to a totality of atomized individuals, each struggling to survive</w:t>
      </w:r>
      <w:r>
        <w:t xml:space="preserve">. </w:t>
      </w:r>
      <w:r w:rsidRPr="00E94B2F">
        <w:rPr>
          <w:rStyle w:val="StyleUnderline"/>
        </w:rPr>
        <w:t>The struggles for survival are very much real</w:t>
      </w:r>
      <w:r>
        <w:t xml:space="preserve">, </w:t>
      </w:r>
      <w:r w:rsidRPr="00E94B2F">
        <w:rPr>
          <w:rStyle w:val="StyleUnderline"/>
        </w:rPr>
        <w:t>but the ways in which they have been politicized</w:t>
      </w:r>
      <w:r>
        <w:t xml:space="preserve">—even more, </w:t>
      </w:r>
      <w:r w:rsidRPr="00E94B2F">
        <w:rPr>
          <w:rStyle w:val="StyleUnderline"/>
        </w:rPr>
        <w:t>the ways in which survival within the existing system has become the political project</w:t>
      </w:r>
      <w:r>
        <w:t>—</w:t>
      </w:r>
      <w:r w:rsidRPr="00E94B2F">
        <w:rPr>
          <w:rStyle w:val="Emphasis"/>
        </w:rPr>
        <w:t>reflect an internalization of Margaret Thatcher’s infamous quip “There is no alternative</w:t>
      </w:r>
      <w:r w:rsidRPr="00E94B2F">
        <w:rPr>
          <w:rStyle w:val="StyleUnderline"/>
        </w:rPr>
        <w:t>.” We are often grappling with subjectivities that have been produced by disciplinary regimes in order not to survive</w:t>
      </w:r>
      <w:r>
        <w:t xml:space="preserve">. </w:t>
      </w:r>
      <w:r w:rsidRPr="00E94B2F">
        <w:rPr>
          <w:rStyle w:val="StyleUnderline"/>
        </w:rPr>
        <w:t xml:space="preserve">Liberation will mean the ceasing-to-be of many of these disciplined subjectivities. And there are few things more terrifying than calling for the death of one’s own subject position. </w:t>
      </w:r>
      <w:r>
        <w:t xml:space="preserve">But this may be the point where it makes sense to part from Brown, as Brown parts from Nietzsche. After all, </w:t>
      </w:r>
      <w:r w:rsidRPr="00E94B2F">
        <w:t>Brown does not a</w:t>
      </w:r>
      <w:r>
        <w:t xml:space="preserve">ccount for movements—such as, say, the Black Panther Party, to name one example—that politicized identity as part of a </w:t>
      </w:r>
      <w:proofErr w:type="spellStart"/>
      <w:r>
        <w:t>liberatory</w:t>
      </w:r>
      <w:proofErr w:type="spellEnd"/>
      <w:r>
        <w:t xml:space="preserve"> project, avoiding both liberal co-optation and crude Marxist reductionism. Rather than focus further on Brown’s notion of wounds and traumas, it may be useful to reevaluate Fanon’s notion of catharsis in the twenty-first century. What might we imagine a transgender catharsis could look like? To Fanon, catharsis happens as part of </w:t>
      </w:r>
      <w:proofErr w:type="spellStart"/>
      <w:r>
        <w:t>decolonial</w:t>
      </w:r>
      <w:proofErr w:type="spellEnd"/>
      <w:r>
        <w:t xml:space="preserve"> struggle, which is, in his words, “an agenda for total disorder. But it cannot be accomplished by the wave of a magic wand . . . or a gentleman’s agreement.” Fanon specifies that </w:t>
      </w:r>
      <w:proofErr w:type="spellStart"/>
      <w:r>
        <w:t>decolonial</w:t>
      </w:r>
      <w:proofErr w:type="spellEnd"/>
      <w:r>
        <w:t xml:space="preserve"> struggle “is an historical process” (1963, 2). </w:t>
      </w:r>
      <w:r w:rsidRPr="00E94B2F">
        <w:rPr>
          <w:rStyle w:val="StyleUnderline"/>
        </w:rPr>
        <w:t>Liberation, catharsis, and healing from trauma will not happen on the level of a matrix of individuals</w:t>
      </w:r>
      <w:r>
        <w:t xml:space="preserve">, or a more precise regime of signification, </w:t>
      </w:r>
      <w:r w:rsidRPr="00E94B2F">
        <w:rPr>
          <w:rStyle w:val="StyleUnderline"/>
        </w:rPr>
        <w:t>and no theoretical intervention</w:t>
      </w:r>
      <w:r>
        <w:t xml:space="preserve"> (even on the part of this text) </w:t>
      </w:r>
      <w:r w:rsidRPr="00E94B2F">
        <w:rPr>
          <w:rStyle w:val="StyleUnderline"/>
        </w:rPr>
        <w:t>will bring it into being</w:t>
      </w:r>
      <w:r>
        <w:t xml:space="preserve">. Again, </w:t>
      </w:r>
      <w:r w:rsidRPr="00E94B2F">
        <w:rPr>
          <w:rStyle w:val="StyleUnderline"/>
        </w:rPr>
        <w:t>we cannot signify our way toward liberation as something that happens in historical time</w:t>
      </w:r>
      <w:r>
        <w:t xml:space="preserve">; </w:t>
      </w:r>
      <w:r w:rsidRPr="00E94B2F">
        <w:rPr>
          <w:rStyle w:val="StyleUnderline"/>
        </w:rPr>
        <w:t>we cannot make a priori promises of safety or security</w:t>
      </w:r>
      <w:r>
        <w:t xml:space="preserve">. </w:t>
      </w:r>
      <w:r w:rsidRPr="00E94B2F">
        <w:rPr>
          <w:rStyle w:val="StyleUnderline"/>
        </w:rPr>
        <w:t>There is unfortunately no predicting what, exactly, a historical unraveling of a violent system may bring about</w:t>
      </w:r>
      <w:r>
        <w:t xml:space="preserve">. </w:t>
      </w:r>
      <w:r w:rsidRPr="00E94B2F">
        <w:rPr>
          <w:rStyle w:val="Emphasis"/>
        </w:rPr>
        <w:t>But we can, at the very least, prepare ourselves, by</w:t>
      </w:r>
      <w:r w:rsidRPr="00E94B2F">
        <w:rPr>
          <w:rStyle w:val="StyleUnderline"/>
        </w:rPr>
        <w:t xml:space="preserve"> </w:t>
      </w:r>
      <w:r>
        <w:t xml:space="preserve">critically </w:t>
      </w:r>
      <w:r w:rsidRPr="00E94B2F">
        <w:rPr>
          <w:rStyle w:val="Emphasis"/>
        </w:rPr>
        <w:t>examining what sort of political tropes we reproduce in attempting to name our pain</w:t>
      </w:r>
      <w:r>
        <w:t xml:space="preserve">. </w:t>
      </w:r>
      <w:r w:rsidRPr="00E94B2F">
        <w:rPr>
          <w:rStyle w:val="StyleUnderline"/>
        </w:rPr>
        <w:t xml:space="preserve">Demanding liberation in historical time, through a </w:t>
      </w:r>
      <w:proofErr w:type="spellStart"/>
      <w:r w:rsidRPr="00E94B2F">
        <w:rPr>
          <w:rStyle w:val="StyleUnderline"/>
        </w:rPr>
        <w:t>collec</w:t>
      </w:r>
      <w:proofErr w:type="spellEnd"/>
      <w:r w:rsidRPr="00E94B2F">
        <w:rPr>
          <w:rStyle w:val="StyleUnderline"/>
        </w:rPr>
        <w:t xml:space="preserve">- </w:t>
      </w:r>
      <w:proofErr w:type="spellStart"/>
      <w:r w:rsidRPr="00E94B2F">
        <w:rPr>
          <w:rStyle w:val="StyleUnderline"/>
        </w:rPr>
        <w:t>tive</w:t>
      </w:r>
      <w:proofErr w:type="spellEnd"/>
      <w:r w:rsidRPr="00E94B2F">
        <w:rPr>
          <w:rStyle w:val="StyleUnderline"/>
        </w:rPr>
        <w:t xml:space="preserve"> struggle that places</w:t>
      </w:r>
      <w:r w:rsidRPr="00E94B2F">
        <w:t xml:space="preserve"> more</w:t>
      </w:r>
      <w:r w:rsidRPr="00E94B2F">
        <w:rPr>
          <w:rStyle w:val="StyleUnderline"/>
        </w:rPr>
        <w:t xml:space="preserve"> weight on the material</w:t>
      </w:r>
      <w:r>
        <w:t xml:space="preserve"> than on the semiotic or symbolic, while simultaneously allowing </w:t>
      </w:r>
      <w:proofErr w:type="spellStart"/>
      <w:r>
        <w:t>geocultural</w:t>
      </w:r>
      <w:proofErr w:type="spellEnd"/>
      <w:r>
        <w:t xml:space="preserve"> cross-pollination of ideas and signifiers without a historically deterministic search for “origins” (Foucault 1977), may allow us to break out of cycles of debt and gratitude. But this </w:t>
      </w:r>
      <w:r w:rsidRPr="00E94B2F">
        <w:rPr>
          <w:rStyle w:val="Emphasis"/>
        </w:rPr>
        <w:t>change</w:t>
      </w:r>
      <w:r w:rsidRPr="00E94B2F">
        <w:rPr>
          <w:rStyle w:val="StyleUnderline"/>
        </w:rPr>
        <w:t xml:space="preserve"> will not happen through theoretical intervention alone</w:t>
      </w:r>
      <w:r>
        <w:t xml:space="preserve">; </w:t>
      </w:r>
      <w:r w:rsidRPr="00E94B2F">
        <w:rPr>
          <w:rStyle w:val="StyleUnderline"/>
        </w:rPr>
        <w:t xml:space="preserve">it </w:t>
      </w:r>
      <w:r w:rsidRPr="00E94B2F">
        <w:rPr>
          <w:rStyle w:val="Emphasis"/>
        </w:rPr>
        <w:t>must happen through a structural and material transformation of the world we live in.</w:t>
      </w:r>
    </w:p>
    <w:p w:rsidR="006B38F1" w:rsidRPr="00E94B2F" w:rsidRDefault="006B38F1" w:rsidP="006B38F1">
      <w:pPr>
        <w:pStyle w:val="Heading3"/>
      </w:pPr>
      <w:r>
        <w:t>Fails</w:t>
      </w:r>
    </w:p>
    <w:p w:rsidR="006B38F1" w:rsidRPr="001E6522" w:rsidRDefault="006B38F1" w:rsidP="006B38F1">
      <w:pPr>
        <w:pStyle w:val="Heading4"/>
      </w:pPr>
      <w:r w:rsidRPr="001E6522">
        <w:t>Survival strategies fail</w:t>
      </w:r>
    </w:p>
    <w:p w:rsidR="006B38F1" w:rsidRPr="009334A9" w:rsidRDefault="006B38F1" w:rsidP="006B38F1">
      <w:proofErr w:type="spellStart"/>
      <w:r w:rsidRPr="009334A9">
        <w:rPr>
          <w:rStyle w:val="Style13ptBold"/>
        </w:rPr>
        <w:t>Subotnik</w:t>
      </w:r>
      <w:proofErr w:type="spellEnd"/>
      <w:r w:rsidRPr="009334A9">
        <w:rPr>
          <w:rStyle w:val="Style13ptBold"/>
        </w:rPr>
        <w:t xml:space="preserve"> 98</w:t>
      </w:r>
      <w:r w:rsidRPr="009334A9">
        <w:t xml:space="preserve"> – </w:t>
      </w:r>
      <w:r w:rsidRPr="009334A9">
        <w:rPr>
          <w:rFonts w:eastAsia="Times New Roman"/>
          <w:szCs w:val="24"/>
        </w:rPr>
        <w:t xml:space="preserve">Professor of Law, </w:t>
      </w:r>
      <w:proofErr w:type="spellStart"/>
      <w:r w:rsidRPr="009334A9">
        <w:rPr>
          <w:rFonts w:eastAsia="Times New Roman"/>
          <w:szCs w:val="24"/>
        </w:rPr>
        <w:t>Touro</w:t>
      </w:r>
      <w:proofErr w:type="spellEnd"/>
      <w:r w:rsidRPr="009334A9">
        <w:rPr>
          <w:rFonts w:eastAsia="Times New Roman"/>
          <w:szCs w:val="24"/>
        </w:rPr>
        <w:t xml:space="preserve"> College, Jacob D. </w:t>
      </w:r>
      <w:proofErr w:type="spellStart"/>
      <w:r w:rsidRPr="009334A9">
        <w:rPr>
          <w:rFonts w:eastAsia="Times New Roman"/>
          <w:szCs w:val="24"/>
        </w:rPr>
        <w:t>Fuchsberg</w:t>
      </w:r>
      <w:proofErr w:type="spellEnd"/>
      <w:r w:rsidRPr="009334A9">
        <w:rPr>
          <w:rFonts w:eastAsia="Times New Roman"/>
          <w:szCs w:val="24"/>
        </w:rPr>
        <w:t xml:space="preserve"> Law Center. 7 Cornell J. L. &amp; Pub. </w:t>
      </w:r>
      <w:proofErr w:type="spellStart"/>
      <w:r w:rsidRPr="009334A9">
        <w:rPr>
          <w:rFonts w:eastAsia="Times New Roman"/>
          <w:szCs w:val="24"/>
        </w:rPr>
        <w:t>Pol'y</w:t>
      </w:r>
      <w:proofErr w:type="spellEnd"/>
      <w:r w:rsidRPr="009334A9">
        <w:rPr>
          <w:rFonts w:eastAsia="Times New Roman"/>
          <w:szCs w:val="24"/>
        </w:rPr>
        <w:t xml:space="preserve"> 681</w:t>
      </w:r>
    </w:p>
    <w:p w:rsidR="006B38F1" w:rsidRPr="00E26E12" w:rsidRDefault="006B38F1" w:rsidP="006B38F1">
      <w:pPr>
        <w:rPr>
          <w:rFonts w:eastAsia="Times New Roman"/>
          <w:sz w:val="16"/>
          <w:szCs w:val="24"/>
        </w:rPr>
      </w:pPr>
      <w:r w:rsidRPr="00E26E12">
        <w:rPr>
          <w:rFonts w:eastAsia="Times New Roman"/>
          <w:sz w:val="16"/>
          <w:szCs w:val="24"/>
        </w:rPr>
        <w:t xml:space="preserve">Having traced a major strand in the development of CRT, we turn now to the strands' effect on the relationships of CRATs with each other and with outsiders. As the foregoing material suggests, </w:t>
      </w:r>
      <w:r w:rsidRPr="00E26E12">
        <w:rPr>
          <w:rFonts w:eastAsia="Times New Roman"/>
          <w:bCs/>
          <w:szCs w:val="26"/>
          <w:u w:val="single"/>
        </w:rPr>
        <w:t>the central</w:t>
      </w:r>
      <w:r w:rsidRPr="00E26E12">
        <w:rPr>
          <w:rFonts w:eastAsia="Times New Roman"/>
          <w:sz w:val="16"/>
          <w:szCs w:val="24"/>
        </w:rPr>
        <w:t xml:space="preserve"> CRT </w:t>
      </w:r>
      <w:r w:rsidRPr="00E26E12">
        <w:rPr>
          <w:rFonts w:eastAsia="Times New Roman"/>
          <w:bCs/>
          <w:szCs w:val="26"/>
          <w:u w:val="single"/>
        </w:rPr>
        <w:t>message is not simply that minorities are being treated unfairly</w:t>
      </w:r>
      <w:r w:rsidRPr="00E26E12">
        <w:rPr>
          <w:rFonts w:eastAsia="Times New Roman"/>
          <w:sz w:val="16"/>
          <w:szCs w:val="24"/>
        </w:rPr>
        <w:t xml:space="preserve">, or even that individuals out there are in pain - assertions for which there are data to serve as grist for the academic mill - </w:t>
      </w:r>
      <w:r w:rsidRPr="00E26E12">
        <w:rPr>
          <w:rFonts w:eastAsia="Times New Roman"/>
          <w:bCs/>
          <w:szCs w:val="26"/>
          <w:u w:val="single"/>
        </w:rPr>
        <w:t>but that the minority scholar himself or herself hurts and hurts badly</w:t>
      </w:r>
      <w:r w:rsidRPr="00E26E12">
        <w:rPr>
          <w:rFonts w:eastAsia="Times New Roman"/>
          <w:sz w:val="16"/>
          <w:szCs w:val="24"/>
        </w:rPr>
        <w:t>.</w:t>
      </w:r>
    </w:p>
    <w:p w:rsidR="006B38F1" w:rsidRPr="00E26E12" w:rsidRDefault="006B38F1" w:rsidP="006B38F1">
      <w:pPr>
        <w:rPr>
          <w:rFonts w:eastAsia="Times New Roman"/>
          <w:sz w:val="16"/>
          <w:szCs w:val="24"/>
        </w:rPr>
      </w:pPr>
      <w:r w:rsidRPr="00E26E12">
        <w:rPr>
          <w:rFonts w:eastAsia="Times New Roman"/>
          <w:sz w:val="16"/>
          <w:szCs w:val="24"/>
        </w:rPr>
        <w:t xml:space="preserve">An important problem that concerns the very definition of the scholarly enterprise now comes into focus. </w:t>
      </w:r>
      <w:r w:rsidRPr="00091791">
        <w:rPr>
          <w:rFonts w:eastAsia="Times New Roman"/>
          <w:bCs/>
          <w:szCs w:val="26"/>
          <w:highlight w:val="cyan"/>
          <w:u w:val="single"/>
        </w:rPr>
        <w:t>What can an academic</w:t>
      </w:r>
      <w:r w:rsidRPr="00E26E12">
        <w:rPr>
          <w:rFonts w:eastAsia="Times New Roman"/>
          <w:bCs/>
          <w:szCs w:val="26"/>
          <w:u w:val="single"/>
        </w:rPr>
        <w:t xml:space="preserve"> </w:t>
      </w:r>
      <w:r w:rsidRPr="00E26E12">
        <w:rPr>
          <w:rFonts w:eastAsia="Times New Roman"/>
          <w:sz w:val="16"/>
          <w:szCs w:val="24"/>
        </w:rPr>
        <w:t xml:space="preserve">trained </w:t>
      </w:r>
      <w:proofErr w:type="gramStart"/>
      <w:r w:rsidRPr="00E26E12">
        <w:rPr>
          <w:rFonts w:eastAsia="Times New Roman"/>
          <w:sz w:val="16"/>
          <w:szCs w:val="24"/>
        </w:rPr>
        <w:t>to  [</w:t>
      </w:r>
      <w:proofErr w:type="gramEnd"/>
      <w:r w:rsidRPr="00E26E12">
        <w:rPr>
          <w:rFonts w:eastAsia="Times New Roman"/>
          <w:sz w:val="16"/>
          <w:szCs w:val="24"/>
        </w:rPr>
        <w:t xml:space="preserve">*694]  question and to doubt n72 </w:t>
      </w:r>
      <w:r w:rsidRPr="00E26E12">
        <w:rPr>
          <w:rFonts w:eastAsia="Times New Roman"/>
          <w:bCs/>
          <w:szCs w:val="26"/>
          <w:u w:val="single"/>
        </w:rPr>
        <w:t xml:space="preserve">possibly </w:t>
      </w:r>
      <w:r w:rsidRPr="00091791">
        <w:rPr>
          <w:rFonts w:eastAsia="Times New Roman"/>
          <w:bCs/>
          <w:szCs w:val="26"/>
          <w:highlight w:val="cyan"/>
          <w:u w:val="single"/>
        </w:rPr>
        <w:t>say</w:t>
      </w:r>
      <w:r w:rsidRPr="00E26E12">
        <w:rPr>
          <w:rFonts w:eastAsia="Times New Roman"/>
          <w:bCs/>
          <w:szCs w:val="26"/>
          <w:u w:val="single"/>
        </w:rPr>
        <w:t xml:space="preserve"> to Patricia Williams when effectively she announces, </w:t>
      </w:r>
      <w:r w:rsidRPr="00091791">
        <w:rPr>
          <w:rFonts w:eastAsia="Times New Roman"/>
          <w:bCs/>
          <w:szCs w:val="26"/>
          <w:highlight w:val="cyan"/>
          <w:u w:val="single"/>
        </w:rPr>
        <w:t>"I hurt bad"?</w:t>
      </w:r>
      <w:r w:rsidRPr="00E26E12">
        <w:rPr>
          <w:rFonts w:eastAsia="Times New Roman"/>
          <w:sz w:val="16"/>
          <w:szCs w:val="24"/>
        </w:rPr>
        <w:t xml:space="preserve"> n73 </w:t>
      </w:r>
      <w:r w:rsidRPr="00091791">
        <w:rPr>
          <w:rFonts w:eastAsia="Times New Roman"/>
          <w:bCs/>
          <w:szCs w:val="26"/>
          <w:highlight w:val="cyan"/>
          <w:u w:val="single"/>
        </w:rPr>
        <w:t>"No, you don't hurt"?</w:t>
      </w:r>
      <w:r w:rsidRPr="00E26E12">
        <w:rPr>
          <w:rFonts w:eastAsia="Times New Roman"/>
          <w:bCs/>
          <w:szCs w:val="26"/>
          <w:u w:val="single"/>
        </w:rPr>
        <w:t xml:space="preserve"> "You shouldn't hurt"?</w:t>
      </w:r>
      <w:r w:rsidRPr="00E26E12">
        <w:rPr>
          <w:rFonts w:eastAsia="Times New Roman"/>
          <w:sz w:val="16"/>
          <w:szCs w:val="24"/>
        </w:rPr>
        <w:t xml:space="preserve"> "Other people hurt too"? Or, most dangerously - and perhaps most tellingly - "What do you expect when you keep shooting yourself in the foot?" If the majority were perceived as having the well- being of minority groups in mind, these responses might be acceptable, even welcomed. And they might lead to real conversation. But, </w:t>
      </w:r>
      <w:r w:rsidRPr="00E26E12">
        <w:rPr>
          <w:rFonts w:eastAsia="Times New Roman"/>
          <w:bCs/>
          <w:szCs w:val="26"/>
          <w:u w:val="single"/>
        </w:rPr>
        <w:t>writes Williams, the failure by those "cushioned within the invisible privileges of race and power</w:t>
      </w:r>
      <w:r w:rsidRPr="00E26E12">
        <w:rPr>
          <w:rFonts w:eastAsia="Times New Roman"/>
          <w:sz w:val="16"/>
          <w:szCs w:val="24"/>
        </w:rPr>
        <w:t xml:space="preserve">... to incorporate a sense of precarious connection as a part of our </w:t>
      </w:r>
      <w:r w:rsidRPr="00E26E12">
        <w:rPr>
          <w:rFonts w:eastAsia="Times New Roman"/>
          <w:bCs/>
          <w:szCs w:val="26"/>
          <w:u w:val="single"/>
        </w:rPr>
        <w:t>lives is... ultimately obliterating</w:t>
      </w:r>
      <w:r w:rsidRPr="00E26E12">
        <w:rPr>
          <w:rFonts w:eastAsia="Times New Roman"/>
          <w:sz w:val="16"/>
          <w:szCs w:val="24"/>
        </w:rPr>
        <w:t>." n74</w:t>
      </w:r>
    </w:p>
    <w:p w:rsidR="006B38F1" w:rsidRPr="00E26E12" w:rsidRDefault="006B38F1" w:rsidP="006B38F1">
      <w:pPr>
        <w:rPr>
          <w:rFonts w:eastAsia="Times New Roman"/>
          <w:sz w:val="16"/>
          <w:szCs w:val="24"/>
        </w:rPr>
      </w:pPr>
      <w:r w:rsidRPr="00E26E12">
        <w:rPr>
          <w:rFonts w:eastAsia="Times New Roman"/>
          <w:sz w:val="16"/>
          <w:szCs w:val="24"/>
        </w:rPr>
        <w:t xml:space="preserve">"Precarious." "Obliterating." </w:t>
      </w:r>
      <w:r w:rsidRPr="00091791">
        <w:rPr>
          <w:rFonts w:eastAsia="Times New Roman"/>
          <w:bCs/>
          <w:szCs w:val="26"/>
          <w:highlight w:val="cyan"/>
          <w:u w:val="single"/>
        </w:rPr>
        <w:t>These words</w:t>
      </w:r>
      <w:r w:rsidRPr="00E26E12">
        <w:rPr>
          <w:rFonts w:eastAsia="Times New Roman"/>
          <w:bCs/>
          <w:szCs w:val="26"/>
          <w:u w:val="single"/>
        </w:rPr>
        <w:t xml:space="preserve"> will clearly </w:t>
      </w:r>
      <w:r w:rsidRPr="00091791">
        <w:rPr>
          <w:rFonts w:eastAsia="Times New Roman"/>
          <w:bCs/>
          <w:szCs w:val="26"/>
          <w:highlight w:val="cyan"/>
          <w:u w:val="single"/>
        </w:rPr>
        <w:t xml:space="preserve">invite responses </w:t>
      </w:r>
      <w:r w:rsidRPr="00E26E12">
        <w:rPr>
          <w:rFonts w:eastAsia="Times New Roman"/>
          <w:bCs/>
          <w:szCs w:val="26"/>
          <w:u w:val="single"/>
        </w:rPr>
        <w:t xml:space="preserve">only </w:t>
      </w:r>
      <w:r w:rsidRPr="00091791">
        <w:rPr>
          <w:rFonts w:eastAsia="Times New Roman"/>
          <w:bCs/>
          <w:szCs w:val="26"/>
          <w:highlight w:val="cyan"/>
          <w:u w:val="single"/>
        </w:rPr>
        <w:t xml:space="preserve">from fools and sociopaths; </w:t>
      </w:r>
      <w:r w:rsidRPr="00E26E12">
        <w:rPr>
          <w:rFonts w:eastAsia="Times New Roman"/>
          <w:bCs/>
          <w:szCs w:val="26"/>
          <w:u w:val="single"/>
        </w:rPr>
        <w:t xml:space="preserve">they will, </w:t>
      </w:r>
      <w:r w:rsidRPr="00091791">
        <w:rPr>
          <w:rFonts w:eastAsia="Times New Roman"/>
          <w:bCs/>
          <w:szCs w:val="26"/>
          <w:highlight w:val="cyan"/>
          <w:u w:val="single"/>
        </w:rPr>
        <w:t xml:space="preserve">by effectively precluding objection, </w:t>
      </w:r>
      <w:r w:rsidRPr="00E26E12">
        <w:rPr>
          <w:rFonts w:eastAsia="Times New Roman"/>
          <w:bCs/>
          <w:szCs w:val="26"/>
          <w:u w:val="single"/>
        </w:rPr>
        <w:t xml:space="preserve">disconcert and </w:t>
      </w:r>
      <w:r w:rsidRPr="00091791">
        <w:rPr>
          <w:rFonts w:eastAsia="Times New Roman"/>
          <w:bCs/>
          <w:szCs w:val="26"/>
          <w:highlight w:val="cyan"/>
          <w:u w:val="single"/>
        </w:rPr>
        <w:t>disunite others</w:t>
      </w:r>
      <w:r w:rsidRPr="00E26E12">
        <w:rPr>
          <w:rFonts w:eastAsia="Times New Roman"/>
          <w:sz w:val="16"/>
          <w:szCs w:val="24"/>
        </w:rPr>
        <w:t xml:space="preserve">. </w:t>
      </w:r>
      <w:r w:rsidRPr="00E26E12">
        <w:rPr>
          <w:rFonts w:eastAsia="Times New Roman"/>
          <w:bCs/>
          <w:szCs w:val="26"/>
          <w:u w:val="single"/>
        </w:rPr>
        <w:t>"I hurt," in academic discourse, has three broad though interrelated effects</w:t>
      </w:r>
      <w:r w:rsidRPr="00E26E12">
        <w:rPr>
          <w:rFonts w:eastAsia="Times New Roman"/>
          <w:sz w:val="16"/>
          <w:szCs w:val="24"/>
        </w:rPr>
        <w:t xml:space="preserve">. First, </w:t>
      </w:r>
      <w:r w:rsidRPr="00E26E12">
        <w:rPr>
          <w:rFonts w:eastAsia="Times New Roman"/>
          <w:bCs/>
          <w:szCs w:val="26"/>
          <w:u w:val="single"/>
        </w:rPr>
        <w:t>it demands priority from the reader's conscience. It is for this reason that law review editors, waiving usual standards, have privileged a long trail of undisciplined - even silly</w:t>
      </w:r>
      <w:r w:rsidRPr="00E26E12">
        <w:rPr>
          <w:rFonts w:eastAsia="Times New Roman"/>
          <w:sz w:val="16"/>
          <w:szCs w:val="24"/>
        </w:rPr>
        <w:t xml:space="preserve"> n75 </w:t>
      </w:r>
      <w:r w:rsidRPr="00E26E12">
        <w:rPr>
          <w:rFonts w:eastAsia="Times New Roman"/>
          <w:bCs/>
          <w:szCs w:val="26"/>
          <w:u w:val="single"/>
        </w:rPr>
        <w:t xml:space="preserve">- destructive and, above all, self-destructive </w:t>
      </w:r>
      <w:proofErr w:type="spellStart"/>
      <w:r w:rsidRPr="00E26E12">
        <w:rPr>
          <w:rFonts w:eastAsia="Times New Roman"/>
          <w:bCs/>
          <w:szCs w:val="26"/>
          <w:u w:val="single"/>
        </w:rPr>
        <w:t>arti</w:t>
      </w:r>
      <w:proofErr w:type="spellEnd"/>
      <w:r w:rsidRPr="00E26E12">
        <w:rPr>
          <w:rFonts w:eastAsia="Times New Roman"/>
          <w:bCs/>
          <w:szCs w:val="26"/>
          <w:u w:val="single"/>
        </w:rPr>
        <w:t xml:space="preserve"> </w:t>
      </w:r>
      <w:proofErr w:type="spellStart"/>
      <w:r w:rsidRPr="00E26E12">
        <w:rPr>
          <w:rFonts w:eastAsia="Times New Roman"/>
          <w:bCs/>
          <w:szCs w:val="26"/>
          <w:u w:val="single"/>
        </w:rPr>
        <w:t>cles</w:t>
      </w:r>
      <w:proofErr w:type="spellEnd"/>
      <w:r w:rsidRPr="00E26E12">
        <w:rPr>
          <w:rFonts w:eastAsia="Times New Roman"/>
          <w:bCs/>
          <w:szCs w:val="26"/>
          <w:u w:val="single"/>
        </w:rPr>
        <w:t>.</w:t>
      </w:r>
      <w:r w:rsidRPr="00E26E12">
        <w:rPr>
          <w:rFonts w:eastAsia="Times New Roman"/>
          <w:sz w:val="16"/>
          <w:szCs w:val="24"/>
        </w:rPr>
        <w:t xml:space="preserve"> </w:t>
      </w:r>
      <w:proofErr w:type="gramStart"/>
      <w:r w:rsidRPr="00E26E12">
        <w:rPr>
          <w:rFonts w:eastAsia="Times New Roman"/>
          <w:sz w:val="16"/>
          <w:szCs w:val="24"/>
        </w:rPr>
        <w:t>n76</w:t>
      </w:r>
      <w:proofErr w:type="gramEnd"/>
      <w:r w:rsidRPr="00E26E12">
        <w:rPr>
          <w:rFonts w:eastAsia="Times New Roman"/>
          <w:sz w:val="16"/>
          <w:szCs w:val="24"/>
        </w:rPr>
        <w:t xml:space="preserve"> </w:t>
      </w:r>
      <w:r w:rsidRPr="00E26E12">
        <w:rPr>
          <w:rFonts w:eastAsia="Times New Roman"/>
          <w:bCs/>
          <w:szCs w:val="26"/>
          <w:u w:val="single"/>
        </w:rPr>
        <w:t xml:space="preserve">Second, </w:t>
      </w:r>
      <w:r w:rsidRPr="00091791">
        <w:rPr>
          <w:rFonts w:eastAsia="Times New Roman"/>
          <w:bCs/>
          <w:szCs w:val="26"/>
          <w:highlight w:val="cyan"/>
          <w:u w:val="single"/>
        </w:rPr>
        <w:t xml:space="preserve">by emphasizing the emotional bond between those who hurt </w:t>
      </w:r>
      <w:r w:rsidRPr="00E26E12">
        <w:rPr>
          <w:rFonts w:eastAsia="Times New Roman"/>
          <w:bCs/>
          <w:szCs w:val="26"/>
          <w:u w:val="single"/>
        </w:rPr>
        <w:t xml:space="preserve">in a similar way, </w:t>
      </w:r>
      <w:r w:rsidRPr="00091791">
        <w:rPr>
          <w:rFonts w:eastAsia="Times New Roman"/>
          <w:bCs/>
          <w:szCs w:val="26"/>
          <w:highlight w:val="cyan"/>
          <w:u w:val="single"/>
        </w:rPr>
        <w:t>"I hurt" discourages fellow sufferers from abstracting themselves</w:t>
      </w:r>
      <w:r w:rsidRPr="00E26E12">
        <w:rPr>
          <w:rFonts w:eastAsia="Times New Roman"/>
          <w:bCs/>
          <w:szCs w:val="26"/>
          <w:u w:val="single"/>
        </w:rPr>
        <w:t xml:space="preserve"> from their pain in order </w:t>
      </w:r>
      <w:r w:rsidRPr="00091791">
        <w:rPr>
          <w:rFonts w:eastAsia="Times New Roman"/>
          <w:bCs/>
          <w:szCs w:val="26"/>
          <w:highlight w:val="cyan"/>
          <w:u w:val="single"/>
        </w:rPr>
        <w:t>to gain perspective</w:t>
      </w:r>
      <w:r w:rsidRPr="00E26E12">
        <w:rPr>
          <w:rFonts w:eastAsia="Times New Roman"/>
          <w:bCs/>
          <w:szCs w:val="26"/>
          <w:u w:val="single"/>
        </w:rPr>
        <w:t xml:space="preserve"> on their condition</w:t>
      </w:r>
      <w:r w:rsidRPr="00E26E12">
        <w:rPr>
          <w:rFonts w:eastAsia="Times New Roman"/>
          <w:sz w:val="16"/>
          <w:szCs w:val="24"/>
        </w:rPr>
        <w:t>. n77</w:t>
      </w:r>
    </w:p>
    <w:p w:rsidR="006B38F1" w:rsidRPr="00E26E12" w:rsidRDefault="006B38F1" w:rsidP="006B38F1">
      <w:pPr>
        <w:rPr>
          <w:rFonts w:eastAsia="Times New Roman"/>
          <w:sz w:val="16"/>
          <w:szCs w:val="24"/>
        </w:rPr>
      </w:pPr>
      <w:r w:rsidRPr="00E26E12">
        <w:rPr>
          <w:rFonts w:eastAsia="Times New Roman"/>
          <w:sz w:val="16"/>
          <w:szCs w:val="24"/>
        </w:rPr>
        <w:t xml:space="preserve"> [*696]  </w:t>
      </w:r>
      <w:r w:rsidRPr="00E26E12">
        <w:rPr>
          <w:rFonts w:eastAsia="Times New Roman"/>
          <w:bCs/>
          <w:szCs w:val="26"/>
          <w:u w:val="single"/>
        </w:rPr>
        <w:t xml:space="preserve">Last, as we have seen, </w:t>
      </w:r>
      <w:r w:rsidRPr="00091791">
        <w:rPr>
          <w:rStyle w:val="Emphasis"/>
          <w:highlight w:val="cyan"/>
        </w:rPr>
        <w:t>it precludes the possibility of open and structured conversation with others.</w:t>
      </w:r>
      <w:r w:rsidRPr="00E26E12">
        <w:rPr>
          <w:rFonts w:eastAsia="Times New Roman"/>
          <w:sz w:val="16"/>
          <w:szCs w:val="24"/>
        </w:rPr>
        <w:t xml:space="preserve"> n78 [*697</w:t>
      </w:r>
      <w:proofErr w:type="gramStart"/>
      <w:r w:rsidRPr="00E26E12">
        <w:rPr>
          <w:rFonts w:eastAsia="Times New Roman"/>
          <w:sz w:val="16"/>
          <w:szCs w:val="24"/>
        </w:rPr>
        <w:t xml:space="preserve">]  </w:t>
      </w:r>
      <w:r w:rsidRPr="00E26E12">
        <w:rPr>
          <w:rFonts w:eastAsia="Times New Roman"/>
          <w:bCs/>
          <w:szCs w:val="26"/>
          <w:u w:val="single"/>
        </w:rPr>
        <w:t>It</w:t>
      </w:r>
      <w:proofErr w:type="gramEnd"/>
      <w:r w:rsidRPr="00E26E12">
        <w:rPr>
          <w:rFonts w:eastAsia="Times New Roman"/>
          <w:bCs/>
          <w:szCs w:val="26"/>
          <w:u w:val="single"/>
        </w:rPr>
        <w:t xml:space="preserve"> is because of</w:t>
      </w:r>
      <w:r w:rsidRPr="009334A9">
        <w:rPr>
          <w:rFonts w:eastAsia="Times New Roman"/>
          <w:b/>
          <w:bCs/>
          <w:szCs w:val="26"/>
          <w:u w:val="single"/>
        </w:rPr>
        <w:t xml:space="preserve"> </w:t>
      </w:r>
      <w:r w:rsidRPr="00091791">
        <w:rPr>
          <w:rStyle w:val="Emphasis"/>
          <w:highlight w:val="cyan"/>
        </w:rPr>
        <w:t>this conversation-stopping effect</w:t>
      </w:r>
      <w:r w:rsidRPr="009334A9">
        <w:rPr>
          <w:rFonts w:eastAsia="Times New Roman"/>
          <w:sz w:val="16"/>
          <w:szCs w:val="24"/>
        </w:rPr>
        <w:t xml:space="preserve"> of what they insensitively call "first-person agony stories" </w:t>
      </w:r>
      <w:r w:rsidRPr="00E26E12">
        <w:rPr>
          <w:rFonts w:eastAsia="Times New Roman"/>
          <w:bCs/>
          <w:szCs w:val="26"/>
          <w:u w:val="single"/>
        </w:rPr>
        <w:t>that Farber and Sherry deplore their use.</w:t>
      </w:r>
      <w:r w:rsidRPr="00E26E12">
        <w:rPr>
          <w:rFonts w:eastAsia="Times New Roman"/>
          <w:sz w:val="16"/>
          <w:szCs w:val="24"/>
        </w:rPr>
        <w:t xml:space="preserve"> "The norms of academic civility hamper readers from challenging the accuracy of the researcher's account; it would be rather difficult, for example, to criticize a law review article by questioning the author's emotional stability or veracity." n79 Perhaps, a better practice would be to put the scholar's experience on the table, along with other relevant material, but to subject that experience to the same level of scrutiny.</w:t>
      </w:r>
    </w:p>
    <w:p w:rsidR="006B38F1" w:rsidRPr="00E26E12" w:rsidRDefault="006B38F1" w:rsidP="006B38F1">
      <w:pPr>
        <w:rPr>
          <w:rFonts w:eastAsia="Times New Roman"/>
          <w:sz w:val="16"/>
          <w:szCs w:val="24"/>
        </w:rPr>
      </w:pPr>
      <w:r w:rsidRPr="00E26E12">
        <w:rPr>
          <w:rFonts w:eastAsia="Times New Roman"/>
          <w:sz w:val="16"/>
          <w:szCs w:val="24"/>
        </w:rPr>
        <w:t xml:space="preserve">If </w:t>
      </w:r>
      <w:r w:rsidRPr="00E26E12">
        <w:rPr>
          <w:rFonts w:eastAsia="Times New Roman"/>
          <w:bCs/>
          <w:szCs w:val="26"/>
          <w:u w:val="single"/>
        </w:rPr>
        <w:t xml:space="preserve">through the foregoing rhetorical strategies CRATs </w:t>
      </w:r>
      <w:r w:rsidRPr="00091791">
        <w:rPr>
          <w:rFonts w:eastAsia="Times New Roman"/>
          <w:bCs/>
          <w:szCs w:val="26"/>
          <w:highlight w:val="cyan"/>
          <w:u w:val="single"/>
        </w:rPr>
        <w:t>succeeded in limiting academic debate</w:t>
      </w:r>
      <w:r w:rsidRPr="00E26E12">
        <w:rPr>
          <w:rFonts w:eastAsia="Times New Roman"/>
          <w:sz w:val="16"/>
          <w:szCs w:val="24"/>
        </w:rPr>
        <w:t xml:space="preserve">, why do they not have greater influence on public policy? </w:t>
      </w:r>
      <w:r w:rsidRPr="00091791">
        <w:rPr>
          <w:rFonts w:eastAsia="Times New Roman"/>
          <w:bCs/>
          <w:szCs w:val="26"/>
          <w:highlight w:val="cyan"/>
          <w:u w:val="single"/>
        </w:rPr>
        <w:t>Discouraging white legal scholars from entering the national conversation about race</w:t>
      </w:r>
      <w:r w:rsidRPr="00091791">
        <w:rPr>
          <w:rFonts w:eastAsia="Times New Roman"/>
          <w:sz w:val="16"/>
          <w:szCs w:val="24"/>
          <w:highlight w:val="cyan"/>
        </w:rPr>
        <w:t>,</w:t>
      </w:r>
      <w:r w:rsidRPr="00E26E12">
        <w:rPr>
          <w:rFonts w:eastAsia="Times New Roman"/>
          <w:sz w:val="16"/>
          <w:szCs w:val="24"/>
        </w:rPr>
        <w:t xml:space="preserve"> n80 I suggest, </w:t>
      </w:r>
      <w:r w:rsidRPr="00E26E12">
        <w:rPr>
          <w:rFonts w:eastAsia="Times New Roman"/>
          <w:bCs/>
          <w:szCs w:val="26"/>
          <w:u w:val="single"/>
        </w:rPr>
        <w:t xml:space="preserve">has </w:t>
      </w:r>
      <w:r w:rsidRPr="00091791">
        <w:rPr>
          <w:rFonts w:eastAsia="Times New Roman"/>
          <w:bCs/>
          <w:szCs w:val="26"/>
          <w:highlight w:val="cyan"/>
          <w:u w:val="single"/>
        </w:rPr>
        <w:t>generated a kind of cynicism</w:t>
      </w:r>
      <w:r w:rsidRPr="00E26E12">
        <w:rPr>
          <w:rFonts w:eastAsia="Times New Roman"/>
          <w:bCs/>
          <w:szCs w:val="26"/>
          <w:u w:val="single"/>
        </w:rPr>
        <w:t xml:space="preserve"> in white audiences</w:t>
      </w:r>
      <w:r w:rsidRPr="009334A9">
        <w:rPr>
          <w:rFonts w:eastAsia="Times New Roman"/>
          <w:sz w:val="16"/>
          <w:szCs w:val="24"/>
        </w:rPr>
        <w:t xml:space="preserve"> which, in turn, has had precisely the reverse effect of that ostensibly desired by CRATs</w:t>
      </w:r>
      <w:r w:rsidRPr="00E26E12">
        <w:rPr>
          <w:rFonts w:eastAsia="Times New Roman"/>
          <w:sz w:val="16"/>
          <w:szCs w:val="24"/>
        </w:rPr>
        <w:t xml:space="preserve">. </w:t>
      </w:r>
      <w:r w:rsidRPr="00091791">
        <w:rPr>
          <w:rStyle w:val="Emphasis"/>
          <w:highlight w:val="cyan"/>
        </w:rPr>
        <w:t>It drives the American public to the right</w:t>
      </w:r>
      <w:r w:rsidRPr="00E26E12">
        <w:rPr>
          <w:rFonts w:eastAsia="Times New Roman"/>
          <w:b/>
          <w:bCs/>
          <w:szCs w:val="26"/>
          <w:u w:val="single"/>
        </w:rPr>
        <w:t xml:space="preserve"> </w:t>
      </w:r>
      <w:r w:rsidRPr="00E26E12">
        <w:rPr>
          <w:rFonts w:eastAsia="Times New Roman"/>
          <w:bCs/>
          <w:szCs w:val="26"/>
          <w:u w:val="single"/>
        </w:rPr>
        <w:t>and ensures that anything CRT offers is reflexively rejected.</w:t>
      </w:r>
    </w:p>
    <w:p w:rsidR="006B38F1" w:rsidRDefault="006B38F1" w:rsidP="006B38F1">
      <w:pPr>
        <w:rPr>
          <w:rFonts w:eastAsia="Times New Roman"/>
          <w:sz w:val="16"/>
          <w:szCs w:val="24"/>
        </w:rPr>
      </w:pPr>
      <w:r w:rsidRPr="00E26E12">
        <w:rPr>
          <w:rFonts w:eastAsia="Times New Roman"/>
          <w:sz w:val="16"/>
          <w:szCs w:val="24"/>
        </w:rPr>
        <w:t xml:space="preserve">In the absence of scholarly work by white males in the area of race, of course, it is difficult to be sure what reasons they would give for not having rallied behind CRT. Two things, however, are certain. First, </w:t>
      </w:r>
      <w:r w:rsidRPr="00091791">
        <w:rPr>
          <w:rFonts w:eastAsia="Times New Roman"/>
          <w:bCs/>
          <w:szCs w:val="26"/>
          <w:highlight w:val="cyan"/>
          <w:u w:val="single"/>
        </w:rPr>
        <w:t>the kinds of issues</w:t>
      </w:r>
      <w:r w:rsidRPr="00E26E12">
        <w:rPr>
          <w:rFonts w:eastAsia="Times New Roman"/>
          <w:sz w:val="16"/>
          <w:szCs w:val="24"/>
        </w:rPr>
        <w:t xml:space="preserve"> raised by Williams </w:t>
      </w:r>
      <w:r w:rsidRPr="00091791">
        <w:rPr>
          <w:rFonts w:eastAsia="Times New Roman"/>
          <w:bCs/>
          <w:szCs w:val="26"/>
          <w:highlight w:val="cyan"/>
          <w:u w:val="single"/>
        </w:rPr>
        <w:t>are too important</w:t>
      </w:r>
      <w:r w:rsidRPr="00E26E12">
        <w:rPr>
          <w:rFonts w:eastAsia="Times New Roman"/>
          <w:sz w:val="16"/>
          <w:szCs w:val="24"/>
        </w:rPr>
        <w:t xml:space="preserve"> in their </w:t>
      </w:r>
      <w:proofErr w:type="gramStart"/>
      <w:r w:rsidRPr="00E26E12">
        <w:rPr>
          <w:rFonts w:eastAsia="Times New Roman"/>
          <w:sz w:val="16"/>
          <w:szCs w:val="24"/>
        </w:rPr>
        <w:t>implications  [</w:t>
      </w:r>
      <w:proofErr w:type="gramEnd"/>
      <w:r w:rsidRPr="00E26E12">
        <w:rPr>
          <w:rFonts w:eastAsia="Times New Roman"/>
          <w:sz w:val="16"/>
          <w:szCs w:val="24"/>
        </w:rPr>
        <w:t xml:space="preserve">*698]  for American life </w:t>
      </w:r>
      <w:r w:rsidRPr="00091791">
        <w:rPr>
          <w:rFonts w:eastAsia="Times New Roman"/>
          <w:bCs/>
          <w:szCs w:val="26"/>
          <w:highlight w:val="cyan"/>
          <w:u w:val="single"/>
        </w:rPr>
        <w:t>to be confined to communities of color.</w:t>
      </w:r>
      <w:r w:rsidRPr="00E26E12">
        <w:rPr>
          <w:rFonts w:eastAsia="Times New Roman"/>
          <w:sz w:val="16"/>
          <w:szCs w:val="24"/>
        </w:rPr>
        <w:t xml:space="preserve"> If the lives of minorities are heavily constrained, if not fully defined, by the thoughts and actions of the majority elements in society, </w:t>
      </w:r>
      <w:r w:rsidRPr="00E26E12">
        <w:rPr>
          <w:rFonts w:eastAsia="Times New Roman"/>
          <w:bCs/>
          <w:szCs w:val="26"/>
          <w:u w:val="single"/>
        </w:rPr>
        <w:t xml:space="preserve">it would seem to be of great importance that white thinkers and doers participate in open discourse </w:t>
      </w:r>
      <w:r w:rsidRPr="00E26E12">
        <w:rPr>
          <w:rFonts w:eastAsia="Times New Roman"/>
          <w:sz w:val="16"/>
          <w:szCs w:val="24"/>
        </w:rPr>
        <w:t>to bring about change. Second, given the lack of engagement of CRT by the community of legal scholars as a whole, the discourse that should be taking place at the highest scholarly levels has, by default, been</w:t>
      </w:r>
      <w:r w:rsidRPr="009334A9">
        <w:rPr>
          <w:rFonts w:eastAsia="Times New Roman"/>
          <w:sz w:val="16"/>
          <w:szCs w:val="24"/>
        </w:rPr>
        <w:t xml:space="preserve"> displaced to faculty offices and, more generally, the streets and the airwaves.</w:t>
      </w:r>
    </w:p>
    <w:p w:rsidR="006B38F1" w:rsidRDefault="006B38F1" w:rsidP="006B38F1">
      <w:pPr>
        <w:pStyle w:val="Heading3"/>
      </w:pPr>
      <w:r>
        <w:t>AT Affirm Otherness</w:t>
      </w:r>
    </w:p>
    <w:p w:rsidR="006B38F1" w:rsidRDefault="006B38F1" w:rsidP="006B38F1">
      <w:pPr>
        <w:pStyle w:val="Heading4"/>
      </w:pPr>
      <w:r>
        <w:t>Affirming indigenous identity in academic space depoliticizes the radical claims of otherness—we should not articulate indigenous identity but instead allow it to be opaque</w:t>
      </w:r>
    </w:p>
    <w:p w:rsidR="006B38F1" w:rsidRDefault="006B38F1" w:rsidP="006B38F1">
      <w:r w:rsidRPr="003F5953">
        <w:rPr>
          <w:rStyle w:val="Style13ptBold"/>
        </w:rPr>
        <w:t>LINDNER AND STETSON 2009</w:t>
      </w:r>
      <w:r>
        <w:t xml:space="preserve"> (Keith, a PhD candidate in the Department of Geography at Syracuse University; George, postdoc fellow at US Coast Guard Academy, “For Opacity: Nature, Difference and Indigeneity in Amazonia,” </w:t>
      </w:r>
      <w:proofErr w:type="spellStart"/>
      <w:r>
        <w:t>Topia</w:t>
      </w:r>
      <w:proofErr w:type="spellEnd"/>
      <w:r>
        <w:t xml:space="preserve">, </w:t>
      </w:r>
      <w:proofErr w:type="gramStart"/>
      <w:r>
        <w:t>Spring</w:t>
      </w:r>
      <w:proofErr w:type="gramEnd"/>
      <w:r>
        <w:t>)</w:t>
      </w:r>
    </w:p>
    <w:p w:rsidR="006B38F1" w:rsidRPr="003F5953" w:rsidRDefault="006B38F1" w:rsidP="006B38F1">
      <w:pPr>
        <w:rPr>
          <w:sz w:val="16"/>
        </w:rPr>
      </w:pPr>
      <w:r w:rsidRPr="003F5953">
        <w:rPr>
          <w:sz w:val="16"/>
        </w:rPr>
        <w:t xml:space="preserve">The second complication seems to run directly counter to the first: </w:t>
      </w:r>
      <w:r w:rsidRPr="003F5953">
        <w:rPr>
          <w:u w:val="single"/>
        </w:rPr>
        <w:t>critical scholarship</w:t>
      </w:r>
      <w:r>
        <w:rPr>
          <w:u w:val="single"/>
        </w:rPr>
        <w:t xml:space="preserve"> </w:t>
      </w:r>
      <w:r w:rsidRPr="003F5953">
        <w:rPr>
          <w:u w:val="single"/>
        </w:rPr>
        <w:t>that works to</w:t>
      </w:r>
      <w:r w:rsidRPr="003F5953">
        <w:rPr>
          <w:sz w:val="16"/>
        </w:rPr>
        <w:t xml:space="preserve"> denaturalize and </w:t>
      </w:r>
      <w:r w:rsidRPr="003F5953">
        <w:rPr>
          <w:u w:val="single"/>
        </w:rPr>
        <w:t>de-</w:t>
      </w:r>
      <w:proofErr w:type="spellStart"/>
      <w:r w:rsidRPr="003F5953">
        <w:rPr>
          <w:u w:val="single"/>
        </w:rPr>
        <w:t>essentialize</w:t>
      </w:r>
      <w:proofErr w:type="spellEnd"/>
      <w:r w:rsidRPr="003F5953">
        <w:rPr>
          <w:sz w:val="16"/>
        </w:rPr>
        <w:t xml:space="preserve"> such nature-arguments, precisely because of the exclusionary and potentially violent implications of </w:t>
      </w:r>
      <w:proofErr w:type="spellStart"/>
      <w:r w:rsidRPr="003F5953">
        <w:rPr>
          <w:sz w:val="16"/>
        </w:rPr>
        <w:t>essentialized</w:t>
      </w:r>
      <w:proofErr w:type="spellEnd"/>
      <w:r w:rsidRPr="003F5953">
        <w:rPr>
          <w:sz w:val="16"/>
        </w:rPr>
        <w:t xml:space="preserve"> thinking, </w:t>
      </w:r>
      <w:r w:rsidRPr="003F5953">
        <w:rPr>
          <w:u w:val="single"/>
        </w:rPr>
        <w:t>can at the same time depoliticize</w:t>
      </w:r>
      <w:r w:rsidRPr="003F5953">
        <w:rPr>
          <w:sz w:val="16"/>
        </w:rPr>
        <w:t xml:space="preserve">. Following arguments within cultural studies about the articulation of identities (Hall 1990), critical social scientists have been increasingly wary of a link between indigeneity and nature, pointing out both the ways naturalizing arguments have been used against indigenous peoples as part of (post)colonial projects of domination (as in the example used to open this paper), as well as the problematic assumptions involved in treating any identity as static or essential (Braun 2002; Conklin 1997; Conklin and Graham 1995; Rogers 1996; Valdivia 2005a). Li, following Hall (1996), argues that framings linking indigenous peoples with nature, as “in harmony with nature” or as “natural conservationists,” are strategic essentialisms: not natural, but articulated and historically contingent. </w:t>
      </w:r>
      <w:r w:rsidRPr="003F5953">
        <w:rPr>
          <w:u w:val="single"/>
        </w:rPr>
        <w:t>Even simple identification as “indigenous” cannot be taken for granted: “a group’s</w:t>
      </w:r>
      <w:r>
        <w:rPr>
          <w:u w:val="single"/>
        </w:rPr>
        <w:t xml:space="preserve"> </w:t>
      </w:r>
      <w:r w:rsidRPr="003F5953">
        <w:rPr>
          <w:u w:val="single"/>
        </w:rPr>
        <w:t>self-identification as tribal or indigenous is not natural or inevitable, but … is,</w:t>
      </w:r>
      <w:r>
        <w:rPr>
          <w:u w:val="single"/>
        </w:rPr>
        <w:t xml:space="preserve"> </w:t>
      </w:r>
      <w:r w:rsidRPr="003F5953">
        <w:rPr>
          <w:u w:val="single"/>
        </w:rPr>
        <w:t xml:space="preserve">rather, a </w:t>
      </w:r>
      <w:r w:rsidRPr="003F5953">
        <w:rPr>
          <w:sz w:val="16"/>
        </w:rPr>
        <w:t xml:space="preserve">positioning … an accomplishment, a contingent outcome of the cultural and </w:t>
      </w:r>
      <w:r w:rsidRPr="003F5953">
        <w:rPr>
          <w:u w:val="single"/>
        </w:rPr>
        <w:t>political work of articulation</w:t>
      </w:r>
      <w:r w:rsidRPr="003F5953">
        <w:rPr>
          <w:sz w:val="16"/>
        </w:rPr>
        <w:t>” (Li 2000: 151, 163).</w:t>
      </w:r>
    </w:p>
    <w:p w:rsidR="006B38F1" w:rsidRPr="003F5953" w:rsidRDefault="006B38F1" w:rsidP="006B38F1">
      <w:pPr>
        <w:rPr>
          <w:sz w:val="16"/>
        </w:rPr>
      </w:pPr>
      <w:r w:rsidRPr="003F5953">
        <w:rPr>
          <w:u w:val="single"/>
        </w:rPr>
        <w:t>Such arguments, however, run the risk of undermining claims of indigenous peoples</w:t>
      </w:r>
      <w:r>
        <w:rPr>
          <w:u w:val="single"/>
        </w:rPr>
        <w:t xml:space="preserve"> </w:t>
      </w:r>
      <w:r w:rsidRPr="003F5953">
        <w:rPr>
          <w:u w:val="single"/>
        </w:rPr>
        <w:t>to territorial and other rights: if the category “indigenous” is articulated, this might</w:t>
      </w:r>
      <w:r>
        <w:rPr>
          <w:u w:val="single"/>
        </w:rPr>
        <w:t xml:space="preserve"> </w:t>
      </w:r>
      <w:r w:rsidRPr="003F5953">
        <w:rPr>
          <w:u w:val="single"/>
        </w:rPr>
        <w:t>become grounds for discrediting claims made by indigenous peoples that posit them</w:t>
      </w:r>
      <w:r>
        <w:rPr>
          <w:u w:val="single"/>
        </w:rPr>
        <w:t xml:space="preserve"> </w:t>
      </w:r>
      <w:r w:rsidRPr="003F5953">
        <w:rPr>
          <w:u w:val="single"/>
        </w:rPr>
        <w:t>as different from other inhabitants of a nation-state. Accounts of indigeneity as</w:t>
      </w:r>
      <w:r>
        <w:rPr>
          <w:u w:val="single"/>
        </w:rPr>
        <w:t xml:space="preserve"> </w:t>
      </w:r>
      <w:r w:rsidRPr="003F5953">
        <w:rPr>
          <w:u w:val="single"/>
        </w:rPr>
        <w:t>articulated or strategic essentialism risk working to uncover indigenous authenticity,</w:t>
      </w:r>
      <w:r>
        <w:rPr>
          <w:u w:val="single"/>
        </w:rPr>
        <w:t xml:space="preserve"> </w:t>
      </w:r>
      <w:r w:rsidRPr="003F5953">
        <w:rPr>
          <w:u w:val="single"/>
        </w:rPr>
        <w:t>to show indigenous peoples, stripped of their indigenous garments, as “corrupt</w:t>
      </w:r>
      <w:r>
        <w:rPr>
          <w:u w:val="single"/>
        </w:rPr>
        <w:t xml:space="preserve"> </w:t>
      </w:r>
      <w:r w:rsidRPr="003F5953">
        <w:rPr>
          <w:u w:val="single"/>
        </w:rPr>
        <w:t>posers” or “fake” Indians, which in turn can undermine indigenous claims when</w:t>
      </w:r>
      <w:r>
        <w:rPr>
          <w:u w:val="single"/>
        </w:rPr>
        <w:t xml:space="preserve"> </w:t>
      </w:r>
      <w:r w:rsidRPr="003F5953">
        <w:rPr>
          <w:u w:val="single"/>
        </w:rPr>
        <w:t>appropriated by state elites</w:t>
      </w:r>
      <w:r w:rsidRPr="003F5953">
        <w:rPr>
          <w:sz w:val="16"/>
        </w:rPr>
        <w:t xml:space="preserve"> (Conklin 1997). </w:t>
      </w:r>
      <w:r w:rsidRPr="003F5953">
        <w:rPr>
          <w:u w:val="single"/>
        </w:rPr>
        <w:t>Such arguments can be detrimental in</w:t>
      </w:r>
      <w:r>
        <w:rPr>
          <w:u w:val="single"/>
        </w:rPr>
        <w:t xml:space="preserve"> </w:t>
      </w:r>
      <w:r w:rsidRPr="003F5953">
        <w:rPr>
          <w:u w:val="single"/>
        </w:rPr>
        <w:t xml:space="preserve">a political context where reflexivity is not reciprocated; countering the </w:t>
      </w:r>
      <w:proofErr w:type="spellStart"/>
      <w:r w:rsidRPr="003F5953">
        <w:rPr>
          <w:u w:val="single"/>
        </w:rPr>
        <w:t>essentialized</w:t>
      </w:r>
      <w:proofErr w:type="spellEnd"/>
      <w:r>
        <w:rPr>
          <w:u w:val="single"/>
        </w:rPr>
        <w:t xml:space="preserve"> </w:t>
      </w:r>
      <w:r w:rsidRPr="003F5953">
        <w:rPr>
          <w:u w:val="single"/>
        </w:rPr>
        <w:t>representations of elites often involves employing “language that is no less simplistic</w:t>
      </w:r>
      <w:r>
        <w:rPr>
          <w:u w:val="single"/>
        </w:rPr>
        <w:t xml:space="preserve"> </w:t>
      </w:r>
      <w:r w:rsidRPr="003F5953">
        <w:rPr>
          <w:u w:val="single"/>
        </w:rPr>
        <w:t xml:space="preserve">or </w:t>
      </w:r>
      <w:proofErr w:type="spellStart"/>
      <w:r w:rsidRPr="003F5953">
        <w:rPr>
          <w:u w:val="single"/>
        </w:rPr>
        <w:t>essentializing</w:t>
      </w:r>
      <w:proofErr w:type="spellEnd"/>
      <w:r w:rsidRPr="003F5953">
        <w:rPr>
          <w:sz w:val="16"/>
        </w:rPr>
        <w:t>” (Dove 1999: 236).</w:t>
      </w:r>
    </w:p>
    <w:p w:rsidR="006B38F1" w:rsidRPr="003F5953" w:rsidRDefault="006B38F1" w:rsidP="006B38F1">
      <w:pPr>
        <w:rPr>
          <w:sz w:val="16"/>
        </w:rPr>
      </w:pPr>
      <w:r w:rsidRPr="003F5953">
        <w:rPr>
          <w:u w:val="single"/>
        </w:rPr>
        <w:t>How might one negotiate such complex and contested terrain? Conceptualizations</w:t>
      </w:r>
      <w:r>
        <w:rPr>
          <w:u w:val="single"/>
        </w:rPr>
        <w:t xml:space="preserve"> </w:t>
      </w:r>
      <w:r w:rsidRPr="003F5953">
        <w:rPr>
          <w:u w:val="single"/>
        </w:rPr>
        <w:t>of indigeneity that take an essentialist tactic</w:t>
      </w:r>
      <w:r w:rsidRPr="003F5953">
        <w:rPr>
          <w:sz w:val="16"/>
        </w:rPr>
        <w:t xml:space="preserve">—many official definitions, museums and National Geographic, among other common sources in popular culture—risk reinforcing the sort of nature-based arguments that can function to </w:t>
      </w:r>
      <w:r w:rsidRPr="003F5953">
        <w:rPr>
          <w:u w:val="single"/>
        </w:rPr>
        <w:t>freeze indigeneity</w:t>
      </w:r>
      <w:r>
        <w:rPr>
          <w:u w:val="single"/>
        </w:rPr>
        <w:t xml:space="preserve"> </w:t>
      </w:r>
      <w:r w:rsidRPr="003F5953">
        <w:rPr>
          <w:u w:val="single"/>
        </w:rPr>
        <w:t>on the nature side of the nature-society divide. Yet indigenous peoples themselves</w:t>
      </w:r>
      <w:r>
        <w:rPr>
          <w:u w:val="single"/>
        </w:rPr>
        <w:t xml:space="preserve"> </w:t>
      </w:r>
      <w:r w:rsidRPr="003F5953">
        <w:rPr>
          <w:u w:val="single"/>
        </w:rPr>
        <w:t>have begun to appropriate such arguments</w:t>
      </w:r>
      <w:r w:rsidRPr="003F5953">
        <w:rPr>
          <w:sz w:val="16"/>
        </w:rPr>
        <w:t xml:space="preserve"> to capture public opinion and press claims against states (Smyth 2000; Valdivia 2005b). </w:t>
      </w:r>
      <w:r w:rsidRPr="003F5953">
        <w:rPr>
          <w:u w:val="single"/>
        </w:rPr>
        <w:t>Further, a deconstructionist reading of</w:t>
      </w:r>
      <w:r>
        <w:rPr>
          <w:u w:val="single"/>
        </w:rPr>
        <w:t xml:space="preserve"> </w:t>
      </w:r>
      <w:r w:rsidRPr="003F5953">
        <w:rPr>
          <w:u w:val="single"/>
        </w:rPr>
        <w:t>indigeneity, far more common in academia, risks robbing indigenous peoples of an</w:t>
      </w:r>
      <w:r>
        <w:rPr>
          <w:u w:val="single"/>
        </w:rPr>
        <w:t xml:space="preserve"> </w:t>
      </w:r>
      <w:r w:rsidRPr="003F5953">
        <w:rPr>
          <w:u w:val="single"/>
        </w:rPr>
        <w:t>important political resource by positing indigeneity as fundamentally similar to all</w:t>
      </w:r>
      <w:r>
        <w:rPr>
          <w:u w:val="single"/>
        </w:rPr>
        <w:t xml:space="preserve"> </w:t>
      </w:r>
      <w:r w:rsidRPr="003F5953">
        <w:rPr>
          <w:u w:val="single"/>
        </w:rPr>
        <w:t>other identities: “a contingent outcome of ... articulation</w:t>
      </w:r>
      <w:r w:rsidRPr="003F5953">
        <w:rPr>
          <w:sz w:val="16"/>
        </w:rPr>
        <w:t>” (Li 2000: 163).</w:t>
      </w:r>
    </w:p>
    <w:p w:rsidR="006B38F1" w:rsidRPr="00C7549E" w:rsidRDefault="006B38F1" w:rsidP="006B38F1">
      <w:pPr>
        <w:rPr>
          <w:sz w:val="16"/>
        </w:rPr>
      </w:pPr>
      <w:r w:rsidRPr="00C7549E">
        <w:rPr>
          <w:sz w:val="16"/>
        </w:rPr>
        <w:t xml:space="preserve">This paper seeks a partial way out of this impasse by approaching questions of indigeneity and nature in the context of an ethical engagement with difference. </w:t>
      </w:r>
      <w:r w:rsidRPr="00C7549E">
        <w:rPr>
          <w:u w:val="single"/>
        </w:rPr>
        <w:t>Combining an</w:t>
      </w:r>
      <w:r w:rsidRPr="00C7549E">
        <w:rPr>
          <w:sz w:val="16"/>
        </w:rPr>
        <w:t xml:space="preserve"> </w:t>
      </w:r>
      <w:r w:rsidRPr="00C7549E">
        <w:rPr>
          <w:u w:val="single"/>
        </w:rPr>
        <w:t>explicit politicization of scholarly work</w:t>
      </w:r>
      <w:r w:rsidRPr="00C7549E">
        <w:rPr>
          <w:sz w:val="16"/>
        </w:rPr>
        <w:t>—working to write with, rather than about—</w:t>
      </w:r>
      <w:r w:rsidRPr="00C7549E">
        <w:rPr>
          <w:u w:val="single"/>
        </w:rPr>
        <w:t>with an explicit ethical stance, one that refuses to decisively</w:t>
      </w:r>
      <w:r>
        <w:rPr>
          <w:u w:val="single"/>
        </w:rPr>
        <w:t xml:space="preserve"> </w:t>
      </w:r>
      <w:r w:rsidRPr="00C7549E">
        <w:rPr>
          <w:u w:val="single"/>
        </w:rPr>
        <w:t>delineate what indigenous identity really is, might begin to work against the</w:t>
      </w:r>
      <w:r>
        <w:rPr>
          <w:u w:val="single"/>
        </w:rPr>
        <w:t xml:space="preserve"> </w:t>
      </w:r>
      <w:r w:rsidRPr="00C7549E">
        <w:rPr>
          <w:u w:val="single"/>
        </w:rPr>
        <w:t xml:space="preserve">potential harmful </w:t>
      </w:r>
      <w:proofErr w:type="spellStart"/>
      <w:r w:rsidRPr="00C7549E">
        <w:rPr>
          <w:u w:val="single"/>
        </w:rPr>
        <w:t>affects</w:t>
      </w:r>
      <w:proofErr w:type="spellEnd"/>
      <w:r w:rsidRPr="00C7549E">
        <w:rPr>
          <w:u w:val="single"/>
        </w:rPr>
        <w:t xml:space="preserve"> of both essentialist and deconstructionist readings of</w:t>
      </w:r>
      <w:r>
        <w:rPr>
          <w:u w:val="single"/>
        </w:rPr>
        <w:t xml:space="preserve"> </w:t>
      </w:r>
      <w:r w:rsidRPr="00C7549E">
        <w:rPr>
          <w:u w:val="single"/>
        </w:rPr>
        <w:t>indigeneity and nature</w:t>
      </w:r>
      <w:r w:rsidRPr="00C7549E">
        <w:rPr>
          <w:sz w:val="16"/>
        </w:rPr>
        <w:t xml:space="preserve">. To do so, </w:t>
      </w:r>
      <w:r w:rsidRPr="00C7549E">
        <w:rPr>
          <w:u w:val="single"/>
        </w:rPr>
        <w:t>we seek to initiate a shift</w:t>
      </w:r>
      <w:r w:rsidRPr="00C7549E">
        <w:rPr>
          <w:sz w:val="16"/>
        </w:rPr>
        <w:t xml:space="preserve"> away from conceptualizing alterity—human and non-human—as an effect or articulation of power, </w:t>
      </w:r>
      <w:r w:rsidRPr="00C7549E">
        <w:rPr>
          <w:u w:val="single"/>
        </w:rPr>
        <w:t>toward</w:t>
      </w:r>
      <w:r>
        <w:rPr>
          <w:u w:val="single"/>
        </w:rPr>
        <w:t xml:space="preserve"> </w:t>
      </w:r>
      <w:r w:rsidRPr="00C7549E">
        <w:rPr>
          <w:u w:val="single"/>
        </w:rPr>
        <w:t>alterity as an opacity that is itself productive of effects that demand ethical response</w:t>
      </w:r>
      <w:r w:rsidRPr="00C7549E">
        <w:rPr>
          <w:sz w:val="16"/>
        </w:rPr>
        <w:t xml:space="preserve">. We read our recent involvements with the alternative development NGO Village Earth through the work of the postcolonial theorist, novelist and poet </w:t>
      </w:r>
      <w:proofErr w:type="spellStart"/>
      <w:r w:rsidRPr="00C7549E">
        <w:rPr>
          <w:sz w:val="16"/>
        </w:rPr>
        <w:t>Édouard</w:t>
      </w:r>
      <w:proofErr w:type="spellEnd"/>
      <w:r w:rsidRPr="00C7549E">
        <w:rPr>
          <w:sz w:val="16"/>
        </w:rPr>
        <w:t xml:space="preserve"> </w:t>
      </w:r>
      <w:proofErr w:type="spellStart"/>
      <w:r w:rsidRPr="00C7549E">
        <w:rPr>
          <w:sz w:val="16"/>
        </w:rPr>
        <w:t>Glissant</w:t>
      </w:r>
      <w:proofErr w:type="spellEnd"/>
      <w:r w:rsidRPr="00C7549E">
        <w:rPr>
          <w:sz w:val="16"/>
        </w:rPr>
        <w:t xml:space="preserve">. Drawing on </w:t>
      </w:r>
      <w:proofErr w:type="spellStart"/>
      <w:r w:rsidRPr="00C7549E">
        <w:rPr>
          <w:sz w:val="16"/>
        </w:rPr>
        <w:t>Glissant’s</w:t>
      </w:r>
      <w:proofErr w:type="spellEnd"/>
      <w:r w:rsidRPr="00C7549E">
        <w:rPr>
          <w:sz w:val="16"/>
        </w:rPr>
        <w:t xml:space="preserve"> concept of opacity, we argue that </w:t>
      </w:r>
      <w:r w:rsidRPr="00C7549E">
        <w:rPr>
          <w:u w:val="single"/>
        </w:rPr>
        <w:t>a move away from</w:t>
      </w:r>
      <w:r>
        <w:rPr>
          <w:u w:val="single"/>
        </w:rPr>
        <w:t xml:space="preserve"> </w:t>
      </w:r>
      <w:r w:rsidRPr="00C7549E">
        <w:rPr>
          <w:u w:val="single"/>
        </w:rPr>
        <w:t>questions of identity and a commitment to foregrounding opacity can produce an</w:t>
      </w:r>
      <w:r>
        <w:rPr>
          <w:u w:val="single"/>
        </w:rPr>
        <w:t xml:space="preserve"> </w:t>
      </w:r>
      <w:r w:rsidRPr="00C7549E">
        <w:rPr>
          <w:u w:val="single"/>
        </w:rPr>
        <w:t xml:space="preserve">ethical mode of relation between scholars and the </w:t>
      </w:r>
      <w:proofErr w:type="gramStart"/>
      <w:r w:rsidRPr="00C7549E">
        <w:rPr>
          <w:u w:val="single"/>
        </w:rPr>
        <w:t>Others</w:t>
      </w:r>
      <w:proofErr w:type="gramEnd"/>
      <w:r w:rsidRPr="00C7549E">
        <w:rPr>
          <w:u w:val="single"/>
        </w:rPr>
        <w:t xml:space="preserve"> they study</w:t>
      </w:r>
      <w:r w:rsidRPr="00C7549E">
        <w:rPr>
          <w:sz w:val="16"/>
        </w:rPr>
        <w:t xml:space="preserve">—what we call </w:t>
      </w:r>
      <w:r w:rsidRPr="00C7549E">
        <w:rPr>
          <w:u w:val="single"/>
        </w:rPr>
        <w:t>opaque alliance</w:t>
      </w:r>
      <w:r w:rsidRPr="00C7549E">
        <w:rPr>
          <w:sz w:val="16"/>
        </w:rPr>
        <w:t xml:space="preserve">. Our central argument is that </w:t>
      </w:r>
      <w:r w:rsidRPr="00C7549E">
        <w:rPr>
          <w:u w:val="single"/>
        </w:rPr>
        <w:t>an ethical response to alterity means</w:t>
      </w:r>
      <w:r>
        <w:rPr>
          <w:u w:val="single"/>
        </w:rPr>
        <w:t xml:space="preserve"> </w:t>
      </w:r>
      <w:r w:rsidRPr="00C7549E">
        <w:rPr>
          <w:u w:val="single"/>
        </w:rPr>
        <w:t>foregrounding, rather than submerging, opacity</w:t>
      </w:r>
      <w:r w:rsidRPr="00C7549E">
        <w:rPr>
          <w:sz w:val="16"/>
        </w:rPr>
        <w:t xml:space="preserve">. We turn to </w:t>
      </w:r>
      <w:proofErr w:type="spellStart"/>
      <w:r w:rsidRPr="00C7549E">
        <w:rPr>
          <w:sz w:val="16"/>
        </w:rPr>
        <w:t>Glissant</w:t>
      </w:r>
      <w:proofErr w:type="spellEnd"/>
      <w:r w:rsidRPr="00C7549E">
        <w:rPr>
          <w:sz w:val="16"/>
        </w:rPr>
        <w:t xml:space="preserve"> not because he is the first to mobilize these theoretical ideas</w:t>
      </w:r>
      <w:proofErr w:type="gramStart"/>
      <w:r w:rsidRPr="00C7549E">
        <w:rPr>
          <w:sz w:val="16"/>
        </w:rPr>
        <w:t>,2</w:t>
      </w:r>
      <w:proofErr w:type="gramEnd"/>
      <w:r w:rsidRPr="00C7549E">
        <w:rPr>
          <w:sz w:val="16"/>
        </w:rPr>
        <w:t xml:space="preserve"> but because we have found his work to be underutilized in our disciplinary homes of geography and political science, yet useful as we negotiate the difficulties of fieldwork and think about how to engage ethically with alterity. Further, “nature” figures prominently in </w:t>
      </w:r>
      <w:proofErr w:type="spellStart"/>
      <w:r w:rsidRPr="00C7549E">
        <w:rPr>
          <w:sz w:val="16"/>
        </w:rPr>
        <w:t>Glissant’s</w:t>
      </w:r>
      <w:proofErr w:type="spellEnd"/>
      <w:r w:rsidRPr="00C7549E">
        <w:rPr>
          <w:sz w:val="16"/>
        </w:rPr>
        <w:t xml:space="preserve"> work, particularly his literary and poetic work, in complex ways.</w:t>
      </w:r>
    </w:p>
    <w:p w:rsidR="006B38F1" w:rsidRDefault="006B38F1" w:rsidP="006B38F1">
      <w:pPr>
        <w:rPr>
          <w:rFonts w:eastAsia="Times New Roman"/>
          <w:sz w:val="16"/>
          <w:szCs w:val="24"/>
        </w:rPr>
      </w:pPr>
    </w:p>
    <w:p w:rsidR="00A95652" w:rsidRDefault="006B38F1" w:rsidP="006B38F1">
      <w:pPr>
        <w:pStyle w:val="Heading1"/>
      </w:pPr>
      <w:r>
        <w:t>Language/Word PICS</w:t>
      </w:r>
    </w:p>
    <w:p w:rsidR="006B38F1" w:rsidRDefault="006B38F1" w:rsidP="006B38F1">
      <w:pPr>
        <w:pStyle w:val="Heading4"/>
        <w:rPr>
          <w:rFonts w:asciiTheme="minorHAnsi" w:hAnsiTheme="minorHAnsi"/>
        </w:rPr>
      </w:pPr>
      <w:r>
        <w:rPr>
          <w:rFonts w:asciiTheme="minorHAnsi" w:hAnsiTheme="minorHAnsi"/>
          <w:b w:val="0"/>
        </w:rPr>
        <w:t>The negative’s emphasis on the pre given CONTENT of our words over the EXPRESSION of their context prevents an understanding of language-as-becoming. Destroys the possibility for emancipatory politics</w:t>
      </w:r>
    </w:p>
    <w:p w:rsidR="006B38F1" w:rsidRDefault="006B38F1" w:rsidP="006B38F1">
      <w:pPr>
        <w:rPr>
          <w:rFonts w:asciiTheme="minorHAnsi" w:hAnsiTheme="minorHAnsi" w:cs="Arial"/>
        </w:rPr>
      </w:pPr>
      <w:r>
        <w:rPr>
          <w:rFonts w:asciiTheme="minorHAnsi" w:hAnsiTheme="minorHAnsi" w:cs="Arial"/>
        </w:rPr>
        <w:t> </w:t>
      </w:r>
      <w:r>
        <w:rPr>
          <w:rStyle w:val="Style13ptBold"/>
          <w:rFonts w:asciiTheme="minorHAnsi" w:hAnsiTheme="minorHAnsi" w:cs="Arial"/>
          <w:sz w:val="28"/>
        </w:rPr>
        <w:t>Stevenson 2k9</w:t>
      </w:r>
      <w:r>
        <w:rPr>
          <w:rFonts w:asciiTheme="minorHAnsi" w:hAnsiTheme="minorHAnsi" w:cs="Arial"/>
        </w:rPr>
        <w:t xml:space="preserve"> (Frank, Dept. English, National Taiwan Normal University, “Stretching Language to Its Limit: </w:t>
      </w:r>
      <w:proofErr w:type="spellStart"/>
      <w:r>
        <w:rPr>
          <w:rFonts w:asciiTheme="minorHAnsi" w:hAnsiTheme="minorHAnsi" w:cs="Arial"/>
        </w:rPr>
        <w:t>Deleuze</w:t>
      </w:r>
      <w:proofErr w:type="spellEnd"/>
      <w:r>
        <w:rPr>
          <w:rFonts w:asciiTheme="minorHAnsi" w:hAnsiTheme="minorHAnsi" w:cs="Arial"/>
        </w:rPr>
        <w:t xml:space="preserve"> and the Problem of </w:t>
      </w:r>
      <w:proofErr w:type="spellStart"/>
      <w:r>
        <w:rPr>
          <w:rFonts w:asciiTheme="minorHAnsi" w:hAnsiTheme="minorHAnsi" w:cs="Arial"/>
        </w:rPr>
        <w:t>Poeisis</w:t>
      </w:r>
      <w:proofErr w:type="spellEnd"/>
      <w:r>
        <w:rPr>
          <w:rFonts w:asciiTheme="minorHAnsi" w:hAnsiTheme="minorHAnsi" w:cs="Arial"/>
        </w:rPr>
        <w:t>”, Concentric: Literary and Cultural Studies 25.1) //</w:t>
      </w:r>
      <w:proofErr w:type="spellStart"/>
      <w:r>
        <w:rPr>
          <w:rFonts w:asciiTheme="minorHAnsi" w:hAnsiTheme="minorHAnsi" w:cs="Arial"/>
        </w:rPr>
        <w:t>nz</w:t>
      </w:r>
      <w:proofErr w:type="spellEnd"/>
    </w:p>
    <w:p w:rsidR="006B38F1" w:rsidRDefault="006B38F1" w:rsidP="006B38F1">
      <w:pPr>
        <w:rPr>
          <w:rFonts w:asciiTheme="minorHAnsi" w:hAnsiTheme="minorHAnsi" w:cs="Arial"/>
          <w:sz w:val="14"/>
        </w:rPr>
      </w:pPr>
      <w:proofErr w:type="spellStart"/>
      <w:r>
        <w:rPr>
          <w:rFonts w:asciiTheme="minorHAnsi" w:hAnsiTheme="minorHAnsi" w:cs="Arial"/>
          <w:sz w:val="14"/>
        </w:rPr>
        <w:t>Lecercle</w:t>
      </w:r>
      <w:proofErr w:type="spellEnd"/>
      <w:r>
        <w:rPr>
          <w:rFonts w:asciiTheme="minorHAnsi" w:hAnsiTheme="minorHAnsi" w:cs="Arial"/>
          <w:sz w:val="14"/>
        </w:rPr>
        <w:t xml:space="preserve"> ends his book with a discussion of </w:t>
      </w:r>
      <w:proofErr w:type="spellStart"/>
      <w:r>
        <w:rPr>
          <w:rFonts w:asciiTheme="minorHAnsi" w:hAnsiTheme="minorHAnsi" w:cs="Arial"/>
          <w:sz w:val="14"/>
        </w:rPr>
        <w:t>Deleuze’s</w:t>
      </w:r>
      <w:proofErr w:type="spellEnd"/>
      <w:r>
        <w:rPr>
          <w:rFonts w:asciiTheme="minorHAnsi" w:hAnsiTheme="minorHAnsi" w:cs="Arial"/>
          <w:sz w:val="14"/>
        </w:rPr>
        <w:t xml:space="preserve"> late theory, in Essays Critical and Clinical (Paris 1993)</w:t>
      </w:r>
      <w:proofErr w:type="gramStart"/>
      <w:r>
        <w:rPr>
          <w:rFonts w:asciiTheme="minorHAnsi" w:hAnsiTheme="minorHAnsi" w:cs="Arial"/>
          <w:sz w:val="14"/>
        </w:rPr>
        <w:t>,2</w:t>
      </w:r>
      <w:proofErr w:type="gramEnd"/>
      <w:r>
        <w:rPr>
          <w:rFonts w:asciiTheme="minorHAnsi" w:hAnsiTheme="minorHAnsi" w:cs="Arial"/>
          <w:sz w:val="14"/>
        </w:rPr>
        <w:t xml:space="preserve"> of “style” as a writer’s capacity to “make language stutter” (113</w:t>
      </w:r>
      <w:r>
        <w:rPr>
          <w:rStyle w:val="StyleUnderline"/>
          <w:rFonts w:asciiTheme="minorHAnsi" w:hAnsiTheme="minorHAnsi" w:cs="Arial"/>
        </w:rPr>
        <w:t xml:space="preserve">). In the last section of her Gilles </w:t>
      </w:r>
      <w:proofErr w:type="spellStart"/>
      <w:r>
        <w:rPr>
          <w:rStyle w:val="StyleUnderline"/>
          <w:rFonts w:asciiTheme="minorHAnsi" w:hAnsiTheme="minorHAnsi" w:cs="Arial"/>
        </w:rPr>
        <w:t>Deleuze</w:t>
      </w:r>
      <w:proofErr w:type="spellEnd"/>
      <w:r>
        <w:rPr>
          <w:rStyle w:val="StyleUnderline"/>
          <w:rFonts w:asciiTheme="minorHAnsi" w:hAnsiTheme="minorHAnsi" w:cs="Arial"/>
        </w:rPr>
        <w:t xml:space="preserve"> and the Ruin of Representation (1999), </w:t>
      </w:r>
      <w:proofErr w:type="spellStart"/>
      <w:r>
        <w:rPr>
          <w:rStyle w:val="StyleUnderline"/>
          <w:rFonts w:asciiTheme="minorHAnsi" w:hAnsiTheme="minorHAnsi" w:cs="Arial"/>
        </w:rPr>
        <w:t>Olkowski</w:t>
      </w:r>
      <w:proofErr w:type="spellEnd"/>
      <w:r>
        <w:rPr>
          <w:rStyle w:val="StyleUnderline"/>
          <w:rFonts w:asciiTheme="minorHAnsi" w:hAnsiTheme="minorHAnsi" w:cs="Arial"/>
        </w:rPr>
        <w:t xml:space="preserve"> also focuses on </w:t>
      </w:r>
      <w:proofErr w:type="spellStart"/>
      <w:r>
        <w:rPr>
          <w:rStyle w:val="StyleUnderline"/>
          <w:rFonts w:asciiTheme="minorHAnsi" w:hAnsiTheme="minorHAnsi" w:cs="Arial"/>
        </w:rPr>
        <w:t>Deleuze’s</w:t>
      </w:r>
      <w:proofErr w:type="spellEnd"/>
      <w:r>
        <w:rPr>
          <w:rStyle w:val="StyleUnderline"/>
          <w:rFonts w:asciiTheme="minorHAnsi" w:hAnsiTheme="minorHAnsi" w:cs="Arial"/>
        </w:rPr>
        <w:t xml:space="preserve"> “problem of language” in relation to his theory of style as langue-vibration, as set forth in this same “stuttering” model</w:t>
      </w:r>
      <w:r>
        <w:rPr>
          <w:rFonts w:asciiTheme="minorHAnsi" w:hAnsiTheme="minorHAnsi" w:cs="Arial"/>
          <w:sz w:val="14"/>
        </w:rPr>
        <w:t xml:space="preserve"> in Essays: 3 </w:t>
      </w:r>
      <w:r>
        <w:rPr>
          <w:rStyle w:val="StyleUnderline"/>
          <w:rFonts w:asciiTheme="minorHAnsi" w:hAnsiTheme="minorHAnsi" w:cs="Arial"/>
        </w:rPr>
        <w:t>Make the language system stutter—is it possible without confusing it with speech?</w:t>
      </w:r>
      <w:r>
        <w:rPr>
          <w:rFonts w:asciiTheme="minorHAnsi" w:hAnsiTheme="minorHAnsi" w:cs="Arial"/>
          <w:sz w:val="14"/>
        </w:rPr>
        <w:t xml:space="preserve"> Everything depends on the way in which language is thought: </w:t>
      </w:r>
      <w:r>
        <w:rPr>
          <w:rStyle w:val="StyleUnderline"/>
          <w:rFonts w:asciiTheme="minorHAnsi" w:hAnsiTheme="minorHAnsi" w:cs="Arial"/>
        </w:rPr>
        <w:t xml:space="preserve">if we extract it like a homogeneous system in equilibrium, or near equilibrium, and we define it by means of constant terms and relations, it is evident that the </w:t>
      </w:r>
      <w:proofErr w:type="spellStart"/>
      <w:r>
        <w:rPr>
          <w:rStyle w:val="StyleUnderline"/>
          <w:rFonts w:asciiTheme="minorHAnsi" w:hAnsiTheme="minorHAnsi" w:cs="Arial"/>
        </w:rPr>
        <w:t>disequilibriums</w:t>
      </w:r>
      <w:proofErr w:type="spellEnd"/>
      <w:r>
        <w:rPr>
          <w:rStyle w:val="StyleUnderline"/>
          <w:rFonts w:asciiTheme="minorHAnsi" w:hAnsiTheme="minorHAnsi" w:cs="Arial"/>
        </w:rPr>
        <w:t xml:space="preserve"> and variations can only affect speech</w:t>
      </w:r>
      <w:r>
        <w:rPr>
          <w:rFonts w:asciiTheme="minorHAnsi" w:hAnsiTheme="minorHAnsi" w:cs="Arial"/>
          <w:sz w:val="14"/>
        </w:rPr>
        <w:t>. . . . But if the system appears to be in perpetual disequilibrium, if the system vibrates—and has terms each one of which traverses a zone of continuous variation—language itself will begin to vibrate and stutter. (</w:t>
      </w:r>
      <w:proofErr w:type="spellStart"/>
      <w:r>
        <w:rPr>
          <w:rFonts w:asciiTheme="minorHAnsi" w:hAnsiTheme="minorHAnsi" w:cs="Arial"/>
          <w:sz w:val="14"/>
        </w:rPr>
        <w:t>Deleuze</w:t>
      </w:r>
      <w:proofErr w:type="spellEnd"/>
      <w:r>
        <w:rPr>
          <w:rFonts w:asciiTheme="minorHAnsi" w:hAnsiTheme="minorHAnsi" w:cs="Arial"/>
          <w:sz w:val="14"/>
        </w:rPr>
        <w:t xml:space="preserve"> 108, </w:t>
      </w:r>
      <w:proofErr w:type="spellStart"/>
      <w:r>
        <w:rPr>
          <w:rFonts w:asciiTheme="minorHAnsi" w:hAnsiTheme="minorHAnsi" w:cs="Arial"/>
          <w:sz w:val="14"/>
        </w:rPr>
        <w:t>Olkowski</w:t>
      </w:r>
      <w:proofErr w:type="spellEnd"/>
      <w:r>
        <w:rPr>
          <w:rFonts w:asciiTheme="minorHAnsi" w:hAnsiTheme="minorHAnsi" w:cs="Arial"/>
          <w:sz w:val="14"/>
        </w:rPr>
        <w:t xml:space="preserve"> 229) </w:t>
      </w:r>
      <w:proofErr w:type="spellStart"/>
      <w:r>
        <w:rPr>
          <w:rFonts w:asciiTheme="minorHAnsi" w:hAnsiTheme="minorHAnsi" w:cs="Arial"/>
          <w:sz w:val="14"/>
        </w:rPr>
        <w:t>Deleuze</w:t>
      </w:r>
      <w:proofErr w:type="spellEnd"/>
      <w:r>
        <w:rPr>
          <w:rFonts w:asciiTheme="minorHAnsi" w:hAnsiTheme="minorHAnsi" w:cs="Arial"/>
          <w:sz w:val="14"/>
        </w:rPr>
        <w:t xml:space="preserve"> had of course for many years been breaking away from </w:t>
      </w:r>
      <w:proofErr w:type="spellStart"/>
      <w:r>
        <w:rPr>
          <w:rFonts w:asciiTheme="minorHAnsi" w:hAnsiTheme="minorHAnsi" w:cs="Arial"/>
          <w:sz w:val="14"/>
        </w:rPr>
        <w:t>Saussurian</w:t>
      </w:r>
      <w:proofErr w:type="spellEnd"/>
      <w:r>
        <w:rPr>
          <w:rFonts w:asciiTheme="minorHAnsi" w:hAnsiTheme="minorHAnsi" w:cs="Arial"/>
          <w:sz w:val="14"/>
        </w:rPr>
        <w:t xml:space="preserve"> and </w:t>
      </w:r>
      <w:proofErr w:type="spellStart"/>
      <w:r>
        <w:rPr>
          <w:rFonts w:asciiTheme="minorHAnsi" w:hAnsiTheme="minorHAnsi" w:cs="Arial"/>
          <w:sz w:val="14"/>
        </w:rPr>
        <w:t>Chomskian</w:t>
      </w:r>
      <w:proofErr w:type="spellEnd"/>
      <w:r>
        <w:rPr>
          <w:rFonts w:asciiTheme="minorHAnsi" w:hAnsiTheme="minorHAnsi" w:cs="Arial"/>
          <w:sz w:val="14"/>
        </w:rPr>
        <w:t xml:space="preserve"> semiotics, indeed from (post)structuralism with its focus on meaning (signification) and interpretation. </w:t>
      </w:r>
      <w:r>
        <w:rPr>
          <w:rStyle w:val="StyleUnderline"/>
          <w:rFonts w:asciiTheme="minorHAnsi" w:hAnsiTheme="minorHAnsi" w:cs="Arial"/>
        </w:rPr>
        <w:t>In The Logic of Sense</w:t>
      </w:r>
      <w:r>
        <w:rPr>
          <w:rFonts w:asciiTheme="minorHAnsi" w:hAnsiTheme="minorHAnsi" w:cs="Arial"/>
          <w:sz w:val="14"/>
        </w:rPr>
        <w:t xml:space="preserve"> (1969) </w:t>
      </w:r>
      <w:r>
        <w:rPr>
          <w:rStyle w:val="StyleUnderline"/>
          <w:rFonts w:asciiTheme="minorHAnsi" w:hAnsiTheme="minorHAnsi" w:cs="Arial"/>
        </w:rPr>
        <w:t>his Stoic theory of language takes “meaning” as a virtual event, a surface effect of langue; the infinitive Verb—its paradigm the verb “to become”—is now seen as expressing the entire range of language, as the virtual “event of language.”</w:t>
      </w:r>
      <w:r>
        <w:rPr>
          <w:rFonts w:asciiTheme="minorHAnsi" w:hAnsiTheme="minorHAnsi" w:cs="Arial"/>
          <w:sz w:val="14"/>
        </w:rPr>
        <w:t xml:space="preserve"> </w:t>
      </w:r>
      <w:r>
        <w:rPr>
          <w:rStyle w:val="StyleUnderline"/>
          <w:rFonts w:asciiTheme="minorHAnsi" w:hAnsiTheme="minorHAnsi" w:cs="Arial"/>
        </w:rPr>
        <w:t>Developing further this idea of language as fundamentally</w:t>
      </w:r>
      <w:r>
        <w:rPr>
          <w:rFonts w:asciiTheme="minorHAnsi" w:hAnsiTheme="minorHAnsi" w:cs="Arial"/>
          <w:sz w:val="14"/>
        </w:rPr>
        <w:t xml:space="preserve"> (verbal) </w:t>
      </w:r>
      <w:r>
        <w:rPr>
          <w:rStyle w:val="StyleUnderline"/>
          <w:rFonts w:asciiTheme="minorHAnsi" w:hAnsiTheme="minorHAnsi" w:cs="Arial"/>
        </w:rPr>
        <w:t>action and event</w:t>
      </w:r>
      <w:r>
        <w:rPr>
          <w:rFonts w:asciiTheme="minorHAnsi" w:hAnsiTheme="minorHAnsi" w:cs="Arial"/>
          <w:sz w:val="14"/>
        </w:rPr>
        <w:t xml:space="preserve">, </w:t>
      </w:r>
      <w:proofErr w:type="spellStart"/>
      <w:r>
        <w:rPr>
          <w:rFonts w:asciiTheme="minorHAnsi" w:hAnsiTheme="minorHAnsi" w:cs="Arial"/>
          <w:sz w:val="14"/>
        </w:rPr>
        <w:t>Deleuze</w:t>
      </w:r>
      <w:proofErr w:type="spellEnd"/>
      <w:r>
        <w:rPr>
          <w:rFonts w:asciiTheme="minorHAnsi" w:hAnsiTheme="minorHAnsi" w:cs="Arial"/>
          <w:sz w:val="14"/>
        </w:rPr>
        <w:t xml:space="preserve"> and </w:t>
      </w:r>
      <w:proofErr w:type="spellStart"/>
      <w:r>
        <w:rPr>
          <w:rFonts w:asciiTheme="minorHAnsi" w:hAnsiTheme="minorHAnsi" w:cs="Arial"/>
          <w:sz w:val="14"/>
        </w:rPr>
        <w:t>Guattari</w:t>
      </w:r>
      <w:proofErr w:type="spellEnd"/>
      <w:r>
        <w:rPr>
          <w:rFonts w:asciiTheme="minorHAnsi" w:hAnsiTheme="minorHAnsi" w:cs="Arial"/>
          <w:sz w:val="14"/>
        </w:rPr>
        <w:t xml:space="preserve"> in A Thousand Plateaus (1982) set forth a fully pragmatic language-theory based on mots-</w:t>
      </w:r>
      <w:proofErr w:type="spellStart"/>
      <w:r>
        <w:rPr>
          <w:rFonts w:asciiTheme="minorHAnsi" w:hAnsiTheme="minorHAnsi" w:cs="Arial"/>
          <w:sz w:val="14"/>
        </w:rPr>
        <w:t>d’ordre</w:t>
      </w:r>
      <w:proofErr w:type="spellEnd"/>
      <w:r>
        <w:rPr>
          <w:rFonts w:asciiTheme="minorHAnsi" w:hAnsiTheme="minorHAnsi" w:cs="Arial"/>
          <w:sz w:val="14"/>
        </w:rPr>
        <w:t xml:space="preserve"> (order-words, commands).4 This theory is much indebted to Austin’s speech-act theory (or theory of performative utterances, </w:t>
      </w:r>
      <w:proofErr w:type="spellStart"/>
      <w:r>
        <w:rPr>
          <w:rFonts w:asciiTheme="minorHAnsi" w:hAnsiTheme="minorHAnsi" w:cs="Arial"/>
          <w:sz w:val="14"/>
        </w:rPr>
        <w:t>Deleuze’s</w:t>
      </w:r>
      <w:proofErr w:type="spellEnd"/>
      <w:r>
        <w:rPr>
          <w:rFonts w:asciiTheme="minorHAnsi" w:hAnsiTheme="minorHAnsi" w:cs="Arial"/>
          <w:sz w:val="14"/>
        </w:rPr>
        <w:t xml:space="preserve"> </w:t>
      </w:r>
      <w:proofErr w:type="spellStart"/>
      <w:r>
        <w:rPr>
          <w:rFonts w:asciiTheme="minorHAnsi" w:hAnsiTheme="minorHAnsi" w:cs="Arial"/>
          <w:sz w:val="14"/>
        </w:rPr>
        <w:t>énoncés</w:t>
      </w:r>
      <w:proofErr w:type="spellEnd"/>
      <w:r>
        <w:rPr>
          <w:rFonts w:asciiTheme="minorHAnsi" w:hAnsiTheme="minorHAnsi" w:cs="Arial"/>
          <w:sz w:val="14"/>
        </w:rPr>
        <w:t xml:space="preserve">) and is much closer to Foucault than to Derrida or </w:t>
      </w:r>
      <w:proofErr w:type="spellStart"/>
      <w:r>
        <w:rPr>
          <w:rFonts w:asciiTheme="minorHAnsi" w:hAnsiTheme="minorHAnsi" w:cs="Arial"/>
          <w:sz w:val="14"/>
        </w:rPr>
        <w:t>Lacan</w:t>
      </w:r>
      <w:proofErr w:type="spellEnd"/>
      <w:r>
        <w:rPr>
          <w:rFonts w:asciiTheme="minorHAnsi" w:hAnsiTheme="minorHAnsi" w:cs="Arial"/>
          <w:sz w:val="14"/>
        </w:rPr>
        <w:t>. Thus immediately after citing the above late-</w:t>
      </w:r>
      <w:proofErr w:type="spellStart"/>
      <w:r>
        <w:rPr>
          <w:rFonts w:asciiTheme="minorHAnsi" w:hAnsiTheme="minorHAnsi" w:cs="Arial"/>
          <w:sz w:val="14"/>
        </w:rPr>
        <w:t>Deleuzian</w:t>
      </w:r>
      <w:proofErr w:type="spellEnd"/>
      <w:r>
        <w:rPr>
          <w:rFonts w:asciiTheme="minorHAnsi" w:hAnsiTheme="minorHAnsi" w:cs="Arial"/>
          <w:sz w:val="14"/>
        </w:rPr>
        <w:t xml:space="preserve"> passage </w:t>
      </w:r>
      <w:proofErr w:type="spellStart"/>
      <w:r>
        <w:rPr>
          <w:rFonts w:asciiTheme="minorHAnsi" w:hAnsiTheme="minorHAnsi" w:cs="Arial"/>
          <w:sz w:val="14"/>
        </w:rPr>
        <w:t>Olkowski</w:t>
      </w:r>
      <w:proofErr w:type="spellEnd"/>
      <w:r>
        <w:rPr>
          <w:rFonts w:asciiTheme="minorHAnsi" w:hAnsiTheme="minorHAnsi" w:cs="Arial"/>
          <w:sz w:val="14"/>
        </w:rPr>
        <w:t xml:space="preserve"> notes that “</w:t>
      </w:r>
      <w:r>
        <w:rPr>
          <w:rStyle w:val="StyleUnderline"/>
          <w:rFonts w:asciiTheme="minorHAnsi" w:hAnsiTheme="minorHAnsi" w:cs="Arial"/>
        </w:rPr>
        <w:t>The performative must be the motion that inaugurates any such variation in language, for [it] is both language and body.</w:t>
      </w:r>
      <w:r>
        <w:rPr>
          <w:rFonts w:asciiTheme="minorHAnsi" w:hAnsiTheme="minorHAnsi" w:cs="Arial"/>
          <w:sz w:val="14"/>
        </w:rPr>
        <w:t xml:space="preserve"> </w:t>
      </w:r>
      <w:r>
        <w:rPr>
          <w:rStyle w:val="StyleUnderline"/>
          <w:rFonts w:asciiTheme="minorHAnsi" w:hAnsiTheme="minorHAnsi" w:cs="Arial"/>
        </w:rPr>
        <w:t>The performative is language, in that it expresses sense in a proposition; it is simultaneously corporeal insofar as it actualizes something in bodies, it involves the actions and passions of bodies; it is doing by saying</w:t>
      </w:r>
      <w:r>
        <w:rPr>
          <w:rFonts w:asciiTheme="minorHAnsi" w:hAnsiTheme="minorHAnsi" w:cs="Arial"/>
          <w:sz w:val="14"/>
        </w:rPr>
        <w:t xml:space="preserve">” (229). </w:t>
      </w:r>
      <w:r>
        <w:rPr>
          <w:rStyle w:val="StyleUnderline"/>
          <w:rFonts w:asciiTheme="minorHAnsi" w:hAnsiTheme="minorHAnsi" w:cs="Arial"/>
        </w:rPr>
        <w:t xml:space="preserve">This catches one of the central paradoxes in </w:t>
      </w:r>
      <w:proofErr w:type="spellStart"/>
      <w:r>
        <w:rPr>
          <w:rStyle w:val="StyleUnderline"/>
          <w:rFonts w:asciiTheme="minorHAnsi" w:hAnsiTheme="minorHAnsi" w:cs="Arial"/>
        </w:rPr>
        <w:t>Deleuze’s</w:t>
      </w:r>
      <w:proofErr w:type="spellEnd"/>
      <w:r>
        <w:rPr>
          <w:rStyle w:val="StyleUnderline"/>
          <w:rFonts w:asciiTheme="minorHAnsi" w:hAnsiTheme="minorHAnsi" w:cs="Arial"/>
        </w:rPr>
        <w:t xml:space="preserve"> language theory—the </w:t>
      </w:r>
      <w:proofErr w:type="spellStart"/>
      <w:r>
        <w:rPr>
          <w:rStyle w:val="StyleUnderline"/>
          <w:rFonts w:asciiTheme="minorHAnsi" w:hAnsiTheme="minorHAnsi" w:cs="Arial"/>
        </w:rPr>
        <w:t>énoncé</w:t>
      </w:r>
      <w:proofErr w:type="spellEnd"/>
      <w:r>
        <w:rPr>
          <w:rFonts w:asciiTheme="minorHAnsi" w:hAnsiTheme="minorHAnsi" w:cs="Arial"/>
          <w:sz w:val="14"/>
        </w:rPr>
        <w:t xml:space="preserve"> (utterance, speech) </w:t>
      </w:r>
      <w:r>
        <w:rPr>
          <w:rStyle w:val="StyleUnderline"/>
          <w:rFonts w:asciiTheme="minorHAnsi" w:hAnsiTheme="minorHAnsi" w:cs="Arial"/>
        </w:rPr>
        <w:t>is simultaneously linguistic and corporeal</w:t>
      </w:r>
      <w:r>
        <w:rPr>
          <w:rFonts w:asciiTheme="minorHAnsi" w:hAnsiTheme="minorHAnsi" w:cs="Arial"/>
          <w:sz w:val="14"/>
        </w:rPr>
        <w:t xml:space="preserve">—and is closely related to the “problem” raised by </w:t>
      </w:r>
      <w:proofErr w:type="spellStart"/>
      <w:r>
        <w:rPr>
          <w:rFonts w:asciiTheme="minorHAnsi" w:hAnsiTheme="minorHAnsi" w:cs="Arial"/>
          <w:sz w:val="14"/>
        </w:rPr>
        <w:t>Deleuze</w:t>
      </w:r>
      <w:proofErr w:type="spellEnd"/>
      <w:r>
        <w:rPr>
          <w:rFonts w:asciiTheme="minorHAnsi" w:hAnsiTheme="minorHAnsi" w:cs="Arial"/>
          <w:sz w:val="14"/>
        </w:rPr>
        <w:t xml:space="preserve"> himself in the above passage: “Make the language system stutter—is it possible without confusing it with speech? </w:t>
      </w:r>
      <w:r>
        <w:rPr>
          <w:rStyle w:val="Emphasis"/>
          <w:rFonts w:asciiTheme="minorHAnsi" w:hAnsiTheme="minorHAnsi" w:cs="Arial"/>
          <w:highlight w:val="yellow"/>
        </w:rPr>
        <w:t>Everything depends on the way in which language is thought</w:t>
      </w:r>
      <w:r>
        <w:rPr>
          <w:rFonts w:asciiTheme="minorHAnsi" w:hAnsiTheme="minorHAnsi" w:cs="Arial"/>
          <w:sz w:val="14"/>
        </w:rPr>
        <w:t xml:space="preserve"> . . .” (Essays 108). </w:t>
      </w:r>
      <w:r>
        <w:rPr>
          <w:rStyle w:val="StyleUnderline"/>
          <w:rFonts w:asciiTheme="minorHAnsi" w:hAnsiTheme="minorHAnsi" w:cs="Arial"/>
        </w:rPr>
        <w:t>That is, this is not “stuttering” in the normal sense</w:t>
      </w:r>
      <w:r>
        <w:rPr>
          <w:rFonts w:asciiTheme="minorHAnsi" w:hAnsiTheme="minorHAnsi" w:cs="Arial"/>
          <w:sz w:val="14"/>
        </w:rPr>
        <w:t xml:space="preserve"> (a kind of vibration of speech or of the voice) </w:t>
      </w:r>
      <w:r>
        <w:rPr>
          <w:rStyle w:val="StyleUnderline"/>
          <w:rFonts w:asciiTheme="minorHAnsi" w:hAnsiTheme="minorHAnsi" w:cs="Arial"/>
        </w:rPr>
        <w:t xml:space="preserve">but in a much wider sense where, “far from equilibrium,” </w:t>
      </w:r>
      <w:r>
        <w:rPr>
          <w:rStyle w:val="StyleUnderline"/>
          <w:rFonts w:asciiTheme="minorHAnsi" w:hAnsiTheme="minorHAnsi" w:cs="Arial"/>
          <w:highlight w:val="yellow"/>
        </w:rPr>
        <w:t>langue itself vibrates</w:t>
      </w:r>
      <w:r>
        <w:rPr>
          <w:rStyle w:val="StyleUnderline"/>
          <w:rFonts w:asciiTheme="minorHAnsi" w:hAnsiTheme="minorHAnsi" w:cs="Arial"/>
        </w:rPr>
        <w:t xml:space="preserve"> or</w:t>
      </w:r>
      <w:r>
        <w:rPr>
          <w:rFonts w:asciiTheme="minorHAnsi" w:hAnsiTheme="minorHAnsi" w:cs="Arial"/>
          <w:sz w:val="14"/>
        </w:rPr>
        <w:t xml:space="preserve"> (metaphorically or metonymically?) “</w:t>
      </w:r>
      <w:proofErr w:type="gramStart"/>
      <w:r>
        <w:rPr>
          <w:rStyle w:val="StyleUnderline"/>
          <w:rFonts w:asciiTheme="minorHAnsi" w:hAnsiTheme="minorHAnsi" w:cs="Arial"/>
        </w:rPr>
        <w:t>stutters</w:t>
      </w:r>
      <w:proofErr w:type="gramEnd"/>
      <w:r>
        <w:rPr>
          <w:rFonts w:asciiTheme="minorHAnsi" w:hAnsiTheme="minorHAnsi" w:cs="Arial"/>
          <w:sz w:val="14"/>
        </w:rPr>
        <w:t xml:space="preserve">.” For this wider langue-vibration or “rocking” is the physical, corporeal action of langue, its bodily “walking,” even though it contains speech “within it” (in a close- to-equilibrium state of vibration). </w:t>
      </w:r>
      <w:proofErr w:type="spellStart"/>
      <w:r>
        <w:rPr>
          <w:rStyle w:val="StyleUnderline"/>
          <w:rFonts w:asciiTheme="minorHAnsi" w:hAnsiTheme="minorHAnsi" w:cs="Arial"/>
        </w:rPr>
        <w:t>Deleuze</w:t>
      </w:r>
      <w:proofErr w:type="spellEnd"/>
      <w:r>
        <w:rPr>
          <w:rStyle w:val="StyleUnderline"/>
          <w:rFonts w:asciiTheme="minorHAnsi" w:hAnsiTheme="minorHAnsi" w:cs="Arial"/>
        </w:rPr>
        <w:t xml:space="preserve"> indeed associates it</w:t>
      </w:r>
      <w:r>
        <w:rPr>
          <w:rFonts w:asciiTheme="minorHAnsi" w:hAnsiTheme="minorHAnsi" w:cs="Arial"/>
          <w:sz w:val="14"/>
        </w:rPr>
        <w:t xml:space="preserve"> (metaphorically or metonymically) </w:t>
      </w:r>
      <w:r>
        <w:rPr>
          <w:rStyle w:val="StyleUnderline"/>
          <w:rFonts w:asciiTheme="minorHAnsi" w:hAnsiTheme="minorHAnsi" w:cs="Arial"/>
        </w:rPr>
        <w:t>with the “rolling gait” of Beckett’s Watt</w:t>
      </w:r>
      <w:r>
        <w:rPr>
          <w:rFonts w:asciiTheme="minorHAnsi" w:hAnsiTheme="minorHAnsi" w:cs="Arial"/>
          <w:sz w:val="14"/>
        </w:rPr>
        <w:t xml:space="preserve"> (110), “</w:t>
      </w:r>
      <w:r>
        <w:rPr>
          <w:rStyle w:val="StyleUnderline"/>
          <w:rFonts w:asciiTheme="minorHAnsi" w:hAnsiTheme="minorHAnsi" w:cs="Arial"/>
        </w:rPr>
        <w:t xml:space="preserve">for </w:t>
      </w:r>
      <w:r>
        <w:rPr>
          <w:rStyle w:val="Emphasis"/>
          <w:rFonts w:asciiTheme="minorHAnsi" w:hAnsiTheme="minorHAnsi" w:cs="Arial"/>
          <w:highlight w:val="yellow"/>
        </w:rPr>
        <w:t>speaking is no less a movement than walking</w:t>
      </w:r>
      <w:r>
        <w:rPr>
          <w:rStyle w:val="Emphasis"/>
          <w:rFonts w:asciiTheme="minorHAnsi" w:hAnsiTheme="minorHAnsi" w:cs="Arial"/>
        </w:rPr>
        <w:t>: the former goes beyond speech toward language, just as the latter goes beyond the organism toward a body without organs”</w:t>
      </w:r>
      <w:r>
        <w:rPr>
          <w:rFonts w:asciiTheme="minorHAnsi" w:hAnsiTheme="minorHAnsi" w:cs="Arial"/>
          <w:sz w:val="14"/>
        </w:rPr>
        <w:t xml:space="preserve"> (111). In this late model,</w:t>
      </w:r>
      <w:r>
        <w:rPr>
          <w:rStyle w:val="StyleUnderline"/>
          <w:rFonts w:asciiTheme="minorHAnsi" w:hAnsiTheme="minorHAnsi" w:cs="Arial"/>
        </w:rPr>
        <w:t xml:space="preserve"> language becomes so “strained” at its extreme limit of disequilibrium “that it starts to stutter,</w:t>
      </w:r>
      <w:r>
        <w:rPr>
          <w:rFonts w:asciiTheme="minorHAnsi" w:hAnsiTheme="minorHAnsi" w:cs="Arial"/>
          <w:sz w:val="14"/>
        </w:rPr>
        <w:t xml:space="preserve"> or to murmur or stammer . . . </w:t>
      </w:r>
      <w:r>
        <w:rPr>
          <w:rStyle w:val="StyleUnderline"/>
          <w:rFonts w:asciiTheme="minorHAnsi" w:hAnsiTheme="minorHAnsi" w:cs="Arial"/>
        </w:rPr>
        <w:t xml:space="preserve">then </w:t>
      </w:r>
      <w:r>
        <w:rPr>
          <w:rStyle w:val="StyleUnderline"/>
          <w:rFonts w:asciiTheme="minorHAnsi" w:hAnsiTheme="minorHAnsi" w:cs="Arial"/>
          <w:highlight w:val="yellow"/>
        </w:rPr>
        <w:t>language in its entirety reaches the limit that marks its outside and makes it confront silence</w:t>
      </w:r>
      <w:r>
        <w:rPr>
          <w:rStyle w:val="StyleUnderline"/>
          <w:rFonts w:asciiTheme="minorHAnsi" w:hAnsiTheme="minorHAnsi" w:cs="Arial"/>
        </w:rPr>
        <w:t>”</w:t>
      </w:r>
      <w:r>
        <w:rPr>
          <w:rFonts w:asciiTheme="minorHAnsi" w:hAnsiTheme="minorHAnsi" w:cs="Arial"/>
          <w:sz w:val="14"/>
        </w:rPr>
        <w:t xml:space="preserve"> (113.) The extreme point in the pendulum’s arc, where we feel that language is moving beyond itself, is simultaneously confronting non-language, non-speech, silence and looking back at itself, is the point reached in the “stammering” of truly creative writers: “Style—the foreign language within language—is made up of these two operations, or should we instead speak with Proust of a </w:t>
      </w:r>
      <w:proofErr w:type="spellStart"/>
      <w:r>
        <w:rPr>
          <w:rFonts w:asciiTheme="minorHAnsi" w:hAnsiTheme="minorHAnsi" w:cs="Arial"/>
          <w:sz w:val="14"/>
        </w:rPr>
        <w:t>nonstyle</w:t>
      </w:r>
      <w:proofErr w:type="spellEnd"/>
      <w:r>
        <w:rPr>
          <w:rFonts w:asciiTheme="minorHAnsi" w:hAnsiTheme="minorHAnsi" w:cs="Arial"/>
          <w:sz w:val="14"/>
        </w:rPr>
        <w:t xml:space="preserve">, that is, of ‘the elements in a style to come which do not yet exist’?5 Style is the economy of language. To make one’s language stutter, face to face, or back to back, and at the same time to push language as a whole to its limit, to its outside, to its silence—this would be like the boom and the crash” (113). Language </w:t>
      </w:r>
      <w:r>
        <w:rPr>
          <w:rStyle w:val="StyleUnderline"/>
          <w:rFonts w:asciiTheme="minorHAnsi" w:hAnsiTheme="minorHAnsi" w:cs="Arial"/>
        </w:rPr>
        <w:t>now has a “foreign language within” it because it is in the process of overcoming itself, becoming-other or becoming-foreign to itself, perhaps becoming its own future and/or its own past</w:t>
      </w:r>
      <w:r>
        <w:rPr>
          <w:rFonts w:asciiTheme="minorHAnsi" w:hAnsiTheme="minorHAnsi" w:cs="Arial"/>
          <w:sz w:val="14"/>
        </w:rPr>
        <w:t xml:space="preserve">.6 However, here </w:t>
      </w:r>
      <w:r>
        <w:rPr>
          <w:rStyle w:val="StyleUnderline"/>
          <w:rFonts w:asciiTheme="minorHAnsi" w:hAnsiTheme="minorHAnsi" w:cs="Arial"/>
        </w:rPr>
        <w:t>we might want to know how far this notion of poetic, or more generally literary, “style”</w:t>
      </w:r>
      <w:r>
        <w:rPr>
          <w:rFonts w:asciiTheme="minorHAnsi" w:hAnsiTheme="minorHAnsi" w:cs="Arial"/>
          <w:sz w:val="14"/>
        </w:rPr>
        <w:t xml:space="preserve"> (as “non-style”) </w:t>
      </w:r>
      <w:r>
        <w:rPr>
          <w:rStyle w:val="StyleUnderline"/>
          <w:rFonts w:asciiTheme="minorHAnsi" w:hAnsiTheme="minorHAnsi" w:cs="Arial"/>
        </w:rPr>
        <w:t>differs from conventional or traditional notions of style and/or non-style.</w:t>
      </w:r>
      <w:r>
        <w:rPr>
          <w:rFonts w:asciiTheme="minorHAnsi" w:hAnsiTheme="minorHAnsi" w:cs="Arial"/>
          <w:sz w:val="14"/>
        </w:rPr>
        <w:t xml:space="preserve"> But </w:t>
      </w:r>
      <w:r>
        <w:rPr>
          <w:rStyle w:val="StyleUnderline"/>
          <w:rFonts w:asciiTheme="minorHAnsi" w:hAnsiTheme="minorHAnsi" w:cs="Arial"/>
        </w:rPr>
        <w:t xml:space="preserve">it is hard to pin down the meaning of </w:t>
      </w:r>
      <w:r>
        <w:rPr>
          <w:rStyle w:val="StyleUnderline"/>
          <w:rFonts w:asciiTheme="minorHAnsi" w:hAnsiTheme="minorHAnsi" w:cs="Arial"/>
          <w:highlight w:val="yellow"/>
        </w:rPr>
        <w:t>style</w:t>
      </w:r>
      <w:r>
        <w:rPr>
          <w:rStyle w:val="StyleUnderline"/>
          <w:rFonts w:asciiTheme="minorHAnsi" w:hAnsiTheme="minorHAnsi" w:cs="Arial"/>
        </w:rPr>
        <w:t xml:space="preserve"> in the conventional sense, except perhaps by saying it </w:t>
      </w:r>
      <w:r>
        <w:rPr>
          <w:rStyle w:val="StyleUnderline"/>
          <w:rFonts w:asciiTheme="minorHAnsi" w:hAnsiTheme="minorHAnsi" w:cs="Arial"/>
          <w:highlight w:val="yellow"/>
        </w:rPr>
        <w:t xml:space="preserve">has to do </w:t>
      </w:r>
      <w:r>
        <w:rPr>
          <w:rStyle w:val="Emphasis"/>
          <w:rFonts w:asciiTheme="minorHAnsi" w:hAnsiTheme="minorHAnsi" w:cs="Arial"/>
          <w:highlight w:val="yellow"/>
        </w:rPr>
        <w:t>with the technique, the use of words, the form of expression rather than the “content” or “meaning</w:t>
      </w:r>
      <w:r>
        <w:rPr>
          <w:rFonts w:asciiTheme="minorHAnsi" w:hAnsiTheme="minorHAnsi" w:cs="Arial"/>
          <w:sz w:val="14"/>
        </w:rPr>
        <w:t xml:space="preserve">.” It would be tempting to say that </w:t>
      </w:r>
      <w:r>
        <w:rPr>
          <w:rStyle w:val="StyleUnderline"/>
          <w:rFonts w:asciiTheme="minorHAnsi" w:hAnsiTheme="minorHAnsi" w:cs="Arial"/>
          <w:highlight w:val="yellow"/>
        </w:rPr>
        <w:t>the vibrating langue-machine is primarily the force of expression itself</w:t>
      </w:r>
      <w:r>
        <w:rPr>
          <w:rStyle w:val="StyleUnderline"/>
          <w:rFonts w:asciiTheme="minorHAnsi" w:hAnsiTheme="minorHAnsi" w:cs="Arial"/>
        </w:rPr>
        <w:t xml:space="preserve"> </w:t>
      </w:r>
      <w:r>
        <w:rPr>
          <w:rStyle w:val="Emphasis"/>
          <w:rFonts w:asciiTheme="minorHAnsi" w:hAnsiTheme="minorHAnsi" w:cs="Arial"/>
        </w:rPr>
        <w:t>rather than some sort of (static, objectified) content,</w:t>
      </w:r>
      <w:r>
        <w:rPr>
          <w:rFonts w:asciiTheme="minorHAnsi" w:hAnsiTheme="minorHAnsi" w:cs="Arial"/>
          <w:sz w:val="14"/>
        </w:rPr>
        <w:t xml:space="preserve"> except for the problem that </w:t>
      </w:r>
      <w:proofErr w:type="spellStart"/>
      <w:r>
        <w:rPr>
          <w:rFonts w:asciiTheme="minorHAnsi" w:hAnsiTheme="minorHAnsi" w:cs="Arial"/>
          <w:sz w:val="14"/>
        </w:rPr>
        <w:t>Deleuze</w:t>
      </w:r>
      <w:proofErr w:type="spellEnd"/>
      <w:r>
        <w:rPr>
          <w:rFonts w:asciiTheme="minorHAnsi" w:hAnsiTheme="minorHAnsi" w:cs="Arial"/>
          <w:sz w:val="14"/>
        </w:rPr>
        <w:t xml:space="preserve"> does not want to distinguish form from content here.7 However, insofar as the best writing style—also painterly, musical, dancing style?—is sometimes said to be the most economical, </w:t>
      </w:r>
      <w:proofErr w:type="spellStart"/>
      <w:r>
        <w:rPr>
          <w:rFonts w:asciiTheme="minorHAnsi" w:hAnsiTheme="minorHAnsi" w:cs="Arial"/>
          <w:sz w:val="14"/>
        </w:rPr>
        <w:t>Deleuze</w:t>
      </w:r>
      <w:proofErr w:type="spellEnd"/>
      <w:r>
        <w:rPr>
          <w:rFonts w:asciiTheme="minorHAnsi" w:hAnsiTheme="minorHAnsi" w:cs="Arial"/>
          <w:sz w:val="14"/>
        </w:rPr>
        <w:t xml:space="preserve"> does also say in the above passage that “Style is the economy of language” (113), no doubt thinking of this stuttering-of-language model as the most generalized and encompassing, and/or most reductive, most simplified model of </w:t>
      </w:r>
      <w:proofErr w:type="spellStart"/>
      <w:r>
        <w:rPr>
          <w:rFonts w:asciiTheme="minorHAnsi" w:hAnsiTheme="minorHAnsi" w:cs="Arial"/>
          <w:sz w:val="14"/>
        </w:rPr>
        <w:t>poiesis</w:t>
      </w:r>
      <w:proofErr w:type="spellEnd"/>
      <w:r>
        <w:rPr>
          <w:rFonts w:asciiTheme="minorHAnsi" w:hAnsiTheme="minorHAnsi" w:cs="Arial"/>
          <w:sz w:val="14"/>
        </w:rPr>
        <w:t xml:space="preserve"> (which literally means “making” in or with language) we could possibly have. </w:t>
      </w:r>
      <w:r>
        <w:rPr>
          <w:rStyle w:val="StyleUnderline"/>
          <w:rFonts w:asciiTheme="minorHAnsi" w:hAnsiTheme="minorHAnsi" w:cs="Arial"/>
        </w:rPr>
        <w:t xml:space="preserve">It is also the most metaphysical model: </w:t>
      </w:r>
      <w:r>
        <w:rPr>
          <w:rStyle w:val="StyleUnderline"/>
          <w:rFonts w:asciiTheme="minorHAnsi" w:hAnsiTheme="minorHAnsi" w:cs="Arial"/>
          <w:highlight w:val="yellow"/>
        </w:rPr>
        <w:t>language becomes</w:t>
      </w:r>
      <w:r>
        <w:rPr>
          <w:rStyle w:val="StyleUnderline"/>
          <w:rFonts w:asciiTheme="minorHAnsi" w:hAnsiTheme="minorHAnsi" w:cs="Arial"/>
        </w:rPr>
        <w:t xml:space="preserve"> most truly “</w:t>
      </w:r>
      <w:r>
        <w:rPr>
          <w:rStyle w:val="StyleUnderline"/>
          <w:rFonts w:asciiTheme="minorHAnsi" w:hAnsiTheme="minorHAnsi" w:cs="Arial"/>
          <w:highlight w:val="yellow"/>
        </w:rPr>
        <w:t>poetic” when it confronts its own ultimate limit and the silence that lies beyond it</w:t>
      </w:r>
      <w:r>
        <w:rPr>
          <w:rStyle w:val="StyleUnderline"/>
          <w:rFonts w:asciiTheme="minorHAnsi" w:hAnsiTheme="minorHAnsi" w:cs="Arial"/>
        </w:rPr>
        <w:t>.</w:t>
      </w:r>
      <w:r>
        <w:rPr>
          <w:rFonts w:asciiTheme="minorHAnsi" w:hAnsiTheme="minorHAnsi" w:cs="Arial"/>
          <w:sz w:val="14"/>
        </w:rPr>
        <w:t xml:space="preserve">8 </w:t>
      </w:r>
      <w:proofErr w:type="gramStart"/>
      <w:r>
        <w:rPr>
          <w:rFonts w:asciiTheme="minorHAnsi" w:hAnsiTheme="minorHAnsi" w:cs="Arial"/>
          <w:sz w:val="14"/>
        </w:rPr>
        <w:t>Still</w:t>
      </w:r>
      <w:proofErr w:type="gramEnd"/>
      <w:r>
        <w:rPr>
          <w:rFonts w:asciiTheme="minorHAnsi" w:hAnsiTheme="minorHAnsi" w:cs="Arial"/>
          <w:sz w:val="14"/>
        </w:rPr>
        <w:t xml:space="preserve">, the problem of “literariness” does arise here. </w:t>
      </w:r>
      <w:proofErr w:type="spellStart"/>
      <w:r>
        <w:rPr>
          <w:rStyle w:val="StyleUnderline"/>
          <w:rFonts w:asciiTheme="minorHAnsi" w:hAnsiTheme="minorHAnsi" w:cs="Arial"/>
        </w:rPr>
        <w:t>Lecercle</w:t>
      </w:r>
      <w:proofErr w:type="spellEnd"/>
      <w:r>
        <w:rPr>
          <w:rStyle w:val="StyleUnderline"/>
          <w:rFonts w:asciiTheme="minorHAnsi" w:hAnsiTheme="minorHAnsi" w:cs="Arial"/>
        </w:rPr>
        <w:t xml:space="preserve"> points out the apparent contradiction in </w:t>
      </w:r>
      <w:proofErr w:type="spellStart"/>
      <w:r>
        <w:rPr>
          <w:rStyle w:val="StyleUnderline"/>
          <w:rFonts w:asciiTheme="minorHAnsi" w:hAnsiTheme="minorHAnsi" w:cs="Arial"/>
        </w:rPr>
        <w:t>Deleuze’s</w:t>
      </w:r>
      <w:proofErr w:type="spellEnd"/>
      <w:r>
        <w:rPr>
          <w:rStyle w:val="StyleUnderline"/>
          <w:rFonts w:asciiTheme="minorHAnsi" w:hAnsiTheme="minorHAnsi" w:cs="Arial"/>
        </w:rPr>
        <w:t xml:space="preserve"> attitude toward literariness</w:t>
      </w:r>
      <w:r>
        <w:rPr>
          <w:rFonts w:asciiTheme="minorHAnsi" w:hAnsiTheme="minorHAnsi" w:cs="Arial"/>
          <w:sz w:val="14"/>
        </w:rPr>
        <w:t xml:space="preserve"> </w:t>
      </w:r>
      <w:r>
        <w:rPr>
          <w:rStyle w:val="StyleUnderline"/>
          <w:rFonts w:asciiTheme="minorHAnsi" w:hAnsiTheme="minorHAnsi" w:cs="Arial"/>
        </w:rPr>
        <w:t>in late essays like “He Stuttered” and “The Exhausted”: while clearly wanting to reject any elitist, self-consciously text-oriented or style-heavy</w:t>
      </w:r>
      <w:r>
        <w:rPr>
          <w:rFonts w:asciiTheme="minorHAnsi" w:hAnsiTheme="minorHAnsi" w:cs="Arial"/>
          <w:sz w:val="14"/>
        </w:rPr>
        <w:t xml:space="preserve"> (hence non-style) “</w:t>
      </w:r>
      <w:r>
        <w:rPr>
          <w:rStyle w:val="StyleUnderline"/>
          <w:rFonts w:asciiTheme="minorHAnsi" w:hAnsiTheme="minorHAnsi" w:cs="Arial"/>
        </w:rPr>
        <w:t>poetics,” he chooses as his examples Luca, Beckett, and other writers associated with elitist, hyper-intellectual high-modernist literature</w:t>
      </w:r>
      <w:r>
        <w:rPr>
          <w:rFonts w:asciiTheme="minorHAnsi" w:hAnsiTheme="minorHAnsi" w:cs="Arial"/>
          <w:sz w:val="14"/>
        </w:rPr>
        <w:t xml:space="preserve"> (</w:t>
      </w:r>
      <w:proofErr w:type="spellStart"/>
      <w:r>
        <w:rPr>
          <w:rFonts w:asciiTheme="minorHAnsi" w:hAnsiTheme="minorHAnsi" w:cs="Arial"/>
          <w:sz w:val="14"/>
        </w:rPr>
        <w:t>Deleuze’s</w:t>
      </w:r>
      <w:proofErr w:type="spellEnd"/>
      <w:r>
        <w:rPr>
          <w:rFonts w:asciiTheme="minorHAnsi" w:hAnsiTheme="minorHAnsi" w:cs="Arial"/>
          <w:sz w:val="14"/>
        </w:rPr>
        <w:t xml:space="preserve"> forgivable intellectual aesthete’s love of sophisticated art is also clear in his Cinema books and his book on the English painter Francis Bacon).9 But there is a more specific “literariness” issue that will concern me here: that of figures of speech like metaphor, often associated with literary (especially poetic) style. Though </w:t>
      </w:r>
      <w:proofErr w:type="spellStart"/>
      <w:r>
        <w:rPr>
          <w:rStyle w:val="StyleUnderline"/>
          <w:rFonts w:asciiTheme="minorHAnsi" w:hAnsiTheme="minorHAnsi" w:cs="Arial"/>
        </w:rPr>
        <w:t>Deleuze</w:t>
      </w:r>
      <w:proofErr w:type="spellEnd"/>
      <w:r>
        <w:rPr>
          <w:rStyle w:val="StyleUnderline"/>
          <w:rFonts w:asciiTheme="minorHAnsi" w:hAnsiTheme="minorHAnsi" w:cs="Arial"/>
        </w:rPr>
        <w:t xml:space="preserve"> does say, as part of his and </w:t>
      </w:r>
      <w:proofErr w:type="spellStart"/>
      <w:r>
        <w:rPr>
          <w:rStyle w:val="StyleUnderline"/>
          <w:rFonts w:asciiTheme="minorHAnsi" w:hAnsiTheme="minorHAnsi" w:cs="Arial"/>
        </w:rPr>
        <w:t>Guattari’s</w:t>
      </w:r>
      <w:proofErr w:type="spellEnd"/>
      <w:r>
        <w:rPr>
          <w:rStyle w:val="StyleUnderline"/>
          <w:rFonts w:asciiTheme="minorHAnsi" w:hAnsiTheme="minorHAnsi" w:cs="Arial"/>
        </w:rPr>
        <w:t xml:space="preserve"> turn away from semiotics with their pragmatic language theory, that he has no use for “meaning” or “metaphor,” the problem is that, at least for the uninitiated, </w:t>
      </w:r>
      <w:proofErr w:type="spellStart"/>
      <w:r>
        <w:rPr>
          <w:rStyle w:val="StyleUnderline"/>
          <w:rFonts w:asciiTheme="minorHAnsi" w:hAnsiTheme="minorHAnsi" w:cs="Arial"/>
        </w:rPr>
        <w:t>metaphoricity</w:t>
      </w:r>
      <w:proofErr w:type="spellEnd"/>
      <w:r>
        <w:rPr>
          <w:rStyle w:val="StyleUnderline"/>
          <w:rFonts w:asciiTheme="minorHAnsi" w:hAnsiTheme="minorHAnsi" w:cs="Arial"/>
        </w:rPr>
        <w:t xml:space="preserve"> would seem to underlie his entire philosophical discourse, manifesting itself everywhere and not least, ironically enough, in the very idea that the vast vibrating-langue model could itself be or embody “poetic speech.</w:t>
      </w:r>
      <w:r>
        <w:rPr>
          <w:rFonts w:asciiTheme="minorHAnsi" w:hAnsiTheme="minorHAnsi" w:cs="Arial"/>
          <w:sz w:val="14"/>
        </w:rPr>
        <w:t xml:space="preserve">” A particular case of this is the notion, trope or figure of langue gazing simultaneously (in a double-movement) at the silence beyond it and back at itself, also taken by </w:t>
      </w:r>
      <w:proofErr w:type="spellStart"/>
      <w:r>
        <w:rPr>
          <w:rFonts w:asciiTheme="minorHAnsi" w:hAnsiTheme="minorHAnsi" w:cs="Arial"/>
          <w:sz w:val="14"/>
        </w:rPr>
        <w:t>Deleuze</w:t>
      </w:r>
      <w:proofErr w:type="spellEnd"/>
      <w:r>
        <w:rPr>
          <w:rFonts w:asciiTheme="minorHAnsi" w:hAnsiTheme="minorHAnsi" w:cs="Arial"/>
          <w:sz w:val="14"/>
        </w:rPr>
        <w:t xml:space="preserve"> as the problem of language’s “exhaustibility</w:t>
      </w:r>
      <w:r>
        <w:rPr>
          <w:rStyle w:val="StyleUnderline"/>
          <w:rFonts w:asciiTheme="minorHAnsi" w:hAnsiTheme="minorHAnsi" w:cs="Arial"/>
        </w:rPr>
        <w:t>.” For the notion</w:t>
      </w:r>
      <w:r>
        <w:rPr>
          <w:rFonts w:asciiTheme="minorHAnsi" w:hAnsiTheme="minorHAnsi" w:cs="Arial"/>
          <w:sz w:val="14"/>
        </w:rPr>
        <w:t xml:space="preserve"> (figure) </w:t>
      </w:r>
      <w:r>
        <w:rPr>
          <w:rStyle w:val="StyleUnderline"/>
          <w:rFonts w:asciiTheme="minorHAnsi" w:hAnsiTheme="minorHAnsi" w:cs="Arial"/>
        </w:rPr>
        <w:t>of “</w:t>
      </w:r>
      <w:r>
        <w:rPr>
          <w:rStyle w:val="StyleUnderline"/>
          <w:rFonts w:asciiTheme="minorHAnsi" w:hAnsiTheme="minorHAnsi" w:cs="Arial"/>
          <w:highlight w:val="yellow"/>
        </w:rPr>
        <w:t>silence</w:t>
      </w:r>
      <w:r>
        <w:rPr>
          <w:rStyle w:val="StyleUnderline"/>
          <w:rFonts w:asciiTheme="minorHAnsi" w:hAnsiTheme="minorHAnsi" w:cs="Arial"/>
        </w:rPr>
        <w:t xml:space="preserve">” here again </w:t>
      </w:r>
      <w:r>
        <w:rPr>
          <w:rStyle w:val="StyleUnderline"/>
          <w:rFonts w:asciiTheme="minorHAnsi" w:hAnsiTheme="minorHAnsi" w:cs="Arial"/>
          <w:highlight w:val="yellow"/>
        </w:rPr>
        <w:t>suggests a</w:t>
      </w:r>
      <w:r>
        <w:rPr>
          <w:rStyle w:val="StyleUnderline"/>
          <w:rFonts w:asciiTheme="minorHAnsi" w:hAnsiTheme="minorHAnsi" w:cs="Arial"/>
        </w:rPr>
        <w:t xml:space="preserve"> certain “</w:t>
      </w:r>
      <w:r>
        <w:rPr>
          <w:rStyle w:val="StyleUnderline"/>
          <w:rFonts w:asciiTheme="minorHAnsi" w:hAnsiTheme="minorHAnsi" w:cs="Arial"/>
          <w:highlight w:val="yellow"/>
        </w:rPr>
        <w:t>poetic</w:t>
      </w:r>
      <w:r>
        <w:rPr>
          <w:rFonts w:asciiTheme="minorHAnsi" w:hAnsiTheme="minorHAnsi" w:cs="Arial"/>
          <w:sz w:val="14"/>
        </w:rPr>
        <w:t xml:space="preserve">” (indeed humanistic) </w:t>
      </w:r>
      <w:r>
        <w:rPr>
          <w:rStyle w:val="StyleUnderline"/>
          <w:rFonts w:asciiTheme="minorHAnsi" w:hAnsiTheme="minorHAnsi" w:cs="Arial"/>
          <w:highlight w:val="yellow"/>
        </w:rPr>
        <w:t>priority</w:t>
      </w:r>
      <w:r>
        <w:rPr>
          <w:rStyle w:val="StyleUnderline"/>
          <w:rFonts w:asciiTheme="minorHAnsi" w:hAnsiTheme="minorHAnsi" w:cs="Arial"/>
        </w:rPr>
        <w:t xml:space="preserve"> inasmuch as, from a physical-science point of view, </w:t>
      </w:r>
      <w:r>
        <w:rPr>
          <w:rStyle w:val="StyleUnderline"/>
          <w:rFonts w:asciiTheme="minorHAnsi" w:hAnsiTheme="minorHAnsi" w:cs="Arial"/>
          <w:highlight w:val="yellow"/>
        </w:rPr>
        <w:t>there may ultimately be only noise</w:t>
      </w:r>
      <w:r>
        <w:rPr>
          <w:rFonts w:asciiTheme="minorHAnsi" w:hAnsiTheme="minorHAnsi" w:cs="Arial"/>
          <w:sz w:val="14"/>
        </w:rPr>
        <w:t xml:space="preserve"> (rather than silence, a term defined by a “listener”) </w:t>
      </w:r>
      <w:r>
        <w:rPr>
          <w:rStyle w:val="StyleUnderline"/>
          <w:rFonts w:asciiTheme="minorHAnsi" w:hAnsiTheme="minorHAnsi" w:cs="Arial"/>
        </w:rPr>
        <w:t>beyond and “</w:t>
      </w:r>
      <w:r>
        <w:rPr>
          <w:rStyle w:val="StyleUnderline"/>
          <w:rFonts w:asciiTheme="minorHAnsi" w:hAnsiTheme="minorHAnsi" w:cs="Arial"/>
          <w:highlight w:val="yellow"/>
        </w:rPr>
        <w:t>between</w:t>
      </w:r>
      <w:r>
        <w:rPr>
          <w:rStyle w:val="StyleUnderline"/>
          <w:rFonts w:asciiTheme="minorHAnsi" w:hAnsiTheme="minorHAnsi" w:cs="Arial"/>
        </w:rPr>
        <w:t>”</w:t>
      </w:r>
      <w:r>
        <w:rPr>
          <w:rFonts w:asciiTheme="minorHAnsi" w:hAnsiTheme="minorHAnsi" w:cs="Arial"/>
          <w:sz w:val="14"/>
        </w:rPr>
        <w:t xml:space="preserve"> (the elements of) </w:t>
      </w:r>
      <w:r>
        <w:rPr>
          <w:rStyle w:val="StyleUnderline"/>
          <w:rFonts w:asciiTheme="minorHAnsi" w:hAnsiTheme="minorHAnsi" w:cs="Arial"/>
          <w:highlight w:val="yellow"/>
        </w:rPr>
        <w:t>language</w:t>
      </w:r>
      <w:r>
        <w:rPr>
          <w:rStyle w:val="StyleUnderline"/>
          <w:rFonts w:asciiTheme="minorHAnsi" w:hAnsiTheme="minorHAnsi" w:cs="Arial"/>
        </w:rPr>
        <w:t xml:space="preserve"> or any system of meaning</w:t>
      </w:r>
      <w:r>
        <w:rPr>
          <w:rFonts w:asciiTheme="minorHAnsi" w:hAnsiTheme="minorHAnsi" w:cs="Arial"/>
          <w:sz w:val="14"/>
        </w:rPr>
        <w:t xml:space="preserve">.10 Moreover, the late </w:t>
      </w:r>
      <w:proofErr w:type="spellStart"/>
      <w:r>
        <w:rPr>
          <w:rFonts w:asciiTheme="minorHAnsi" w:hAnsiTheme="minorHAnsi" w:cs="Arial"/>
          <w:sz w:val="14"/>
        </w:rPr>
        <w:t>Deleuze’s</w:t>
      </w:r>
      <w:proofErr w:type="spellEnd"/>
      <w:r>
        <w:rPr>
          <w:rFonts w:asciiTheme="minorHAnsi" w:hAnsiTheme="minorHAnsi" w:cs="Arial"/>
          <w:sz w:val="14"/>
        </w:rPr>
        <w:t xml:space="preserve"> argument (via Beckett) that </w:t>
      </w:r>
      <w:r>
        <w:rPr>
          <w:rStyle w:val="StyleUnderline"/>
          <w:rFonts w:asciiTheme="minorHAnsi" w:hAnsiTheme="minorHAnsi" w:cs="Arial"/>
        </w:rPr>
        <w:t>language (meaning) could exhaust not just itself</w:t>
      </w:r>
      <w:r>
        <w:rPr>
          <w:rFonts w:asciiTheme="minorHAnsi" w:hAnsiTheme="minorHAnsi" w:cs="Arial"/>
          <w:sz w:val="14"/>
        </w:rPr>
        <w:t xml:space="preserve"> (leaving silence) </w:t>
      </w:r>
      <w:r>
        <w:rPr>
          <w:rStyle w:val="StyleUnderline"/>
          <w:rFonts w:asciiTheme="minorHAnsi" w:hAnsiTheme="minorHAnsi" w:cs="Arial"/>
        </w:rPr>
        <w:t>but its own “possibility” may seem more poetic than logical</w:t>
      </w:r>
      <w:r>
        <w:rPr>
          <w:rFonts w:asciiTheme="minorHAnsi" w:hAnsiTheme="minorHAnsi" w:cs="Arial"/>
          <w:sz w:val="14"/>
        </w:rPr>
        <w:t xml:space="preserve">. Thus, inasmuch as </w:t>
      </w:r>
      <w:proofErr w:type="spellStart"/>
      <w:r>
        <w:rPr>
          <w:rFonts w:asciiTheme="minorHAnsi" w:hAnsiTheme="minorHAnsi" w:cs="Arial"/>
          <w:sz w:val="14"/>
        </w:rPr>
        <w:t>Deleuze</w:t>
      </w:r>
      <w:proofErr w:type="spellEnd"/>
      <w:r>
        <w:rPr>
          <w:rFonts w:asciiTheme="minorHAnsi" w:hAnsiTheme="minorHAnsi" w:cs="Arial"/>
          <w:sz w:val="14"/>
        </w:rPr>
        <w:t xml:space="preserve"> takes his late vibrating-langue model (diagram, machine) as itself embodying </w:t>
      </w:r>
      <w:proofErr w:type="spellStart"/>
      <w:r>
        <w:rPr>
          <w:rFonts w:asciiTheme="minorHAnsi" w:hAnsiTheme="minorHAnsi" w:cs="Arial"/>
          <w:sz w:val="14"/>
        </w:rPr>
        <w:t>poiesis</w:t>
      </w:r>
      <w:proofErr w:type="spellEnd"/>
      <w:r>
        <w:rPr>
          <w:rFonts w:asciiTheme="minorHAnsi" w:hAnsiTheme="minorHAnsi" w:cs="Arial"/>
          <w:sz w:val="14"/>
        </w:rPr>
        <w:t xml:space="preserve"> or “poetic speech,” I want to look at the problem of “literariness” (style vs. non-style) in relation to this model, more specifically the problem of </w:t>
      </w:r>
      <w:proofErr w:type="spellStart"/>
      <w:r>
        <w:rPr>
          <w:rFonts w:asciiTheme="minorHAnsi" w:hAnsiTheme="minorHAnsi" w:cs="Arial"/>
          <w:sz w:val="14"/>
        </w:rPr>
        <w:t>metaphoricity</w:t>
      </w:r>
      <w:proofErr w:type="spellEnd"/>
      <w:r>
        <w:rPr>
          <w:rFonts w:asciiTheme="minorHAnsi" w:hAnsiTheme="minorHAnsi" w:cs="Arial"/>
          <w:sz w:val="14"/>
        </w:rPr>
        <w:t xml:space="preserve">. My first point here will be that while </w:t>
      </w:r>
      <w:proofErr w:type="spellStart"/>
      <w:r>
        <w:rPr>
          <w:rFonts w:asciiTheme="minorHAnsi" w:hAnsiTheme="minorHAnsi" w:cs="Arial"/>
          <w:sz w:val="14"/>
        </w:rPr>
        <w:t>Deleuze</w:t>
      </w:r>
      <w:proofErr w:type="spellEnd"/>
      <w:r>
        <w:rPr>
          <w:rFonts w:asciiTheme="minorHAnsi" w:hAnsiTheme="minorHAnsi" w:cs="Arial"/>
          <w:sz w:val="14"/>
        </w:rPr>
        <w:t xml:space="preserve"> rejects (a semiotics-based) signification and metaphor on principle, the stuttering-langue machine or model is itself a “figure” and an embodiment of </w:t>
      </w:r>
      <w:proofErr w:type="spellStart"/>
      <w:r>
        <w:rPr>
          <w:rFonts w:asciiTheme="minorHAnsi" w:hAnsiTheme="minorHAnsi" w:cs="Arial"/>
          <w:sz w:val="14"/>
        </w:rPr>
        <w:t>metaphoricity</w:t>
      </w:r>
      <w:proofErr w:type="spellEnd"/>
      <w:r>
        <w:rPr>
          <w:rFonts w:asciiTheme="minorHAnsi" w:hAnsiTheme="minorHAnsi" w:cs="Arial"/>
          <w:sz w:val="14"/>
        </w:rPr>
        <w:t xml:space="preserve"> in its literal sense of “going-beyond” (langue moves beyond itself toward silence). My second point (closely tied to the one above) point will be that the very notion of the limit of language (as a form of sound and/or noise?) and the silence beyond this limit is a sort of metaphor or metaphorical conception (literally one that “goes beyond itself”). My third point will be that the conception of language’s “exhaustion” as a total breaking-down or radical self-transformation is also metaphorical in the literal sense, as is </w:t>
      </w:r>
      <w:proofErr w:type="spellStart"/>
      <w:r>
        <w:rPr>
          <w:rFonts w:asciiTheme="minorHAnsi" w:hAnsiTheme="minorHAnsi" w:cs="Arial"/>
          <w:sz w:val="14"/>
        </w:rPr>
        <w:t>Deleuze’s</w:t>
      </w:r>
      <w:proofErr w:type="spellEnd"/>
      <w:r>
        <w:rPr>
          <w:rFonts w:asciiTheme="minorHAnsi" w:hAnsiTheme="minorHAnsi" w:cs="Arial"/>
          <w:sz w:val="14"/>
        </w:rPr>
        <w:t xml:space="preserve"> “logical” claim that Beckett’s narrative exhaustion of logical possibilities in Watt is in effect the giving of “another reality to possibility, one that is itself exhaustible.” </w:t>
      </w:r>
      <w:r>
        <w:rPr>
          <w:rStyle w:val="StyleUnderline"/>
          <w:rFonts w:asciiTheme="minorHAnsi" w:hAnsiTheme="minorHAnsi" w:cs="Arial"/>
        </w:rPr>
        <w:t xml:space="preserve">However, I will also point out in </w:t>
      </w:r>
      <w:proofErr w:type="spellStart"/>
      <w:r>
        <w:rPr>
          <w:rStyle w:val="StyleUnderline"/>
          <w:rFonts w:asciiTheme="minorHAnsi" w:hAnsiTheme="minorHAnsi" w:cs="Arial"/>
        </w:rPr>
        <w:t>Deleuze’s</w:t>
      </w:r>
      <w:proofErr w:type="spellEnd"/>
      <w:r>
        <w:rPr>
          <w:rStyle w:val="StyleUnderline"/>
          <w:rFonts w:asciiTheme="minorHAnsi" w:hAnsiTheme="minorHAnsi" w:cs="Arial"/>
        </w:rPr>
        <w:t xml:space="preserve"> defense—i.e. </w:t>
      </w:r>
      <w:r>
        <w:rPr>
          <w:rStyle w:val="StyleUnderline"/>
          <w:rFonts w:asciiTheme="minorHAnsi" w:hAnsiTheme="minorHAnsi" w:cs="Arial"/>
          <w:highlight w:val="yellow"/>
        </w:rPr>
        <w:t>this is admittedly an ambiguous</w:t>
      </w:r>
      <w:r>
        <w:rPr>
          <w:rStyle w:val="StyleUnderline"/>
          <w:rFonts w:asciiTheme="minorHAnsi" w:hAnsiTheme="minorHAnsi" w:cs="Arial"/>
        </w:rPr>
        <w:t xml:space="preserve"> or “problematic” </w:t>
      </w:r>
      <w:r>
        <w:rPr>
          <w:rStyle w:val="StyleUnderline"/>
          <w:rFonts w:asciiTheme="minorHAnsi" w:hAnsiTheme="minorHAnsi" w:cs="Arial"/>
          <w:highlight w:val="yellow"/>
        </w:rPr>
        <w:t>issue</w:t>
      </w:r>
      <w:r>
        <w:rPr>
          <w:rStyle w:val="StyleUnderline"/>
          <w:rFonts w:asciiTheme="minorHAnsi" w:hAnsiTheme="minorHAnsi" w:cs="Arial"/>
        </w:rPr>
        <w:t xml:space="preserve"> at best—that </w:t>
      </w:r>
      <w:r>
        <w:rPr>
          <w:rStyle w:val="StyleUnderline"/>
          <w:rFonts w:asciiTheme="minorHAnsi" w:hAnsiTheme="minorHAnsi" w:cs="Arial"/>
          <w:highlight w:val="yellow"/>
        </w:rPr>
        <w:t>he accepts a</w:t>
      </w:r>
      <w:r>
        <w:rPr>
          <w:rStyle w:val="StyleUnderline"/>
          <w:rFonts w:asciiTheme="minorHAnsi" w:hAnsiTheme="minorHAnsi" w:cs="Arial"/>
        </w:rPr>
        <w:t xml:space="preserve"> certain conception of “</w:t>
      </w:r>
      <w:r>
        <w:rPr>
          <w:rStyle w:val="StyleUnderline"/>
          <w:rFonts w:asciiTheme="minorHAnsi" w:hAnsiTheme="minorHAnsi" w:cs="Arial"/>
          <w:highlight w:val="yellow"/>
        </w:rPr>
        <w:t>figure</w:t>
      </w:r>
      <w:r>
        <w:rPr>
          <w:rStyle w:val="StyleUnderline"/>
          <w:rFonts w:asciiTheme="minorHAnsi" w:hAnsiTheme="minorHAnsi" w:cs="Arial"/>
        </w:rPr>
        <w:t>”</w:t>
      </w:r>
      <w:r>
        <w:rPr>
          <w:rFonts w:asciiTheme="minorHAnsi" w:hAnsiTheme="minorHAnsi" w:cs="Arial"/>
          <w:sz w:val="14"/>
        </w:rPr>
        <w:t xml:space="preserve"> (rather than metaphor), </w:t>
      </w:r>
      <w:r>
        <w:rPr>
          <w:rStyle w:val="StyleUnderline"/>
          <w:rFonts w:asciiTheme="minorHAnsi" w:hAnsiTheme="minorHAnsi" w:cs="Arial"/>
        </w:rPr>
        <w:t xml:space="preserve">one at least partly influenced by </w:t>
      </w:r>
      <w:proofErr w:type="spellStart"/>
      <w:r>
        <w:rPr>
          <w:rStyle w:val="StyleUnderline"/>
          <w:rFonts w:asciiTheme="minorHAnsi" w:hAnsiTheme="minorHAnsi" w:cs="Arial"/>
        </w:rPr>
        <w:t>Lyotard</w:t>
      </w:r>
      <w:proofErr w:type="spellEnd"/>
      <w:r>
        <w:rPr>
          <w:rStyle w:val="StyleUnderline"/>
          <w:rFonts w:asciiTheme="minorHAnsi" w:hAnsiTheme="minorHAnsi" w:cs="Arial"/>
        </w:rPr>
        <w:t xml:space="preserve"> and one </w:t>
      </w:r>
      <w:r>
        <w:rPr>
          <w:rStyle w:val="StyleUnderline"/>
          <w:rFonts w:asciiTheme="minorHAnsi" w:hAnsiTheme="minorHAnsi" w:cs="Arial"/>
          <w:highlight w:val="yellow"/>
        </w:rPr>
        <w:t>which</w:t>
      </w:r>
      <w:r>
        <w:rPr>
          <w:rStyle w:val="StyleUnderline"/>
          <w:rFonts w:asciiTheme="minorHAnsi" w:hAnsiTheme="minorHAnsi" w:cs="Arial"/>
        </w:rPr>
        <w:t xml:space="preserve"> </w:t>
      </w:r>
      <w:r>
        <w:rPr>
          <w:rStyle w:val="StyleUnderline"/>
          <w:rFonts w:asciiTheme="minorHAnsi" w:hAnsiTheme="minorHAnsi" w:cs="Arial"/>
          <w:highlight w:val="yellow"/>
        </w:rPr>
        <w:t>does try to get beyond semiotics by going “beneath” language</w:t>
      </w:r>
      <w:r>
        <w:rPr>
          <w:rStyle w:val="StyleUnderline"/>
          <w:rFonts w:asciiTheme="minorHAnsi" w:hAnsiTheme="minorHAnsi" w:cs="Arial"/>
        </w:rPr>
        <w:t xml:space="preserve">, i.e. </w:t>
      </w:r>
      <w:r>
        <w:rPr>
          <w:rStyle w:val="StyleUnderline"/>
          <w:rFonts w:asciiTheme="minorHAnsi" w:hAnsiTheme="minorHAnsi" w:cs="Arial"/>
          <w:highlight w:val="yellow"/>
        </w:rPr>
        <w:t xml:space="preserve">by not assuming at the outset any foundational </w:t>
      </w:r>
      <w:r>
        <w:rPr>
          <w:rStyle w:val="StyleUnderline"/>
          <w:rFonts w:asciiTheme="minorHAnsi" w:hAnsiTheme="minorHAnsi" w:cs="Arial"/>
        </w:rPr>
        <w:t xml:space="preserve">or totalizing </w:t>
      </w:r>
      <w:r>
        <w:rPr>
          <w:rStyle w:val="StyleUnderline"/>
          <w:rFonts w:asciiTheme="minorHAnsi" w:hAnsiTheme="minorHAnsi" w:cs="Arial"/>
          <w:highlight w:val="yellow"/>
        </w:rPr>
        <w:t>conception of “langue</w:t>
      </w:r>
      <w:r>
        <w:rPr>
          <w:rStyle w:val="StyleUnderline"/>
          <w:rFonts w:asciiTheme="minorHAnsi" w:hAnsiTheme="minorHAnsi" w:cs="Arial"/>
        </w:rPr>
        <w:t>” but rather that “there are only indeterminate figures.</w:t>
      </w:r>
      <w:r>
        <w:rPr>
          <w:rFonts w:asciiTheme="minorHAnsi" w:hAnsiTheme="minorHAnsi" w:cs="Arial"/>
          <w:sz w:val="14"/>
        </w:rPr>
        <w:t xml:space="preserve">” But here we come back to the first problem above: if there are only shadowy figures beneath (or instead of) a totalized language, then how can we begin from the model of a totalized langue that commences to vibrate or “stutter” when stretched to its extreme limits? Given the above-mentioned problematic notion of silence in relation to sound and noise, I will then suggest that one might also move completely outside of this </w:t>
      </w:r>
      <w:proofErr w:type="spellStart"/>
      <w:r>
        <w:rPr>
          <w:rFonts w:asciiTheme="minorHAnsi" w:hAnsiTheme="minorHAnsi" w:cs="Arial"/>
          <w:sz w:val="14"/>
        </w:rPr>
        <w:t>Deleuzian</w:t>
      </w:r>
      <w:proofErr w:type="spellEnd"/>
      <w:r>
        <w:rPr>
          <w:rFonts w:asciiTheme="minorHAnsi" w:hAnsiTheme="minorHAnsi" w:cs="Arial"/>
          <w:sz w:val="14"/>
        </w:rPr>
        <w:t xml:space="preserve"> language-space (or meaning-space) by turning to the model or paradigm of information theory. </w:t>
      </w:r>
      <w:r>
        <w:rPr>
          <w:rStyle w:val="StyleUnderline"/>
          <w:rFonts w:asciiTheme="minorHAnsi" w:hAnsiTheme="minorHAnsi" w:cs="Arial"/>
        </w:rPr>
        <w:t>Here we begin with that physical reality or physical world</w:t>
      </w:r>
      <w:r>
        <w:rPr>
          <w:rFonts w:asciiTheme="minorHAnsi" w:hAnsiTheme="minorHAnsi" w:cs="Arial"/>
          <w:sz w:val="14"/>
        </w:rPr>
        <w:t xml:space="preserve"> (of atoms, sound waves, etc.) </w:t>
      </w:r>
      <w:r>
        <w:rPr>
          <w:rStyle w:val="StyleUnderline"/>
          <w:rFonts w:asciiTheme="minorHAnsi" w:hAnsiTheme="minorHAnsi" w:cs="Arial"/>
        </w:rPr>
        <w:t xml:space="preserve">that </w:t>
      </w:r>
      <w:proofErr w:type="spellStart"/>
      <w:r>
        <w:rPr>
          <w:rStyle w:val="StyleUnderline"/>
          <w:rFonts w:asciiTheme="minorHAnsi" w:hAnsiTheme="minorHAnsi" w:cs="Arial"/>
        </w:rPr>
        <w:t>Deleuze</w:t>
      </w:r>
      <w:proofErr w:type="spellEnd"/>
      <w:r>
        <w:rPr>
          <w:rStyle w:val="StyleUnderline"/>
          <w:rFonts w:asciiTheme="minorHAnsi" w:hAnsiTheme="minorHAnsi" w:cs="Arial"/>
        </w:rPr>
        <w:t xml:space="preserve"> seems to want to reach by stretching his langue to or beyond its limits, and I will briefly describe some ways in which the information-theory model—in which noise, which underlies sound/meaning and distorts or interrupts signals</w:t>
      </w:r>
      <w:r>
        <w:rPr>
          <w:rFonts w:asciiTheme="minorHAnsi" w:hAnsiTheme="minorHAnsi" w:cs="Arial"/>
          <w:sz w:val="14"/>
        </w:rPr>
        <w:t xml:space="preserve"> (meaningful sounds, messages)—</w:t>
      </w:r>
      <w:r>
        <w:rPr>
          <w:rStyle w:val="StyleUnderline"/>
          <w:rFonts w:asciiTheme="minorHAnsi" w:hAnsiTheme="minorHAnsi" w:cs="Arial"/>
        </w:rPr>
        <w:t xml:space="preserve">may possibly achieve the same results </w:t>
      </w:r>
      <w:proofErr w:type="spellStart"/>
      <w:r>
        <w:rPr>
          <w:rStyle w:val="StyleUnderline"/>
          <w:rFonts w:asciiTheme="minorHAnsi" w:hAnsiTheme="minorHAnsi" w:cs="Arial"/>
        </w:rPr>
        <w:t>Deleuze</w:t>
      </w:r>
      <w:proofErr w:type="spellEnd"/>
      <w:r>
        <w:rPr>
          <w:rStyle w:val="StyleUnderline"/>
          <w:rFonts w:asciiTheme="minorHAnsi" w:hAnsiTheme="minorHAnsi" w:cs="Arial"/>
        </w:rPr>
        <w:t xml:space="preserve"> is aiming for in a much simpler or more direct way, even if now the</w:t>
      </w:r>
      <w:r>
        <w:rPr>
          <w:rFonts w:asciiTheme="minorHAnsi" w:hAnsiTheme="minorHAnsi" w:cs="Arial"/>
          <w:sz w:val="14"/>
        </w:rPr>
        <w:t xml:space="preserve"> (arguably “poetic”) </w:t>
      </w:r>
      <w:r>
        <w:rPr>
          <w:rStyle w:val="StyleUnderline"/>
          <w:rFonts w:asciiTheme="minorHAnsi" w:hAnsiTheme="minorHAnsi" w:cs="Arial"/>
        </w:rPr>
        <w:t>notion of the silence that lies beyond langue may have to be discarded</w:t>
      </w:r>
      <w:r>
        <w:rPr>
          <w:rFonts w:asciiTheme="minorHAnsi" w:hAnsiTheme="minorHAnsi" w:cs="Arial"/>
          <w:sz w:val="14"/>
        </w:rPr>
        <w:t xml:space="preserve">. </w:t>
      </w:r>
      <w:r>
        <w:rPr>
          <w:rStyle w:val="StyleUnderline"/>
          <w:rFonts w:asciiTheme="minorHAnsi" w:hAnsiTheme="minorHAnsi" w:cs="Arial"/>
        </w:rPr>
        <w:t xml:space="preserve">The turn to information/communication theory also seems justified inasmuch as </w:t>
      </w:r>
      <w:proofErr w:type="spellStart"/>
      <w:r>
        <w:rPr>
          <w:rStyle w:val="StyleUnderline"/>
          <w:rFonts w:asciiTheme="minorHAnsi" w:hAnsiTheme="minorHAnsi" w:cs="Arial"/>
        </w:rPr>
        <w:t>poiesis</w:t>
      </w:r>
      <w:proofErr w:type="spellEnd"/>
      <w:r>
        <w:rPr>
          <w:rFonts w:asciiTheme="minorHAnsi" w:hAnsiTheme="minorHAnsi" w:cs="Arial"/>
          <w:sz w:val="14"/>
        </w:rPr>
        <w:t xml:space="preserve"> (“making”) </w:t>
      </w:r>
      <w:r>
        <w:rPr>
          <w:rStyle w:val="StyleUnderline"/>
          <w:rFonts w:asciiTheme="minorHAnsi" w:hAnsiTheme="minorHAnsi" w:cs="Arial"/>
        </w:rPr>
        <w:t xml:space="preserve">does also appear in </w:t>
      </w:r>
      <w:proofErr w:type="spellStart"/>
      <w:r>
        <w:rPr>
          <w:rStyle w:val="StyleUnderline"/>
          <w:rFonts w:asciiTheme="minorHAnsi" w:hAnsiTheme="minorHAnsi" w:cs="Arial"/>
        </w:rPr>
        <w:t>autopoietic</w:t>
      </w:r>
      <w:proofErr w:type="spellEnd"/>
      <w:r>
        <w:rPr>
          <w:rFonts w:asciiTheme="minorHAnsi" w:hAnsiTheme="minorHAnsi" w:cs="Arial"/>
          <w:sz w:val="14"/>
        </w:rPr>
        <w:t xml:space="preserve"> (self-making) </w:t>
      </w:r>
      <w:r>
        <w:rPr>
          <w:rStyle w:val="StyleUnderline"/>
          <w:rFonts w:asciiTheme="minorHAnsi" w:hAnsiTheme="minorHAnsi" w:cs="Arial"/>
        </w:rPr>
        <w:t>systems theory, apparently a more encompassing field than that of merely-human language</w:t>
      </w:r>
      <w:r>
        <w:rPr>
          <w:rFonts w:asciiTheme="minorHAnsi" w:hAnsiTheme="minorHAnsi" w:cs="Arial"/>
          <w:sz w:val="14"/>
        </w:rPr>
        <w:t xml:space="preserve">. Finally, in the Conclusion I will briefly explore the concepts or practices of “problem” and “question,” “problematizing” (a </w:t>
      </w:r>
      <w:proofErr w:type="spellStart"/>
      <w:r>
        <w:rPr>
          <w:rFonts w:asciiTheme="minorHAnsi" w:hAnsiTheme="minorHAnsi" w:cs="Arial"/>
          <w:sz w:val="14"/>
        </w:rPr>
        <w:t>Deleuzian</w:t>
      </w:r>
      <w:proofErr w:type="spellEnd"/>
      <w:r>
        <w:rPr>
          <w:rFonts w:asciiTheme="minorHAnsi" w:hAnsiTheme="minorHAnsi" w:cs="Arial"/>
          <w:sz w:val="14"/>
        </w:rPr>
        <w:t xml:space="preserve"> term) and “questioning” in order to see what sort of light questionability—perhaps itself a form of background noise—might throw on the above questions, problems, ambiguities, paradoxes. In fact </w:t>
      </w:r>
      <w:proofErr w:type="spellStart"/>
      <w:r>
        <w:rPr>
          <w:rFonts w:asciiTheme="minorHAnsi" w:hAnsiTheme="minorHAnsi" w:cs="Arial"/>
          <w:sz w:val="14"/>
        </w:rPr>
        <w:t>Deleuze</w:t>
      </w:r>
      <w:proofErr w:type="spellEnd"/>
      <w:r>
        <w:rPr>
          <w:rFonts w:asciiTheme="minorHAnsi" w:hAnsiTheme="minorHAnsi" w:cs="Arial"/>
          <w:sz w:val="14"/>
        </w:rPr>
        <w:t xml:space="preserve"> in Difference and Repetition seems to have a very preliminary, incipient, inchoate theory of questioning and/or problematizing, though one not explicitly related by him to the problem of language. </w:t>
      </w:r>
      <w:proofErr w:type="spellStart"/>
      <w:r>
        <w:rPr>
          <w:rFonts w:asciiTheme="minorHAnsi" w:hAnsiTheme="minorHAnsi" w:cs="Arial"/>
          <w:sz w:val="14"/>
        </w:rPr>
        <w:t>Poiesis</w:t>
      </w:r>
      <w:proofErr w:type="spellEnd"/>
      <w:r>
        <w:rPr>
          <w:rFonts w:asciiTheme="minorHAnsi" w:hAnsiTheme="minorHAnsi" w:cs="Arial"/>
          <w:sz w:val="14"/>
        </w:rPr>
        <w:t xml:space="preserve"> and the Problem of Metaphor </w:t>
      </w:r>
      <w:proofErr w:type="spellStart"/>
      <w:r>
        <w:rPr>
          <w:rFonts w:asciiTheme="minorHAnsi" w:hAnsiTheme="minorHAnsi" w:cs="Arial"/>
          <w:sz w:val="14"/>
        </w:rPr>
        <w:t>Poiesis</w:t>
      </w:r>
      <w:proofErr w:type="spellEnd"/>
      <w:r>
        <w:rPr>
          <w:rFonts w:asciiTheme="minorHAnsi" w:hAnsiTheme="minorHAnsi" w:cs="Arial"/>
          <w:sz w:val="14"/>
        </w:rPr>
        <w:t xml:space="preserve"> in Greek means simply “making,” but it became associated long ago with the “creative making” of any art form, and more especially with that of writing (hence “poetry”). However, since at least the mid-20th century (with the rise of cybernetics) </w:t>
      </w:r>
      <w:proofErr w:type="spellStart"/>
      <w:r>
        <w:rPr>
          <w:rFonts w:asciiTheme="minorHAnsi" w:hAnsiTheme="minorHAnsi" w:cs="Arial"/>
          <w:sz w:val="14"/>
        </w:rPr>
        <w:t>poiesis</w:t>
      </w:r>
      <w:proofErr w:type="spellEnd"/>
      <w:r>
        <w:rPr>
          <w:rFonts w:asciiTheme="minorHAnsi" w:hAnsiTheme="minorHAnsi" w:cs="Arial"/>
          <w:sz w:val="14"/>
        </w:rPr>
        <w:t xml:space="preserve"> has also been used to signify the creative making of any “system”; in this “wider” usage of the term we usually get it as </w:t>
      </w:r>
      <w:proofErr w:type="spellStart"/>
      <w:r>
        <w:rPr>
          <w:rFonts w:asciiTheme="minorHAnsi" w:hAnsiTheme="minorHAnsi" w:cs="Arial"/>
          <w:sz w:val="14"/>
        </w:rPr>
        <w:t>autopoiesis</w:t>
      </w:r>
      <w:proofErr w:type="spellEnd"/>
      <w:r>
        <w:rPr>
          <w:rFonts w:asciiTheme="minorHAnsi" w:hAnsiTheme="minorHAnsi" w:cs="Arial"/>
          <w:sz w:val="14"/>
        </w:rPr>
        <w:t xml:space="preserve"> or the self-making (self-creation, self-generation) of a system. Hence we have “</w:t>
      </w:r>
      <w:proofErr w:type="spellStart"/>
      <w:r>
        <w:rPr>
          <w:rFonts w:asciiTheme="minorHAnsi" w:hAnsiTheme="minorHAnsi" w:cs="Arial"/>
          <w:sz w:val="14"/>
        </w:rPr>
        <w:t>autopoietic</w:t>
      </w:r>
      <w:proofErr w:type="spellEnd"/>
      <w:r>
        <w:rPr>
          <w:rFonts w:asciiTheme="minorHAnsi" w:hAnsiTheme="minorHAnsi" w:cs="Arial"/>
          <w:sz w:val="14"/>
        </w:rPr>
        <w:t xml:space="preserve"> systems theory,” arguably a (metaphorical or metonymic?) usage or context of </w:t>
      </w:r>
      <w:proofErr w:type="spellStart"/>
      <w:r>
        <w:rPr>
          <w:rFonts w:asciiTheme="minorHAnsi" w:hAnsiTheme="minorHAnsi" w:cs="Arial"/>
          <w:sz w:val="14"/>
        </w:rPr>
        <w:t>poiesis</w:t>
      </w:r>
      <w:proofErr w:type="spellEnd"/>
      <w:r>
        <w:rPr>
          <w:rFonts w:asciiTheme="minorHAnsi" w:hAnsiTheme="minorHAnsi" w:cs="Arial"/>
          <w:sz w:val="14"/>
        </w:rPr>
        <w:t xml:space="preserve"> which might have fit </w:t>
      </w:r>
      <w:proofErr w:type="spellStart"/>
      <w:r>
        <w:rPr>
          <w:rFonts w:asciiTheme="minorHAnsi" w:hAnsiTheme="minorHAnsi" w:cs="Arial"/>
          <w:sz w:val="14"/>
        </w:rPr>
        <w:t>Deleuze’s</w:t>
      </w:r>
      <w:proofErr w:type="spellEnd"/>
      <w:r>
        <w:rPr>
          <w:rFonts w:asciiTheme="minorHAnsi" w:hAnsiTheme="minorHAnsi" w:cs="Arial"/>
          <w:sz w:val="14"/>
        </w:rPr>
        <w:t xml:space="preserve"> vibrating langue-model as well as, or even better than, the modern-poetic context. This self-generating aspect is already clear in the “prototype”—set forth by </w:t>
      </w:r>
      <w:proofErr w:type="spellStart"/>
      <w:r>
        <w:rPr>
          <w:rFonts w:asciiTheme="minorHAnsi" w:hAnsiTheme="minorHAnsi" w:cs="Arial"/>
          <w:sz w:val="14"/>
        </w:rPr>
        <w:t>Deluze</w:t>
      </w:r>
      <w:proofErr w:type="spellEnd"/>
      <w:r>
        <w:rPr>
          <w:rFonts w:asciiTheme="minorHAnsi" w:hAnsiTheme="minorHAnsi" w:cs="Arial"/>
          <w:sz w:val="14"/>
        </w:rPr>
        <w:t xml:space="preserve"> and </w:t>
      </w:r>
      <w:proofErr w:type="spellStart"/>
      <w:r>
        <w:rPr>
          <w:rFonts w:asciiTheme="minorHAnsi" w:hAnsiTheme="minorHAnsi" w:cs="Arial"/>
          <w:sz w:val="14"/>
        </w:rPr>
        <w:t>Guattari</w:t>
      </w:r>
      <w:proofErr w:type="spellEnd"/>
      <w:r>
        <w:rPr>
          <w:rFonts w:asciiTheme="minorHAnsi" w:hAnsiTheme="minorHAnsi" w:cs="Arial"/>
          <w:sz w:val="14"/>
        </w:rPr>
        <w:t xml:space="preserve"> in Chapter 5 of A Thousand Plateaus—of the late “He Stuttered” langue-machine. For this prototypical “abstract machine” does not depend on any pre-existing foundation in “language,” unlike the vast syntactic theory/model of Chomsky. Rather, “</w:t>
      </w:r>
      <w:r>
        <w:rPr>
          <w:rStyle w:val="StyleUnderline"/>
          <w:rFonts w:asciiTheme="minorHAnsi" w:hAnsiTheme="minorHAnsi" w:cs="Arial"/>
          <w:highlight w:val="yellow"/>
        </w:rPr>
        <w:t>it . . . makes no distinction within itself between content and expression”; its content is the force of its expression,</w:t>
      </w:r>
      <w:r>
        <w:rPr>
          <w:rStyle w:val="StyleUnderline"/>
          <w:rFonts w:asciiTheme="minorHAnsi" w:hAnsiTheme="minorHAnsi" w:cs="Arial"/>
        </w:rPr>
        <w:t xml:space="preserve"> it generates itself: We</w:t>
      </w:r>
      <w:bookmarkStart w:id="0" w:name="_GoBack"/>
      <w:bookmarkEnd w:id="0"/>
      <w:r>
        <w:rPr>
          <w:rStyle w:val="StyleUnderline"/>
          <w:rFonts w:asciiTheme="minorHAnsi" w:hAnsiTheme="minorHAnsi" w:cs="Arial"/>
        </w:rPr>
        <w:t xml:space="preserve"> must say that </w:t>
      </w:r>
      <w:r>
        <w:rPr>
          <w:rStyle w:val="StyleUnderline"/>
          <w:rFonts w:asciiTheme="minorHAnsi" w:hAnsiTheme="minorHAnsi" w:cs="Arial"/>
          <w:highlight w:val="yellow"/>
        </w:rPr>
        <w:t>this abstract machine is necessarily “much more” than language</w:t>
      </w:r>
      <w:r>
        <w:rPr>
          <w:rStyle w:val="StyleUnderline"/>
          <w:rFonts w:asciiTheme="minorHAnsi" w:hAnsiTheme="minorHAnsi" w:cs="Arial"/>
        </w:rPr>
        <w:t>.</w:t>
      </w:r>
      <w:r>
        <w:rPr>
          <w:rFonts w:asciiTheme="minorHAnsi" w:hAnsiTheme="minorHAnsi" w:cs="Arial"/>
          <w:sz w:val="14"/>
        </w:rPr>
        <w:t xml:space="preserve"> </w:t>
      </w:r>
      <w:r>
        <w:rPr>
          <w:rStyle w:val="StyleUnderline"/>
          <w:rFonts w:asciiTheme="minorHAnsi" w:hAnsiTheme="minorHAnsi" w:cs="Arial"/>
        </w:rPr>
        <w:t>When linguists</w:t>
      </w:r>
      <w:r>
        <w:rPr>
          <w:rFonts w:asciiTheme="minorHAnsi" w:hAnsiTheme="minorHAnsi" w:cs="Arial"/>
          <w:sz w:val="14"/>
        </w:rPr>
        <w:t xml:space="preserve"> (following Chomsky) </w:t>
      </w:r>
      <w:r>
        <w:rPr>
          <w:rStyle w:val="StyleUnderline"/>
          <w:rFonts w:asciiTheme="minorHAnsi" w:hAnsiTheme="minorHAnsi" w:cs="Arial"/>
        </w:rPr>
        <w:t xml:space="preserve">rise to the idea of a purely language-based abstract machine, [we object] that their machine . . . is not abstract enough because </w:t>
      </w:r>
      <w:r>
        <w:rPr>
          <w:rStyle w:val="Emphasis"/>
          <w:rFonts w:asciiTheme="minorHAnsi" w:hAnsiTheme="minorHAnsi" w:cs="Arial"/>
        </w:rPr>
        <w:t>it is limited to the form of expression and to alleged universals that presuppose language.</w:t>
      </w:r>
      <w:r>
        <w:rPr>
          <w:rFonts w:asciiTheme="minorHAnsi" w:hAnsiTheme="minorHAnsi" w:cs="Arial"/>
          <w:sz w:val="14"/>
        </w:rPr>
        <w:t xml:space="preserve"> . . . A true abstract machine has no way of making a distinction within itself between a plane of expression and a plane of content because it draws a single plane of consistency. . . . </w:t>
      </w:r>
      <w:r>
        <w:rPr>
          <w:rStyle w:val="StyleUnderline"/>
          <w:rFonts w:asciiTheme="minorHAnsi" w:hAnsiTheme="minorHAnsi" w:cs="Arial"/>
          <w:highlight w:val="yellow"/>
        </w:rPr>
        <w:t>The abstract machine</w:t>
      </w:r>
      <w:r>
        <w:rPr>
          <w:rStyle w:val="StyleUnderline"/>
          <w:rFonts w:asciiTheme="minorHAnsi" w:hAnsiTheme="minorHAnsi" w:cs="Arial"/>
        </w:rPr>
        <w:t xml:space="preserve"> in itself </w:t>
      </w:r>
      <w:r>
        <w:rPr>
          <w:rStyle w:val="StyleUnderline"/>
          <w:rFonts w:asciiTheme="minorHAnsi" w:hAnsiTheme="minorHAnsi" w:cs="Arial"/>
          <w:highlight w:val="yellow"/>
        </w:rPr>
        <w:t xml:space="preserve">is </w:t>
      </w:r>
      <w:proofErr w:type="spellStart"/>
      <w:r>
        <w:rPr>
          <w:rStyle w:val="StyleUnderline"/>
          <w:rFonts w:asciiTheme="minorHAnsi" w:hAnsiTheme="minorHAnsi" w:cs="Arial"/>
          <w:highlight w:val="yellow"/>
        </w:rPr>
        <w:t>destratified</w:t>
      </w:r>
      <w:proofErr w:type="spellEnd"/>
      <w:r>
        <w:rPr>
          <w:rStyle w:val="StyleUnderline"/>
          <w:rFonts w:asciiTheme="minorHAnsi" w:hAnsiTheme="minorHAnsi" w:cs="Arial"/>
        </w:rPr>
        <w:t xml:space="preserve">, </w:t>
      </w:r>
      <w:proofErr w:type="spellStart"/>
      <w:r>
        <w:rPr>
          <w:rStyle w:val="StyleUnderline"/>
          <w:rFonts w:asciiTheme="minorHAnsi" w:hAnsiTheme="minorHAnsi" w:cs="Arial"/>
        </w:rPr>
        <w:t>deterritorialized</w:t>
      </w:r>
      <w:proofErr w:type="spellEnd"/>
      <w:r>
        <w:rPr>
          <w:rStyle w:val="StyleUnderline"/>
          <w:rFonts w:asciiTheme="minorHAnsi" w:hAnsiTheme="minorHAnsi" w:cs="Arial"/>
        </w:rPr>
        <w:t xml:space="preserve">; it has no form of its own . . . and makes no distinction within itself between content and expression. . . . [It] in itself is not physical or corporeal, any more than it is semiotic; it is diagrammatic. . . </w:t>
      </w:r>
      <w:r>
        <w:rPr>
          <w:rStyle w:val="StyleUnderline"/>
          <w:rFonts w:asciiTheme="minorHAnsi" w:hAnsiTheme="minorHAnsi" w:cs="Arial"/>
          <w:highlight w:val="yellow"/>
        </w:rPr>
        <w:t>. It operates by matter, not by substance</w:t>
      </w:r>
      <w:r>
        <w:rPr>
          <w:rStyle w:val="StyleUnderline"/>
          <w:rFonts w:asciiTheme="minorHAnsi" w:hAnsiTheme="minorHAnsi" w:cs="Arial"/>
        </w:rPr>
        <w:t>; by function, not by form</w:t>
      </w:r>
      <w:r>
        <w:rPr>
          <w:rFonts w:asciiTheme="minorHAnsi" w:hAnsiTheme="minorHAnsi" w:cs="Arial"/>
          <w:sz w:val="14"/>
        </w:rPr>
        <w:t xml:space="preserve">. . . . [It] is pure Matter-Function. . . . (ATP, “On Several Regimes of Signs” 141) </w:t>
      </w:r>
      <w:r>
        <w:rPr>
          <w:rStyle w:val="StyleUnderline"/>
          <w:rFonts w:asciiTheme="minorHAnsi" w:hAnsiTheme="minorHAnsi" w:cs="Arial"/>
        </w:rPr>
        <w:t xml:space="preserve">We cannot begin like Chomsky from the </w:t>
      </w:r>
      <w:r>
        <w:rPr>
          <w:rStyle w:val="Emphasis"/>
          <w:rFonts w:asciiTheme="minorHAnsi" w:hAnsiTheme="minorHAnsi" w:cs="Arial"/>
        </w:rPr>
        <w:t>foundation of a pre-given language</w:t>
      </w:r>
      <w:r>
        <w:rPr>
          <w:rFonts w:asciiTheme="minorHAnsi" w:hAnsiTheme="minorHAnsi" w:cs="Arial"/>
          <w:sz w:val="14"/>
        </w:rPr>
        <w:t xml:space="preserve">, </w:t>
      </w:r>
      <w:r>
        <w:rPr>
          <w:rStyle w:val="StyleUnderline"/>
          <w:rFonts w:asciiTheme="minorHAnsi" w:hAnsiTheme="minorHAnsi" w:cs="Arial"/>
        </w:rPr>
        <w:t xml:space="preserve">that is, by </w:t>
      </w:r>
      <w:r>
        <w:rPr>
          <w:rStyle w:val="Emphasis"/>
          <w:rFonts w:asciiTheme="minorHAnsi" w:hAnsiTheme="minorHAnsi" w:cs="Arial"/>
        </w:rPr>
        <w:t>distinguishing expression from content</w:t>
      </w:r>
      <w:r>
        <w:rPr>
          <w:rStyle w:val="StyleUnderline"/>
          <w:rFonts w:asciiTheme="minorHAnsi" w:hAnsiTheme="minorHAnsi" w:cs="Arial"/>
        </w:rPr>
        <w:t>,</w:t>
      </w:r>
      <w:r>
        <w:rPr>
          <w:rFonts w:asciiTheme="minorHAnsi" w:hAnsiTheme="minorHAnsi" w:cs="Arial"/>
          <w:sz w:val="14"/>
        </w:rPr>
        <w:t xml:space="preserve"> </w:t>
      </w:r>
      <w:r>
        <w:rPr>
          <w:rStyle w:val="StyleUnderline"/>
          <w:rFonts w:asciiTheme="minorHAnsi" w:hAnsiTheme="minorHAnsi" w:cs="Arial"/>
        </w:rPr>
        <w:t xml:space="preserve">for </w:t>
      </w:r>
      <w:r>
        <w:rPr>
          <w:rStyle w:val="Emphasis"/>
          <w:rFonts w:asciiTheme="minorHAnsi" w:hAnsiTheme="minorHAnsi" w:cs="Arial"/>
        </w:rPr>
        <w:t>there is no pre-given language</w:t>
      </w:r>
      <w:r>
        <w:rPr>
          <w:rStyle w:val="StyleUnderline"/>
          <w:rFonts w:asciiTheme="minorHAnsi" w:hAnsiTheme="minorHAnsi" w:cs="Arial"/>
        </w:rPr>
        <w:t xml:space="preserve"> but rather only the </w:t>
      </w:r>
      <w:proofErr w:type="spellStart"/>
      <w:r>
        <w:rPr>
          <w:rStyle w:val="StyleUnderline"/>
          <w:rFonts w:asciiTheme="minorHAnsi" w:hAnsiTheme="minorHAnsi" w:cs="Arial"/>
        </w:rPr>
        <w:t>rhizomic</w:t>
      </w:r>
      <w:proofErr w:type="spellEnd"/>
      <w:r>
        <w:rPr>
          <w:rStyle w:val="StyleUnderline"/>
          <w:rFonts w:asciiTheme="minorHAnsi" w:hAnsiTheme="minorHAnsi" w:cs="Arial"/>
        </w:rPr>
        <w:t>, unspecified, shifting configurations of sense</w:t>
      </w:r>
      <w:r>
        <w:rPr>
          <w:rFonts w:asciiTheme="minorHAnsi" w:hAnsiTheme="minorHAnsi" w:cs="Arial"/>
          <w:sz w:val="14"/>
        </w:rPr>
        <w:t xml:space="preserve">.11 </w:t>
      </w:r>
      <w:proofErr w:type="gramStart"/>
      <w:r>
        <w:rPr>
          <w:rFonts w:asciiTheme="minorHAnsi" w:hAnsiTheme="minorHAnsi" w:cs="Arial"/>
          <w:sz w:val="14"/>
        </w:rPr>
        <w:t>In</w:t>
      </w:r>
      <w:proofErr w:type="gramEnd"/>
      <w:r>
        <w:rPr>
          <w:rFonts w:asciiTheme="minorHAnsi" w:hAnsiTheme="minorHAnsi" w:cs="Arial"/>
          <w:sz w:val="14"/>
        </w:rPr>
        <w:t xml:space="preserve"> a further extension of or variation on this </w:t>
      </w:r>
      <w:proofErr w:type="spellStart"/>
      <w:r>
        <w:rPr>
          <w:rFonts w:asciiTheme="minorHAnsi" w:hAnsiTheme="minorHAnsi" w:cs="Arial"/>
          <w:sz w:val="14"/>
        </w:rPr>
        <w:t>deterritorialized</w:t>
      </w:r>
      <w:proofErr w:type="spellEnd"/>
      <w:r>
        <w:rPr>
          <w:rFonts w:asciiTheme="minorHAnsi" w:hAnsiTheme="minorHAnsi" w:cs="Arial"/>
          <w:sz w:val="14"/>
        </w:rPr>
        <w:t xml:space="preserve">-Chomsky model we have the double-axis vibrating-langue model of “He Stuttered” (1993). 12 This somehow begins from what might have been the classical double-axis semiotic models of Saussure (associative and syntagmatic axes) and </w:t>
      </w:r>
      <w:proofErr w:type="spellStart"/>
      <w:r>
        <w:rPr>
          <w:rFonts w:asciiTheme="minorHAnsi" w:hAnsiTheme="minorHAnsi" w:cs="Arial"/>
          <w:sz w:val="14"/>
        </w:rPr>
        <w:t>Jakobson</w:t>
      </w:r>
      <w:proofErr w:type="spellEnd"/>
      <w:r>
        <w:rPr>
          <w:rFonts w:asciiTheme="minorHAnsi" w:hAnsiTheme="minorHAnsi" w:cs="Arial"/>
          <w:sz w:val="14"/>
        </w:rPr>
        <w:t xml:space="preserve"> (metaphoric and syntactic-metonymic axes or poles), but quickly moves beyond their traditional “sense”: </w:t>
      </w:r>
      <w:r>
        <w:rPr>
          <w:rStyle w:val="StyleUnderline"/>
          <w:rFonts w:asciiTheme="minorHAnsi" w:hAnsiTheme="minorHAnsi" w:cs="Arial"/>
          <w:highlight w:val="yellow"/>
        </w:rPr>
        <w:t>Language is subject to a double process</w:t>
      </w:r>
      <w:r>
        <w:rPr>
          <w:rStyle w:val="StyleUnderline"/>
          <w:rFonts w:asciiTheme="minorHAnsi" w:hAnsiTheme="minorHAnsi" w:cs="Arial"/>
        </w:rPr>
        <w:t xml:space="preserve">, that of choices to be made and that of sequences to be established: disjunction or the selection of </w:t>
      </w:r>
      <w:proofErr w:type="spellStart"/>
      <w:r>
        <w:rPr>
          <w:rStyle w:val="StyleUnderline"/>
          <w:rFonts w:asciiTheme="minorHAnsi" w:hAnsiTheme="minorHAnsi" w:cs="Arial"/>
        </w:rPr>
        <w:t>similars</w:t>
      </w:r>
      <w:proofErr w:type="spellEnd"/>
      <w:r>
        <w:rPr>
          <w:rStyle w:val="StyleUnderline"/>
          <w:rFonts w:asciiTheme="minorHAnsi" w:hAnsiTheme="minorHAnsi" w:cs="Arial"/>
        </w:rPr>
        <w:t xml:space="preserve">, connection or the consecution of </w:t>
      </w:r>
      <w:proofErr w:type="spellStart"/>
      <w:r>
        <w:rPr>
          <w:rStyle w:val="StyleUnderline"/>
          <w:rFonts w:asciiTheme="minorHAnsi" w:hAnsiTheme="minorHAnsi" w:cs="Arial"/>
        </w:rPr>
        <w:t>combinables</w:t>
      </w:r>
      <w:proofErr w:type="spellEnd"/>
      <w:r>
        <w:rPr>
          <w:rFonts w:asciiTheme="minorHAnsi" w:hAnsiTheme="minorHAnsi" w:cs="Arial"/>
          <w:sz w:val="14"/>
        </w:rPr>
        <w:t xml:space="preserve">. As long as language is considered as a system in equilibrium, the disjunctions are necessarily exclusive (we do not say “passion,” “ration,” “nation” at the same time, but must choose between them), and the connections, progressive (we do not combine a word with its own elements, in a kind of stop-start or forward-backward jerk). </w:t>
      </w:r>
      <w:r>
        <w:rPr>
          <w:rStyle w:val="StyleUnderline"/>
          <w:rFonts w:asciiTheme="minorHAnsi" w:hAnsiTheme="minorHAnsi" w:cs="Arial"/>
        </w:rPr>
        <w:t xml:space="preserve">But far from equilibrium, the </w:t>
      </w:r>
      <w:r>
        <w:rPr>
          <w:rStyle w:val="StyleUnderline"/>
          <w:rFonts w:asciiTheme="minorHAnsi" w:hAnsiTheme="minorHAnsi" w:cs="Arial"/>
          <w:highlight w:val="yellow"/>
        </w:rPr>
        <w:t>disjunctions become included</w:t>
      </w:r>
      <w:r>
        <w:rPr>
          <w:rStyle w:val="StyleUnderline"/>
          <w:rFonts w:asciiTheme="minorHAnsi" w:hAnsiTheme="minorHAnsi" w:cs="Arial"/>
        </w:rPr>
        <w:t xml:space="preserve"> or inclusive, </w:t>
      </w:r>
      <w:r>
        <w:rPr>
          <w:rStyle w:val="StyleUnderline"/>
          <w:rFonts w:asciiTheme="minorHAnsi" w:hAnsiTheme="minorHAnsi" w:cs="Arial"/>
          <w:highlight w:val="yellow"/>
        </w:rPr>
        <w:t>and the connections, reflexive, following a rolling gait that concerns the process of language</w:t>
      </w:r>
      <w:r>
        <w:rPr>
          <w:rStyle w:val="StyleUnderline"/>
          <w:rFonts w:asciiTheme="minorHAnsi" w:hAnsiTheme="minorHAnsi" w:cs="Arial"/>
        </w:rPr>
        <w:t xml:space="preserve"> and no longer the flow of speech.</w:t>
      </w:r>
      <w:r>
        <w:rPr>
          <w:rFonts w:asciiTheme="minorHAnsi" w:hAnsiTheme="minorHAnsi" w:cs="Arial"/>
          <w:sz w:val="14"/>
        </w:rPr>
        <w:t xml:space="preserve"> Every word is divided, but into itself (pas-rats, passions-rations); and every word is combined, but with itself (pas-</w:t>
      </w:r>
      <w:proofErr w:type="spellStart"/>
      <w:r>
        <w:rPr>
          <w:rFonts w:asciiTheme="minorHAnsi" w:hAnsiTheme="minorHAnsi" w:cs="Arial"/>
          <w:sz w:val="14"/>
        </w:rPr>
        <w:t>passe</w:t>
      </w:r>
      <w:proofErr w:type="spellEnd"/>
      <w:r>
        <w:rPr>
          <w:rFonts w:asciiTheme="minorHAnsi" w:hAnsiTheme="minorHAnsi" w:cs="Arial"/>
          <w:sz w:val="14"/>
        </w:rPr>
        <w:t xml:space="preserve">-passion). </w:t>
      </w:r>
      <w:r>
        <w:rPr>
          <w:rStyle w:val="StyleUnderline"/>
          <w:rFonts w:asciiTheme="minorHAnsi" w:hAnsiTheme="minorHAnsi" w:cs="Arial"/>
        </w:rPr>
        <w:t xml:space="preserve">It is as if the entire language started to roll from right to left, and to pitch backward and forward: the two </w:t>
      </w:r>
      <w:proofErr w:type="spellStart"/>
      <w:r>
        <w:rPr>
          <w:rStyle w:val="StyleUnderline"/>
          <w:rFonts w:asciiTheme="minorHAnsi" w:hAnsiTheme="minorHAnsi" w:cs="Arial"/>
        </w:rPr>
        <w:t>stutterings</w:t>
      </w:r>
      <w:proofErr w:type="spellEnd"/>
      <w:r>
        <w:rPr>
          <w:rStyle w:val="StyleUnderline"/>
          <w:rFonts w:asciiTheme="minorHAnsi" w:hAnsiTheme="minorHAnsi" w:cs="Arial"/>
        </w:rPr>
        <w:t xml:space="preserve">. </w:t>
      </w:r>
      <w:r>
        <w:rPr>
          <w:rFonts w:asciiTheme="minorHAnsi" w:hAnsiTheme="minorHAnsi" w:cs="Arial"/>
          <w:sz w:val="14"/>
        </w:rPr>
        <w:t>(Essays 110</w:t>
      </w:r>
    </w:p>
    <w:p w:rsidR="006B38F1" w:rsidRDefault="006B38F1" w:rsidP="006B38F1">
      <w:pPr>
        <w:rPr>
          <w:rFonts w:asciiTheme="minorHAnsi" w:hAnsiTheme="minorHAnsi" w:cs="Arial"/>
          <w:sz w:val="14"/>
        </w:rPr>
      </w:pPr>
    </w:p>
    <w:p w:rsidR="006B38F1" w:rsidRPr="00754937" w:rsidRDefault="006B38F1" w:rsidP="006B38F1">
      <w:pPr>
        <w:pStyle w:val="Heading4"/>
        <w:rPr>
          <w:rFonts w:cs="Times New Roman"/>
        </w:rPr>
      </w:pPr>
      <w:r>
        <w:rPr>
          <w:rFonts w:cs="Times New Roman"/>
        </w:rPr>
        <w:t>W</w:t>
      </w:r>
      <w:r w:rsidRPr="00754937">
        <w:rPr>
          <w:rFonts w:cs="Times New Roman"/>
        </w:rPr>
        <w:t>ords have different meanings in different contexts – no reason why ours are uniquely bad</w:t>
      </w:r>
    </w:p>
    <w:p w:rsidR="006B38F1" w:rsidRPr="00754937" w:rsidRDefault="006B38F1" w:rsidP="006B38F1">
      <w:pPr>
        <w:rPr>
          <w:b/>
          <w:bCs/>
          <w:sz w:val="26"/>
        </w:rPr>
      </w:pPr>
      <w:r w:rsidRPr="00754937">
        <w:rPr>
          <w:rStyle w:val="Style13ptBold"/>
        </w:rPr>
        <w:t xml:space="preserve">Butler, 97 </w:t>
      </w:r>
      <w:r w:rsidRPr="00754937">
        <w:t>Professor of Rhetoric and Comparative Literature – University of California-Berkeley, Excitable Speech: A Politics of the Performative p. 38 Judith</w:t>
      </w:r>
    </w:p>
    <w:p w:rsidR="006B38F1" w:rsidRPr="00754937" w:rsidRDefault="006B38F1" w:rsidP="006B38F1">
      <w:pPr>
        <w:pStyle w:val="SmallText0"/>
        <w:rPr>
          <w:rStyle w:val="StyleUnderline"/>
        </w:rPr>
      </w:pPr>
      <w:r w:rsidRPr="00754937">
        <w:t xml:space="preserve">This story underscores the limits and risks of resignification as a strategy of opposition. I will not propose that the pedagogical recirculation of examples of hate speech always defeats the project of opposing and defusing such speech, but I want to underscore the fact that such terms carry connotations that exceed the purposes for which they may be intended and can thus work to afflict and defeat discursive efforts to oppose such speech. </w:t>
      </w:r>
      <w:r w:rsidRPr="00754937">
        <w:rPr>
          <w:rStyle w:val="StyleUnderline"/>
          <w:highlight w:val="green"/>
        </w:rPr>
        <w:t>Keeping</w:t>
      </w:r>
      <w:r w:rsidRPr="00754937">
        <w:rPr>
          <w:rStyle w:val="StyleUnderline"/>
        </w:rPr>
        <w:t xml:space="preserve"> such </w:t>
      </w:r>
      <w:r w:rsidRPr="00754937">
        <w:rPr>
          <w:rStyle w:val="StyleUnderline"/>
          <w:highlight w:val="green"/>
        </w:rPr>
        <w:t>terms unsaid and unsayable can</w:t>
      </w:r>
      <w:r w:rsidRPr="00754937">
        <w:rPr>
          <w:rStyle w:val="StyleUnderline"/>
        </w:rPr>
        <w:t xml:space="preserve"> also </w:t>
      </w:r>
      <w:r w:rsidRPr="00754937">
        <w:rPr>
          <w:rStyle w:val="StyleUnderline"/>
          <w:highlight w:val="green"/>
        </w:rPr>
        <w:t>work to lock them</w:t>
      </w:r>
      <w:r w:rsidRPr="00754937">
        <w:rPr>
          <w:rStyle w:val="StyleUnderline"/>
        </w:rPr>
        <w:t xml:space="preserve"> in place, </w:t>
      </w:r>
      <w:r w:rsidRPr="00754937">
        <w:rPr>
          <w:rStyle w:val="StyleUnderline"/>
          <w:highlight w:val="green"/>
        </w:rPr>
        <w:t>preserving their power to injure</w:t>
      </w:r>
      <w:r w:rsidRPr="00754937">
        <w:rPr>
          <w:rStyle w:val="StyleUnderline"/>
        </w:rPr>
        <w:t xml:space="preserve">, and arresting </w:t>
      </w:r>
      <w:r w:rsidRPr="00754937">
        <w:rPr>
          <w:rStyle w:val="StyleUnderline"/>
          <w:highlight w:val="green"/>
        </w:rPr>
        <w:t>the possibility of a reworking that might shift their context</w:t>
      </w:r>
      <w:r w:rsidRPr="00754937">
        <w:rPr>
          <w:rStyle w:val="StyleUnderline"/>
        </w:rPr>
        <w:t xml:space="preserve"> and purpose. </w:t>
      </w:r>
      <w:r w:rsidRPr="00754937">
        <w:rPr>
          <w:rStyle w:val="StyleUnderline"/>
          <w:highlight w:val="green"/>
        </w:rPr>
        <w:t>That</w:t>
      </w:r>
      <w:r w:rsidRPr="00754937">
        <w:rPr>
          <w:rStyle w:val="StyleUnderline"/>
        </w:rPr>
        <w:t xml:space="preserve"> such </w:t>
      </w:r>
      <w:r w:rsidRPr="00754937">
        <w:rPr>
          <w:rStyle w:val="StyleUnderline"/>
          <w:highlight w:val="green"/>
        </w:rPr>
        <w:t>language carries trauma is not a reason to forbid it</w:t>
      </w:r>
      <w:r w:rsidRPr="00754937">
        <w:rPr>
          <w:rStyle w:val="SmalltextChar"/>
        </w:rPr>
        <w:t>s</w:t>
      </w:r>
      <w:r w:rsidRPr="00754937">
        <w:rPr>
          <w:rStyle w:val="StyleUnderline"/>
        </w:rPr>
        <w:t xml:space="preserve"> use. </w:t>
      </w:r>
      <w:r w:rsidRPr="00754937">
        <w:rPr>
          <w:rStyle w:val="StyleUnderline"/>
          <w:highlight w:val="green"/>
        </w:rPr>
        <w:t>There is no</w:t>
      </w:r>
      <w:r w:rsidRPr="00754937">
        <w:rPr>
          <w:rStyle w:val="StyleUnderline"/>
        </w:rPr>
        <w:t xml:space="preserve"> purifying language of its traumatic residue, and no </w:t>
      </w:r>
      <w:r w:rsidRPr="00754937">
        <w:rPr>
          <w:rStyle w:val="StyleUnderline"/>
          <w:highlight w:val="green"/>
        </w:rPr>
        <w:t>way to work through trauma except</w:t>
      </w:r>
      <w:r w:rsidRPr="00754937">
        <w:rPr>
          <w:rStyle w:val="StyleUnderline"/>
        </w:rPr>
        <w:t xml:space="preserve"> through the arduous effort it takes </w:t>
      </w:r>
      <w:r w:rsidRPr="00754937">
        <w:rPr>
          <w:rStyle w:val="StyleUnderline"/>
          <w:highlight w:val="green"/>
        </w:rPr>
        <w:t>to direct</w:t>
      </w:r>
      <w:r w:rsidRPr="00754937">
        <w:rPr>
          <w:rStyle w:val="StyleUnderline"/>
        </w:rPr>
        <w:t xml:space="preserve"> the course of </w:t>
      </w:r>
      <w:r w:rsidRPr="00754937">
        <w:rPr>
          <w:rStyle w:val="StyleUnderline"/>
          <w:highlight w:val="green"/>
        </w:rPr>
        <w:t>its repetition</w:t>
      </w:r>
      <w:r w:rsidRPr="00754937">
        <w:rPr>
          <w:rStyle w:val="StyleUnderline"/>
        </w:rPr>
        <w:t>.</w:t>
      </w:r>
      <w:r w:rsidRPr="00754937">
        <w:t xml:space="preserve"> It may be chat trauma constitutes a strange kind of resource, and repetition, its vexed but promising instrument. After all, to be </w:t>
      </w:r>
      <w:proofErr w:type="spellStart"/>
      <w:r w:rsidRPr="00754937">
        <w:t>rained</w:t>
      </w:r>
      <w:proofErr w:type="spellEnd"/>
      <w:r w:rsidRPr="00754937">
        <w:t xml:space="preserve"> by another is traumatic: </w:t>
      </w:r>
      <w:r w:rsidRPr="00754937">
        <w:rPr>
          <w:rStyle w:val="StyleUnderline"/>
        </w:rPr>
        <w:t xml:space="preserve">it is an act that precedes my will, an act that brings me into a linguistic world in which I might then begin to exercise agency at all. A founding subordination, and yet the scene of agency, is repeated in the ongoing interpellations of social life. </w:t>
      </w:r>
      <w:r w:rsidRPr="00754937">
        <w:t xml:space="preserve">This is what I have been called. Because I have been called something, I have been entered into linguistic life, refer to myself through the language given by the </w:t>
      </w:r>
      <w:proofErr w:type="gramStart"/>
      <w:r w:rsidRPr="00754937">
        <w:t>Other</w:t>
      </w:r>
      <w:proofErr w:type="gramEnd"/>
      <w:r w:rsidRPr="00754937">
        <w:t xml:space="preserve">, but perhaps never quite in the same terms that my language mimes. </w:t>
      </w:r>
      <w:r w:rsidRPr="00754937">
        <w:rPr>
          <w:rStyle w:val="StyleUnderline"/>
        </w:rPr>
        <w:t xml:space="preserve">The terms by which we are hailed arc rarely the ones we choose (and even when we try to impose protocols on how we are to be named, they usually fail); but these terms we never really choose arc the occasion for something we might still call agency, </w:t>
      </w:r>
      <w:r w:rsidRPr="00754937">
        <w:rPr>
          <w:rStyle w:val="StyleUnderline"/>
          <w:highlight w:val="green"/>
        </w:rPr>
        <w:t>the repetition</w:t>
      </w:r>
      <w:r w:rsidRPr="00754937">
        <w:rPr>
          <w:rStyle w:val="StyleUnderline"/>
        </w:rPr>
        <w:t xml:space="preserve"> of an </w:t>
      </w:r>
      <w:proofErr w:type="spellStart"/>
      <w:r w:rsidRPr="00754937">
        <w:rPr>
          <w:rStyle w:val="StyleUnderline"/>
        </w:rPr>
        <w:t>originary</w:t>
      </w:r>
      <w:proofErr w:type="spellEnd"/>
      <w:r w:rsidRPr="00754937">
        <w:rPr>
          <w:rStyle w:val="StyleUnderline"/>
        </w:rPr>
        <w:t xml:space="preserve"> subordination </w:t>
      </w:r>
      <w:r w:rsidRPr="00754937">
        <w:rPr>
          <w:rStyle w:val="StyleUnderline"/>
          <w:highlight w:val="green"/>
        </w:rPr>
        <w:t>for another purpose</w:t>
      </w:r>
      <w:r w:rsidRPr="00754937">
        <w:rPr>
          <w:rStyle w:val="StyleUnderline"/>
        </w:rPr>
        <w:t xml:space="preserve">, one whose future </w:t>
      </w:r>
      <w:r w:rsidRPr="00754937">
        <w:rPr>
          <w:rStyle w:val="StyleUnderline"/>
          <w:highlight w:val="green"/>
        </w:rPr>
        <w:t>is</w:t>
      </w:r>
      <w:r w:rsidRPr="00754937">
        <w:rPr>
          <w:rStyle w:val="StyleUnderline"/>
        </w:rPr>
        <w:t xml:space="preserve"> partially </w:t>
      </w:r>
      <w:r w:rsidRPr="00754937">
        <w:rPr>
          <w:rStyle w:val="StyleUnderline"/>
          <w:highlight w:val="green"/>
        </w:rPr>
        <w:t>open</w:t>
      </w:r>
      <w:r w:rsidRPr="00754937">
        <w:rPr>
          <w:rStyle w:val="StyleUnderline"/>
        </w:rPr>
        <w:t>.</w:t>
      </w:r>
    </w:p>
    <w:p w:rsidR="006B38F1" w:rsidRPr="006B38F1" w:rsidRDefault="006B38F1" w:rsidP="006B38F1"/>
    <w:sectPr w:rsidR="006B38F1" w:rsidRPr="006B38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2E82766F"/>
    <w:multiLevelType w:val="hybridMultilevel"/>
    <w:tmpl w:val="9D4E3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EAD5D1F"/>
    <w:multiLevelType w:val="hybridMultilevel"/>
    <w:tmpl w:val="401255CE"/>
    <w:lvl w:ilvl="0" w:tplc="2C089442">
      <w:start w:val="23"/>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9"/>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6B38F1"/>
    <w:rsid w:val="000139A3"/>
    <w:rsid w:val="00093130"/>
    <w:rsid w:val="000A5184"/>
    <w:rsid w:val="00100833"/>
    <w:rsid w:val="00104529"/>
    <w:rsid w:val="00105942"/>
    <w:rsid w:val="00107396"/>
    <w:rsid w:val="00144A4C"/>
    <w:rsid w:val="00176AB0"/>
    <w:rsid w:val="00177B7D"/>
    <w:rsid w:val="0018322D"/>
    <w:rsid w:val="001B5776"/>
    <w:rsid w:val="001E527A"/>
    <w:rsid w:val="001F78CE"/>
    <w:rsid w:val="002006AB"/>
    <w:rsid w:val="00251FC7"/>
    <w:rsid w:val="002543EE"/>
    <w:rsid w:val="002855A7"/>
    <w:rsid w:val="002B146A"/>
    <w:rsid w:val="002B5E17"/>
    <w:rsid w:val="00315690"/>
    <w:rsid w:val="00316B75"/>
    <w:rsid w:val="00325646"/>
    <w:rsid w:val="003460F2"/>
    <w:rsid w:val="0038158C"/>
    <w:rsid w:val="003902BA"/>
    <w:rsid w:val="003A09E2"/>
    <w:rsid w:val="003D162C"/>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B38F1"/>
    <w:rsid w:val="006C2375"/>
    <w:rsid w:val="006D4ECC"/>
    <w:rsid w:val="0071389E"/>
    <w:rsid w:val="00717046"/>
    <w:rsid w:val="00722258"/>
    <w:rsid w:val="007243E5"/>
    <w:rsid w:val="00766EA0"/>
    <w:rsid w:val="007A2226"/>
    <w:rsid w:val="007F5B66"/>
    <w:rsid w:val="00823A1C"/>
    <w:rsid w:val="0082621F"/>
    <w:rsid w:val="00845B9D"/>
    <w:rsid w:val="00860984"/>
    <w:rsid w:val="008B3ECB"/>
    <w:rsid w:val="008B4E85"/>
    <w:rsid w:val="008C1B2E"/>
    <w:rsid w:val="008C23EB"/>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890EBCB-2F9F-4012-8A78-9DFFA45DD3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6B38F1"/>
    <w:rPr>
      <w:rFonts w:ascii="Calibri" w:hAnsi="Calibri"/>
    </w:rPr>
  </w:style>
  <w:style w:type="paragraph" w:styleId="Heading1">
    <w:name w:val="heading 1"/>
    <w:aliases w:val="Pocket"/>
    <w:basedOn w:val="Normal"/>
    <w:next w:val="Normal"/>
    <w:link w:val="Heading1Char"/>
    <w:qFormat/>
    <w:rsid w:val="006B38F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B38F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B38F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No Spacing1,Ch,ta"/>
    <w:basedOn w:val="Normal"/>
    <w:next w:val="Normal"/>
    <w:link w:val="Heading4Char"/>
    <w:uiPriority w:val="3"/>
    <w:unhideWhenUsed/>
    <w:qFormat/>
    <w:rsid w:val="006B38F1"/>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6B38F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B38F1"/>
  </w:style>
  <w:style w:type="character" w:customStyle="1" w:styleId="Heading1Char">
    <w:name w:val="Heading 1 Char"/>
    <w:aliases w:val="Pocket Char"/>
    <w:basedOn w:val="DefaultParagraphFont"/>
    <w:link w:val="Heading1"/>
    <w:rsid w:val="006B38F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B38F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B38F1"/>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basedOn w:val="DefaultParagraphFont"/>
    <w:link w:val="Heading4"/>
    <w:uiPriority w:val="3"/>
    <w:rsid w:val="006B38F1"/>
    <w:rPr>
      <w:rFonts w:ascii="Calibri" w:eastAsiaTheme="majorEastAsia" w:hAnsi="Calibri" w:cstheme="majorBidi"/>
      <w:b/>
      <w:iCs/>
      <w:sz w:val="26"/>
    </w:rPr>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
    <w:basedOn w:val="DefaultParagraphFont"/>
    <w:link w:val="textbold"/>
    <w:uiPriority w:val="7"/>
    <w:qFormat/>
    <w:rsid w:val="006B38F1"/>
    <w:rPr>
      <w:rFonts w:ascii="Calibri" w:hAnsi="Calibri"/>
      <w:b/>
      <w:i w:val="0"/>
      <w:iCs/>
      <w:sz w:val="22"/>
      <w:u w:val="single"/>
      <w:bdr w:val="single" w:sz="1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B38F1"/>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ci,Bold Cite Char,Citation Char Char Char,c,Style,Underline Char,B"/>
    <w:basedOn w:val="DefaultParagraphFont"/>
    <w:uiPriority w:val="6"/>
    <w:qFormat/>
    <w:rsid w:val="006B38F1"/>
    <w:rPr>
      <w:b/>
      <w:sz w:val="24"/>
      <w:u w:val="single"/>
    </w:rPr>
  </w:style>
  <w:style w:type="character" w:styleId="Hyperlink">
    <w:name w:val="Hyperlink"/>
    <w:basedOn w:val="DefaultParagraphFont"/>
    <w:uiPriority w:val="99"/>
    <w:unhideWhenUsed/>
    <w:rsid w:val="006B38F1"/>
    <w:rPr>
      <w:color w:val="auto"/>
      <w:u w:val="none"/>
    </w:rPr>
  </w:style>
  <w:style w:type="character" w:styleId="FollowedHyperlink">
    <w:name w:val="FollowedHyperlink"/>
    <w:basedOn w:val="DefaultParagraphFont"/>
    <w:uiPriority w:val="99"/>
    <w:semiHidden/>
    <w:unhideWhenUsed/>
    <w:rsid w:val="006B38F1"/>
    <w:rPr>
      <w:color w:val="auto"/>
      <w:u w:val="none"/>
    </w:rPr>
  </w:style>
  <w:style w:type="paragraph" w:customStyle="1" w:styleId="Smalltext">
    <w:name w:val="Small text"/>
    <w:aliases w:val="Quote1,Quote11"/>
    <w:basedOn w:val="Normal"/>
    <w:link w:val="SmalltextChar"/>
    <w:qFormat/>
    <w:rsid w:val="006B38F1"/>
    <w:rPr>
      <w:rFonts w:ascii="Times New Roman" w:eastAsia="Calibri" w:hAnsi="Times New Roman" w:cs="Times New Roman"/>
      <w:sz w:val="14"/>
    </w:rPr>
  </w:style>
  <w:style w:type="character" w:customStyle="1" w:styleId="SmalltextChar">
    <w:name w:val="Small text Char"/>
    <w:aliases w:val="Quote Char,Quote1 Char1"/>
    <w:link w:val="Smalltext"/>
    <w:rsid w:val="006B38F1"/>
    <w:rPr>
      <w:rFonts w:ascii="Times New Roman" w:eastAsia="Calibri" w:hAnsi="Times New Roman" w:cs="Times New Roman"/>
      <w:sz w:val="14"/>
    </w:rPr>
  </w:style>
  <w:style w:type="paragraph" w:customStyle="1" w:styleId="SmallText0">
    <w:name w:val="Small Text"/>
    <w:basedOn w:val="Normal"/>
    <w:qFormat/>
    <w:rsid w:val="006B38F1"/>
    <w:pPr>
      <w:jc w:val="both"/>
    </w:pPr>
    <w:rPr>
      <w:rFonts w:ascii="Times New Roman" w:eastAsia="Times New Roman" w:hAnsi="Times New Roman" w:cs="Times New Roman"/>
      <w:sz w:val="14"/>
    </w:rPr>
  </w:style>
  <w:style w:type="paragraph" w:customStyle="1" w:styleId="textbold">
    <w:name w:val="text bold"/>
    <w:basedOn w:val="Normal"/>
    <w:link w:val="Emphasis"/>
    <w:uiPriority w:val="7"/>
    <w:qFormat/>
    <w:rsid w:val="006B38F1"/>
    <w:pPr>
      <w:ind w:left="720"/>
      <w:jc w:val="both"/>
    </w:pPr>
    <w:rPr>
      <w:b/>
      <w:iCs/>
      <w:u w:val="single"/>
      <w:bdr w:val="single" w:sz="18" w:space="0" w:color="auto"/>
    </w:rPr>
  </w:style>
  <w:style w:type="paragraph" w:styleId="ListParagraph">
    <w:name w:val="List Paragraph"/>
    <w:basedOn w:val="Normal"/>
    <w:uiPriority w:val="99"/>
    <w:unhideWhenUsed/>
    <w:qFormat/>
    <w:rsid w:val="006B38F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x.doi.org/10.1080/02533952.2013.802867" TargetMode="External"/><Relationship Id="rId3" Type="http://schemas.openxmlformats.org/officeDocument/2006/relationships/styles" Target="styles.xml"/><Relationship Id="rId7" Type="http://schemas.openxmlformats.org/officeDocument/2006/relationships/hyperlink" Target="http://www.jasbirpuar.com/assets/JKP_Precarity-Talk.pdf"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maxweber.hunter.cuny.edu/pub/eres/SOC217_PIMENTEL/asians2.pdf"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dx.doi.org/10.1080/02533952.2013.80286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mile_000\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D9E325-AE8A-4DFA-BD24-044C05389F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TotalTime>
  <Pages>1</Pages>
  <Words>11827</Words>
  <Characters>67415</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79084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Ruth Zheng</dc:creator>
  <cp:keywords>5.1.1</cp:keywords>
  <dc:description/>
  <cp:lastModifiedBy>Ruth Zheng</cp:lastModifiedBy>
  <cp:revision>1</cp:revision>
  <dcterms:created xsi:type="dcterms:W3CDTF">2016-07-18T19:29:00Z</dcterms:created>
  <dcterms:modified xsi:type="dcterms:W3CDTF">2016-07-18T19:40:00Z</dcterms:modified>
</cp:coreProperties>
</file>