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B00718" w:rsidP="00B00718">
      <w:pPr>
        <w:pStyle w:val="Heading1"/>
      </w:pPr>
      <w:r>
        <w:t xml:space="preserve">K Updates – </w:t>
      </w:r>
      <w:proofErr w:type="spellStart"/>
      <w:r>
        <w:t>Misc</w:t>
      </w:r>
      <w:proofErr w:type="spellEnd"/>
      <w:r>
        <w:t xml:space="preserve"> </w:t>
      </w:r>
    </w:p>
    <w:p w:rsidR="00222026" w:rsidRDefault="00222026" w:rsidP="00EE0840">
      <w:pPr>
        <w:pStyle w:val="Heading2"/>
      </w:pPr>
      <w:r>
        <w:t>Orientalism</w:t>
      </w:r>
    </w:p>
    <w:p w:rsidR="00222026" w:rsidRPr="00BC16F8" w:rsidRDefault="00222026" w:rsidP="00BC16F8">
      <w:pPr>
        <w:pStyle w:val="Heading4"/>
        <w:rPr>
          <w:rStyle w:val="Style13ptBold"/>
          <w:b/>
          <w:bCs w:val="0"/>
        </w:rPr>
      </w:pPr>
      <w:r w:rsidRPr="00BC16F8">
        <w:rPr>
          <w:rStyle w:val="Style13ptBold"/>
          <w:b/>
          <w:bCs w:val="0"/>
        </w:rPr>
        <w:t>Said’s theory is flawed – essentialist, ahistorical, contradictory</w:t>
      </w:r>
    </w:p>
    <w:p w:rsidR="00222026" w:rsidRPr="00EA13CA" w:rsidRDefault="00222026" w:rsidP="00222026">
      <w:pPr>
        <w:rPr>
          <w:rStyle w:val="Style13ptBold"/>
        </w:rPr>
      </w:pPr>
      <w:proofErr w:type="spellStart"/>
      <w:r w:rsidRPr="00EA13CA">
        <w:rPr>
          <w:rStyle w:val="Style13ptBold"/>
        </w:rPr>
        <w:t>Oldmeadow</w:t>
      </w:r>
      <w:proofErr w:type="spellEnd"/>
      <w:r w:rsidRPr="00EA13CA">
        <w:rPr>
          <w:rStyle w:val="Style13ptBold"/>
        </w:rPr>
        <w:t xml:space="preserve"> ’04</w:t>
      </w:r>
      <w:r>
        <w:rPr>
          <w:rStyle w:val="Style13ptBold"/>
        </w:rPr>
        <w:t xml:space="preserve"> </w:t>
      </w:r>
      <w:r w:rsidRPr="00BC16F8">
        <w:t xml:space="preserve">(Harry, He studied history, politics and literature at the Australian National University and the University of Sydney, as well as working as a history tutor at La Trobe University in Melbourne. In 1971 a Commonwealth Overseas Research Scholarship allowed him to study at Oxford University, followed by extensive travel in Europe and North Africa. In 1980 he achieved a </w:t>
      </w:r>
      <w:proofErr w:type="spellStart"/>
      <w:proofErr w:type="gramStart"/>
      <w:r w:rsidRPr="00BC16F8">
        <w:t>masters</w:t>
      </w:r>
      <w:proofErr w:type="spellEnd"/>
      <w:proofErr w:type="gramEnd"/>
      <w:r w:rsidRPr="00BC16F8">
        <w:t xml:space="preserve"> degree in religious studies at the University of Sydney where he completed a dissertation on the work of </w:t>
      </w:r>
      <w:proofErr w:type="spellStart"/>
      <w:r w:rsidRPr="00BC16F8">
        <w:t>Frithjof</w:t>
      </w:r>
      <w:proofErr w:type="spellEnd"/>
      <w:r w:rsidRPr="00BC16F8">
        <w:t xml:space="preserve"> </w:t>
      </w:r>
      <w:proofErr w:type="spellStart"/>
      <w:r w:rsidRPr="00BC16F8">
        <w:t>Schuon</w:t>
      </w:r>
      <w:proofErr w:type="spellEnd"/>
      <w:r w:rsidRPr="00BC16F8">
        <w:t xml:space="preserve"> and the other principal traditionalist writers, http://www.worldwisdom.com/public/viewpdf/default.aspx?article-title=The_Debate_about_Orientalism_by_Harry_Oldmeadow.pdf //</w:t>
      </w:r>
      <w:proofErr w:type="spellStart"/>
      <w:r w:rsidRPr="00BC16F8">
        <w:t>ghs-sa</w:t>
      </w:r>
      <w:proofErr w:type="spellEnd"/>
      <w:r w:rsidRPr="00BC16F8">
        <w:t>)</w:t>
      </w:r>
    </w:p>
    <w:p w:rsidR="00222026" w:rsidRDefault="00222026" w:rsidP="00222026">
      <w:pPr>
        <w:rPr>
          <w:sz w:val="16"/>
        </w:rPr>
      </w:pPr>
      <w:r w:rsidRPr="00444591">
        <w:rPr>
          <w:rStyle w:val="StyleUnderline"/>
        </w:rPr>
        <w:t>Said’s work has been criticized along many different lines</w:t>
      </w:r>
      <w:r w:rsidRPr="00444591">
        <w:rPr>
          <w:sz w:val="16"/>
        </w:rPr>
        <w:t xml:space="preserve">. To cite only a few: </w:t>
      </w:r>
      <w:r w:rsidRPr="00444591">
        <w:rPr>
          <w:rStyle w:val="StyleUnderline"/>
        </w:rPr>
        <w:t>Orientalism offers us little more than the rehashing of the work of Said’s unacknowledged predecessors in the field</w:t>
      </w:r>
      <w:r w:rsidRPr="00444591">
        <w:rPr>
          <w:sz w:val="16"/>
        </w:rPr>
        <w:t xml:space="preserve"> (</w:t>
      </w:r>
      <w:proofErr w:type="spellStart"/>
      <w:r w:rsidRPr="00444591">
        <w:rPr>
          <w:sz w:val="16"/>
        </w:rPr>
        <w:t>Ziauddin</w:t>
      </w:r>
      <w:proofErr w:type="spellEnd"/>
      <w:r w:rsidRPr="00444591">
        <w:rPr>
          <w:sz w:val="16"/>
        </w:rPr>
        <w:t xml:space="preserve"> </w:t>
      </w:r>
      <w:proofErr w:type="spellStart"/>
      <w:r w:rsidRPr="00444591">
        <w:rPr>
          <w:sz w:val="16"/>
        </w:rPr>
        <w:t>Sardar</w:t>
      </w:r>
      <w:proofErr w:type="spellEnd"/>
      <w:r w:rsidRPr="00444591">
        <w:rPr>
          <w:sz w:val="16"/>
        </w:rPr>
        <w:t xml:space="preserve">);25 it </w:t>
      </w:r>
      <w:r w:rsidRPr="00444591">
        <w:rPr>
          <w:rStyle w:val="StyleUnderline"/>
        </w:rPr>
        <w:t xml:space="preserve">succumbs to the same homogenizing, </w:t>
      </w:r>
      <w:proofErr w:type="spellStart"/>
      <w:r w:rsidRPr="00444591">
        <w:rPr>
          <w:rStyle w:val="StyleUnderline"/>
        </w:rPr>
        <w:t>essentializing</w:t>
      </w:r>
      <w:proofErr w:type="spellEnd"/>
      <w:r w:rsidRPr="00444591">
        <w:rPr>
          <w:rStyle w:val="StyleUnderline"/>
        </w:rPr>
        <w:t xml:space="preserve"> and totalizing tendencies which it stigmatizes in Orientalism</w:t>
      </w:r>
      <w:r w:rsidRPr="00444591">
        <w:rPr>
          <w:sz w:val="16"/>
        </w:rPr>
        <w:t xml:space="preserve"> (B.J. Moore-Gilbert, </w:t>
      </w:r>
      <w:proofErr w:type="spellStart"/>
      <w:r w:rsidRPr="00444591">
        <w:rPr>
          <w:sz w:val="16"/>
        </w:rPr>
        <w:t>Sadik</w:t>
      </w:r>
      <w:proofErr w:type="spellEnd"/>
      <w:r w:rsidRPr="00444591">
        <w:rPr>
          <w:sz w:val="16"/>
        </w:rPr>
        <w:t xml:space="preserve"> Jalal al ‘</w:t>
      </w:r>
      <w:proofErr w:type="spellStart"/>
      <w:r w:rsidRPr="00444591">
        <w:rPr>
          <w:sz w:val="16"/>
        </w:rPr>
        <w:t>Azm</w:t>
      </w:r>
      <w:proofErr w:type="spellEnd"/>
      <w:r w:rsidRPr="00444591">
        <w:rPr>
          <w:sz w:val="16"/>
        </w:rPr>
        <w:t xml:space="preserve">, </w:t>
      </w:r>
      <w:proofErr w:type="spellStart"/>
      <w:r w:rsidRPr="00444591">
        <w:rPr>
          <w:sz w:val="16"/>
        </w:rPr>
        <w:t>Rosane</w:t>
      </w:r>
      <w:proofErr w:type="spellEnd"/>
      <w:r w:rsidRPr="00444591">
        <w:rPr>
          <w:sz w:val="16"/>
        </w:rPr>
        <w:t xml:space="preserve"> </w:t>
      </w:r>
      <w:proofErr w:type="spellStart"/>
      <w:r w:rsidRPr="00444591">
        <w:rPr>
          <w:sz w:val="16"/>
        </w:rPr>
        <w:t>Rocher</w:t>
      </w:r>
      <w:proofErr w:type="spellEnd"/>
      <w:r w:rsidRPr="00444591">
        <w:rPr>
          <w:sz w:val="16"/>
        </w:rPr>
        <w:t xml:space="preserve">);26 </w:t>
      </w:r>
      <w:proofErr w:type="spellStart"/>
      <w:r w:rsidRPr="00444591">
        <w:rPr>
          <w:rStyle w:val="StyleUnderline"/>
        </w:rPr>
        <w:t>Foucaldian</w:t>
      </w:r>
      <w:proofErr w:type="spellEnd"/>
      <w:r w:rsidRPr="00444591">
        <w:rPr>
          <w:rStyle w:val="StyleUnderline"/>
        </w:rPr>
        <w:t xml:space="preserve"> discursive theory</w:t>
      </w:r>
      <w:r w:rsidRPr="00444591">
        <w:rPr>
          <w:sz w:val="16"/>
        </w:rPr>
        <w:t xml:space="preserve"> (on which Said draws so heavily) </w:t>
      </w:r>
      <w:r w:rsidRPr="00444591">
        <w:rPr>
          <w:rStyle w:val="StyleUnderline"/>
        </w:rPr>
        <w:t>is a remarkably blunt instrument with which to dissect historical particularities and the “</w:t>
      </w:r>
      <w:proofErr w:type="spellStart"/>
      <w:r w:rsidRPr="00444591">
        <w:rPr>
          <w:rStyle w:val="StyleUnderline"/>
        </w:rPr>
        <w:t>micropractices</w:t>
      </w:r>
      <w:proofErr w:type="spellEnd"/>
      <w:r w:rsidRPr="00444591">
        <w:rPr>
          <w:rStyle w:val="StyleUnderline"/>
        </w:rPr>
        <w:t xml:space="preserve">, irregularities, historical discontinuities and </w:t>
      </w:r>
      <w:proofErr w:type="spellStart"/>
      <w:r w:rsidRPr="00444591">
        <w:rPr>
          <w:rStyle w:val="StyleUnderline"/>
        </w:rPr>
        <w:t>discur</w:t>
      </w:r>
      <w:proofErr w:type="spellEnd"/>
      <w:r w:rsidRPr="00444591">
        <w:rPr>
          <w:rStyle w:val="StyleUnderline"/>
        </w:rPr>
        <w:t xml:space="preserve">­ </w:t>
      </w:r>
      <w:proofErr w:type="spellStart"/>
      <w:r w:rsidRPr="00444591">
        <w:rPr>
          <w:rStyle w:val="StyleUnderline"/>
        </w:rPr>
        <w:t>sive</w:t>
      </w:r>
      <w:proofErr w:type="spellEnd"/>
      <w:r w:rsidRPr="00444591">
        <w:rPr>
          <w:rStyle w:val="StyleUnderline"/>
        </w:rPr>
        <w:t xml:space="preserve"> heterogeneity” of Orientalism itself</w:t>
      </w:r>
      <w:r w:rsidRPr="00444591">
        <w:rPr>
          <w:sz w:val="16"/>
        </w:rPr>
        <w:t xml:space="preserve"> (Ali </w:t>
      </w:r>
      <w:proofErr w:type="spellStart"/>
      <w:r w:rsidRPr="00444591">
        <w:rPr>
          <w:sz w:val="16"/>
        </w:rPr>
        <w:t>Behdad</w:t>
      </w:r>
      <w:proofErr w:type="spellEnd"/>
      <w:r w:rsidRPr="00444591">
        <w:rPr>
          <w:sz w:val="16"/>
        </w:rPr>
        <w:t xml:space="preserve">);27 Said’s work is </w:t>
      </w:r>
      <w:proofErr w:type="spellStart"/>
      <w:r w:rsidRPr="00444591">
        <w:rPr>
          <w:sz w:val="16"/>
        </w:rPr>
        <w:t>moti</w:t>
      </w:r>
      <w:proofErr w:type="spellEnd"/>
      <w:r w:rsidRPr="00444591">
        <w:rPr>
          <w:sz w:val="16"/>
        </w:rPr>
        <w:t xml:space="preserve">­ </w:t>
      </w:r>
      <w:proofErr w:type="spellStart"/>
      <w:r w:rsidRPr="00444591">
        <w:rPr>
          <w:sz w:val="16"/>
        </w:rPr>
        <w:t>vated</w:t>
      </w:r>
      <w:proofErr w:type="spellEnd"/>
      <w:r w:rsidRPr="00444591">
        <w:rPr>
          <w:sz w:val="16"/>
        </w:rPr>
        <w:t xml:space="preserve"> by an ideological animus to Zionism and Judaism, and is guilty of “</w:t>
      </w:r>
      <w:proofErr w:type="spellStart"/>
      <w:r w:rsidRPr="00444591">
        <w:rPr>
          <w:sz w:val="16"/>
        </w:rPr>
        <w:t>arbi</w:t>
      </w:r>
      <w:proofErr w:type="spellEnd"/>
      <w:r w:rsidRPr="00444591">
        <w:rPr>
          <w:sz w:val="16"/>
        </w:rPr>
        <w:t xml:space="preserve">­ </w:t>
      </w:r>
      <w:proofErr w:type="spellStart"/>
      <w:r w:rsidRPr="00444591">
        <w:rPr>
          <w:sz w:val="16"/>
        </w:rPr>
        <w:t>trary</w:t>
      </w:r>
      <w:proofErr w:type="spellEnd"/>
      <w:r w:rsidRPr="00444591">
        <w:rPr>
          <w:sz w:val="16"/>
        </w:rPr>
        <w:t xml:space="preserve"> rearrangement” and “capricious choice” in its treatment of the </w:t>
      </w:r>
      <w:proofErr w:type="spellStart"/>
      <w:r w:rsidRPr="00444591">
        <w:rPr>
          <w:sz w:val="16"/>
        </w:rPr>
        <w:t>histori</w:t>
      </w:r>
      <w:proofErr w:type="spellEnd"/>
      <w:r w:rsidRPr="00444591">
        <w:rPr>
          <w:sz w:val="16"/>
        </w:rPr>
        <w:t xml:space="preserve">­ </w:t>
      </w:r>
      <w:proofErr w:type="spellStart"/>
      <w:r w:rsidRPr="00444591">
        <w:rPr>
          <w:sz w:val="16"/>
        </w:rPr>
        <w:t>cal</w:t>
      </w:r>
      <w:proofErr w:type="spellEnd"/>
      <w:r w:rsidRPr="00444591">
        <w:rPr>
          <w:sz w:val="16"/>
        </w:rPr>
        <w:t xml:space="preserve"> evidence (Bernard Lewis); </w:t>
      </w:r>
      <w:r w:rsidRPr="00444591">
        <w:rPr>
          <w:rStyle w:val="StyleUnderline"/>
        </w:rPr>
        <w:t>his work is “ahistorical,” lacking in precision and subtlety</w:t>
      </w:r>
      <w:r w:rsidRPr="00444591">
        <w:rPr>
          <w:sz w:val="16"/>
        </w:rPr>
        <w:t xml:space="preserve"> (David Kopf, John Mackenzie); </w:t>
      </w:r>
      <w:r w:rsidRPr="00444591">
        <w:rPr>
          <w:rStyle w:val="StyleUnderline"/>
        </w:rPr>
        <w:t>and his analysis is vitiated by the contradictory epistemological assumptions and methodological procedures</w:t>
      </w:r>
      <w:r w:rsidRPr="00444591">
        <w:rPr>
          <w:sz w:val="16"/>
        </w:rPr>
        <w:t xml:space="preserve"> which he variously derives from </w:t>
      </w:r>
      <w:proofErr w:type="spellStart"/>
      <w:r w:rsidRPr="00444591">
        <w:rPr>
          <w:sz w:val="16"/>
        </w:rPr>
        <w:t>Gramscian</w:t>
      </w:r>
      <w:proofErr w:type="spellEnd"/>
      <w:r w:rsidRPr="00444591">
        <w:rPr>
          <w:sz w:val="16"/>
        </w:rPr>
        <w:t xml:space="preserve"> Marxism, </w:t>
      </w:r>
      <w:proofErr w:type="spellStart"/>
      <w:r w:rsidRPr="00444591">
        <w:rPr>
          <w:sz w:val="16"/>
        </w:rPr>
        <w:t>Foucaldian</w:t>
      </w:r>
      <w:proofErr w:type="spellEnd"/>
      <w:r w:rsidRPr="00444591">
        <w:rPr>
          <w:sz w:val="16"/>
        </w:rPr>
        <w:t xml:space="preserve"> theory, </w:t>
      </w:r>
      <w:proofErr w:type="spellStart"/>
      <w:r w:rsidRPr="00444591">
        <w:rPr>
          <w:sz w:val="16"/>
        </w:rPr>
        <w:t>Arnoldian</w:t>
      </w:r>
      <w:proofErr w:type="spellEnd"/>
      <w:r w:rsidRPr="00444591">
        <w:rPr>
          <w:sz w:val="16"/>
        </w:rPr>
        <w:t xml:space="preserve"> “high culture” and a tradition of secular humanism (James Clifford, Richard King); </w:t>
      </w:r>
      <w:r w:rsidRPr="00444591">
        <w:rPr>
          <w:rStyle w:val="StyleUnderline"/>
        </w:rPr>
        <w:t>Orientalism ignores the considerable body of writing on the East by women</w:t>
      </w:r>
      <w:r w:rsidRPr="00444591">
        <w:rPr>
          <w:sz w:val="16"/>
        </w:rPr>
        <w:t xml:space="preserve"> (Billie </w:t>
      </w:r>
      <w:proofErr w:type="spellStart"/>
      <w:r w:rsidRPr="00444591">
        <w:rPr>
          <w:sz w:val="16"/>
        </w:rPr>
        <w:t>Melman</w:t>
      </w:r>
      <w:proofErr w:type="spellEnd"/>
      <w:r w:rsidRPr="00444591">
        <w:rPr>
          <w:sz w:val="16"/>
        </w:rPr>
        <w:t xml:space="preserve">, Lisa Lowe), </w:t>
      </w:r>
      <w:r w:rsidRPr="00444591">
        <w:rPr>
          <w:rStyle w:val="StyleUnderline"/>
        </w:rPr>
        <w:t>by such minorities as Anglo-Indians</w:t>
      </w:r>
      <w:r w:rsidRPr="00444591">
        <w:rPr>
          <w:sz w:val="16"/>
        </w:rPr>
        <w:t xml:space="preserve"> (B.J. Moore-Gilbert), </w:t>
      </w:r>
      <w:r w:rsidRPr="00444591">
        <w:rPr>
          <w:rStyle w:val="StyleUnderline"/>
        </w:rPr>
        <w:t xml:space="preserve">and the self-representations of the </w:t>
      </w:r>
      <w:proofErr w:type="spellStart"/>
      <w:r w:rsidRPr="00444591">
        <w:rPr>
          <w:rStyle w:val="StyleUnderline"/>
        </w:rPr>
        <w:t>colo</w:t>
      </w:r>
      <w:proofErr w:type="spellEnd"/>
      <w:r w:rsidRPr="00444591">
        <w:rPr>
          <w:rStyle w:val="StyleUnderline"/>
        </w:rPr>
        <w:t xml:space="preserve">­ </w:t>
      </w:r>
      <w:proofErr w:type="spellStart"/>
      <w:r w:rsidRPr="00444591">
        <w:rPr>
          <w:rStyle w:val="StyleUnderline"/>
        </w:rPr>
        <w:t>nized</w:t>
      </w:r>
      <w:proofErr w:type="spellEnd"/>
      <w:r w:rsidRPr="00444591">
        <w:rPr>
          <w:rStyle w:val="StyleUnderline"/>
        </w:rPr>
        <w:t xml:space="preserve"> which are passed over in favor of an analysis of canonical Western lit</w:t>
      </w:r>
      <w:r w:rsidRPr="00444591">
        <w:rPr>
          <w:sz w:val="16"/>
        </w:rPr>
        <w:t xml:space="preserve">­ </w:t>
      </w:r>
      <w:proofErr w:type="spellStart"/>
      <w:r w:rsidRPr="00444591">
        <w:rPr>
          <w:sz w:val="16"/>
        </w:rPr>
        <w:t>erary</w:t>
      </w:r>
      <w:proofErr w:type="spellEnd"/>
      <w:r w:rsidRPr="00444591">
        <w:rPr>
          <w:sz w:val="16"/>
        </w:rPr>
        <w:t xml:space="preserve"> texts (</w:t>
      </w:r>
      <w:proofErr w:type="spellStart"/>
      <w:r w:rsidRPr="00444591">
        <w:rPr>
          <w:sz w:val="16"/>
        </w:rPr>
        <w:t>Ania</w:t>
      </w:r>
      <w:proofErr w:type="spellEnd"/>
      <w:r w:rsidRPr="00444591">
        <w:rPr>
          <w:sz w:val="16"/>
        </w:rPr>
        <w:t xml:space="preserve"> </w:t>
      </w:r>
      <w:proofErr w:type="spellStart"/>
      <w:r w:rsidRPr="00444591">
        <w:rPr>
          <w:sz w:val="16"/>
        </w:rPr>
        <w:t>Loomba</w:t>
      </w:r>
      <w:proofErr w:type="spellEnd"/>
      <w:r w:rsidRPr="00444591">
        <w:rPr>
          <w:sz w:val="16"/>
        </w:rPr>
        <w:t xml:space="preserve">);28 Said’s depiction, it is also argued, </w:t>
      </w:r>
      <w:r w:rsidRPr="00444591">
        <w:rPr>
          <w:rStyle w:val="StyleUnderline"/>
        </w:rPr>
        <w:t xml:space="preserve">fails to </w:t>
      </w:r>
      <w:proofErr w:type="spellStart"/>
      <w:r w:rsidRPr="00444591">
        <w:rPr>
          <w:rStyle w:val="StyleUnderline"/>
        </w:rPr>
        <w:t>recog</w:t>
      </w:r>
      <w:proofErr w:type="spellEnd"/>
      <w:r w:rsidRPr="00444591">
        <w:rPr>
          <w:rStyle w:val="StyleUnderline"/>
        </w:rPr>
        <w:t xml:space="preserve">­ </w:t>
      </w:r>
      <w:proofErr w:type="spellStart"/>
      <w:r w:rsidRPr="00444591">
        <w:rPr>
          <w:rStyle w:val="StyleUnderline"/>
        </w:rPr>
        <w:t>nize</w:t>
      </w:r>
      <w:proofErr w:type="spellEnd"/>
      <w:r w:rsidRPr="00444591">
        <w:rPr>
          <w:rStyle w:val="StyleUnderline"/>
        </w:rPr>
        <w:t xml:space="preserve"> and account for the significant variations in different national Orientalist discourses and is unable to account for the fact that German and Russian orientalism developed independently of Empire </w:t>
      </w:r>
      <w:r w:rsidRPr="00444591">
        <w:rPr>
          <w:sz w:val="16"/>
        </w:rPr>
        <w:t xml:space="preserve">(Sheldon Pollock, C.F. </w:t>
      </w:r>
      <w:proofErr w:type="spellStart"/>
      <w:r w:rsidRPr="00444591">
        <w:rPr>
          <w:sz w:val="16"/>
        </w:rPr>
        <w:t>Beckingham</w:t>
      </w:r>
      <w:proofErr w:type="spellEnd"/>
      <w:r w:rsidRPr="00444591">
        <w:rPr>
          <w:sz w:val="16"/>
        </w:rPr>
        <w:t xml:space="preserve">, James Clifford).29 Whatever assessment one makes of the work of Said and other anti- Orientalists, it is certainly no longer possible to consider the interactions of East and West without taking some account of their critiques.30 There is no gainsaying the brilliance of Edward Said’s work; it would be foolish to turn away from his many insights or to ignore the challenges he has posed. Nonetheless, </w:t>
      </w:r>
      <w:r w:rsidRPr="00444591">
        <w:rPr>
          <w:rStyle w:val="StyleUnderline"/>
        </w:rPr>
        <w:t xml:space="preserve">the </w:t>
      </w:r>
      <w:proofErr w:type="spellStart"/>
      <w:r w:rsidRPr="00444591">
        <w:rPr>
          <w:rStyle w:val="StyleUnderline"/>
        </w:rPr>
        <w:t>Saidian</w:t>
      </w:r>
      <w:proofErr w:type="spellEnd"/>
      <w:r w:rsidRPr="00444591">
        <w:rPr>
          <w:rStyle w:val="StyleUnderline"/>
        </w:rPr>
        <w:t xml:space="preserve"> thesis has given birth </w:t>
      </w:r>
      <w:proofErr w:type="gramStart"/>
      <w:r w:rsidRPr="00444591">
        <w:rPr>
          <w:rStyle w:val="StyleUnderline"/>
        </w:rPr>
        <w:t>to</w:t>
      </w:r>
      <w:proofErr w:type="gramEnd"/>
      <w:r w:rsidRPr="00444591">
        <w:rPr>
          <w:rStyle w:val="StyleUnderline"/>
        </w:rPr>
        <w:t xml:space="preserve"> many lop-sided and </w:t>
      </w:r>
      <w:proofErr w:type="spellStart"/>
      <w:r w:rsidRPr="00444591">
        <w:rPr>
          <w:rStyle w:val="StyleUnderline"/>
        </w:rPr>
        <w:t>reduc</w:t>
      </w:r>
      <w:proofErr w:type="spellEnd"/>
      <w:r w:rsidRPr="00444591">
        <w:rPr>
          <w:rStyle w:val="StyleUnderline"/>
        </w:rPr>
        <w:t xml:space="preserve">­ </w:t>
      </w:r>
      <w:proofErr w:type="spellStart"/>
      <w:r w:rsidRPr="00444591">
        <w:rPr>
          <w:rStyle w:val="StyleUnderline"/>
        </w:rPr>
        <w:t>tionistic</w:t>
      </w:r>
      <w:proofErr w:type="spellEnd"/>
      <w:r w:rsidRPr="00444591">
        <w:rPr>
          <w:rStyle w:val="StyleUnderline"/>
        </w:rPr>
        <w:t xml:space="preserve"> works in which the hermeneutics of suspicion and malice afore­ thought have blinded their authors to the many positive aspects of oriental- ism</w:t>
      </w:r>
      <w:r w:rsidRPr="00444591">
        <w:rPr>
          <w:sz w:val="16"/>
        </w:rPr>
        <w:t xml:space="preserve">. Whilst Said and his epigones have dominated the debate within such dis­ </w:t>
      </w:r>
      <w:proofErr w:type="spellStart"/>
      <w:r w:rsidRPr="00444591">
        <w:rPr>
          <w:sz w:val="16"/>
        </w:rPr>
        <w:t>ciplinary</w:t>
      </w:r>
      <w:proofErr w:type="spellEnd"/>
      <w:r w:rsidRPr="00444591">
        <w:rPr>
          <w:sz w:val="16"/>
        </w:rPr>
        <w:t xml:space="preserve"> arenas as sociology, political science and post-colonial/subaltern studies their work has exercised a less totalitarian influence in the field of comparative religion and the history of ideas. Here I do not wish to construct any detailed or systematic counter-argument either to Said or to his many successors. I hope that much of the material in this study will enable readers to at least consider some alternative perspectives. However, it is impossible to leave this subject without a few general remarks, the pertinence of which will become clearer as the reader proceeds. </w:t>
      </w:r>
    </w:p>
    <w:p w:rsidR="00BC16F8" w:rsidRDefault="00BC16F8" w:rsidP="00BC16F8">
      <w:pPr>
        <w:pStyle w:val="Heading4"/>
      </w:pPr>
      <w:r>
        <w:t>Assessing Chinese motivation is possible and epistemologically necessary</w:t>
      </w:r>
      <w:r>
        <w:t>.</w:t>
      </w:r>
    </w:p>
    <w:p w:rsidR="00BC16F8" w:rsidRDefault="00BC16F8" w:rsidP="00BC16F8">
      <w:r>
        <w:rPr>
          <w:rStyle w:val="Style13ptBold"/>
        </w:rPr>
        <w:t>Clifton 11</w:t>
      </w:r>
      <w:r>
        <w:t xml:space="preserve"> – (Joseph K., Claremont McKenna College, “DISPUTED THEORY AND SECURITY POLICY: RESPONDING TO “THE RISE OF CHINA”, </w:t>
      </w:r>
      <w:hyperlink r:id="rId9" w:history="1">
        <w:r w:rsidRPr="006476F6">
          <w:rPr>
            <w:rStyle w:val="Hyperlink"/>
          </w:rPr>
          <w:t>http://scholarship.claremont.edu/cgi/viewcontent.cgi?article=1164&amp;context=cmc_theses</w:t>
        </w:r>
        <w:r>
          <w:rPr>
            <w:rStyle w:val="Hyperlink"/>
          </w:rPr>
          <w:t>, Accessed 7/31/16</w:t>
        </w:r>
        <w:r w:rsidRPr="006476F6">
          <w:rPr>
            <w:rStyle w:val="Hyperlink"/>
          </w:rPr>
          <w:t>)</w:t>
        </w:r>
      </w:hyperlink>
      <w:r>
        <w:t xml:space="preserve"> //</w:t>
      </w:r>
      <w:proofErr w:type="spellStart"/>
      <w:r>
        <w:t>ak</w:t>
      </w:r>
      <w:proofErr w:type="spellEnd"/>
    </w:p>
    <w:p w:rsidR="00BC16F8" w:rsidRDefault="00BC16F8" w:rsidP="00222026">
      <w:pPr>
        <w:rPr>
          <w:sz w:val="16"/>
        </w:rPr>
      </w:pPr>
      <w:r w:rsidRPr="00036CD3">
        <w:rPr>
          <w:sz w:val="16"/>
        </w:rPr>
        <w:t xml:space="preserve">First, </w:t>
      </w:r>
      <w:r>
        <w:rPr>
          <w:rStyle w:val="StyleUnderline"/>
        </w:rPr>
        <w:t>motives can be known</w:t>
      </w:r>
      <w:r w:rsidRPr="00036CD3">
        <w:rPr>
          <w:sz w:val="16"/>
        </w:rPr>
        <w:t xml:space="preserve">. </w:t>
      </w:r>
      <w:proofErr w:type="spellStart"/>
      <w:r w:rsidRPr="00036CD3">
        <w:rPr>
          <w:sz w:val="16"/>
        </w:rPr>
        <w:t>Mearsheimer</w:t>
      </w:r>
      <w:proofErr w:type="spellEnd"/>
      <w:r w:rsidRPr="00036CD3">
        <w:rPr>
          <w:sz w:val="16"/>
        </w:rPr>
        <w:t xml:space="preserve"> is correct in observing that </w:t>
      </w:r>
      <w:r w:rsidRPr="000A4869">
        <w:rPr>
          <w:rStyle w:val="StyleUnderline"/>
        </w:rPr>
        <w:t>assessing motives can be difficult, but this does not mean that the task is impossible.</w:t>
      </w:r>
      <w:r w:rsidRPr="00036CD3">
        <w:rPr>
          <w:sz w:val="16"/>
        </w:rPr>
        <w:t xml:space="preserve"> </w:t>
      </w:r>
      <w:r w:rsidRPr="00036CD3">
        <w:rPr>
          <w:rStyle w:val="StyleUnderline"/>
          <w:highlight w:val="cyan"/>
        </w:rPr>
        <w:t>There clearly are ways</w:t>
      </w:r>
      <w:r>
        <w:rPr>
          <w:rStyle w:val="StyleUnderline"/>
        </w:rPr>
        <w:t xml:space="preserve"> of </w:t>
      </w:r>
      <w:r w:rsidRPr="00036CD3">
        <w:rPr>
          <w:rStyle w:val="StyleUnderline"/>
          <w:highlight w:val="cyan"/>
        </w:rPr>
        <w:t>finding</w:t>
      </w:r>
      <w:r>
        <w:rPr>
          <w:rStyle w:val="StyleUnderline"/>
        </w:rPr>
        <w:t xml:space="preserve"> out </w:t>
      </w:r>
      <w:r w:rsidRPr="00036CD3">
        <w:rPr>
          <w:rStyle w:val="StyleUnderline"/>
          <w:highlight w:val="cyan"/>
        </w:rPr>
        <w:t>information about</w:t>
      </w:r>
      <w:r>
        <w:rPr>
          <w:rStyle w:val="StyleUnderline"/>
        </w:rPr>
        <w:t xml:space="preserve"> the </w:t>
      </w:r>
      <w:r w:rsidRPr="00036CD3">
        <w:rPr>
          <w:rStyle w:val="StyleUnderline"/>
          <w:highlight w:val="cyan"/>
        </w:rPr>
        <w:t>goals of states and</w:t>
      </w:r>
      <w:r>
        <w:rPr>
          <w:rStyle w:val="StyleUnderline"/>
        </w:rPr>
        <w:t xml:space="preserve"> the </w:t>
      </w:r>
      <w:r w:rsidRPr="00036CD3">
        <w:rPr>
          <w:rStyle w:val="StyleUnderline"/>
          <w:highlight w:val="cyan"/>
        </w:rPr>
        <w:t>means</w:t>
      </w:r>
      <w:r>
        <w:rPr>
          <w:rStyle w:val="StyleUnderline"/>
        </w:rPr>
        <w:t xml:space="preserve"> with which they plan to achieve them</w:t>
      </w:r>
      <w:r w:rsidRPr="00CC4B63">
        <w:rPr>
          <w:rStyle w:val="StyleUnderline"/>
        </w:rPr>
        <w:t>. One of the most important roles of intelligence analysts, for example, is to determine state interests and expected behavior based on obtained information.</w:t>
      </w:r>
      <w:r w:rsidRPr="00036CD3">
        <w:rPr>
          <w:sz w:val="16"/>
        </w:rPr>
        <w:t xml:space="preserve"> </w:t>
      </w:r>
      <w:r>
        <w:rPr>
          <w:rStyle w:val="StyleUnderline"/>
        </w:rPr>
        <w:t xml:space="preserve">The </w:t>
      </w:r>
      <w:r w:rsidRPr="00036CD3">
        <w:rPr>
          <w:rStyle w:val="StyleUnderline"/>
          <w:highlight w:val="cyan"/>
        </w:rPr>
        <w:t>possibility</w:t>
      </w:r>
      <w:r>
        <w:rPr>
          <w:rStyle w:val="StyleUnderline"/>
        </w:rPr>
        <w:t xml:space="preserve"> that </w:t>
      </w:r>
      <w:r w:rsidRPr="00036CD3">
        <w:rPr>
          <w:rStyle w:val="StyleUnderline"/>
          <w:highlight w:val="cyan"/>
        </w:rPr>
        <w:t>information may be flawed should not lead to</w:t>
      </w:r>
      <w:r>
        <w:rPr>
          <w:rStyle w:val="StyleUnderline"/>
        </w:rPr>
        <w:t xml:space="preserve"> a </w:t>
      </w:r>
      <w:r w:rsidRPr="00036CD3">
        <w:rPr>
          <w:rStyle w:val="StyleUnderline"/>
          <w:highlight w:val="cyan"/>
        </w:rPr>
        <w:t>rejection</w:t>
      </w:r>
      <w:r>
        <w:rPr>
          <w:rStyle w:val="StyleUnderline"/>
        </w:rPr>
        <w:t xml:space="preserve"> of all information</w:t>
      </w:r>
      <w:r w:rsidRPr="00036CD3">
        <w:rPr>
          <w:sz w:val="16"/>
        </w:rPr>
        <w:t xml:space="preserve">. </w:t>
      </w:r>
      <w:r w:rsidRPr="00036CD3">
        <w:rPr>
          <w:rStyle w:val="StyleUnderline"/>
          <w:highlight w:val="cyan"/>
        </w:rPr>
        <w:t>People make decisions</w:t>
      </w:r>
      <w:r>
        <w:rPr>
          <w:rStyle w:val="StyleUnderline"/>
        </w:rPr>
        <w:t xml:space="preserve"> based </w:t>
      </w:r>
      <w:r w:rsidRPr="00036CD3">
        <w:rPr>
          <w:rStyle w:val="StyleUnderline"/>
          <w:highlight w:val="cyan"/>
        </w:rPr>
        <w:t>on less</w:t>
      </w:r>
      <w:r>
        <w:rPr>
          <w:rStyle w:val="StyleUnderline"/>
        </w:rPr>
        <w:t xml:space="preserve"> than </w:t>
      </w:r>
      <w:r w:rsidRPr="00036CD3">
        <w:rPr>
          <w:rStyle w:val="StyleUnderline"/>
          <w:highlight w:val="cyan"/>
        </w:rPr>
        <w:t>perfect knowledge all</w:t>
      </w:r>
      <w:r>
        <w:rPr>
          <w:rStyle w:val="StyleUnderline"/>
        </w:rPr>
        <w:t xml:space="preserve"> of </w:t>
      </w:r>
      <w:r w:rsidRPr="00036CD3">
        <w:rPr>
          <w:rStyle w:val="StyleUnderline"/>
          <w:highlight w:val="cyan"/>
        </w:rPr>
        <w:t>the time</w:t>
      </w:r>
      <w:r>
        <w:rPr>
          <w:rStyle w:val="StyleUnderline"/>
        </w:rPr>
        <w:t xml:space="preserve">. This ability to know motives extends to future motives, because </w:t>
      </w:r>
      <w:r w:rsidRPr="00036CD3">
        <w:rPr>
          <w:rStyle w:val="StyleUnderline"/>
          <w:highlight w:val="cyan"/>
        </w:rPr>
        <w:t xml:space="preserve">an analyst can use </w:t>
      </w:r>
      <w:r>
        <w:rPr>
          <w:rStyle w:val="StyleUnderline"/>
        </w:rPr>
        <w:t xml:space="preserve">information such as </w:t>
      </w:r>
      <w:r w:rsidRPr="00036CD3">
        <w:rPr>
          <w:rStyle w:val="StyleUnderline"/>
          <w:highlight w:val="cyan"/>
        </w:rPr>
        <w:t>historical trends to observe</w:t>
      </w:r>
      <w:r>
        <w:rPr>
          <w:rStyle w:val="StyleUnderline"/>
        </w:rPr>
        <w:t xml:space="preserve"> consistencies or constant </w:t>
      </w:r>
      <w:r w:rsidRPr="00036CD3">
        <w:rPr>
          <w:rStyle w:val="StyleUnderline"/>
          <w:highlight w:val="cyan"/>
        </w:rPr>
        <w:t>evolutions</w:t>
      </w:r>
      <w:r>
        <w:rPr>
          <w:rStyle w:val="StyleUnderline"/>
        </w:rPr>
        <w:t xml:space="preserve"> of motives</w:t>
      </w:r>
      <w:r w:rsidRPr="00036CD3">
        <w:rPr>
          <w:sz w:val="16"/>
        </w:rPr>
        <w:t xml:space="preserve">. Prediction of the future is necessarily less certain in its accuracy, but the </w:t>
      </w:r>
      <w:r w:rsidRPr="00036CD3">
        <w:rPr>
          <w:rStyle w:val="StyleUnderline"/>
          <w:highlight w:val="cyan"/>
        </w:rPr>
        <w:t>prediction can</w:t>
      </w:r>
      <w:r>
        <w:rPr>
          <w:rStyle w:val="StyleUnderline"/>
        </w:rPr>
        <w:t xml:space="preserve"> still </w:t>
      </w:r>
      <w:r w:rsidRPr="00036CD3">
        <w:rPr>
          <w:rStyle w:val="StyleUnderline"/>
          <w:highlight w:val="cyan"/>
        </w:rPr>
        <w:t>be made</w:t>
      </w:r>
      <w:r w:rsidRPr="00036CD3">
        <w:rPr>
          <w:sz w:val="16"/>
        </w:rPr>
        <w:t>.104</w:t>
      </w:r>
      <w:r w:rsidRPr="00036CD3">
        <w:rPr>
          <w:sz w:val="12"/>
        </w:rPr>
        <w:t>¶</w:t>
      </w:r>
      <w:r w:rsidRPr="00036CD3">
        <w:rPr>
          <w:sz w:val="16"/>
        </w:rPr>
        <w:t xml:space="preserve"> </w:t>
      </w:r>
      <w:proofErr w:type="gramStart"/>
      <w:r w:rsidRPr="00036CD3">
        <w:rPr>
          <w:sz w:val="16"/>
        </w:rPr>
        <w:t>Second</w:t>
      </w:r>
      <w:proofErr w:type="gramEnd"/>
      <w:r w:rsidRPr="00036CD3">
        <w:rPr>
          <w:sz w:val="16"/>
        </w:rPr>
        <w:t xml:space="preserve">, </w:t>
      </w:r>
      <w:r>
        <w:rPr>
          <w:rStyle w:val="StyleUnderline"/>
        </w:rPr>
        <w:t>even if there is still some uncertainty of motives, the rational response is not to assume absolute aggression</w:t>
      </w:r>
      <w:r w:rsidRPr="00C93365">
        <w:rPr>
          <w:rStyle w:val="StyleUnderline"/>
        </w:rPr>
        <w:t xml:space="preserve">. Assuming aggressive motive in a situation of uncertainty ignites the security dilemma, which could actually decrease a state’s security. </w:t>
      </w:r>
      <w:proofErr w:type="spellStart"/>
      <w:r w:rsidRPr="00C93365">
        <w:rPr>
          <w:rStyle w:val="StyleUnderline"/>
        </w:rPr>
        <w:t>Mearsheimer</w:t>
      </w:r>
      <w:proofErr w:type="spellEnd"/>
      <w:r w:rsidRPr="00C93365">
        <w:rPr>
          <w:rStyle w:val="StyleUnderline"/>
        </w:rPr>
        <w:t xml:space="preserve"> calls this tragic, but it is not necessary</w:t>
      </w:r>
      <w:r w:rsidRPr="00036CD3">
        <w:rPr>
          <w:sz w:val="16"/>
        </w:rPr>
        <w:t xml:space="preserve">. An illustrative example is </w:t>
      </w:r>
      <w:proofErr w:type="spellStart"/>
      <w:r w:rsidRPr="00036CD3">
        <w:rPr>
          <w:sz w:val="16"/>
        </w:rPr>
        <w:t>Mearsheimer’s</w:t>
      </w:r>
      <w:proofErr w:type="spellEnd"/>
      <w:r w:rsidRPr="00036CD3">
        <w:rPr>
          <w:sz w:val="16"/>
        </w:rPr>
        <w:t xml:space="preserve"> analysis of the German security situation were the United States to withdraw its military protection. </w:t>
      </w:r>
      <w:proofErr w:type="spellStart"/>
      <w:r w:rsidRPr="00036CD3">
        <w:rPr>
          <w:sz w:val="16"/>
        </w:rPr>
        <w:t>Mearsheimer</w:t>
      </w:r>
      <w:proofErr w:type="spellEnd"/>
      <w:r w:rsidRPr="00036CD3">
        <w:rPr>
          <w:sz w:val="16"/>
        </w:rPr>
        <w:t xml:space="preserve"> argues that it would be rational for Germany to develop nuclear weapons, since these weapons would provide a deterrent, and it would also be rational for nuclear European powers to wage a preemptive war against Germany to prevent it from developing a nuclear deterrent. 105 This scenario is not rational for either side because it ignores motives. If Germany knows that other states will attack if it were to develop nuclear weapons, then it would not be rational for it to develop nuclear weapons. And if other states know that Germany’s development of nuclear weapons is only as a deterrent, then it would not be rational to prevent German nuclear development. The point is that </w:t>
      </w:r>
      <w:r w:rsidRPr="00036CD3">
        <w:rPr>
          <w:rStyle w:val="StyleUnderline"/>
          <w:highlight w:val="cyan"/>
        </w:rPr>
        <w:t>the security dilemma exists because of</w:t>
      </w:r>
      <w:r>
        <w:rPr>
          <w:rStyle w:val="StyleUnderline"/>
        </w:rPr>
        <w:t xml:space="preserve"> a </w:t>
      </w:r>
      <w:r w:rsidRPr="00036CD3">
        <w:rPr>
          <w:rStyle w:val="StyleUnderline"/>
          <w:highlight w:val="cyan"/>
        </w:rPr>
        <w:t>lack of motivational knowledge, so the proper response is</w:t>
      </w:r>
      <w:r>
        <w:rPr>
          <w:rStyle w:val="StyleUnderline"/>
        </w:rPr>
        <w:t xml:space="preserve"> to try </w:t>
      </w:r>
      <w:r w:rsidRPr="00036CD3">
        <w:rPr>
          <w:rStyle w:val="StyleUnderline"/>
          <w:highlight w:val="cyan"/>
        </w:rPr>
        <w:t>to enhance understanding</w:t>
      </w:r>
      <w:r>
        <w:rPr>
          <w:rStyle w:val="StyleUnderline"/>
        </w:rPr>
        <w:t xml:space="preserve"> of motives, </w:t>
      </w:r>
      <w:r w:rsidRPr="00036CD3">
        <w:rPr>
          <w:rStyle w:val="StyleUnderline"/>
          <w:highlight w:val="cyan"/>
        </w:rPr>
        <w:t>not discard</w:t>
      </w:r>
      <w:r>
        <w:rPr>
          <w:rStyle w:val="StyleUnderline"/>
        </w:rPr>
        <w:t xml:space="preserve"> motivational </w:t>
      </w:r>
      <w:r w:rsidRPr="00036CD3">
        <w:rPr>
          <w:rStyle w:val="StyleUnderline"/>
          <w:highlight w:val="cyan"/>
        </w:rPr>
        <w:t>knowledge altogether</w:t>
      </w:r>
      <w:r w:rsidRPr="00036CD3">
        <w:rPr>
          <w:sz w:val="16"/>
        </w:rPr>
        <w:t xml:space="preserve">. Misperception is certainly a problem in international politics, but reducing </w:t>
      </w:r>
      <w:r>
        <w:rPr>
          <w:rStyle w:val="StyleUnderline"/>
        </w:rPr>
        <w:t>misperception would allow states to better conform to defensive realist logic, which results in preferable outcomes relative to offensive realism</w:t>
      </w:r>
      <w:r w:rsidRPr="00036CD3">
        <w:rPr>
          <w:sz w:val="16"/>
        </w:rPr>
        <w:t>. 106</w:t>
      </w:r>
      <w:r w:rsidRPr="00036CD3">
        <w:rPr>
          <w:sz w:val="12"/>
        </w:rPr>
        <w:t>¶</w:t>
      </w:r>
      <w:r w:rsidRPr="00036CD3">
        <w:rPr>
          <w:sz w:val="16"/>
        </w:rPr>
        <w:t xml:space="preserve"> </w:t>
      </w:r>
      <w:r w:rsidRPr="00036CD3">
        <w:rPr>
          <w:rStyle w:val="StyleUnderline"/>
          <w:highlight w:val="cyan"/>
        </w:rPr>
        <w:t>Assessing motives is vital in the case of</w:t>
      </w:r>
      <w:r>
        <w:rPr>
          <w:rStyle w:val="StyleUnderline"/>
        </w:rPr>
        <w:t xml:space="preserve"> the rise of </w:t>
      </w:r>
      <w:r w:rsidRPr="00036CD3">
        <w:rPr>
          <w:rStyle w:val="StyleUnderline"/>
          <w:highlight w:val="cyan"/>
        </w:rPr>
        <w:t>China</w:t>
      </w:r>
      <w:r>
        <w:rPr>
          <w:rStyle w:val="StyleUnderline"/>
        </w:rPr>
        <w:t>, because mutually preferable outcomes can be achieved</w:t>
      </w:r>
      <w:r w:rsidRPr="00036CD3">
        <w:rPr>
          <w:sz w:val="16"/>
        </w:rPr>
        <w:t xml:space="preserve"> § Marked 19:56 § if </w:t>
      </w:r>
      <w:r w:rsidRPr="000A4869">
        <w:rPr>
          <w:rStyle w:val="StyleUnderline"/>
        </w:rPr>
        <w:t>China is not an aggressive power, as offensive realism would have to assume, but is actually a status quo power with aims that have limited effect on the security of the U.S. and other potentially affected countries.</w:t>
      </w:r>
      <w:r w:rsidRPr="00036CD3">
        <w:rPr>
          <w:sz w:val="16"/>
        </w:rPr>
        <w:t xml:space="preserve"> I do not mean here to claim with certainty that China is and will always be a status quo power, and </w:t>
      </w:r>
      <w:r>
        <w:rPr>
          <w:rStyle w:val="StyleUnderline"/>
        </w:rPr>
        <w:t>policymakers likely have access to more intentional information than what is publicly known</w:t>
      </w:r>
      <w:r w:rsidRPr="00036CD3">
        <w:rPr>
          <w:sz w:val="16"/>
        </w:rPr>
        <w:t xml:space="preserve">. </w:t>
      </w:r>
      <w:r>
        <w:rPr>
          <w:rStyle w:val="StyleUnderline"/>
        </w:rPr>
        <w:t xml:space="preserve">At the very least, </w:t>
      </w:r>
      <w:r w:rsidRPr="00036CD3">
        <w:rPr>
          <w:rStyle w:val="StyleUnderline"/>
          <w:highlight w:val="cyan"/>
        </w:rPr>
        <w:t>valuing motivational assessments empowers policymakers to act</w:t>
      </w:r>
      <w:r>
        <w:rPr>
          <w:rStyle w:val="StyleUnderline"/>
        </w:rPr>
        <w:t xml:space="preserve"> on this knowledge, which is preferable because of the possibility of </w:t>
      </w:r>
      <w:r w:rsidRPr="00036CD3">
        <w:rPr>
          <w:rStyle w:val="Emphasis"/>
          <w:highlight w:val="cyan"/>
        </w:rPr>
        <w:t>reducing</w:t>
      </w:r>
      <w:r>
        <w:rPr>
          <w:rStyle w:val="Emphasis"/>
        </w:rPr>
        <w:t xml:space="preserve"> competition and </w:t>
      </w:r>
      <w:r w:rsidRPr="00036CD3">
        <w:rPr>
          <w:rStyle w:val="Emphasis"/>
          <w:highlight w:val="cyan"/>
        </w:rPr>
        <w:t>conflict.</w:t>
      </w:r>
    </w:p>
    <w:p w:rsidR="00BC16F8" w:rsidRDefault="00BC16F8" w:rsidP="00BC16F8">
      <w:pPr>
        <w:pStyle w:val="Heading4"/>
      </w:pPr>
      <w:r>
        <w:t>Assuming</w:t>
      </w:r>
      <w:r>
        <w:t xml:space="preserve"> that China’s intentions and perceptions are unknowable makes conflict inevitable—only </w:t>
      </w:r>
      <w:r w:rsidRPr="00300353">
        <w:rPr>
          <w:u w:val="single"/>
        </w:rPr>
        <w:t>knowledge about China</w:t>
      </w:r>
      <w:r>
        <w:t xml:space="preserve"> solves.</w:t>
      </w:r>
    </w:p>
    <w:p w:rsidR="00BC16F8" w:rsidRDefault="00BC16F8" w:rsidP="00BC16F8">
      <w:proofErr w:type="spellStart"/>
      <w:r w:rsidRPr="003F6862">
        <w:rPr>
          <w:rStyle w:val="Style13ptBold"/>
        </w:rPr>
        <w:t>Gries</w:t>
      </w:r>
      <w:proofErr w:type="spellEnd"/>
      <w:r w:rsidRPr="003F6862">
        <w:rPr>
          <w:rStyle w:val="Style13ptBold"/>
        </w:rPr>
        <w:t xml:space="preserve"> 9</w:t>
      </w:r>
      <w:r>
        <w:t xml:space="preserve"> [Peter Hays </w:t>
      </w:r>
      <w:proofErr w:type="spellStart"/>
      <w:r>
        <w:t>Gries</w:t>
      </w:r>
      <w:proofErr w:type="spellEnd"/>
      <w:r>
        <w:t xml:space="preserve"> is the Harold J. &amp; Ruth Newman Chair and Director of the Institute for U.S.-China Issues at the University of Oklahoma. His many publications include China’s New Nationalism: Pride, Politics, and Diplomacy (University of California Press, 2004)</w:t>
      </w:r>
      <w:proofErr w:type="gramStart"/>
      <w:r>
        <w:t>..</w:t>
      </w:r>
      <w:proofErr w:type="gramEnd"/>
      <w:r>
        <w:t xml:space="preserve"> "Problems of Misperception in US-China Relations." </w:t>
      </w:r>
      <w:proofErr w:type="spellStart"/>
      <w:r>
        <w:t>Orbis</w:t>
      </w:r>
      <w:proofErr w:type="spellEnd"/>
      <w:r>
        <w:t xml:space="preserve"> 53.2 (2009): 220-232.] </w:t>
      </w:r>
      <w:r>
        <w:t>7/25/2016</w:t>
      </w:r>
    </w:p>
    <w:p w:rsidR="00BC16F8" w:rsidRDefault="00BC16F8" w:rsidP="00BC16F8">
      <w:r>
        <w:t xml:space="preserve">Political party affiliation has a similar impact. Overall, Republicans held much more negative views of China and preferred tougher China policies than did Democrats. Furthermore, using multiple regressions we were able to control for alternative explanations such as education/income, gender, and age, finding that while these variables had some </w:t>
      </w:r>
      <w:r w:rsidRPr="00300353">
        <w:t>impact on American views of China</w:t>
      </w:r>
      <w:r>
        <w:t xml:space="preserve">, their impact was negligible compared to the impact of political ideology. Political </w:t>
      </w:r>
      <w:r w:rsidRPr="00300353">
        <w:rPr>
          <w:rStyle w:val="StyleUnderline"/>
          <w:highlight w:val="yellow"/>
        </w:rPr>
        <w:t>ideology</w:t>
      </w:r>
      <w:r>
        <w:t xml:space="preserve">, in short, </w:t>
      </w:r>
      <w:r w:rsidRPr="00300353">
        <w:rPr>
          <w:rStyle w:val="StyleUnderline"/>
          <w:highlight w:val="yellow"/>
        </w:rPr>
        <w:t>has</w:t>
      </w:r>
      <w:r w:rsidRPr="00300353">
        <w:rPr>
          <w:rStyle w:val="StyleUnderline"/>
        </w:rPr>
        <w:t xml:space="preserve"> a clear </w:t>
      </w:r>
      <w:r w:rsidRPr="00300353">
        <w:rPr>
          <w:rStyle w:val="StyleUnderline"/>
          <w:highlight w:val="yellow"/>
        </w:rPr>
        <w:t>impact on the way</w:t>
      </w:r>
      <w:r w:rsidRPr="00300353">
        <w:rPr>
          <w:rStyle w:val="StyleUnderline"/>
        </w:rPr>
        <w:t xml:space="preserve">s that </w:t>
      </w:r>
      <w:r w:rsidRPr="00300353">
        <w:rPr>
          <w:rStyle w:val="StyleUnderline"/>
          <w:highlight w:val="yellow"/>
        </w:rPr>
        <w:t>Americans perceive China</w:t>
      </w:r>
      <w:r>
        <w:t xml:space="preserve">, likely </w:t>
      </w:r>
      <w:r w:rsidRPr="00300353">
        <w:rPr>
          <w:rStyle w:val="StyleUnderline"/>
          <w:highlight w:val="yellow"/>
        </w:rPr>
        <w:t xml:space="preserve">compensating for </w:t>
      </w:r>
      <w:r w:rsidRPr="00300353">
        <w:rPr>
          <w:rStyle w:val="Emphasis"/>
          <w:highlight w:val="yellow"/>
        </w:rPr>
        <w:t>a lack of knowledge about China.</w:t>
      </w:r>
    </w:p>
    <w:p w:rsidR="00BC16F8" w:rsidRDefault="00BC16F8" w:rsidP="00BC16F8">
      <w:r>
        <w:t>Misperception in international relations theory</w:t>
      </w:r>
    </w:p>
    <w:p w:rsidR="00BC16F8" w:rsidRDefault="00BC16F8" w:rsidP="00BC16F8">
      <w:r w:rsidRPr="00300353">
        <w:rPr>
          <w:rStyle w:val="StyleUnderline"/>
          <w:highlight w:val="yellow"/>
        </w:rPr>
        <w:t>Mainstream</w:t>
      </w:r>
      <w:r w:rsidRPr="00300353">
        <w:rPr>
          <w:rStyle w:val="StyleUnderline"/>
        </w:rPr>
        <w:t xml:space="preserve"> </w:t>
      </w:r>
      <w:r w:rsidRPr="00300353">
        <w:rPr>
          <w:rStyle w:val="StyleUnderline"/>
          <w:highlight w:val="yellow"/>
        </w:rPr>
        <w:t>i</w:t>
      </w:r>
      <w:r w:rsidRPr="00300353">
        <w:rPr>
          <w:rStyle w:val="StyleUnderline"/>
        </w:rPr>
        <w:t xml:space="preserve">nternational </w:t>
      </w:r>
      <w:r w:rsidRPr="00300353">
        <w:rPr>
          <w:rStyle w:val="StyleUnderline"/>
          <w:highlight w:val="yellow"/>
        </w:rPr>
        <w:t>r</w:t>
      </w:r>
      <w:r w:rsidRPr="00300353">
        <w:rPr>
          <w:rStyle w:val="StyleUnderline"/>
        </w:rPr>
        <w:t xml:space="preserve">elations </w:t>
      </w:r>
      <w:r w:rsidRPr="00665BA0">
        <w:rPr>
          <w:rStyle w:val="StyleUnderline"/>
          <w:highlight w:val="yellow"/>
        </w:rPr>
        <w:t>theory</w:t>
      </w:r>
      <w:r w:rsidRPr="00300353">
        <w:rPr>
          <w:rStyle w:val="StyleUnderline"/>
        </w:rPr>
        <w:t xml:space="preserve"> largely </w:t>
      </w:r>
      <w:r w:rsidRPr="00665BA0">
        <w:rPr>
          <w:rStyle w:val="StyleUnderline"/>
          <w:highlight w:val="yellow"/>
        </w:rPr>
        <w:t>dismisses</w:t>
      </w:r>
      <w:r w:rsidRPr="00300353">
        <w:rPr>
          <w:rStyle w:val="StyleUnderline"/>
        </w:rPr>
        <w:t xml:space="preserve"> the possibility of ever </w:t>
      </w:r>
      <w:r w:rsidRPr="00665BA0">
        <w:rPr>
          <w:rStyle w:val="StyleUnderline"/>
          <w:highlight w:val="yellow"/>
        </w:rPr>
        <w:t>understanding the role of perceptions and intentions</w:t>
      </w:r>
      <w:r w:rsidRPr="00300353">
        <w:rPr>
          <w:rStyle w:val="StyleUnderline"/>
        </w:rPr>
        <w:t xml:space="preserve"> in international affairs.</w:t>
      </w:r>
      <w:r>
        <w:t xml:space="preserve"> For instance, ‘‘offensive realists’’ like John </w:t>
      </w:r>
      <w:proofErr w:type="spellStart"/>
      <w:r>
        <w:t>Mearsheimer</w:t>
      </w:r>
      <w:proofErr w:type="spellEnd"/>
      <w:r>
        <w:t xml:space="preserve"> contend that since there is no way to know the intentions that drive other states, the only thing a rational state can do is to build up its military capabilities and prepare for the worst.17 Thus </w:t>
      </w:r>
      <w:r w:rsidRPr="00300353">
        <w:rPr>
          <w:rStyle w:val="StyleUnderline"/>
        </w:rPr>
        <w:t xml:space="preserve">according to </w:t>
      </w:r>
      <w:proofErr w:type="spellStart"/>
      <w:r w:rsidRPr="00300353">
        <w:rPr>
          <w:rStyle w:val="StyleUnderline"/>
        </w:rPr>
        <w:t>Mearsheimer</w:t>
      </w:r>
      <w:proofErr w:type="spellEnd"/>
      <w:r w:rsidRPr="00300353">
        <w:rPr>
          <w:rStyle w:val="StyleUnderline"/>
        </w:rPr>
        <w:t xml:space="preserve">, the ‘‘tragedy of world politics’’ is that </w:t>
      </w:r>
      <w:r w:rsidRPr="00665BA0">
        <w:rPr>
          <w:rStyle w:val="Emphasis"/>
          <w:highlight w:val="yellow"/>
        </w:rPr>
        <w:t>conflict is inevitable because other state’s intentions and views are unknowable</w:t>
      </w:r>
      <w:r w:rsidRPr="00665BA0">
        <w:rPr>
          <w:rStyle w:val="StyleUnderline"/>
          <w:highlight w:val="yellow"/>
        </w:rPr>
        <w:t>.</w:t>
      </w:r>
      <w:r w:rsidRPr="00665BA0">
        <w:rPr>
          <w:rStyle w:val="StyleUnderline"/>
        </w:rPr>
        <w:t xml:space="preserve"> </w:t>
      </w:r>
      <w:r w:rsidRPr="00665BA0">
        <w:rPr>
          <w:rStyle w:val="StyleUnderline"/>
          <w:highlight w:val="yellow"/>
        </w:rPr>
        <w:t>On the contrary</w:t>
      </w:r>
      <w:r w:rsidRPr="00665BA0">
        <w:rPr>
          <w:highlight w:val="yellow"/>
        </w:rPr>
        <w:t>,</w:t>
      </w:r>
      <w:r w:rsidRPr="00665BA0">
        <w:t xml:space="preserve"> I believe that </w:t>
      </w:r>
      <w:r w:rsidRPr="00665BA0">
        <w:rPr>
          <w:rStyle w:val="StyleUnderline"/>
        </w:rPr>
        <w:t>one tragedy of world politics is the failure of scholars and diplomats alike to systematically seek understanding of how others view the world</w:t>
      </w:r>
      <w:r w:rsidRPr="00665BA0">
        <w:t>,</w:t>
      </w:r>
      <w:r>
        <w:t xml:space="preserve"> allowing misperceptions and conflicts to fester. As Robert Jervis argued in his 1976 classic, Perception and Misperception in International Politics, ‘‘</w:t>
      </w:r>
      <w:r w:rsidRPr="00947431">
        <w:rPr>
          <w:rStyle w:val="StyleUnderline"/>
          <w:highlight w:val="yellow"/>
        </w:rPr>
        <w:t>Perceptions of the world and of other actors diverge from reality in patterns</w:t>
      </w:r>
      <w:r w:rsidRPr="00947431">
        <w:rPr>
          <w:rStyle w:val="StyleUnderline"/>
        </w:rPr>
        <w:t xml:space="preserve"> </w:t>
      </w:r>
      <w:r w:rsidRPr="00665BA0">
        <w:rPr>
          <w:rStyle w:val="Emphasis"/>
          <w:highlight w:val="yellow"/>
        </w:rPr>
        <w:t>that we can detect and for reasons that we can understand.’</w:t>
      </w:r>
      <w:r w:rsidRPr="00300353">
        <w:rPr>
          <w:rStyle w:val="Emphasis"/>
        </w:rPr>
        <w:t>’</w:t>
      </w:r>
      <w:r>
        <w:t>18 I believe that the survey and experimental research presented above demonstrate that the scientific study of patterns of misperception is not only possible, but is urgently needed.</w:t>
      </w:r>
    </w:p>
    <w:p w:rsidR="00BC16F8" w:rsidRDefault="00BC16F8" w:rsidP="00BC16F8">
      <w:pPr>
        <w:rPr>
          <w:rStyle w:val="Emphasis"/>
        </w:rPr>
      </w:pPr>
      <w:r>
        <w:t>The challenges of studying perception and misperception in U.S</w:t>
      </w:r>
      <w:proofErr w:type="gramStart"/>
      <w:r>
        <w:t>.-</w:t>
      </w:r>
      <w:proofErr w:type="gramEnd"/>
      <w:r>
        <w:t xml:space="preserve"> China relations are daunting, but </w:t>
      </w:r>
      <w:r w:rsidRPr="00665BA0">
        <w:rPr>
          <w:rStyle w:val="Emphasis"/>
          <w:highlight w:val="yellow"/>
        </w:rPr>
        <w:t>they must be overcome if we are to avoid another U.S.-China conflict</w:t>
      </w:r>
      <w:r w:rsidRPr="00665BA0">
        <w:rPr>
          <w:rStyle w:val="StyleUnderline"/>
          <w:highlight w:val="yellow"/>
        </w:rPr>
        <w:t>. China and the U</w:t>
      </w:r>
      <w:r w:rsidRPr="00300353">
        <w:rPr>
          <w:rStyle w:val="StyleUnderline"/>
        </w:rPr>
        <w:t xml:space="preserve">nited </w:t>
      </w:r>
      <w:r w:rsidRPr="00665BA0">
        <w:rPr>
          <w:rStyle w:val="StyleUnderline"/>
          <w:highlight w:val="yellow"/>
        </w:rPr>
        <w:t>S</w:t>
      </w:r>
      <w:r w:rsidRPr="00300353">
        <w:rPr>
          <w:rStyle w:val="StyleUnderline"/>
        </w:rPr>
        <w:t xml:space="preserve">tates </w:t>
      </w:r>
      <w:r w:rsidRPr="00665BA0">
        <w:rPr>
          <w:rStyle w:val="StyleUnderline"/>
          <w:highlight w:val="yellow"/>
        </w:rPr>
        <w:t>fought twice in the</w:t>
      </w:r>
      <w:r w:rsidRPr="00300353">
        <w:rPr>
          <w:rStyle w:val="StyleUnderline"/>
        </w:rPr>
        <w:t xml:space="preserve"> </w:t>
      </w:r>
      <w:r w:rsidRPr="00665BA0">
        <w:rPr>
          <w:rStyle w:val="StyleUnderline"/>
          <w:highlight w:val="yellow"/>
        </w:rPr>
        <w:t>lat</w:t>
      </w:r>
      <w:r w:rsidRPr="00300353">
        <w:rPr>
          <w:rStyle w:val="StyleUnderline"/>
        </w:rPr>
        <w:t>t</w:t>
      </w:r>
      <w:r w:rsidRPr="00665BA0">
        <w:rPr>
          <w:rStyle w:val="StyleUnderline"/>
          <w:highlight w:val="yellow"/>
        </w:rPr>
        <w:t>e</w:t>
      </w:r>
      <w:r w:rsidRPr="00300353">
        <w:rPr>
          <w:rStyle w:val="StyleUnderline"/>
        </w:rPr>
        <w:t xml:space="preserve">r half of the </w:t>
      </w:r>
      <w:r w:rsidRPr="00665BA0">
        <w:rPr>
          <w:rStyle w:val="StyleUnderline"/>
          <w:highlight w:val="yellow"/>
        </w:rPr>
        <w:t>twentieth century, and the U</w:t>
      </w:r>
      <w:r w:rsidRPr="00300353">
        <w:rPr>
          <w:rStyle w:val="StyleUnderline"/>
        </w:rPr>
        <w:t xml:space="preserve">nited </w:t>
      </w:r>
      <w:r w:rsidRPr="00665BA0">
        <w:rPr>
          <w:rStyle w:val="StyleUnderline"/>
          <w:highlight w:val="yellow"/>
        </w:rPr>
        <w:t>S</w:t>
      </w:r>
      <w:r w:rsidRPr="00300353">
        <w:rPr>
          <w:rStyle w:val="StyleUnderline"/>
        </w:rPr>
        <w:t xml:space="preserve">tates </w:t>
      </w:r>
      <w:r w:rsidRPr="00665BA0">
        <w:rPr>
          <w:rStyle w:val="StyleUnderline"/>
          <w:highlight w:val="yellow"/>
        </w:rPr>
        <w:t>could easily be dragged into another conflict</w:t>
      </w:r>
      <w:r w:rsidRPr="00300353">
        <w:rPr>
          <w:rStyle w:val="StyleUnderline"/>
        </w:rPr>
        <w:t xml:space="preserve"> involving either China and Taiwan or China and Japan. </w:t>
      </w:r>
      <w:r>
        <w:t xml:space="preserve">While that probability is low, </w:t>
      </w:r>
      <w:r w:rsidRPr="00665BA0">
        <w:rPr>
          <w:rStyle w:val="Emphasis"/>
          <w:highlight w:val="yellow"/>
        </w:rPr>
        <w:t>the stakes are too high to simply cover our eyes and hope for the best.</w:t>
      </w:r>
      <w:r w:rsidRPr="00300353">
        <w:rPr>
          <w:rStyle w:val="Emphasis"/>
        </w:rPr>
        <w:t xml:space="preserve"> </w:t>
      </w:r>
    </w:p>
    <w:p w:rsidR="00AB2603" w:rsidRDefault="00AB2603" w:rsidP="00AB2603">
      <w:pPr>
        <w:pStyle w:val="Heading2"/>
      </w:pPr>
      <w:r>
        <w:t>Knowing Whiteness</w:t>
      </w:r>
    </w:p>
    <w:p w:rsidR="00AB2603" w:rsidRPr="000750A7" w:rsidRDefault="00AB2603" w:rsidP="00AB2603">
      <w:pPr>
        <w:pStyle w:val="Heading4"/>
        <w:rPr>
          <w:rStyle w:val="Style13ptBold"/>
          <w:b/>
        </w:rPr>
      </w:pPr>
      <w:r w:rsidRPr="000750A7">
        <w:t xml:space="preserve">Anti-blackness is contingent not quotidian and their discourse is </w:t>
      </w:r>
      <w:proofErr w:type="spellStart"/>
      <w:r w:rsidRPr="000750A7">
        <w:t>self fulfilling</w:t>
      </w:r>
      <w:proofErr w:type="spellEnd"/>
      <w:r>
        <w:t>.</w:t>
      </w:r>
    </w:p>
    <w:p w:rsidR="00AB2603" w:rsidRPr="000750A7" w:rsidRDefault="00AB2603" w:rsidP="00AB2603">
      <w:r w:rsidRPr="000750A7">
        <w:rPr>
          <w:rStyle w:val="Style13ptBold"/>
        </w:rPr>
        <w:t>Hudson 13</w:t>
      </w:r>
      <w:r w:rsidRPr="000750A7">
        <w:t xml:space="preserve"> - Political Studies Department, University of the Witwatersrand, Johannesburg , South Africa, has been on the editorial board of the Africa Perspective: The South African Journal of Sociology and </w:t>
      </w:r>
      <w:proofErr w:type="spellStart"/>
      <w:r w:rsidRPr="000750A7">
        <w:t>Theoria</w:t>
      </w:r>
      <w:proofErr w:type="spellEnd"/>
      <w:r w:rsidRPr="000750A7">
        <w:t>: A Journal of Political and Social Theory and Transformation, and is a member of the Johannesburg Workshop in Theory and Criticism</w:t>
      </w:r>
      <w:r>
        <w:t xml:space="preserve"> </w:t>
      </w:r>
      <w:r w:rsidRPr="00C853B3">
        <w:t>//</w:t>
      </w:r>
      <w:proofErr w:type="spellStart"/>
      <w:r w:rsidRPr="00C853B3">
        <w:t>ak</w:t>
      </w:r>
      <w:proofErr w:type="spellEnd"/>
    </w:p>
    <w:p w:rsidR="00AB2603" w:rsidRPr="000750A7" w:rsidRDefault="00AB2603" w:rsidP="00AB2603">
      <w:r w:rsidRPr="000750A7">
        <w:t>(Peter, “The state and the colonial unconscious,” Social Dynamics: A journal of African studies)</w:t>
      </w:r>
    </w:p>
    <w:p w:rsidR="00AB2603" w:rsidRDefault="00AB2603" w:rsidP="00AB2603">
      <w:pPr>
        <w:rPr>
          <w:rStyle w:val="StyleUnderline"/>
        </w:rPr>
      </w:pPr>
      <w:r w:rsidRPr="000750A7">
        <w:rPr>
          <w:sz w:val="12"/>
        </w:rPr>
        <w:t xml:space="preserve">“The black man is not. Any more than the white man.” (Fanon 1968, 165) Fundamentally, for Fanon, </w:t>
      </w:r>
      <w:r w:rsidRPr="000750A7">
        <w:rPr>
          <w:rStyle w:val="StyleUnderline"/>
          <w:highlight w:val="cyan"/>
        </w:rPr>
        <w:t>colonialism is about the construction of white subjects and black subjects – these are in no sense necessary identities (as racist discourse claims</w:t>
      </w:r>
      <w:r w:rsidRPr="000750A7">
        <w:rPr>
          <w:sz w:val="12"/>
        </w:rPr>
        <w:t xml:space="preserve">). Secondly, flowing from this, </w:t>
      </w:r>
      <w:r w:rsidRPr="000750A7">
        <w:rPr>
          <w:rStyle w:val="StyleUnderline"/>
          <w:highlight w:val="cyan"/>
        </w:rPr>
        <w:t xml:space="preserve">there is no foundation to colonialism: it doesn’t rest on Man or History, it is just a </w:t>
      </w:r>
      <w:r w:rsidRPr="000750A7">
        <w:rPr>
          <w:rStyle w:val="Emphasis"/>
          <w:highlight w:val="cyan"/>
        </w:rPr>
        <w:t>contingent social relation</w:t>
      </w:r>
      <w:r w:rsidRPr="000750A7">
        <w:rPr>
          <w:sz w:val="12"/>
        </w:rPr>
        <w:t xml:space="preserve"> – a differential (over-determined) relation, which it’s got to be if it is a contingent construction that can be transformed and replaced. </w:t>
      </w:r>
      <w:r w:rsidRPr="000750A7">
        <w:rPr>
          <w:rStyle w:val="StyleUnderline"/>
          <w:highlight w:val="cyan"/>
        </w:rPr>
        <w:t>Neither white nor black has value independently of their relationship</w:t>
      </w:r>
      <w:r w:rsidRPr="000750A7">
        <w:rPr>
          <w:sz w:val="12"/>
        </w:rPr>
        <w:t xml:space="preserve"> – white is the difference between it and black, and vice versa. The whiteness of white, where “whiteness” = “brimming with identity self-</w:t>
      </w:r>
      <w:proofErr w:type="spellStart"/>
      <w:r w:rsidRPr="000750A7">
        <w:rPr>
          <w:sz w:val="12"/>
        </w:rPr>
        <w:t>posses</w:t>
      </w:r>
      <w:proofErr w:type="spellEnd"/>
      <w:r w:rsidRPr="000750A7">
        <w:rPr>
          <w:sz w:val="12"/>
        </w:rPr>
        <w:t xml:space="preserve">- </w:t>
      </w:r>
      <w:proofErr w:type="spellStart"/>
      <w:proofErr w:type="gramStart"/>
      <w:r w:rsidRPr="000750A7">
        <w:rPr>
          <w:sz w:val="12"/>
        </w:rPr>
        <w:t>sion</w:t>
      </w:r>
      <w:proofErr w:type="spellEnd"/>
      <w:proofErr w:type="gramEnd"/>
      <w:r w:rsidRPr="000750A7">
        <w:rPr>
          <w:sz w:val="12"/>
        </w:rPr>
        <w:t xml:space="preserve"> and sovereignty” depends on the blackness of black, where ‘blackness’ = without identity and self-control. Colonialism satisfies the conditions of a signifying dyad in that its elements (</w:t>
      </w:r>
      <w:proofErr w:type="spellStart"/>
      <w:r w:rsidRPr="000750A7">
        <w:rPr>
          <w:rStyle w:val="StyleUnderline"/>
        </w:rPr>
        <w:t>coloniser</w:t>
      </w:r>
      <w:proofErr w:type="spellEnd"/>
      <w:r w:rsidRPr="000750A7">
        <w:rPr>
          <w:rStyle w:val="StyleUnderline"/>
        </w:rPr>
        <w:t xml:space="preserve"> and </w:t>
      </w:r>
      <w:proofErr w:type="spellStart"/>
      <w:r w:rsidRPr="000750A7">
        <w:rPr>
          <w:rStyle w:val="StyleUnderline"/>
        </w:rPr>
        <w:t>colonised</w:t>
      </w:r>
      <w:proofErr w:type="spellEnd"/>
      <w:r w:rsidRPr="000750A7">
        <w:rPr>
          <w:rStyle w:val="StyleUnderline"/>
        </w:rPr>
        <w:t xml:space="preserve">) </w:t>
      </w:r>
      <w:r w:rsidRPr="000750A7">
        <w:rPr>
          <w:rStyle w:val="StyleUnderline"/>
          <w:highlight w:val="cyan"/>
        </w:rPr>
        <w:t>do not exist independently of the relations into which they enter and through which they determine each other reciprocally</w:t>
      </w:r>
      <w:r w:rsidRPr="000750A7">
        <w:rPr>
          <w:sz w:val="12"/>
        </w:rPr>
        <w:t xml:space="preserve"> (</w:t>
      </w:r>
      <w:proofErr w:type="spellStart"/>
      <w:r w:rsidRPr="000750A7">
        <w:rPr>
          <w:sz w:val="12"/>
        </w:rPr>
        <w:t>Deleuze</w:t>
      </w:r>
      <w:proofErr w:type="spellEnd"/>
      <w:r w:rsidRPr="000750A7">
        <w:rPr>
          <w:sz w:val="12"/>
        </w:rPr>
        <w:t xml:space="preserve"> 1973, 302). </w:t>
      </w:r>
      <w:r w:rsidRPr="000750A7">
        <w:rPr>
          <w:rStyle w:val="StyleUnderline"/>
        </w:rPr>
        <w:t>On their own, they don’t have a determinate value</w:t>
      </w:r>
      <w:r w:rsidRPr="000750A7">
        <w:rPr>
          <w:sz w:val="12"/>
        </w:rPr>
        <w:t xml:space="preserve"> but only acquire one through their reciprocal determination in relation. This is a differential relation, because whiteness only has its colonial meaning in its relation to blackness, and vice versa. The presence of the one in the other precludes either from attaining full identity to itself. Neither is a self-sufficient substance that can rest on itself; rather, each only exists through its relational–differential tension </w:t>
      </w:r>
      <w:proofErr w:type="spellStart"/>
      <w:r w:rsidRPr="000750A7">
        <w:rPr>
          <w:sz w:val="12"/>
        </w:rPr>
        <w:t>vis</w:t>
      </w:r>
      <w:proofErr w:type="spellEnd"/>
      <w:r w:rsidRPr="000750A7">
        <w:rPr>
          <w:sz w:val="12"/>
        </w:rPr>
        <w:t>-à-</w:t>
      </w:r>
      <w:proofErr w:type="spellStart"/>
      <w:r w:rsidRPr="000750A7">
        <w:rPr>
          <w:sz w:val="12"/>
        </w:rPr>
        <w:t>vis</w:t>
      </w:r>
      <w:proofErr w:type="spellEnd"/>
      <w:r w:rsidRPr="000750A7">
        <w:rPr>
          <w:sz w:val="12"/>
        </w:rPr>
        <w:t xml:space="preserve"> the other in </w:t>
      </w:r>
      <w:r w:rsidRPr="000750A7">
        <w:rPr>
          <w:rStyle w:val="StyleUnderline"/>
        </w:rPr>
        <w:t>the colonial matrix</w:t>
      </w:r>
      <w:r w:rsidRPr="000750A7">
        <w:rPr>
          <w:sz w:val="12"/>
        </w:rPr>
        <w:t xml:space="preserve">. This latter </w:t>
      </w:r>
      <w:r w:rsidRPr="000750A7">
        <w:rPr>
          <w:rStyle w:val="StyleUnderline"/>
        </w:rPr>
        <w:t>is</w:t>
      </w:r>
      <w:r w:rsidRPr="000750A7">
        <w:rPr>
          <w:sz w:val="12"/>
        </w:rPr>
        <w:t xml:space="preserve"> itself </w:t>
      </w:r>
      <w:r w:rsidRPr="000750A7">
        <w:rPr>
          <w:rStyle w:val="StyleUnderline"/>
        </w:rPr>
        <w:t xml:space="preserve">a contingent set of signifying practices, </w:t>
      </w:r>
      <w:proofErr w:type="spellStart"/>
      <w:r w:rsidRPr="000750A7">
        <w:rPr>
          <w:rStyle w:val="StyleUnderline"/>
        </w:rPr>
        <w:t>notwith</w:t>
      </w:r>
      <w:proofErr w:type="spellEnd"/>
      <w:r w:rsidRPr="000750A7">
        <w:rPr>
          <w:rStyle w:val="StyleUnderline"/>
        </w:rPr>
        <w:t>- standing the fact that the fundamental social division they institute presents itself as “ontological”. But</w:t>
      </w:r>
      <w:r w:rsidRPr="000750A7">
        <w:rPr>
          <w:sz w:val="12"/>
        </w:rPr>
        <w:t xml:space="preserve"> – and this is crucial – </w:t>
      </w:r>
      <w:r w:rsidRPr="000750A7">
        <w:rPr>
          <w:rStyle w:val="StyleUnderline"/>
        </w:rPr>
        <w:t>within this interdependence, there is asymmetry: “whiteness” is the master signifier</w:t>
      </w:r>
      <w:r w:rsidRPr="000750A7">
        <w:rPr>
          <w:sz w:val="12"/>
        </w:rPr>
        <w:t xml:space="preserve">, and it has both white and black subjects in its grip. White subjects identify with it and thus see themselves through it as whole and in control of themselves – it invests them with at least the illusion of self- sufficiency and full autonomy. </w:t>
      </w:r>
      <w:r w:rsidRPr="000750A7">
        <w:rPr>
          <w:rStyle w:val="StyleUnderline"/>
          <w:highlight w:val="cyan"/>
        </w:rPr>
        <w:t xml:space="preserve">But black subjects also identify with </w:t>
      </w:r>
      <w:r w:rsidRPr="000750A7">
        <w:rPr>
          <w:rStyle w:val="StyleUnderline"/>
        </w:rPr>
        <w:t>it</w:t>
      </w:r>
      <w:r w:rsidRPr="000750A7">
        <w:rPr>
          <w:sz w:val="12"/>
        </w:rPr>
        <w:t xml:space="preserve"> – they want to be white (a central theme of Black Skin, White Masks) and so they look at them- selves (blacks) </w:t>
      </w:r>
      <w:r w:rsidRPr="000750A7">
        <w:rPr>
          <w:rStyle w:val="StyleUnderline"/>
        </w:rPr>
        <w:t>through the white signifier</w:t>
      </w:r>
      <w:r w:rsidRPr="000750A7">
        <w:rPr>
          <w:sz w:val="12"/>
        </w:rPr>
        <w:t xml:space="preserve"> also but what </w:t>
      </w:r>
      <w:r w:rsidRPr="000750A7">
        <w:rPr>
          <w:rStyle w:val="StyleUnderline"/>
        </w:rPr>
        <w:t>they see</w:t>
      </w:r>
      <w:r w:rsidRPr="000750A7">
        <w:rPr>
          <w:sz w:val="12"/>
        </w:rPr>
        <w:t xml:space="preserve"> (which is exactly the same as what the white subject sees when he looks at the black) is </w:t>
      </w:r>
      <w:r w:rsidRPr="000750A7">
        <w:rPr>
          <w:rStyle w:val="StyleUnderline"/>
        </w:rPr>
        <w:t xml:space="preserve">a “body </w:t>
      </w:r>
      <w:proofErr w:type="spellStart"/>
      <w:r w:rsidRPr="000750A7">
        <w:rPr>
          <w:rStyle w:val="StyleUnderline"/>
        </w:rPr>
        <w:t>manque</w:t>
      </w:r>
      <w:proofErr w:type="spellEnd"/>
      <w:r w:rsidRPr="000750A7">
        <w:rPr>
          <w:rStyle w:val="StyleUnderline"/>
        </w:rPr>
        <w:t>́”</w:t>
      </w:r>
      <w:r w:rsidRPr="000750A7">
        <w:rPr>
          <w:sz w:val="12"/>
        </w:rPr>
        <w:t xml:space="preserve"> – not the “corporeal schema” (Fanon 1968, 78) the white sees when he looks at himself which gives him a body image and an image of himself which is “structurally harmonious” (114) but </w:t>
      </w:r>
      <w:r w:rsidRPr="000750A7">
        <w:rPr>
          <w:rStyle w:val="StyleUnderline"/>
        </w:rPr>
        <w:t>something “undefinable” and “unassimilable”</w:t>
      </w:r>
      <w:r w:rsidRPr="000750A7">
        <w:rPr>
          <w:sz w:val="12"/>
        </w:rPr>
        <w:t xml:space="preserve"> (114) into the white order of being with which he seeks to identify – </w:t>
      </w:r>
      <w:r w:rsidRPr="000750A7">
        <w:rPr>
          <w:rStyle w:val="StyleUnderline"/>
        </w:rPr>
        <w:t>the black sees himself as “non-existent”</w:t>
      </w:r>
      <w:r w:rsidRPr="000750A7">
        <w:rPr>
          <w:sz w:val="12"/>
        </w:rPr>
        <w:t xml:space="preserve"> (98, 139), </w:t>
      </w:r>
      <w:r w:rsidRPr="000750A7">
        <w:rPr>
          <w:rStyle w:val="StyleUnderline"/>
        </w:rPr>
        <w:t>with nothing to hold onto</w:t>
      </w:r>
      <w:r w:rsidRPr="000750A7">
        <w:rPr>
          <w:sz w:val="12"/>
        </w:rPr>
        <w:t xml:space="preserve">. Torn between two </w:t>
      </w:r>
      <w:proofErr w:type="spellStart"/>
      <w:r w:rsidRPr="000750A7">
        <w:rPr>
          <w:sz w:val="12"/>
        </w:rPr>
        <w:t>impossibles</w:t>
      </w:r>
      <w:proofErr w:type="spellEnd"/>
      <w:r w:rsidRPr="000750A7">
        <w:rPr>
          <w:sz w:val="12"/>
        </w:rPr>
        <w:t xml:space="preserve"> – to be white and to be black – the first barred and second an </w:t>
      </w:r>
      <w:proofErr w:type="spellStart"/>
      <w:r w:rsidRPr="000750A7">
        <w:rPr>
          <w:sz w:val="12"/>
        </w:rPr>
        <w:t>impossi</w:t>
      </w:r>
      <w:proofErr w:type="spellEnd"/>
      <w:r w:rsidRPr="000750A7">
        <w:rPr>
          <w:sz w:val="12"/>
        </w:rPr>
        <w:t xml:space="preserve">- </w:t>
      </w:r>
      <w:proofErr w:type="spellStart"/>
      <w:r w:rsidRPr="000750A7">
        <w:rPr>
          <w:sz w:val="12"/>
        </w:rPr>
        <w:t>bility</w:t>
      </w:r>
      <w:proofErr w:type="spellEnd"/>
      <w:r w:rsidRPr="000750A7">
        <w:rPr>
          <w:sz w:val="12"/>
        </w:rPr>
        <w:t xml:space="preserve"> in its own terms as there is no black “being” – blackness produces no “ontological resistance” (77, 78) – “turn white or disappear” (71) sums up the ontological void of the black </w:t>
      </w:r>
      <w:proofErr w:type="spellStart"/>
      <w:r w:rsidRPr="000750A7">
        <w:rPr>
          <w:sz w:val="12"/>
        </w:rPr>
        <w:t>colonised</w:t>
      </w:r>
      <w:proofErr w:type="spellEnd"/>
      <w:r w:rsidRPr="000750A7">
        <w:rPr>
          <w:sz w:val="12"/>
        </w:rPr>
        <w:t xml:space="preserve"> subject. Made to want to be white, but incapable of this – he is black; and his blackness seen through his own “white” eyes reduces him to “nothing.” The colonial symbolic is so constructed as to give the black subject nothing to hold onto – no </w:t>
      </w:r>
      <w:proofErr w:type="spellStart"/>
      <w:r w:rsidRPr="000750A7">
        <w:rPr>
          <w:sz w:val="12"/>
        </w:rPr>
        <w:t>orthopaedic</w:t>
      </w:r>
      <w:proofErr w:type="spellEnd"/>
      <w:r w:rsidRPr="000750A7">
        <w:rPr>
          <w:sz w:val="12"/>
        </w:rPr>
        <w:t xml:space="preserve"> support for an identity – just a whiteness forever eluding him and a blackness that doesn’t “exist” in any case. Within the colonial matrix, this is the ontological vortex that is </w:t>
      </w:r>
      <w:r w:rsidRPr="000750A7">
        <w:rPr>
          <w:rStyle w:val="StyleUnderline"/>
        </w:rPr>
        <w:t>the</w:t>
      </w:r>
      <w:r w:rsidRPr="000750A7">
        <w:rPr>
          <w:sz w:val="12"/>
        </w:rPr>
        <w:t xml:space="preserve"> elementary colonial identity and </w:t>
      </w:r>
      <w:r w:rsidRPr="000750A7">
        <w:rPr>
          <w:rStyle w:val="StyleUnderline"/>
        </w:rPr>
        <w:t xml:space="preserve">lived experience of the </w:t>
      </w:r>
      <w:proofErr w:type="spellStart"/>
      <w:r w:rsidRPr="000750A7">
        <w:rPr>
          <w:rStyle w:val="StyleUnderline"/>
        </w:rPr>
        <w:t>colonised</w:t>
      </w:r>
      <w:proofErr w:type="spellEnd"/>
      <w:r w:rsidRPr="000750A7">
        <w:rPr>
          <w:rStyle w:val="StyleUnderline"/>
        </w:rPr>
        <w:t xml:space="preserve"> black subject</w:t>
      </w:r>
      <w:r w:rsidRPr="000750A7">
        <w:rPr>
          <w:sz w:val="12"/>
        </w:rPr>
        <w:t>; and all his compulsive (self-destructive) pathologies, his specific repertoire of “</w:t>
      </w:r>
      <w:proofErr w:type="spellStart"/>
      <w:r w:rsidRPr="000750A7">
        <w:rPr>
          <w:sz w:val="12"/>
        </w:rPr>
        <w:t>reactional</w:t>
      </w:r>
      <w:proofErr w:type="spellEnd"/>
      <w:r w:rsidRPr="000750A7">
        <w:rPr>
          <w:sz w:val="12"/>
        </w:rPr>
        <w:t xml:space="preserve">” conduct, </w:t>
      </w:r>
      <w:r w:rsidRPr="000750A7">
        <w:rPr>
          <w:rStyle w:val="StyleUnderline"/>
        </w:rPr>
        <w:t xml:space="preserve">have their source in this primary ontological differential. So, </w:t>
      </w:r>
      <w:proofErr w:type="spellStart"/>
      <w:r w:rsidRPr="000750A7">
        <w:rPr>
          <w:rStyle w:val="StyleUnderline"/>
        </w:rPr>
        <w:t>fundamen</w:t>
      </w:r>
      <w:proofErr w:type="spellEnd"/>
      <w:r w:rsidRPr="000750A7">
        <w:rPr>
          <w:rStyle w:val="StyleUnderline"/>
        </w:rPr>
        <w:t>- tally, colonialism is an ontological differential between white and black subjects</w:t>
      </w:r>
      <w:r w:rsidRPr="000750A7">
        <w:rPr>
          <w:sz w:val="12"/>
        </w:rPr>
        <w:t xml:space="preserve">; and this orders each and every sphere or sector of colonial society (including the economy). “Whiteness” as whiteness – the meaning of whiteness and that of “blackness” – is carried via “a constellation of postulates, a series of propositions that slowly and subtly work their way into one’s mind and shape one’s view of the world of the group to which one belongs” – “a thousand details, anecdote stories” which are “woven” into “prejudices, myths, the collective attitudes of a given group” (Fanon 1968, 78, 133). This is how the “subject positions” of both whites and blacks are constituted. </w:t>
      </w:r>
      <w:r w:rsidRPr="000750A7">
        <w:rPr>
          <w:rStyle w:val="StyleUnderline"/>
          <w:highlight w:val="cyan"/>
        </w:rPr>
        <w:t>We can call this constellation the Colonial Big Other (symbolic) in and through which the colonial relation is constituted and reproduced</w:t>
      </w:r>
      <w:r w:rsidRPr="000750A7">
        <w:rPr>
          <w:sz w:val="12"/>
        </w:rPr>
        <w:t xml:space="preserve">. This Big </w:t>
      </w:r>
      <w:proofErr w:type="gramStart"/>
      <w:r w:rsidRPr="000750A7">
        <w:rPr>
          <w:sz w:val="12"/>
        </w:rPr>
        <w:t>Other</w:t>
      </w:r>
      <w:proofErr w:type="gramEnd"/>
      <w:r w:rsidRPr="000750A7">
        <w:rPr>
          <w:sz w:val="12"/>
        </w:rPr>
        <w:t xml:space="preserve"> is white, in that whiteness is its master signifier and therefore all identities are “white” under colonialism. Everyone is white in the colonial symbolic – including blacks; it is just that they are “less white” than “whites” to the point of not being at all – Fanon says again and again that “the black man desires to be white” – but, when he looks at himself through the eyes he has adopted, the “eyes” that are “his” – what he (qua white eyes) sees is something that doesn’t exist – “inequality, no non-existence” (Fanon 1968, 98, original emphasis). He “subsists at the level of non-being” (131) – just as the white, when it sees the black, sees </w:t>
      </w:r>
      <w:proofErr w:type="spellStart"/>
      <w:proofErr w:type="gramStart"/>
      <w:r w:rsidRPr="000750A7">
        <w:rPr>
          <w:sz w:val="12"/>
        </w:rPr>
        <w:t>an other</w:t>
      </w:r>
      <w:proofErr w:type="spellEnd"/>
      <w:proofErr w:type="gramEnd"/>
      <w:r w:rsidRPr="000750A7">
        <w:rPr>
          <w:sz w:val="12"/>
        </w:rPr>
        <w:t xml:space="preserve"> that is, as Fanon says “absolutely not self,” so does the black see himself – “as absolutely not self” (114). This is the depth of the fissure in the black colonial subject position, caught between two </w:t>
      </w:r>
      <w:proofErr w:type="spellStart"/>
      <w:r w:rsidRPr="000750A7">
        <w:rPr>
          <w:sz w:val="12"/>
        </w:rPr>
        <w:t>impossibles</w:t>
      </w:r>
      <w:proofErr w:type="spellEnd"/>
      <w:r w:rsidRPr="000750A7">
        <w:rPr>
          <w:sz w:val="12"/>
        </w:rPr>
        <w:t xml:space="preserve">: “whiteness,” which he desires but which is barred to him, and “black- ness,” which is “non-existence.” Colonialism, anxiety and emancipation3 </w:t>
      </w:r>
      <w:proofErr w:type="gramStart"/>
      <w:r w:rsidRPr="000750A7">
        <w:rPr>
          <w:sz w:val="12"/>
        </w:rPr>
        <w:t>Thus</w:t>
      </w:r>
      <w:proofErr w:type="gramEnd"/>
      <w:r w:rsidRPr="000750A7">
        <w:rPr>
          <w:sz w:val="12"/>
        </w:rPr>
        <w:t xml:space="preserve"> </w:t>
      </w:r>
      <w:r w:rsidRPr="000750A7">
        <w:rPr>
          <w:rStyle w:val="StyleUnderline"/>
        </w:rPr>
        <w:t xml:space="preserve">the self-same/other distinction is necessary for the possibility of identity itself. There always has to exist an outside, which is also inside, to the extent it is </w:t>
      </w:r>
      <w:proofErr w:type="spellStart"/>
      <w:r w:rsidRPr="000750A7">
        <w:rPr>
          <w:rStyle w:val="StyleUnderline"/>
        </w:rPr>
        <w:t>desig</w:t>
      </w:r>
      <w:proofErr w:type="spellEnd"/>
      <w:r w:rsidRPr="000750A7">
        <w:rPr>
          <w:rStyle w:val="StyleUnderline"/>
        </w:rPr>
        <w:t xml:space="preserve">- </w:t>
      </w:r>
      <w:proofErr w:type="spellStart"/>
      <w:r w:rsidRPr="000750A7">
        <w:rPr>
          <w:rStyle w:val="StyleUnderline"/>
        </w:rPr>
        <w:t>nated</w:t>
      </w:r>
      <w:proofErr w:type="spellEnd"/>
      <w:r w:rsidRPr="000750A7">
        <w:rPr>
          <w:rStyle w:val="StyleUnderline"/>
        </w:rPr>
        <w:t xml:space="preserve"> as the impossibility from which the possibility of the existence of the subject derives its rule</w:t>
      </w:r>
      <w:r w:rsidRPr="000750A7">
        <w:rPr>
          <w:sz w:val="12"/>
        </w:rPr>
        <w:t xml:space="preserve"> (</w:t>
      </w:r>
      <w:proofErr w:type="spellStart"/>
      <w:r w:rsidRPr="000750A7">
        <w:rPr>
          <w:sz w:val="12"/>
        </w:rPr>
        <w:t>Badiou</w:t>
      </w:r>
      <w:proofErr w:type="spellEnd"/>
      <w:r w:rsidRPr="000750A7">
        <w:rPr>
          <w:sz w:val="12"/>
        </w:rPr>
        <w:t xml:space="preserve"> 2009, 220). </w:t>
      </w:r>
      <w:r w:rsidRPr="000750A7">
        <w:rPr>
          <w:rStyle w:val="StyleUnderline"/>
        </w:rPr>
        <w:t>But although the excluded place which isn’t excluded insofar as it is necessary for the very possibility of inclusion and identity may be universal (may be considered “ontological”), its content (what fills it) – as well as the mode of this filling and its reproduction – are contingent</w:t>
      </w:r>
      <w:r w:rsidRPr="000750A7">
        <w:rPr>
          <w:sz w:val="12"/>
        </w:rPr>
        <w:t xml:space="preserve">. In other words, </w:t>
      </w:r>
      <w:r w:rsidRPr="000750A7">
        <w:rPr>
          <w:rStyle w:val="StyleUnderline"/>
          <w:highlight w:val="cyan"/>
        </w:rPr>
        <w:t xml:space="preserve">the meaning of the signifier of </w:t>
      </w:r>
      <w:r w:rsidRPr="000750A7">
        <w:rPr>
          <w:rStyle w:val="Emphasis"/>
          <w:highlight w:val="cyan"/>
        </w:rPr>
        <w:t>exclusion is not determined once and for all:</w:t>
      </w:r>
      <w:r w:rsidRPr="000750A7">
        <w:rPr>
          <w:sz w:val="12"/>
        </w:rPr>
        <w:t xml:space="preserve"> the place of the place of exclusion, of death is itself over-determined, i.e</w:t>
      </w:r>
      <w:r w:rsidRPr="000750A7">
        <w:rPr>
          <w:sz w:val="12"/>
          <w:highlight w:val="cyan"/>
        </w:rPr>
        <w:t xml:space="preserve">. </w:t>
      </w:r>
      <w:r w:rsidRPr="000750A7">
        <w:rPr>
          <w:rStyle w:val="StyleUnderline"/>
          <w:highlight w:val="cyan"/>
        </w:rPr>
        <w:t>the very framework for deciding the other and the same, exclusion and inclusion, is nowhere engraved in ontological stone but is political and never terminally settled</w:t>
      </w:r>
      <w:r w:rsidRPr="000750A7">
        <w:rPr>
          <w:sz w:val="12"/>
          <w:highlight w:val="cyan"/>
        </w:rPr>
        <w:t>.</w:t>
      </w:r>
      <w:r w:rsidRPr="000750A7">
        <w:rPr>
          <w:sz w:val="12"/>
        </w:rPr>
        <w:t xml:space="preserve"> Put differ- </w:t>
      </w:r>
      <w:proofErr w:type="spellStart"/>
      <w:r w:rsidRPr="000750A7">
        <w:rPr>
          <w:sz w:val="12"/>
        </w:rPr>
        <w:t>ently</w:t>
      </w:r>
      <w:proofErr w:type="spellEnd"/>
      <w:r w:rsidRPr="000750A7">
        <w:rPr>
          <w:sz w:val="12"/>
        </w:rPr>
        <w:t xml:space="preserve">, the “curvature of </w:t>
      </w:r>
      <w:proofErr w:type="spellStart"/>
      <w:r w:rsidRPr="000750A7">
        <w:rPr>
          <w:sz w:val="12"/>
        </w:rPr>
        <w:t>intersubjective</w:t>
      </w:r>
      <w:proofErr w:type="spellEnd"/>
      <w:r w:rsidRPr="000750A7">
        <w:rPr>
          <w:sz w:val="12"/>
        </w:rPr>
        <w:t xml:space="preserve"> space” (</w:t>
      </w:r>
      <w:proofErr w:type="spellStart"/>
      <w:r w:rsidRPr="000750A7">
        <w:rPr>
          <w:sz w:val="12"/>
        </w:rPr>
        <w:t>Critchley</w:t>
      </w:r>
      <w:proofErr w:type="spellEnd"/>
      <w:r w:rsidRPr="000750A7">
        <w:rPr>
          <w:sz w:val="12"/>
        </w:rPr>
        <w:t xml:space="preserve"> 2007, 61) and thus, the </w:t>
      </w:r>
      <w:r w:rsidRPr="000750A7">
        <w:rPr>
          <w:rStyle w:val="StyleUnderline"/>
        </w:rPr>
        <w:t>specific modes of the “</w:t>
      </w:r>
      <w:proofErr w:type="spellStart"/>
      <w:r w:rsidRPr="000750A7">
        <w:rPr>
          <w:rStyle w:val="StyleUnderline"/>
        </w:rPr>
        <w:t>othering</w:t>
      </w:r>
      <w:proofErr w:type="spellEnd"/>
      <w:r w:rsidRPr="000750A7">
        <w:rPr>
          <w:rStyle w:val="StyleUnderline"/>
        </w:rPr>
        <w:t xml:space="preserve">” of “otherness” are nowhere decided in advance (as a certain ontological fatalism might have it) (see </w:t>
      </w:r>
      <w:proofErr w:type="spellStart"/>
      <w:r w:rsidRPr="000750A7">
        <w:rPr>
          <w:rStyle w:val="StyleUnderline"/>
        </w:rPr>
        <w:t>Wilderson</w:t>
      </w:r>
      <w:proofErr w:type="spellEnd"/>
      <w:r w:rsidRPr="000750A7">
        <w:rPr>
          <w:rStyle w:val="StyleUnderline"/>
        </w:rPr>
        <w:t xml:space="preserve"> 2008). </w:t>
      </w:r>
    </w:p>
    <w:p w:rsidR="00AB2603" w:rsidRPr="002205DE" w:rsidRDefault="00AB2603" w:rsidP="00AB2603">
      <w:pPr>
        <w:pStyle w:val="Heading4"/>
        <w:rPr>
          <w:b w:val="0"/>
          <w:u w:color="191919"/>
        </w:rPr>
      </w:pPr>
      <w:proofErr w:type="spellStart"/>
      <w:r w:rsidRPr="002205DE">
        <w:rPr>
          <w:u w:color="191919"/>
        </w:rPr>
        <w:t>Wilderson</w:t>
      </w:r>
      <w:proofErr w:type="spellEnd"/>
      <w:r w:rsidRPr="002205DE">
        <w:rPr>
          <w:u w:color="191919"/>
        </w:rPr>
        <w:t xml:space="preserve"> is reductionist and oversimplifies cultural identity based on little evidence</w:t>
      </w:r>
      <w:r>
        <w:rPr>
          <w:u w:color="191919"/>
        </w:rPr>
        <w:t>.</w:t>
      </w:r>
    </w:p>
    <w:p w:rsidR="00AB2603" w:rsidRPr="004A16B9" w:rsidRDefault="00AB2603" w:rsidP="00AB2603">
      <w:pPr>
        <w:rPr>
          <w:b/>
          <w:sz w:val="20"/>
          <w:szCs w:val="20"/>
        </w:rPr>
      </w:pPr>
      <w:r w:rsidRPr="00B35DE9">
        <w:rPr>
          <w:rStyle w:val="Style13ptBold"/>
        </w:rPr>
        <w:t>Ellison ‘11</w:t>
      </w:r>
      <w:r w:rsidRPr="00357E1E">
        <w:rPr>
          <w:sz w:val="16"/>
          <w:u w:color="191919"/>
        </w:rPr>
        <w:t xml:space="preserve"> </w:t>
      </w:r>
      <w:r w:rsidRPr="004A16B9">
        <w:rPr>
          <w:sz w:val="20"/>
          <w:szCs w:val="20"/>
        </w:rPr>
        <w:t xml:space="preserve">(Mary, PhD, African American and Indian American history and culture, </w:t>
      </w:r>
      <w:proofErr w:type="spellStart"/>
      <w:r w:rsidRPr="004A16B9">
        <w:rPr>
          <w:sz w:val="20"/>
          <w:szCs w:val="20"/>
        </w:rPr>
        <w:t>Keele</w:t>
      </w:r>
      <w:proofErr w:type="spellEnd"/>
      <w:r w:rsidRPr="004A16B9">
        <w:rPr>
          <w:sz w:val="20"/>
          <w:szCs w:val="20"/>
        </w:rPr>
        <w:t xml:space="preserve"> University, “Review of: Red, White and Black: cinema and the structure of US antagonisms” </w:t>
      </w:r>
      <w:hyperlink r:id="rId10" w:history="1">
        <w:r w:rsidRPr="004A16B9">
          <w:rPr>
            <w:sz w:val="20"/>
            <w:szCs w:val="20"/>
          </w:rPr>
          <w:t xml:space="preserve">http://rac.sagepub.com/content/53/2/100.full.pdf+html?rss=1, </w:t>
        </w:r>
        <w:proofErr w:type="spellStart"/>
        <w:r w:rsidRPr="004A16B9">
          <w:rPr>
            <w:sz w:val="20"/>
            <w:szCs w:val="20"/>
          </w:rPr>
          <w:t>Acc</w:t>
        </w:r>
        <w:proofErr w:type="spellEnd"/>
      </w:hyperlink>
      <w:r w:rsidRPr="004A16B9">
        <w:rPr>
          <w:sz w:val="20"/>
          <w:szCs w:val="20"/>
        </w:rPr>
        <w:t>: 7-27 //</w:t>
      </w:r>
      <w:proofErr w:type="spellStart"/>
      <w:r w:rsidRPr="004A16B9">
        <w:rPr>
          <w:sz w:val="20"/>
          <w:szCs w:val="20"/>
        </w:rPr>
        <w:t>ghs-sa</w:t>
      </w:r>
      <w:proofErr w:type="spellEnd"/>
      <w:r w:rsidRPr="004A16B9">
        <w:rPr>
          <w:sz w:val="20"/>
          <w:szCs w:val="20"/>
        </w:rPr>
        <w:t>)</w:t>
      </w:r>
    </w:p>
    <w:p w:rsidR="00AB2603" w:rsidRPr="00EE0840" w:rsidRDefault="00AB2603" w:rsidP="00AB2603">
      <w:pPr>
        <w:rPr>
          <w:sz w:val="16"/>
        </w:rPr>
      </w:pPr>
      <w:r w:rsidRPr="002205DE">
        <w:rPr>
          <w:sz w:val="16"/>
        </w:rPr>
        <w:t xml:space="preserve">These are two illuminating, but frustratingly flawed books. Their approaches are different, although both frequently quote Frantz Fanon and Jacques </w:t>
      </w:r>
      <w:proofErr w:type="spellStart"/>
      <w:r w:rsidRPr="002205DE">
        <w:rPr>
          <w:sz w:val="16"/>
        </w:rPr>
        <w:t>Lacan</w:t>
      </w:r>
      <w:proofErr w:type="spellEnd"/>
      <w:r w:rsidRPr="002205DE">
        <w:rPr>
          <w:sz w:val="16"/>
        </w:rPr>
        <w:t xml:space="preserve">. Frank </w:t>
      </w:r>
      <w:proofErr w:type="spellStart"/>
      <w:r w:rsidRPr="007E0A9F">
        <w:rPr>
          <w:rStyle w:val="StyleUnderline"/>
          <w:highlight w:val="green"/>
        </w:rPr>
        <w:t>Wilderson</w:t>
      </w:r>
      <w:proofErr w:type="spellEnd"/>
      <w:r w:rsidRPr="002205DE">
        <w:rPr>
          <w:sz w:val="16"/>
        </w:rPr>
        <w:t xml:space="preserve"> </w:t>
      </w:r>
      <w:proofErr w:type="spellStart"/>
      <w:r w:rsidRPr="002205DE">
        <w:rPr>
          <w:sz w:val="16"/>
        </w:rPr>
        <w:t>utilises</w:t>
      </w:r>
      <w:proofErr w:type="spellEnd"/>
      <w:r w:rsidRPr="002205DE">
        <w:rPr>
          <w:sz w:val="16"/>
        </w:rPr>
        <w:t xml:space="preserve"> the iconic theoreticians within the context of a study that concentrates on a conceptual ideology that, he claims, is based on a fusion of Marxism, feminism, </w:t>
      </w:r>
      <w:proofErr w:type="spellStart"/>
      <w:r w:rsidRPr="002205DE">
        <w:rPr>
          <w:sz w:val="16"/>
        </w:rPr>
        <w:t>postcolonialism</w:t>
      </w:r>
      <w:proofErr w:type="spellEnd"/>
      <w:r w:rsidRPr="002205DE">
        <w:rPr>
          <w:sz w:val="16"/>
        </w:rPr>
        <w:t xml:space="preserve"> and psychology. He </w:t>
      </w:r>
      <w:r w:rsidRPr="007E0A9F">
        <w:rPr>
          <w:rStyle w:val="StyleUnderline"/>
          <w:highlight w:val="green"/>
        </w:rPr>
        <w:t>uses a small number of independent films to illustrate his theories</w:t>
      </w:r>
      <w:r w:rsidRPr="007E0A9F">
        <w:rPr>
          <w:sz w:val="16"/>
          <w:highlight w:val="green"/>
        </w:rPr>
        <w:t>.</w:t>
      </w:r>
      <w:r w:rsidRPr="002205DE">
        <w:rPr>
          <w:sz w:val="16"/>
        </w:rPr>
        <w:t xml:space="preserve"> Charlene </w:t>
      </w:r>
      <w:proofErr w:type="spellStart"/>
      <w:r w:rsidRPr="002205DE">
        <w:rPr>
          <w:sz w:val="16"/>
        </w:rPr>
        <w:t>Regester</w:t>
      </w:r>
      <w:proofErr w:type="spellEnd"/>
      <w:r w:rsidRPr="002205DE">
        <w:rPr>
          <w:sz w:val="16"/>
        </w:rPr>
        <w:t xml:space="preserve"> has a more practical framework. She divides her book into nine chapters devoted to individual female actors and then weaves her ideological concepts into these specific chapters. Both have a problem with clarity. </w:t>
      </w:r>
      <w:proofErr w:type="spellStart"/>
      <w:r w:rsidRPr="002205DE">
        <w:rPr>
          <w:sz w:val="16"/>
        </w:rPr>
        <w:t>Regester</w:t>
      </w:r>
      <w:proofErr w:type="spellEnd"/>
      <w:r w:rsidRPr="002205DE">
        <w:rPr>
          <w:sz w:val="16"/>
        </w:rPr>
        <w:t xml:space="preserve"> uses less complex language than </w:t>
      </w:r>
      <w:proofErr w:type="spellStart"/>
      <w:r w:rsidRPr="002205DE">
        <w:rPr>
          <w:sz w:val="16"/>
        </w:rPr>
        <w:t>Wilderson</w:t>
      </w:r>
      <w:proofErr w:type="spellEnd"/>
      <w:r w:rsidRPr="002205DE">
        <w:rPr>
          <w:sz w:val="16"/>
        </w:rPr>
        <w:t xml:space="preserve">, but still manages to be obtuse at times. </w:t>
      </w:r>
      <w:proofErr w:type="spellStart"/>
      <w:r w:rsidRPr="007E0A9F">
        <w:rPr>
          <w:rStyle w:val="StyleUnderline"/>
          <w:highlight w:val="green"/>
        </w:rPr>
        <w:t>Wilderson</w:t>
      </w:r>
      <w:proofErr w:type="spellEnd"/>
      <w:r w:rsidRPr="007E0A9F">
        <w:rPr>
          <w:rStyle w:val="StyleUnderline"/>
          <w:highlight w:val="green"/>
        </w:rPr>
        <w:t xml:space="preserve"> starts</w:t>
      </w:r>
      <w:r w:rsidRPr="00F20675">
        <w:rPr>
          <w:rStyle w:val="StyleUnderline"/>
        </w:rPr>
        <w:t xml:space="preserve"> from a position of </w:t>
      </w:r>
      <w:r w:rsidRPr="007E0A9F">
        <w:rPr>
          <w:rStyle w:val="StyleUnderline"/>
          <w:highlight w:val="green"/>
        </w:rPr>
        <w:t>using ontology and grammar as</w:t>
      </w:r>
      <w:r w:rsidRPr="00F20675">
        <w:rPr>
          <w:rStyle w:val="StyleUnderline"/>
        </w:rPr>
        <w:t xml:space="preserve"> his main </w:t>
      </w:r>
      <w:r w:rsidRPr="007E0A9F">
        <w:rPr>
          <w:rStyle w:val="StyleUnderline"/>
          <w:highlight w:val="green"/>
        </w:rPr>
        <w:t>tools, but</w:t>
      </w:r>
      <w:r w:rsidRPr="00F20675">
        <w:rPr>
          <w:rStyle w:val="StyleUnderline"/>
        </w:rPr>
        <w:t xml:space="preserve"> manages to </w:t>
      </w:r>
      <w:r w:rsidRPr="007E0A9F">
        <w:rPr>
          <w:rStyle w:val="StyleUnderline"/>
        </w:rPr>
        <w:t>consistently</w:t>
      </w:r>
      <w:r w:rsidRPr="00F20675">
        <w:rPr>
          <w:rStyle w:val="StyleUnderline"/>
        </w:rPr>
        <w:t xml:space="preserve"> misuse or </w:t>
      </w:r>
      <w:r w:rsidRPr="002205DE">
        <w:rPr>
          <w:rStyle w:val="StyleUnderline"/>
        </w:rPr>
        <w:t>misappropriate terms like fungible</w:t>
      </w:r>
      <w:r w:rsidRPr="002205DE">
        <w:rPr>
          <w:sz w:val="16"/>
        </w:rPr>
        <w:t xml:space="preserve"> or </w:t>
      </w:r>
      <w:proofErr w:type="spellStart"/>
      <w:r w:rsidRPr="002205DE">
        <w:rPr>
          <w:sz w:val="16"/>
        </w:rPr>
        <w:t>fungibility</w:t>
      </w:r>
      <w:proofErr w:type="spellEnd"/>
      <w:r w:rsidRPr="002205DE">
        <w:rPr>
          <w:sz w:val="16"/>
        </w:rPr>
        <w:t xml:space="preserve">. </w:t>
      </w:r>
      <w:proofErr w:type="spellStart"/>
      <w:r w:rsidRPr="002205DE">
        <w:rPr>
          <w:sz w:val="16"/>
        </w:rPr>
        <w:t>Wilderson</w:t>
      </w:r>
      <w:proofErr w:type="spellEnd"/>
      <w:r w:rsidRPr="002205DE">
        <w:rPr>
          <w:sz w:val="16"/>
        </w:rPr>
        <w:t xml:space="preserve"> writes as an intelligent and challenging author, but is often frustrating. Although his language is complicated, </w:t>
      </w:r>
      <w:r w:rsidRPr="007E0A9F">
        <w:rPr>
          <w:rStyle w:val="StyleUnderline"/>
          <w:highlight w:val="green"/>
        </w:rPr>
        <w:t>his concepts are often oversimplified</w:t>
      </w:r>
      <w:r w:rsidRPr="00161EF6">
        <w:rPr>
          <w:rStyle w:val="StyleUnderline"/>
        </w:rPr>
        <w:t xml:space="preserve">. </w:t>
      </w:r>
      <w:r w:rsidRPr="007E0A9F">
        <w:rPr>
          <w:rStyle w:val="StyleUnderline"/>
          <w:highlight w:val="green"/>
        </w:rPr>
        <w:t>He envisions every black person</w:t>
      </w:r>
      <w:r w:rsidRPr="002205DE">
        <w:rPr>
          <w:sz w:val="16"/>
        </w:rPr>
        <w:t xml:space="preserve"> in film as a </w:t>
      </w:r>
      <w:proofErr w:type="spellStart"/>
      <w:r w:rsidRPr="002205DE">
        <w:rPr>
          <w:sz w:val="16"/>
        </w:rPr>
        <w:t>slavewho</w:t>
      </w:r>
      <w:proofErr w:type="spellEnd"/>
      <w:r w:rsidRPr="002205DE">
        <w:rPr>
          <w:sz w:val="16"/>
        </w:rPr>
        <w:t xml:space="preserve"> is </w:t>
      </w:r>
      <w:r w:rsidRPr="007E0A9F">
        <w:rPr>
          <w:rStyle w:val="StyleUnderline"/>
          <w:highlight w:val="green"/>
        </w:rPr>
        <w:t>suffering from irreparable alienation from any</w:t>
      </w:r>
      <w:r w:rsidRPr="00161EF6">
        <w:rPr>
          <w:rStyle w:val="StyleUnderline"/>
        </w:rPr>
        <w:t xml:space="preserve"> meaningful </w:t>
      </w:r>
      <w:r w:rsidRPr="007E0A9F">
        <w:rPr>
          <w:rStyle w:val="StyleUnderline"/>
          <w:highlight w:val="green"/>
        </w:rPr>
        <w:t>sense of cultural identity</w:t>
      </w:r>
      <w:r w:rsidRPr="002205DE">
        <w:rPr>
          <w:sz w:val="16"/>
        </w:rPr>
        <w:t xml:space="preserve">. He believes that filmmakers, including black filmmakers, are victims of a deprivation of meaning that has been condensed by Jacques </w:t>
      </w:r>
      <w:proofErr w:type="spellStart"/>
      <w:r w:rsidRPr="002205DE">
        <w:rPr>
          <w:sz w:val="16"/>
        </w:rPr>
        <w:t>Lacan</w:t>
      </w:r>
      <w:proofErr w:type="spellEnd"/>
      <w:r w:rsidRPr="002205DE">
        <w:rPr>
          <w:sz w:val="16"/>
        </w:rPr>
        <w:t xml:space="preserve"> as a ‘wall of language’ as well as an inability to create a clear voice in the face of gratuitous violence. He cites Frantz Fanon, Orlando Patterson and </w:t>
      </w:r>
      <w:proofErr w:type="spellStart"/>
      <w:r w:rsidRPr="002205DE">
        <w:rPr>
          <w:sz w:val="16"/>
        </w:rPr>
        <w:t>Hortense</w:t>
      </w:r>
      <w:proofErr w:type="spellEnd"/>
      <w:r w:rsidRPr="002205DE">
        <w:rPr>
          <w:sz w:val="16"/>
        </w:rPr>
        <w:t xml:space="preserve"> Spiller as being among those theorists who effectively investigate the issues of black structural non-communicability. </w:t>
      </w:r>
      <w:r w:rsidRPr="002205DE">
        <w:rPr>
          <w:rStyle w:val="StyleUnderline"/>
        </w:rPr>
        <w:t>His own attempts to define ‘what is black?’, ‘a subject</w:t>
      </w:r>
      <w:r w:rsidRPr="00D80491">
        <w:rPr>
          <w:rStyle w:val="StyleUnderline"/>
        </w:rPr>
        <w:t>?’, ‘an object?’, ‘a slave?</w:t>
      </w:r>
      <w:proofErr w:type="gramStart"/>
      <w:r w:rsidRPr="002205DE">
        <w:rPr>
          <w:rStyle w:val="StyleUnderline"/>
        </w:rPr>
        <w:t>’,</w:t>
      </w:r>
      <w:proofErr w:type="gramEnd"/>
      <w:r w:rsidRPr="002205DE">
        <w:rPr>
          <w:rStyle w:val="StyleUnderline"/>
        </w:rPr>
        <w:t xml:space="preserve"> seem </w:t>
      </w:r>
      <w:r w:rsidRPr="007E0A9F">
        <w:rPr>
          <w:rStyle w:val="StyleUnderline"/>
          <w:highlight w:val="green"/>
        </w:rPr>
        <w:t>bound up with limiting preconceptions</w:t>
      </w:r>
      <w:r w:rsidRPr="00D80491">
        <w:rPr>
          <w:rStyle w:val="StyleUnderline"/>
        </w:rPr>
        <w:t xml:space="preserve">, and </w:t>
      </w:r>
      <w:r w:rsidRPr="007E0A9F">
        <w:rPr>
          <w:rStyle w:val="StyleUnderline"/>
          <w:highlight w:val="green"/>
        </w:rPr>
        <w:t>he evaluates neither blackness nor</w:t>
      </w:r>
      <w:r w:rsidRPr="00D80491">
        <w:rPr>
          <w:rStyle w:val="StyleUnderline"/>
        </w:rPr>
        <w:t xml:space="preserve"> the ‘</w:t>
      </w:r>
      <w:r w:rsidRPr="007E0A9F">
        <w:rPr>
          <w:rStyle w:val="StyleUnderline"/>
          <w:highlight w:val="green"/>
        </w:rPr>
        <w:t>red’</w:t>
      </w:r>
      <w:r w:rsidRPr="00D80491">
        <w:rPr>
          <w:rStyle w:val="StyleUnderline"/>
        </w:rPr>
        <w:t xml:space="preserve"> that is part of his title </w:t>
      </w:r>
      <w:r w:rsidRPr="007E0A9F">
        <w:rPr>
          <w:rStyle w:val="StyleUnderline"/>
          <w:highlight w:val="green"/>
        </w:rPr>
        <w:t>in any truly meaningful way.</w:t>
      </w:r>
    </w:p>
    <w:p w:rsidR="00AB2603" w:rsidRDefault="00AB2603" w:rsidP="00AB2603">
      <w:pPr>
        <w:pStyle w:val="Heading4"/>
        <w:rPr>
          <w:b w:val="0"/>
        </w:rPr>
      </w:pPr>
      <w:r w:rsidRPr="002A59E4">
        <w:t>Identity politics are essentialist and divisive, contributing to the hardening of inequality</w:t>
      </w:r>
      <w:r>
        <w:t xml:space="preserve"> by interacting with institutionally based systems of power.</w:t>
      </w:r>
    </w:p>
    <w:p w:rsidR="00AB2603" w:rsidRPr="002A59E4" w:rsidRDefault="00AB2603" w:rsidP="00AB2603">
      <w:pPr>
        <w:rPr>
          <w:b/>
          <w:sz w:val="20"/>
          <w:szCs w:val="20"/>
        </w:rPr>
      </w:pPr>
      <w:r w:rsidRPr="002A59E4">
        <w:rPr>
          <w:rStyle w:val="Style13ptBold"/>
        </w:rPr>
        <w:t>Bernstein and Taylor ’13</w:t>
      </w:r>
      <w:r>
        <w:rPr>
          <w:rStyle w:val="Style13ptBold"/>
        </w:rPr>
        <w:t xml:space="preserve"> </w:t>
      </w:r>
      <w:r w:rsidRPr="002A59E4">
        <w:rPr>
          <w:sz w:val="20"/>
          <w:szCs w:val="20"/>
        </w:rPr>
        <w:t xml:space="preserve">(Mary and </w:t>
      </w:r>
      <w:proofErr w:type="spellStart"/>
      <w:r w:rsidRPr="002A59E4">
        <w:rPr>
          <w:sz w:val="20"/>
          <w:szCs w:val="20"/>
        </w:rPr>
        <w:t>Verta</w:t>
      </w:r>
      <w:proofErr w:type="spellEnd"/>
      <w:r w:rsidRPr="002A59E4">
        <w:rPr>
          <w:sz w:val="20"/>
          <w:szCs w:val="20"/>
        </w:rPr>
        <w:t xml:space="preserve">, Mary Bernstein is Professor of Sociology at the University of Connecticut. She has published numerous articles in the fields of social movements, identity, sexualities, gender, and law and is co-editor of three books, </w:t>
      </w:r>
      <w:proofErr w:type="spellStart"/>
      <w:r w:rsidRPr="002A59E4">
        <w:rPr>
          <w:sz w:val="20"/>
          <w:szCs w:val="20"/>
        </w:rPr>
        <w:t>Verta</w:t>
      </w:r>
      <w:proofErr w:type="spellEnd"/>
      <w:r w:rsidRPr="002A59E4">
        <w:rPr>
          <w:sz w:val="20"/>
          <w:szCs w:val="20"/>
        </w:rPr>
        <w:t xml:space="preserve"> Taylor is Professor of Sociology and affiliated faculty member in Feminist Studies at the University of California, Santa Barbara. She teaches courses on gender and sexuality, feminism, and social movements and has won numerous teaching awards, and is the author of 15 books and edited volumes and over 100 scholarly articles, The Wiley-Blackwell Encyclopedia of Social and Political Movements, http://onlinelibrary.wiley.com/doi/10.1002/9780470674871.wbespm104/full //</w:t>
      </w:r>
      <w:proofErr w:type="spellStart"/>
      <w:r w:rsidRPr="002A59E4">
        <w:rPr>
          <w:sz w:val="20"/>
          <w:szCs w:val="20"/>
        </w:rPr>
        <w:t>ghs-sa</w:t>
      </w:r>
      <w:proofErr w:type="spellEnd"/>
      <w:r w:rsidRPr="002A59E4">
        <w:rPr>
          <w:sz w:val="20"/>
          <w:szCs w:val="20"/>
        </w:rPr>
        <w:t>)</w:t>
      </w:r>
    </w:p>
    <w:p w:rsidR="00AB2603" w:rsidRPr="00AB2603" w:rsidRDefault="00AB2603" w:rsidP="00BC16F8">
      <w:pPr>
        <w:rPr>
          <w:rStyle w:val="Emphasis"/>
          <w:iCs w:val="0"/>
          <w:sz w:val="16"/>
          <w:u w:val="none"/>
          <w:bdr w:val="none" w:sz="0" w:space="0" w:color="auto"/>
        </w:rPr>
      </w:pPr>
      <w:r w:rsidRPr="001E3D13">
        <w:rPr>
          <w:sz w:val="16"/>
        </w:rPr>
        <w:t xml:space="preserve">There is substantial disagreement in the scholarly literature about the nature of identity politics. </w:t>
      </w:r>
      <w:r w:rsidRPr="005702B4">
        <w:rPr>
          <w:rStyle w:val="StyleUnderline"/>
        </w:rPr>
        <w:t>Neo-Marxist approaches view class inequality as the only real source of oppression and activists working to challenge the class structure as the major agents of social change</w:t>
      </w:r>
      <w:r w:rsidRPr="001E3D13">
        <w:rPr>
          <w:sz w:val="16"/>
        </w:rPr>
        <w:t xml:space="preserve">. As a result, </w:t>
      </w:r>
      <w:r w:rsidRPr="005702B4">
        <w:rPr>
          <w:rStyle w:val="StyleUnderline"/>
        </w:rPr>
        <w:t>activists engaged in claim making in other arenas are viewed as doing cultural or psychological, not political, work</w:t>
      </w:r>
      <w:r w:rsidRPr="001E3D13">
        <w:rPr>
          <w:sz w:val="16"/>
        </w:rPr>
        <w:t xml:space="preserve">. Because </w:t>
      </w:r>
      <w:r w:rsidRPr="005702B4">
        <w:rPr>
          <w:rStyle w:val="StyleUnderline"/>
        </w:rPr>
        <w:t>such accounts do not see class as an identity with cultural and psychological components, or identities based on social status as having economic implications, identity politics is set apart from real political activism</w:t>
      </w:r>
      <w:r w:rsidRPr="001E3D13">
        <w:rPr>
          <w:sz w:val="16"/>
        </w:rPr>
        <w:t xml:space="preserve">. Any focus on self-transformation, from a neo-Marxist perspective, is </w:t>
      </w:r>
      <w:r w:rsidRPr="005702B4">
        <w:rPr>
          <w:rStyle w:val="StyleUnderline"/>
        </w:rPr>
        <w:t>self-indulgent and nonpolitical</w:t>
      </w:r>
      <w:r w:rsidRPr="001E3D13">
        <w:rPr>
          <w:sz w:val="16"/>
        </w:rPr>
        <w:t xml:space="preserve">. Furthermore, critics of identity politics view </w:t>
      </w:r>
      <w:r w:rsidRPr="005702B4">
        <w:rPr>
          <w:rStyle w:val="StyleUnderline"/>
        </w:rPr>
        <w:t>a focus on cultural difference as both essentialist and divisive, undermining the possibility of a broad-based social justice movement</w:t>
      </w:r>
      <w:r w:rsidRPr="001E3D13">
        <w:rPr>
          <w:sz w:val="16"/>
        </w:rPr>
        <w:t xml:space="preserve">. Neo-Marxist analyses of identity politics have been challenged on a number of grounds. Rather than identity-based movements the New Left, some scholars argue, the Left's inability to address gender, race, and sexual inequality led to its demise and the rise of identity-based movements. Others point out that </w:t>
      </w:r>
      <w:r w:rsidRPr="005702B4">
        <w:rPr>
          <w:rStyle w:val="StyleUnderline"/>
        </w:rPr>
        <w:t>the separation of culture from class and the political economy ignores the ways that cultural dimensions and meanings are linked to concrete structural and material locations</w:t>
      </w:r>
      <w:r w:rsidRPr="001E3D13">
        <w:rPr>
          <w:sz w:val="16"/>
        </w:rPr>
        <w:t xml:space="preserve">. European new social movement theorists, in contrast to neo-Marxist theory, attend to the range of </w:t>
      </w:r>
      <w:proofErr w:type="spellStart"/>
      <w:r w:rsidRPr="001E3D13">
        <w:rPr>
          <w:sz w:val="16"/>
        </w:rPr>
        <w:t>nonclass</w:t>
      </w:r>
      <w:proofErr w:type="spellEnd"/>
      <w:r w:rsidRPr="001E3D13">
        <w:rPr>
          <w:sz w:val="16"/>
        </w:rPr>
        <w:t xml:space="preserve"> movements that emerged in the 1960s and 1970s, although they also differentiate identity-based from class-based movements. New social movement theory views movements organized around values and ideology as different from traditional labor and socialist movements of the past, a response to modernity and the rise of a post-industrial society. Most importantly, new social movement theory pioneered in seeking to understand the role of identity in social movements, provoking resource mobilization and political process theorists to pay attention to identity and culture. According to </w:t>
      </w:r>
      <w:proofErr w:type="spellStart"/>
      <w:r w:rsidRPr="001E3D13">
        <w:rPr>
          <w:sz w:val="16"/>
        </w:rPr>
        <w:t>Melucci</w:t>
      </w:r>
      <w:proofErr w:type="spellEnd"/>
      <w:r w:rsidRPr="001E3D13">
        <w:rPr>
          <w:sz w:val="16"/>
        </w:rPr>
        <w:t xml:space="preserve"> 1996, new social movements challenge dominant cultural codes and raise the question of how societies deal with difference. As a result, identity politics is not viewed as merely cultural, symbolic, or psychological. Critics of new social movement theory question the claim that postindustrial society gave rise to the new movements, pointing to the similarities in the origins and dynamics of status-based movements and older labor and socialist movements. Social constructionist, postmodernist, and poststructuralist approaches to identity politics are based on an entirely different view of power than neo-Marxist or new social movement approaches. </w:t>
      </w:r>
      <w:r w:rsidRPr="005702B4">
        <w:rPr>
          <w:rStyle w:val="StyleUnderline"/>
        </w:rPr>
        <w:t>The status categories around which identity politics is organized are, in this view, a form of regulation, so movements based on identity contribute to the hardening of inequality</w:t>
      </w:r>
      <w:r w:rsidRPr="001E3D13">
        <w:rPr>
          <w:sz w:val="16"/>
        </w:rPr>
        <w:t xml:space="preserve">. </w:t>
      </w:r>
      <w:r w:rsidRPr="005702B4">
        <w:rPr>
          <w:rStyle w:val="StyleUnderline"/>
        </w:rPr>
        <w:t>Identity-based movements are seen as essentialist, narrow, and state-centered: in contrast to the neo-Marxist view, they are too political and not cultural enough because they lack a broad view of the cultural basis of power</w:t>
      </w:r>
      <w:r w:rsidRPr="001E3D13">
        <w:rPr>
          <w:sz w:val="16"/>
        </w:rPr>
        <w:t xml:space="preserve">. This perspective emerged out of both queer theory and queer politics, particularly the emergence of Queer Nation, which eschewed identity politics as privileging white middle-class gay men. Queer became an anti-identity. From this perspective, </w:t>
      </w:r>
      <w:r w:rsidRPr="005702B4">
        <w:rPr>
          <w:rStyle w:val="StyleUnderline"/>
        </w:rPr>
        <w:t xml:space="preserve">what looks like purely expressive action from neo-Marxist and new social movement approaches is understood as a fundamental challenge to power. Social constructionist, postmodernist, and poststructuralist perspectives criticize the </w:t>
      </w:r>
      <w:proofErr w:type="spellStart"/>
      <w:r w:rsidRPr="005702B4">
        <w:rPr>
          <w:rStyle w:val="StyleUnderline"/>
        </w:rPr>
        <w:t>essentializing</w:t>
      </w:r>
      <w:proofErr w:type="spellEnd"/>
      <w:r w:rsidRPr="005702B4">
        <w:rPr>
          <w:rStyle w:val="StyleUnderline"/>
        </w:rPr>
        <w:t xml:space="preserve"> of identity and point to the failure of identity politics to challenge the social construction of status categories, to attend to the intersection of identities, and to come to grips with diversity within groups</w:t>
      </w:r>
      <w:r w:rsidRPr="001E3D13">
        <w:rPr>
          <w:sz w:val="16"/>
        </w:rPr>
        <w:t>. These criticisms have evoked the response that claims of essentialism may be strategic, that eliminating social categories as a political strategy is extremely difficult, and that identity politics has not been shown to be responsible for the negative outcomes, such as fragmentation of movements, to which it is linked.</w:t>
      </w:r>
      <w:bookmarkStart w:id="0" w:name="_GoBack"/>
      <w:bookmarkEnd w:id="0"/>
    </w:p>
    <w:p w:rsidR="00EE0840" w:rsidRPr="00222026" w:rsidRDefault="00EE0840" w:rsidP="00EE0840">
      <w:pPr>
        <w:pStyle w:val="Heading2"/>
      </w:pPr>
      <w:r>
        <w:t>Generic K Answers</w:t>
      </w:r>
    </w:p>
    <w:p w:rsidR="00EE0840" w:rsidRPr="00C853B3" w:rsidRDefault="00EE0840" w:rsidP="00EE0840">
      <w:pPr>
        <w:pStyle w:val="Heading4"/>
      </w:pPr>
      <w:r>
        <w:t xml:space="preserve">Policy implications are a prerequisite to effective theory </w:t>
      </w:r>
    </w:p>
    <w:p w:rsidR="00EE0840" w:rsidRPr="00C853B3" w:rsidRDefault="00EE0840" w:rsidP="00EE0840">
      <w:proofErr w:type="spellStart"/>
      <w:r w:rsidRPr="00C853B3">
        <w:rPr>
          <w:rStyle w:val="Style13ptBold"/>
        </w:rPr>
        <w:t>Feaver</w:t>
      </w:r>
      <w:proofErr w:type="spellEnd"/>
      <w:r w:rsidRPr="00C853B3">
        <w:rPr>
          <w:rStyle w:val="Style13ptBold"/>
        </w:rPr>
        <w:t xml:space="preserve"> 01</w:t>
      </w:r>
      <w:r w:rsidRPr="00C853B3">
        <w:t xml:space="preserve"> – (Peter, Asst. Prof of Political Science at Duke University, “Twenty-First Century Weapons Proliferation,”</w:t>
      </w:r>
      <w:r>
        <w:t xml:space="preserve"> (ed. Laurence E. Lynn Jr.) </w:t>
      </w:r>
      <w:r w:rsidRPr="00C853B3">
        <w:t xml:space="preserve"> </w:t>
      </w:r>
      <w:proofErr w:type="spellStart"/>
      <w:r w:rsidRPr="00C853B3">
        <w:t>pg</w:t>
      </w:r>
      <w:proofErr w:type="spellEnd"/>
      <w:r w:rsidRPr="00C853B3">
        <w:t xml:space="preserve"> 178, https://books.google.com/books?id=PeMvKAMCPGEC&amp;printsec=frontcover#v=onepage&amp;q&amp;f=false, Accessed 7/27/16) //</w:t>
      </w:r>
      <w:proofErr w:type="spellStart"/>
      <w:r w:rsidRPr="00C853B3">
        <w:t>ak</w:t>
      </w:r>
      <w:proofErr w:type="spellEnd"/>
    </w:p>
    <w:p w:rsidR="00EE0840" w:rsidRDefault="00EE0840" w:rsidP="00EE0840">
      <w:pPr>
        <w:rPr>
          <w:sz w:val="16"/>
          <w:szCs w:val="26"/>
        </w:rPr>
      </w:pPr>
      <w:r w:rsidRPr="00BA624D">
        <w:rPr>
          <w:sz w:val="16"/>
          <w:szCs w:val="26"/>
        </w:rPr>
        <w:t>At the same time, virtually all good theory has implications for policy.  Indeed,</w:t>
      </w:r>
      <w:r w:rsidRPr="00BA624D">
        <w:rPr>
          <w:rStyle w:val="TitleChar"/>
          <w:sz w:val="26"/>
          <w:szCs w:val="26"/>
        </w:rPr>
        <w:t xml:space="preserve"> </w:t>
      </w:r>
      <w:r w:rsidRPr="00BA624D">
        <w:rPr>
          <w:rStyle w:val="TitleChar"/>
          <w:sz w:val="26"/>
          <w:szCs w:val="26"/>
          <w:highlight w:val="cyan"/>
        </w:rPr>
        <w:t>if no</w:t>
      </w:r>
      <w:r w:rsidRPr="00BA624D">
        <w:rPr>
          <w:rStyle w:val="TitleChar"/>
          <w:sz w:val="26"/>
          <w:szCs w:val="26"/>
        </w:rPr>
        <w:t xml:space="preserve"> conceivable </w:t>
      </w:r>
      <w:r w:rsidRPr="00BA624D">
        <w:rPr>
          <w:rStyle w:val="TitleChar"/>
          <w:sz w:val="26"/>
          <w:szCs w:val="26"/>
          <w:highlight w:val="cyan"/>
        </w:rPr>
        <w:t>extension of the theory leads to insights that would aid</w:t>
      </w:r>
      <w:r w:rsidRPr="00BA624D">
        <w:rPr>
          <w:rStyle w:val="TitleChar"/>
          <w:sz w:val="26"/>
          <w:szCs w:val="26"/>
        </w:rPr>
        <w:t xml:space="preserve"> those working in </w:t>
      </w:r>
      <w:r w:rsidRPr="00BA624D">
        <w:rPr>
          <w:rStyle w:val="TitleChar"/>
          <w:sz w:val="26"/>
          <w:szCs w:val="26"/>
          <w:highlight w:val="cyan"/>
        </w:rPr>
        <w:t>the ‘real world’, what can be ‘good’ about</w:t>
      </w:r>
      <w:r w:rsidRPr="00BA624D">
        <w:rPr>
          <w:rStyle w:val="TitleChar"/>
          <w:sz w:val="26"/>
          <w:szCs w:val="26"/>
        </w:rPr>
        <w:t xml:space="preserve"> good </w:t>
      </w:r>
      <w:r w:rsidRPr="00BA624D">
        <w:rPr>
          <w:rStyle w:val="TitleChar"/>
          <w:sz w:val="26"/>
          <w:szCs w:val="26"/>
          <w:highlight w:val="cyan"/>
        </w:rPr>
        <w:t>theory</w:t>
      </w:r>
      <w:r w:rsidRPr="00BA624D">
        <w:rPr>
          <w:sz w:val="16"/>
          <w:szCs w:val="26"/>
        </w:rPr>
        <w:t xml:space="preserve">?  Ignoring the policy implications of theory is often a sign of intellectual laziness on the part of the theorist.  It is hard work to learn about the policy world and to make the connections from theory to policy.  Often, the skill sets do not transfer easily from one domain to another, so a formidable theorist can show embarrassing </w:t>
      </w:r>
      <w:proofErr w:type="spellStart"/>
      <w:r w:rsidRPr="00BA624D">
        <w:rPr>
          <w:sz w:val="16"/>
          <w:szCs w:val="26"/>
        </w:rPr>
        <w:t>naivete</w:t>
      </w:r>
      <w:proofErr w:type="spellEnd"/>
      <w:r w:rsidRPr="00BA624D">
        <w:rPr>
          <w:sz w:val="16"/>
          <w:szCs w:val="26"/>
        </w:rPr>
        <w:t xml:space="preserve"> when it comes to the policy domain he or she putatively studies.  Often,</w:t>
      </w:r>
      <w:r w:rsidRPr="00BA624D">
        <w:rPr>
          <w:rStyle w:val="TitleChar"/>
          <w:sz w:val="26"/>
          <w:szCs w:val="26"/>
        </w:rPr>
        <w:t xml:space="preserve"> </w:t>
      </w:r>
      <w:r w:rsidRPr="00BA624D">
        <w:rPr>
          <w:rStyle w:val="TitleChar"/>
          <w:sz w:val="26"/>
          <w:szCs w:val="26"/>
          <w:highlight w:val="cyan"/>
        </w:rPr>
        <w:t>when</w:t>
      </w:r>
      <w:r w:rsidRPr="00BA624D">
        <w:rPr>
          <w:rStyle w:val="TitleChar"/>
          <w:sz w:val="26"/>
          <w:szCs w:val="26"/>
        </w:rPr>
        <w:t xml:space="preserve"> the </w:t>
      </w:r>
      <w:r w:rsidRPr="00BA624D">
        <w:rPr>
          <w:rStyle w:val="TitleChar"/>
          <w:sz w:val="26"/>
          <w:szCs w:val="26"/>
          <w:highlight w:val="cyan"/>
        </w:rPr>
        <w:t>policy implications are considered, flaws in the theory</w:t>
      </w:r>
      <w:r w:rsidRPr="00BA624D">
        <w:rPr>
          <w:rStyle w:val="TitleChar"/>
          <w:sz w:val="26"/>
          <w:szCs w:val="26"/>
        </w:rPr>
        <w:t xml:space="preserve"> (or </w:t>
      </w:r>
      <w:r w:rsidRPr="00BA624D">
        <w:rPr>
          <w:sz w:val="16"/>
          <w:szCs w:val="26"/>
        </w:rPr>
        <w:t>at least in the presentation of the theory)</w:t>
      </w:r>
      <w:r w:rsidRPr="00BA624D">
        <w:rPr>
          <w:rStyle w:val="TitleChar"/>
          <w:sz w:val="26"/>
          <w:szCs w:val="26"/>
        </w:rPr>
        <w:t xml:space="preserve"> </w:t>
      </w:r>
      <w:r w:rsidRPr="00BA624D">
        <w:rPr>
          <w:rStyle w:val="TitleChar"/>
          <w:sz w:val="26"/>
          <w:szCs w:val="26"/>
          <w:highlight w:val="cyan"/>
        </w:rPr>
        <w:t>are uncovered</w:t>
      </w:r>
      <w:r w:rsidRPr="00BA624D">
        <w:rPr>
          <w:rStyle w:val="TitleChar"/>
          <w:sz w:val="26"/>
          <w:szCs w:val="26"/>
        </w:rPr>
        <w:t xml:space="preserve">.  Thus, </w:t>
      </w:r>
      <w:r w:rsidRPr="00BA624D">
        <w:rPr>
          <w:rStyle w:val="TitleChar"/>
          <w:sz w:val="26"/>
          <w:szCs w:val="26"/>
          <w:highlight w:val="cyan"/>
        </w:rPr>
        <w:t>focusing attention on policy</w:t>
      </w:r>
      <w:r w:rsidRPr="00BA624D">
        <w:rPr>
          <w:rStyle w:val="TitleChar"/>
          <w:sz w:val="26"/>
          <w:szCs w:val="26"/>
        </w:rPr>
        <w:t xml:space="preserve"> implications </w:t>
      </w:r>
      <w:r w:rsidRPr="00BA624D">
        <w:rPr>
          <w:rStyle w:val="TitleChar"/>
          <w:sz w:val="26"/>
          <w:szCs w:val="26"/>
          <w:highlight w:val="cyan"/>
        </w:rPr>
        <w:t>should lead to better theorizing.</w:t>
      </w:r>
      <w:r w:rsidRPr="00BA624D">
        <w:rPr>
          <w:rStyle w:val="TitleChar"/>
          <w:sz w:val="26"/>
          <w:szCs w:val="26"/>
        </w:rPr>
        <w:t xml:space="preserve"> </w:t>
      </w:r>
      <w:r w:rsidRPr="00BA624D">
        <w:rPr>
          <w:sz w:val="16"/>
          <w:szCs w:val="26"/>
        </w:rPr>
        <w:t>The gap between theory and policy is more rhetoric than reality.</w:t>
      </w:r>
      <w:r w:rsidRPr="00BA624D">
        <w:rPr>
          <w:rStyle w:val="TitleChar"/>
          <w:sz w:val="26"/>
          <w:szCs w:val="26"/>
        </w:rPr>
        <w:t xml:space="preserve">  </w:t>
      </w:r>
      <w:r w:rsidRPr="00BA624D">
        <w:rPr>
          <w:rStyle w:val="TitleChar"/>
          <w:sz w:val="26"/>
          <w:szCs w:val="26"/>
          <w:highlight w:val="cyan"/>
        </w:rPr>
        <w:t>But rhetoric can create a reality</w:t>
      </w:r>
      <w:r w:rsidRPr="00BA624D">
        <w:rPr>
          <w:rStyle w:val="TitleChar"/>
          <w:sz w:val="26"/>
          <w:szCs w:val="26"/>
        </w:rPr>
        <w:t>–or at least create an undesirable kind of reality–</w:t>
      </w:r>
      <w:r w:rsidRPr="00BA624D">
        <w:rPr>
          <w:rStyle w:val="TitleChar"/>
          <w:sz w:val="26"/>
          <w:szCs w:val="26"/>
          <w:highlight w:val="cyan"/>
        </w:rPr>
        <w:t>where</w:t>
      </w:r>
      <w:r w:rsidRPr="00BA624D">
        <w:rPr>
          <w:rStyle w:val="TitleChar"/>
          <w:sz w:val="26"/>
          <w:szCs w:val="26"/>
        </w:rPr>
        <w:t xml:space="preserve"> policy makers make policy though ignorant of the problems that good theory would expose, while </w:t>
      </w:r>
      <w:r w:rsidRPr="00BA624D">
        <w:rPr>
          <w:rStyle w:val="TitleChar"/>
          <w:sz w:val="26"/>
          <w:szCs w:val="26"/>
          <w:highlight w:val="cyan"/>
        </w:rPr>
        <w:t>theorists spin arcana without a view to producing something that matters.</w:t>
      </w:r>
      <w:r w:rsidRPr="00BA624D">
        <w:rPr>
          <w:rStyle w:val="TitleChar"/>
          <w:sz w:val="26"/>
          <w:szCs w:val="26"/>
        </w:rPr>
        <w:t xml:space="preserve">  </w:t>
      </w:r>
      <w:r w:rsidRPr="00BA624D">
        <w:rPr>
          <w:sz w:val="16"/>
          <w:szCs w:val="26"/>
        </w:rPr>
        <w:t>It is therefore incumbent on those of us who study proliferation–a topic that raises interesting and important questions for both policy and theory – to bring the communities together: Happily, the best work in the proliferation ﬁeld already does so.</w:t>
      </w:r>
    </w:p>
    <w:p w:rsidR="00EE0840" w:rsidRDefault="00EE0840" w:rsidP="00EE0840">
      <w:pPr>
        <w:pStyle w:val="Heading4"/>
      </w:pPr>
      <w:r>
        <w:t>Perm solves—post-positivist methods are compatible with those that seek to predict.</w:t>
      </w:r>
    </w:p>
    <w:p w:rsidR="00EE0840" w:rsidRDefault="00EE0840" w:rsidP="00EE0840">
      <w:proofErr w:type="spellStart"/>
      <w:r w:rsidRPr="00161966">
        <w:rPr>
          <w:rStyle w:val="Style13ptBold"/>
        </w:rPr>
        <w:t>Kitchin</w:t>
      </w:r>
      <w:proofErr w:type="spellEnd"/>
      <w:r w:rsidRPr="00161966">
        <w:rPr>
          <w:rStyle w:val="Style13ptBold"/>
        </w:rPr>
        <w:t xml:space="preserve"> 14</w:t>
      </w:r>
      <w:r>
        <w:t xml:space="preserve"> [Rob </w:t>
      </w:r>
      <w:proofErr w:type="spellStart"/>
      <w:r>
        <w:t>Kitchin</w:t>
      </w:r>
      <w:proofErr w:type="spellEnd"/>
      <w:r>
        <w:t xml:space="preserve">, National Institute for Regional and Spatial Analysis, National University of Ireland </w:t>
      </w:r>
      <w:proofErr w:type="spellStart"/>
      <w:r>
        <w:t>Maynooth</w:t>
      </w:r>
      <w:proofErr w:type="spellEnd"/>
      <w:r>
        <w:t>, County Kildare, Ireland. "Big Data, new epistemologies and paradigm shifts." Big Data &amp; Society 1.1 (2014): 2053951714528481.] 7/27/2016</w:t>
      </w:r>
    </w:p>
    <w:p w:rsidR="00EE0840" w:rsidRDefault="00EE0840" w:rsidP="00EE0840">
      <w:r>
        <w:t xml:space="preserve">Whereas most digital humanists recognize the value of close readings, and stress how distant readings complement them by providing depth and contextualization, </w:t>
      </w:r>
      <w:r w:rsidRPr="00BC16F8">
        <w:rPr>
          <w:rStyle w:val="StyleUnderline"/>
        </w:rPr>
        <w:t>positivistic forms of social science are oppositional to post-positivist approaches</w:t>
      </w:r>
      <w:r>
        <w:t xml:space="preserve">. The difference between </w:t>
      </w:r>
      <w:r w:rsidRPr="00BC16F8">
        <w:rPr>
          <w:rStyle w:val="StyleUnderline"/>
        </w:rPr>
        <w:t>the humanities</w:t>
      </w:r>
      <w:r w:rsidRPr="00BC16F8">
        <w:t xml:space="preserve"> and social sciences </w:t>
      </w:r>
      <w:r>
        <w:t xml:space="preserve">in this respect is </w:t>
      </w:r>
      <w:r w:rsidRPr="00BC16F8">
        <w:t>because the statistics used in the digital humanities</w:t>
      </w:r>
      <w:r w:rsidRPr="00BC16F8">
        <w:rPr>
          <w:rStyle w:val="StyleUnderline"/>
        </w:rPr>
        <w:t xml:space="preserve"> are largely descriptive – identifying and plotting patterns. In contrast</w:t>
      </w:r>
      <w:r w:rsidRPr="00BC16F8">
        <w:t xml:space="preserve">, the computational </w:t>
      </w:r>
      <w:r w:rsidRPr="00BC16F8">
        <w:rPr>
          <w:rStyle w:val="StyleUnderline"/>
        </w:rPr>
        <w:t xml:space="preserve">social sciences employ the scientific method, complementing descriptive statistics with inferential statistics that </w:t>
      </w:r>
      <w:r w:rsidRPr="00EE0840">
        <w:rPr>
          <w:rStyle w:val="Emphasis"/>
        </w:rPr>
        <w:t>seek to identify associations and causality.</w:t>
      </w:r>
      <w:r>
        <w:t xml:space="preserve"> In other words, </w:t>
      </w:r>
      <w:r w:rsidRPr="00BC16F8">
        <w:rPr>
          <w:rStyle w:val="StyleUnderline"/>
        </w:rPr>
        <w:t xml:space="preserve">they are underpinned by an epistemology wherein the aim is to produce sophisticated statistical models that explain, simulate and predict human life. This is much more difficult to reconcile with post-positivist approaches. </w:t>
      </w:r>
      <w:r w:rsidRPr="00BC16F8">
        <w:rPr>
          <w:rStyle w:val="Emphasis"/>
        </w:rPr>
        <w:t>Advocacy then rests on the utility and value of the method</w:t>
      </w:r>
      <w:r>
        <w:t xml:space="preserve"> and models, not on providing complementary analysis of a more expansive set of data.</w:t>
      </w:r>
    </w:p>
    <w:p w:rsidR="00BC16F8" w:rsidRPr="00EE0840" w:rsidRDefault="00EE0840" w:rsidP="00EE0840">
      <w:r w:rsidRPr="00EE0840">
        <w:rPr>
          <w:rStyle w:val="StyleUnderline"/>
        </w:rPr>
        <w:t>There is a potentially fruitful alternative to</w:t>
      </w:r>
      <w:r>
        <w:t xml:space="preserve"> this position that adopts and extends the epistemologies employed in critical GIS and radical statistics. These approaches </w:t>
      </w:r>
      <w:r w:rsidRPr="00EE0840">
        <w:rPr>
          <w:rStyle w:val="StyleUnderline"/>
        </w:rPr>
        <w:t xml:space="preserve">employ quantitative techniques, inferential statistics, modelling and simulation whilst being mindful and open with respect to their epistemological shortcomings, </w:t>
      </w:r>
      <w:r w:rsidRPr="00EE0840">
        <w:rPr>
          <w:rStyle w:val="Emphasis"/>
        </w:rPr>
        <w:t>drawing on critical social theory to frame how the research is conducted</w:t>
      </w:r>
      <w:r w:rsidRPr="00EE0840">
        <w:rPr>
          <w:rStyle w:val="StyleUnderline"/>
        </w:rPr>
        <w:t xml:space="preserve">, how sense is made of the findings, and the knowledge employed. Here, there is recognition that </w:t>
      </w:r>
      <w:r w:rsidRPr="00EE0840">
        <w:rPr>
          <w:rStyle w:val="Emphasis"/>
        </w:rPr>
        <w:t>research is not a neutral, objective activity that produces a view from nowhere</w:t>
      </w:r>
      <w:r>
        <w:t xml:space="preserve">, and that there is an inherent politics pervading the datasets </w:t>
      </w:r>
      <w:proofErr w:type="spellStart"/>
      <w:r>
        <w:t>analysed</w:t>
      </w:r>
      <w:proofErr w:type="spellEnd"/>
      <w:r>
        <w:t>, the research conducted, and the interpretations made (</w:t>
      </w:r>
      <w:proofErr w:type="spellStart"/>
      <w:r>
        <w:t>Haraway</w:t>
      </w:r>
      <w:proofErr w:type="spellEnd"/>
      <w:r>
        <w:t xml:space="preserve">, 1991; Rose, 1997). As such, </w:t>
      </w:r>
      <w:r w:rsidRPr="00EE0840">
        <w:t>the researcher is acknowledged</w:t>
      </w:r>
      <w:r>
        <w:t xml:space="preserve"> to possess a certain </w:t>
      </w:r>
      <w:proofErr w:type="spellStart"/>
      <w:r>
        <w:t>positionality</w:t>
      </w:r>
      <w:proofErr w:type="spellEnd"/>
      <w:r>
        <w:t xml:space="preserve"> (with respect to their knowledge, experience, beliefs, aspirations, etc.), </w:t>
      </w:r>
      <w:r w:rsidRPr="00EE0840">
        <w:rPr>
          <w:rStyle w:val="StyleUnderline"/>
        </w:rPr>
        <w:t>that the research is situated</w:t>
      </w:r>
      <w:r>
        <w:t xml:space="preserve"> (within disciplinary debates, the funding landscape, wider societal politics, etc.), </w:t>
      </w:r>
      <w:r w:rsidRPr="00EE0840">
        <w:rPr>
          <w:rStyle w:val="StyleUnderline"/>
        </w:rPr>
        <w:t>the data are reflective of the technique used to generate them and hold certain characteristics</w:t>
      </w:r>
      <w:r>
        <w:t xml:space="preserve"> (relating to sampling and ontological frames, data cleanliness, completeness, consistency, veracity and fidelity), </w:t>
      </w:r>
      <w:r w:rsidRPr="00EE0840">
        <w:rPr>
          <w:rStyle w:val="StyleUnderline"/>
        </w:rPr>
        <w:t>and the methods of analysis utilized produce particular effects with respect to the results produced and interpretations made.</w:t>
      </w:r>
      <w:r>
        <w:t xml:space="preserve"> Moreover, it is recognized that how the research is employed is not ideologically-neutral but is framed in subtle and explicit ways by the aspirations and intentions of the researchers and funders/sponsors, and those that translate such research into various forms of policy, instruments, and action. In other words, within such an epistemology the research conducted is reflexive and open with respect to the research process, acknowledging the contingencies and </w:t>
      </w:r>
      <w:proofErr w:type="spellStart"/>
      <w:r>
        <w:t>relationalities</w:t>
      </w:r>
      <w:proofErr w:type="spellEnd"/>
      <w:r>
        <w:t xml:space="preserve"> of the approach employed, thus producing nuanced and contextualized accounts and conclusions. Such an epistemology also does not foreclose complementing situated computational social science with small data studies that provide additional and amplifying insights (</w:t>
      </w:r>
      <w:proofErr w:type="spellStart"/>
      <w:r>
        <w:t>Crampton</w:t>
      </w:r>
      <w:proofErr w:type="spellEnd"/>
      <w:r>
        <w:t xml:space="preserve"> et al., 2012). </w:t>
      </w:r>
      <w:r w:rsidRPr="00EE0840">
        <w:rPr>
          <w:rStyle w:val="StyleUnderline"/>
        </w:rPr>
        <w:t>In other words, it is possible to think of new epistemologies that do not dismiss or reject</w:t>
      </w:r>
      <w:r>
        <w:t xml:space="preserve"> Big </w:t>
      </w:r>
      <w:r w:rsidRPr="00EE0840">
        <w:rPr>
          <w:rStyle w:val="StyleUnderline"/>
        </w:rPr>
        <w:t xml:space="preserve">Data analytics, but rather </w:t>
      </w:r>
      <w:r w:rsidRPr="00EE0840">
        <w:rPr>
          <w:rStyle w:val="Emphasis"/>
        </w:rPr>
        <w:t>employ the methodological approach of data-driven science within a different epistemological framing</w:t>
      </w:r>
      <w:r w:rsidRPr="00EE0840">
        <w:rPr>
          <w:rStyle w:val="StyleUnderline"/>
        </w:rPr>
        <w:t xml:space="preserve"> that enables social scientists to draw valuable insights</w:t>
      </w:r>
      <w:r>
        <w:t xml:space="preserve"> from Big Data </w:t>
      </w:r>
      <w:r w:rsidRPr="00EE0840">
        <w:rPr>
          <w:rStyle w:val="StyleUnderline"/>
        </w:rPr>
        <w:t>that are situated and reflexive.</w:t>
      </w:r>
    </w:p>
    <w:p w:rsidR="00B00718" w:rsidRPr="000750A7" w:rsidRDefault="00B00718" w:rsidP="00B00718">
      <w:pPr>
        <w:rPr>
          <w:sz w:val="12"/>
        </w:rPr>
      </w:pPr>
    </w:p>
    <w:p w:rsidR="00B00718" w:rsidRPr="00B00718" w:rsidRDefault="00B00718" w:rsidP="00B00718"/>
    <w:sectPr w:rsidR="00B00718" w:rsidRPr="00B007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95"/>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B00718"/>
    <w:rsid w:val="000139A3"/>
    <w:rsid w:val="00100833"/>
    <w:rsid w:val="00104529"/>
    <w:rsid w:val="00105942"/>
    <w:rsid w:val="00107396"/>
    <w:rsid w:val="00144A4C"/>
    <w:rsid w:val="00176AB0"/>
    <w:rsid w:val="00177B7D"/>
    <w:rsid w:val="0018322D"/>
    <w:rsid w:val="001B5776"/>
    <w:rsid w:val="001E527A"/>
    <w:rsid w:val="001F78CE"/>
    <w:rsid w:val="00222026"/>
    <w:rsid w:val="00251FC7"/>
    <w:rsid w:val="002855A7"/>
    <w:rsid w:val="002B146A"/>
    <w:rsid w:val="002B5E17"/>
    <w:rsid w:val="00315690"/>
    <w:rsid w:val="00316B75"/>
    <w:rsid w:val="00325646"/>
    <w:rsid w:val="003460F2"/>
    <w:rsid w:val="0035783A"/>
    <w:rsid w:val="0038158C"/>
    <w:rsid w:val="003902BA"/>
    <w:rsid w:val="003A09E2"/>
    <w:rsid w:val="00407037"/>
    <w:rsid w:val="004605D6"/>
    <w:rsid w:val="0048266E"/>
    <w:rsid w:val="004C60E8"/>
    <w:rsid w:val="004E3579"/>
    <w:rsid w:val="004E728B"/>
    <w:rsid w:val="004F39E0"/>
    <w:rsid w:val="00537BD5"/>
    <w:rsid w:val="0057268A"/>
    <w:rsid w:val="005D2912"/>
    <w:rsid w:val="005D2F43"/>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19D2"/>
    <w:rsid w:val="008B3ECB"/>
    <w:rsid w:val="008B4E85"/>
    <w:rsid w:val="008C1B2E"/>
    <w:rsid w:val="0091627E"/>
    <w:rsid w:val="009338EE"/>
    <w:rsid w:val="0097032B"/>
    <w:rsid w:val="0099157C"/>
    <w:rsid w:val="009D2EAD"/>
    <w:rsid w:val="009D54B2"/>
    <w:rsid w:val="009E1922"/>
    <w:rsid w:val="009F7ED2"/>
    <w:rsid w:val="00A07163"/>
    <w:rsid w:val="00A47D1D"/>
    <w:rsid w:val="00A93661"/>
    <w:rsid w:val="00A95652"/>
    <w:rsid w:val="00AB2603"/>
    <w:rsid w:val="00AC0AB8"/>
    <w:rsid w:val="00B00718"/>
    <w:rsid w:val="00B33C6D"/>
    <w:rsid w:val="00B35DE9"/>
    <w:rsid w:val="00B4508F"/>
    <w:rsid w:val="00B55AD5"/>
    <w:rsid w:val="00B8057C"/>
    <w:rsid w:val="00BC16F8"/>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515E1"/>
    <w:rsid w:val="00D61409"/>
    <w:rsid w:val="00D6691E"/>
    <w:rsid w:val="00D71170"/>
    <w:rsid w:val="00DA1C92"/>
    <w:rsid w:val="00DA25D4"/>
    <w:rsid w:val="00DA6538"/>
    <w:rsid w:val="00E15E75"/>
    <w:rsid w:val="00E5262C"/>
    <w:rsid w:val="00EC7DC4"/>
    <w:rsid w:val="00ED30CF"/>
    <w:rsid w:val="00EE0840"/>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5A277F-70C5-4A34-9E5E-DD878CF6B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5"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B00718"/>
    <w:rPr>
      <w:rFonts w:ascii="Georgia" w:hAnsi="Georgia"/>
    </w:rPr>
  </w:style>
  <w:style w:type="paragraph" w:styleId="Heading1">
    <w:name w:val="heading 1"/>
    <w:aliases w:val="Pocket"/>
    <w:basedOn w:val="Normal"/>
    <w:next w:val="Normal"/>
    <w:link w:val="Heading1Char"/>
    <w:qFormat/>
    <w:rsid w:val="00B0071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0071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0071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B0071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0071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00718"/>
  </w:style>
  <w:style w:type="character" w:customStyle="1" w:styleId="Heading1Char">
    <w:name w:val="Heading 1 Char"/>
    <w:aliases w:val="Pocket Char"/>
    <w:basedOn w:val="DefaultParagraphFont"/>
    <w:link w:val="Heading1"/>
    <w:rsid w:val="00B00718"/>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B00718"/>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B00718"/>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B00718"/>
    <w:rPr>
      <w:rFonts w:ascii="Georgia" w:eastAsiaTheme="majorEastAsia" w:hAnsi="Georgia"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
    <w:basedOn w:val="DefaultParagraphFont"/>
    <w:link w:val="textbold"/>
    <w:uiPriority w:val="7"/>
    <w:qFormat/>
    <w:rsid w:val="00B00718"/>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B00718"/>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6"/>
    <w:qFormat/>
    <w:rsid w:val="00B00718"/>
    <w:rPr>
      <w:b/>
      <w:sz w:val="22"/>
      <w:u w:val="single"/>
    </w:rPr>
  </w:style>
  <w:style w:type="character" w:styleId="Hyperlink">
    <w:name w:val="Hyperlink"/>
    <w:basedOn w:val="DefaultParagraphFont"/>
    <w:uiPriority w:val="99"/>
    <w:unhideWhenUsed/>
    <w:rsid w:val="00B00718"/>
    <w:rPr>
      <w:color w:val="auto"/>
      <w:u w:val="none"/>
    </w:rPr>
  </w:style>
  <w:style w:type="character" w:styleId="FollowedHyperlink">
    <w:name w:val="FollowedHyperlink"/>
    <w:basedOn w:val="DefaultParagraphFont"/>
    <w:uiPriority w:val="99"/>
    <w:semiHidden/>
    <w:unhideWhenUsed/>
    <w:rsid w:val="00B00718"/>
    <w:rPr>
      <w:color w:val="auto"/>
      <w:u w:val="none"/>
    </w:rPr>
  </w:style>
  <w:style w:type="paragraph" w:customStyle="1" w:styleId="textbold">
    <w:name w:val="text bold"/>
    <w:basedOn w:val="Normal"/>
    <w:link w:val="Emphasis"/>
    <w:uiPriority w:val="7"/>
    <w:qFormat/>
    <w:rsid w:val="00B00718"/>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
    <w:name w:val="card"/>
    <w:basedOn w:val="Normal"/>
    <w:next w:val="Normal"/>
    <w:link w:val="StyleUnderline"/>
    <w:uiPriority w:val="6"/>
    <w:qFormat/>
    <w:rsid w:val="00B00718"/>
    <w:pPr>
      <w:ind w:left="288" w:right="288"/>
    </w:pPr>
    <w:rPr>
      <w:rFonts w:asciiTheme="minorHAnsi" w:hAnsiTheme="minorHAnsi"/>
      <w:b/>
      <w:u w:val="single"/>
    </w:rPr>
  </w:style>
  <w:style w:type="character" w:customStyle="1" w:styleId="TitleChar">
    <w:name w:val="Title Char"/>
    <w:aliases w:val="UNDERLINE Char,Bold Underlined Char,Cites and Cards Char,title Char"/>
    <w:basedOn w:val="DefaultParagraphFont"/>
    <w:link w:val="Title"/>
    <w:uiPriority w:val="5"/>
    <w:qFormat/>
    <w:rsid w:val="00B00718"/>
    <w:rPr>
      <w:sz w:val="20"/>
      <w:u w:val="single"/>
    </w:rPr>
  </w:style>
  <w:style w:type="paragraph" w:styleId="Title">
    <w:name w:val="Title"/>
    <w:aliases w:val="UNDERLINE,Bold Underlined,Cites and Cards,title"/>
    <w:basedOn w:val="Normal"/>
    <w:next w:val="Normal"/>
    <w:link w:val="TitleChar"/>
    <w:uiPriority w:val="5"/>
    <w:qFormat/>
    <w:rsid w:val="00B00718"/>
    <w:pPr>
      <w:outlineLvl w:val="0"/>
    </w:pPr>
    <w:rPr>
      <w:rFonts w:asciiTheme="minorHAnsi" w:hAnsiTheme="minorHAnsi"/>
      <w:sz w:val="20"/>
      <w:u w:val="single"/>
    </w:rPr>
  </w:style>
  <w:style w:type="character" w:customStyle="1" w:styleId="TitleChar1">
    <w:name w:val="Title Char1"/>
    <w:basedOn w:val="DefaultParagraphFont"/>
    <w:uiPriority w:val="99"/>
    <w:semiHidden/>
    <w:rsid w:val="00B0071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http://rac.sagepub.com/content/53/2/100.full.pdf+html?rss=1,%20Acc" TargetMode="External"/><Relationship Id="rId4" Type="http://schemas.openxmlformats.org/officeDocument/2006/relationships/customXml" Target="../customXml/item4.xml"/><Relationship Id="rId9" Type="http://schemas.openxmlformats.org/officeDocument/2006/relationships/hyperlink" Target="http://scholarship.claremont.edu/cgi/viewcontent.cgi?article=1164&amp;context=cmc_thes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ott%20Wheel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00410B-5215-4650-83B6-1B81D0670B3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3C0F240-FF1A-403C-BF7A-274437578F6B}">
  <ds:schemaRefs>
    <ds:schemaRef ds:uri="http://schemas.microsoft.com/sharepoint/v3/contenttype/forms"/>
  </ds:schemaRefs>
</ds:datastoreItem>
</file>

<file path=customXml/itemProps3.xml><?xml version="1.0" encoding="utf-8"?>
<ds:datastoreItem xmlns:ds="http://schemas.openxmlformats.org/officeDocument/2006/customXml" ds:itemID="{DFE67364-972D-4CDA-8256-84709BD84C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0EB190D3-5067-4B08-9CEC-D12FC55816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1088</TotalTime>
  <Pages>1</Pages>
  <Words>4592</Words>
  <Characters>26176</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Wheeler</dc:creator>
  <cp:keywords>5.1.1</cp:keywords>
  <dc:description/>
  <cp:lastModifiedBy>Scott Wheeler</cp:lastModifiedBy>
  <cp:revision>2</cp:revision>
  <dcterms:created xsi:type="dcterms:W3CDTF">2016-07-28T20:15:00Z</dcterms:created>
  <dcterms:modified xsi:type="dcterms:W3CDTF">2016-08-01T04:42:00Z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