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F01A7" w:rsidP="008F01A7">
      <w:pPr>
        <w:pStyle w:val="Heading1"/>
      </w:pPr>
      <w:r>
        <w:t>Anthropocentrism Supplement File</w:t>
      </w:r>
    </w:p>
    <w:p w:rsidR="008F01A7" w:rsidRDefault="008F01A7" w:rsidP="008F01A7">
      <w:pPr>
        <w:pStyle w:val="Heading2"/>
      </w:pPr>
      <w:r>
        <w:t>AFF</w:t>
      </w:r>
    </w:p>
    <w:p w:rsidR="008F01A7" w:rsidRDefault="008F01A7" w:rsidP="008F01A7">
      <w:pPr>
        <w:pStyle w:val="Heading3"/>
      </w:pPr>
      <w:r>
        <w:t xml:space="preserve">AT: Psychoanalysis </w:t>
      </w:r>
    </w:p>
    <w:p w:rsidR="008F01A7" w:rsidRPr="008F01A7" w:rsidRDefault="008F01A7" w:rsidP="008F01A7">
      <w:pPr>
        <w:pStyle w:val="Heading4"/>
      </w:pPr>
      <w:r>
        <w:t xml:space="preserve">The Perm solves- Psychoanalysis doesn’t account for anthropocentrism, but anthropocentrism can be includes in discussions of psychoanalysis. </w:t>
      </w:r>
    </w:p>
    <w:p w:rsidR="008F01A7" w:rsidRPr="008F01A7" w:rsidRDefault="008F01A7" w:rsidP="008F01A7">
      <w:r w:rsidRPr="008F01A7">
        <w:rPr>
          <w:rStyle w:val="Style13ptBold"/>
        </w:rPr>
        <w:t>Ray 92</w:t>
      </w:r>
      <w:r>
        <w:t xml:space="preserve"> (Nicholas is Lecturer in Critical and Cultural Theory in the School of English at the University of Leeds. He is the author of Tragedy and Otherness: Sophocles, Shakespeare, Psychoanalysis (2009) and editor of Interrogating </w:t>
      </w:r>
      <w:proofErr w:type="gramStart"/>
      <w:r>
        <w:t>The</w:t>
      </w:r>
      <w:proofErr w:type="gramEnd"/>
      <w:r>
        <w:t xml:space="preserve"> Shield (2012) [http://www.criticalanimalstudies.org/wp-content/uploads/2012/10/JCAS+Volume+10+Issue+1+2012+FINAL.pdf#page=41] Accessed: 7/17/16 LGF</w:t>
      </w:r>
    </w:p>
    <w:p w:rsidR="00971AE2" w:rsidRPr="008065A2" w:rsidRDefault="008F01A7" w:rsidP="00971AE2">
      <w:pPr>
        <w:rPr>
          <w:b/>
          <w:u w:val="single"/>
        </w:rPr>
      </w:pPr>
      <w:r w:rsidRPr="008F01A7">
        <w:rPr>
          <w:rStyle w:val="StyleBoldUnderline"/>
        </w:rPr>
        <w:t>To what precisely does psychoanalysis refer when it invokes, as it so frequently does, the category of the ―human‖? Upon what specific exclusions does the delimitation of this category depend within psychoanalytic thought?</w:t>
      </w:r>
      <w:r w:rsidRPr="008F01A7">
        <w:rPr>
          <w:sz w:val="20"/>
        </w:rPr>
        <w:t xml:space="preserve"> With what critical rigor has psychoanalysis put in question the theoretical propositions and presuppositions which dominate Freud‘s thinking in this regard? And with what confidence and legitimacy is psychoanalysis capable of answering for the conceptual circumscription – or circumscriptions – of the ―human‖ on which it relies? The urgency and the complexity of questions such as these are becoming increasingly difficult to ignore. </w:t>
      </w:r>
      <w:r w:rsidRPr="008F01A7">
        <w:rPr>
          <w:rStyle w:val="StyleBoldUnderline"/>
        </w:rPr>
        <w:t>Recent years have witnessed a steady upsurge of critical interest in conceptual delimitations of the ―human being‖, not just within psychoanalytic discourse but in diverse fields far beyond it. The essential concern which has driven this work has frequently been with interrogating the authority of theoretical distinctions between human and non-human animals –</w:t>
      </w:r>
      <w:r w:rsidRPr="008F01A7">
        <w:rPr>
          <w:sz w:val="20"/>
        </w:rPr>
        <w:t xml:space="preserve"> distinctions which have formed implicit but constitutive points of orientation within even the most prevalent branches of philosophy, ethics, critical theory and the ―human sciences‖. Broadly speaking, the aims which govern this work have been to aggravate putative human/animal distinctions, to identify the significant but often marginal voices of historical resistance to them, and to open the way towards a thought which would not be governed by a manifest or latent anthropocentrism. </w:t>
      </w:r>
      <w:r w:rsidRPr="008F01A7">
        <w:rPr>
          <w:rStyle w:val="StyleBoldUnderline"/>
        </w:rPr>
        <w:t>With respect to psychoanalysis specifically, critical work in the area of what is sometimes broadly termed ―animal studies‖ remains at a fairly incipient stage.</w:t>
      </w:r>
      <w:r w:rsidRPr="008F01A7">
        <w:rPr>
          <w:sz w:val="20"/>
        </w:rPr>
        <w:t xml:space="preserve"> There have, to be sure, been some groundbreaking interventions by major philosophical authors – in particular Gilles </w:t>
      </w:r>
      <w:proofErr w:type="spellStart"/>
      <w:r w:rsidRPr="008F01A7">
        <w:rPr>
          <w:sz w:val="20"/>
        </w:rPr>
        <w:t>Deleuze</w:t>
      </w:r>
      <w:proofErr w:type="spellEnd"/>
      <w:r w:rsidRPr="008F01A7">
        <w:rPr>
          <w:sz w:val="20"/>
        </w:rPr>
        <w:t xml:space="preserve"> and Félix </w:t>
      </w:r>
      <w:proofErr w:type="spellStart"/>
      <w:r w:rsidRPr="008F01A7">
        <w:rPr>
          <w:sz w:val="20"/>
        </w:rPr>
        <w:t>Guatarri</w:t>
      </w:r>
      <w:proofErr w:type="spellEnd"/>
      <w:r w:rsidRPr="008F01A7">
        <w:rPr>
          <w:sz w:val="20"/>
        </w:rPr>
        <w:t xml:space="preserve"> (1980) on Freud, and more recently Jacques Derrida (2004) on </w:t>
      </w:r>
      <w:proofErr w:type="spellStart"/>
      <w:r w:rsidRPr="008F01A7">
        <w:rPr>
          <w:sz w:val="20"/>
        </w:rPr>
        <w:t>Lacan</w:t>
      </w:r>
      <w:proofErr w:type="spellEnd"/>
      <w:r w:rsidRPr="008F01A7">
        <w:rPr>
          <w:sz w:val="20"/>
        </w:rPr>
        <w:t xml:space="preserve"> – as well as some important clinically based reflection led by practitioners such as Salman Akhtar and </w:t>
      </w:r>
      <w:proofErr w:type="spellStart"/>
      <w:r w:rsidRPr="008F01A7">
        <w:rPr>
          <w:sz w:val="20"/>
        </w:rPr>
        <w:t>Vamik</w:t>
      </w:r>
      <w:proofErr w:type="spellEnd"/>
      <w:r w:rsidRPr="008F01A7">
        <w:rPr>
          <w:sz w:val="20"/>
        </w:rPr>
        <w:t xml:space="preserve"> </w:t>
      </w:r>
      <w:proofErr w:type="spellStart"/>
      <w:r w:rsidRPr="008F01A7">
        <w:rPr>
          <w:sz w:val="20"/>
        </w:rPr>
        <w:t>Volkan</w:t>
      </w:r>
      <w:proofErr w:type="spellEnd"/>
      <w:r w:rsidRPr="008F01A7">
        <w:rPr>
          <w:sz w:val="20"/>
        </w:rPr>
        <w:t xml:space="preserve"> (2005a and 2005b). However, </w:t>
      </w:r>
      <w:r w:rsidRPr="008F01A7">
        <w:rPr>
          <w:rStyle w:val="StyleBoldUnderline"/>
        </w:rPr>
        <w:t xml:space="preserve">the so called ―question of the animal‖ still has a relatively limited circulation within psychoanalysis and psychoanalytic studies. The human/animal relation has yet to become a subject of common or even broad reflection among theoreticians and clinicians, and the immense task of examining the theoretical evolution of the human/animal relation across the different analytic traditions has barely begun. </w:t>
      </w:r>
      <w:bookmarkStart w:id="0" w:name="_GoBack"/>
      <w:bookmarkEnd w:id="0"/>
    </w:p>
    <w:p w:rsidR="00971AE2" w:rsidRDefault="00892ADB" w:rsidP="00892ADB">
      <w:pPr>
        <w:pStyle w:val="Heading3"/>
      </w:pPr>
      <w:proofErr w:type="spellStart"/>
      <w:r>
        <w:t>Anthro</w:t>
      </w:r>
      <w:proofErr w:type="spellEnd"/>
      <w:r>
        <w:t xml:space="preserve"> Word Links</w:t>
      </w:r>
    </w:p>
    <w:p w:rsidR="007F10C0" w:rsidRPr="007F10C0" w:rsidRDefault="007F10C0" w:rsidP="007F10C0">
      <w:pPr>
        <w:pStyle w:val="Heading4"/>
      </w:pPr>
      <w:r>
        <w:t xml:space="preserve">Animal-based insults and negative animal references further anthropocentrism. Their performance links back to all of our impacts and is a reason they should loose. </w:t>
      </w:r>
    </w:p>
    <w:p w:rsidR="007F10C0" w:rsidRPr="007C1B16" w:rsidRDefault="007F10C0" w:rsidP="007F10C0">
      <w:pPr>
        <w:rPr>
          <w:sz w:val="18"/>
        </w:rPr>
      </w:pPr>
      <w:proofErr w:type="spellStart"/>
      <w:r w:rsidRPr="007F10C0">
        <w:rPr>
          <w:rStyle w:val="Style13ptBold"/>
        </w:rPr>
        <w:t>Schmauks</w:t>
      </w:r>
      <w:proofErr w:type="spellEnd"/>
      <w:r w:rsidRPr="007F10C0">
        <w:rPr>
          <w:rStyle w:val="Style13ptBold"/>
        </w:rPr>
        <w:t xml:space="preserve"> 2014</w:t>
      </w:r>
      <w:r>
        <w:t xml:space="preserve"> </w:t>
      </w:r>
      <w:r w:rsidRPr="007F10C0">
        <w:rPr>
          <w:sz w:val="20"/>
        </w:rPr>
        <w:t xml:space="preserve">(Dagmar, a supernumerary professor at the Technical University of Berlin. Her research interests include pragmatics, man-animal-relationship, and orientation in space. Her publications include </w:t>
      </w:r>
      <w:proofErr w:type="spellStart"/>
      <w:r w:rsidRPr="007F10C0">
        <w:rPr>
          <w:sz w:val="20"/>
        </w:rPr>
        <w:t>Multimediale</w:t>
      </w:r>
      <w:proofErr w:type="spellEnd"/>
      <w:r w:rsidRPr="007F10C0">
        <w:rPr>
          <w:sz w:val="20"/>
        </w:rPr>
        <w:t xml:space="preserve"> </w:t>
      </w:r>
      <w:proofErr w:type="spellStart"/>
      <w:r w:rsidRPr="007F10C0">
        <w:rPr>
          <w:sz w:val="20"/>
        </w:rPr>
        <w:t>Informationspräsentation</w:t>
      </w:r>
      <w:proofErr w:type="spellEnd"/>
      <w:r w:rsidRPr="007F10C0">
        <w:rPr>
          <w:sz w:val="20"/>
        </w:rPr>
        <w:t xml:space="preserve"> am </w:t>
      </w:r>
      <w:proofErr w:type="spellStart"/>
      <w:r w:rsidRPr="007F10C0">
        <w:rPr>
          <w:sz w:val="20"/>
        </w:rPr>
        <w:t>Beispiel</w:t>
      </w:r>
      <w:proofErr w:type="spellEnd"/>
      <w:r w:rsidRPr="007F10C0">
        <w:rPr>
          <w:sz w:val="20"/>
        </w:rPr>
        <w:t xml:space="preserve"> von </w:t>
      </w:r>
      <w:proofErr w:type="spellStart"/>
      <w:r w:rsidRPr="007F10C0">
        <w:rPr>
          <w:sz w:val="20"/>
        </w:rPr>
        <w:t>Wetterberichten</w:t>
      </w:r>
      <w:proofErr w:type="spellEnd"/>
      <w:r w:rsidRPr="007F10C0">
        <w:rPr>
          <w:sz w:val="20"/>
        </w:rPr>
        <w:t xml:space="preserve"> (1996); </w:t>
      </w:r>
      <w:proofErr w:type="spellStart"/>
      <w:r w:rsidRPr="007F10C0">
        <w:rPr>
          <w:sz w:val="20"/>
        </w:rPr>
        <w:t>Orientierung</w:t>
      </w:r>
      <w:proofErr w:type="spellEnd"/>
      <w:r w:rsidRPr="007F10C0">
        <w:rPr>
          <w:sz w:val="20"/>
        </w:rPr>
        <w:t xml:space="preserve"> </w:t>
      </w:r>
      <w:proofErr w:type="spellStart"/>
      <w:r w:rsidRPr="007F10C0">
        <w:rPr>
          <w:sz w:val="20"/>
        </w:rPr>
        <w:t>im</w:t>
      </w:r>
      <w:proofErr w:type="spellEnd"/>
      <w:r w:rsidRPr="007F10C0">
        <w:rPr>
          <w:sz w:val="20"/>
        </w:rPr>
        <w:t xml:space="preserve"> </w:t>
      </w:r>
      <w:proofErr w:type="spellStart"/>
      <w:r w:rsidRPr="007F10C0">
        <w:rPr>
          <w:sz w:val="20"/>
        </w:rPr>
        <w:t>Raum</w:t>
      </w:r>
      <w:proofErr w:type="spellEnd"/>
      <w:r w:rsidRPr="007F10C0">
        <w:rPr>
          <w:sz w:val="20"/>
        </w:rPr>
        <w:t xml:space="preserve">. </w:t>
      </w:r>
      <w:proofErr w:type="spellStart"/>
      <w:r w:rsidRPr="007F10C0">
        <w:rPr>
          <w:sz w:val="20"/>
        </w:rPr>
        <w:t>Zeichen</w:t>
      </w:r>
      <w:proofErr w:type="spellEnd"/>
      <w:r w:rsidRPr="007F10C0">
        <w:rPr>
          <w:sz w:val="20"/>
        </w:rPr>
        <w:t xml:space="preserve"> </w:t>
      </w:r>
      <w:proofErr w:type="spellStart"/>
      <w:r w:rsidRPr="007F10C0">
        <w:rPr>
          <w:sz w:val="20"/>
        </w:rPr>
        <w:t>für</w:t>
      </w:r>
      <w:proofErr w:type="spellEnd"/>
      <w:r w:rsidRPr="007F10C0">
        <w:rPr>
          <w:sz w:val="20"/>
        </w:rPr>
        <w:t xml:space="preserve"> die </w:t>
      </w:r>
      <w:proofErr w:type="spellStart"/>
      <w:r w:rsidRPr="007F10C0">
        <w:rPr>
          <w:sz w:val="20"/>
        </w:rPr>
        <w:t>Fortbewegung</w:t>
      </w:r>
      <w:proofErr w:type="spellEnd"/>
      <w:r w:rsidRPr="007F10C0">
        <w:rPr>
          <w:sz w:val="20"/>
        </w:rPr>
        <w:t xml:space="preserve"> (2002); </w:t>
      </w:r>
      <w:proofErr w:type="spellStart"/>
      <w:r w:rsidRPr="007F10C0">
        <w:rPr>
          <w:sz w:val="20"/>
        </w:rPr>
        <w:t>Semiotische</w:t>
      </w:r>
      <w:proofErr w:type="spellEnd"/>
      <w:r w:rsidRPr="007F10C0">
        <w:rPr>
          <w:sz w:val="20"/>
        </w:rPr>
        <w:t xml:space="preserve"> </w:t>
      </w:r>
      <w:proofErr w:type="spellStart"/>
      <w:r w:rsidRPr="007F10C0">
        <w:rPr>
          <w:sz w:val="20"/>
        </w:rPr>
        <w:t>Streifzüge</w:t>
      </w:r>
      <w:proofErr w:type="spellEnd"/>
      <w:r w:rsidRPr="007F10C0">
        <w:rPr>
          <w:sz w:val="20"/>
        </w:rPr>
        <w:t xml:space="preserve"> (2007); and </w:t>
      </w:r>
      <w:proofErr w:type="spellStart"/>
      <w:r w:rsidRPr="007F10C0">
        <w:rPr>
          <w:sz w:val="20"/>
        </w:rPr>
        <w:t>Denkdiäten</w:t>
      </w:r>
      <w:proofErr w:type="spellEnd"/>
      <w:r w:rsidRPr="007F10C0">
        <w:rPr>
          <w:sz w:val="20"/>
        </w:rPr>
        <w:t xml:space="preserve">, </w:t>
      </w:r>
      <w:proofErr w:type="spellStart"/>
      <w:r w:rsidRPr="007F10C0">
        <w:rPr>
          <w:sz w:val="20"/>
        </w:rPr>
        <w:t>Flachflieger</w:t>
      </w:r>
      <w:proofErr w:type="spellEnd"/>
      <w:r w:rsidRPr="007F10C0">
        <w:rPr>
          <w:sz w:val="20"/>
        </w:rPr>
        <w:t xml:space="preserve"> und </w:t>
      </w:r>
      <w:proofErr w:type="spellStart"/>
      <w:r w:rsidRPr="007F10C0">
        <w:rPr>
          <w:sz w:val="20"/>
        </w:rPr>
        <w:t>geistige</w:t>
      </w:r>
      <w:proofErr w:type="spellEnd"/>
      <w:r w:rsidRPr="007F10C0">
        <w:rPr>
          <w:sz w:val="20"/>
        </w:rPr>
        <w:t xml:space="preserve"> </w:t>
      </w:r>
      <w:proofErr w:type="spellStart"/>
      <w:r w:rsidRPr="007F10C0">
        <w:rPr>
          <w:sz w:val="20"/>
        </w:rPr>
        <w:t>Stromsparlampen</w:t>
      </w:r>
      <w:proofErr w:type="spellEnd"/>
      <w:r w:rsidRPr="007F10C0">
        <w:rPr>
          <w:sz w:val="20"/>
        </w:rPr>
        <w:t xml:space="preserve"> (2009)</w:t>
      </w:r>
      <w:r>
        <w:rPr>
          <w:sz w:val="20"/>
        </w:rPr>
        <w:t xml:space="preserve"> </w:t>
      </w:r>
      <w:r>
        <w:rPr>
          <w:sz w:val="18"/>
        </w:rPr>
        <w:t>[http://www.degruyter.com/dg/viewarticle.fullcontentlink:pdfeventlink/$002fj$002fsemi.2014.2014.issue-198$002fsem-2013-0103$002fsem-2013-0103.pdf?format=INT&amp;t:ac=j$002fsemi.2014.2014.issue-198$002fsem-2013-0103$002fsem-2013-0103.xml] Accessed: 7/17/16 LGF</w:t>
      </w:r>
    </w:p>
    <w:p w:rsidR="007F10C0" w:rsidRPr="007F10C0" w:rsidRDefault="007F10C0" w:rsidP="007F10C0">
      <w:pPr>
        <w:rPr>
          <w:rStyle w:val="StyleBoldUnderline"/>
        </w:rPr>
      </w:pPr>
      <w:r w:rsidRPr="007F10C0">
        <w:rPr>
          <w:rStyle w:val="StyleBoldUnderline"/>
        </w:rPr>
        <w:t>Animal-based insulting of humans</w:t>
      </w:r>
      <w:r w:rsidRPr="007F10C0">
        <w:rPr>
          <w:sz w:val="20"/>
        </w:rPr>
        <w:t xml:space="preserve"> has been shown to be an interesting topic in cognitive linguistics. Firstly, it </w:t>
      </w:r>
      <w:r w:rsidRPr="007F10C0">
        <w:rPr>
          <w:rStyle w:val="StyleBoldUnderline"/>
        </w:rPr>
        <w:t>sheds light on our inconsistent mental model of the human-animal</w:t>
      </w:r>
      <w:r w:rsidRPr="007F10C0">
        <w:rPr>
          <w:sz w:val="20"/>
        </w:rPr>
        <w:t xml:space="preserve"> </w:t>
      </w:r>
      <w:r w:rsidRPr="007F10C0">
        <w:rPr>
          <w:rStyle w:val="StyleBoldUnderline"/>
        </w:rPr>
        <w:t>relationship.</w:t>
      </w:r>
      <w:r w:rsidRPr="007F10C0">
        <w:rPr>
          <w:sz w:val="20"/>
        </w:rPr>
        <w:t xml:space="preserve"> On the one hand, </w:t>
      </w:r>
      <w:r w:rsidRPr="007F10C0">
        <w:rPr>
          <w:rStyle w:val="StyleBoldUnderline"/>
        </w:rPr>
        <w:t>we purposefully use animal names for insulting because they locate the addressee “below” mankind, namely, in the animal realm.</w:t>
      </w:r>
      <w:r w:rsidRPr="007F10C0">
        <w:rPr>
          <w:sz w:val="20"/>
        </w:rPr>
        <w:t xml:space="preserve"> On the other hand, numberless expressions emphasize similarities between humans and animals, hinting at a degree of equality. Secondly, many insults are based on ecological facts, thus rendering instructive cross-connections between linguistics and zoology. For example, </w:t>
      </w:r>
      <w:r w:rsidRPr="007F10C0">
        <w:rPr>
          <w:rStyle w:val="StyleBoldUnderline"/>
        </w:rPr>
        <w:t>species with undesirable manners of food acquisition find themselves part of very negative metaphors such as “predatory capitalism” and “vulture funds.”</w:t>
      </w:r>
      <w:r w:rsidRPr="007F10C0">
        <w:rPr>
          <w:sz w:val="20"/>
        </w:rPr>
        <w:t xml:space="preserve"> For gender</w:t>
      </w:r>
      <w:r>
        <w:rPr>
          <w:sz w:val="20"/>
        </w:rPr>
        <w:t xml:space="preserve"> </w:t>
      </w:r>
      <w:r w:rsidRPr="007F10C0">
        <w:rPr>
          <w:sz w:val="20"/>
        </w:rPr>
        <w:t>specific insults, we prefer the names of pets or livestock of the same sex, e.g., “chicken” versus “cock.” The species-specific courtship behavior is a particularly productive source domain for terms such as “horny boar” versus “bitch.” Doubly offensive are the names of castrated males (“ox,” “</w:t>
      </w:r>
      <w:proofErr w:type="spellStart"/>
      <w:r w:rsidRPr="007F10C0">
        <w:rPr>
          <w:sz w:val="20"/>
        </w:rPr>
        <w:t>wether</w:t>
      </w:r>
      <w:proofErr w:type="spellEnd"/>
      <w:r w:rsidRPr="007F10C0">
        <w:rPr>
          <w:sz w:val="20"/>
        </w:rPr>
        <w:t xml:space="preserve">”) because they additionally deny masculinity. As a third reason they are interesting, and in contrast to the second one, </w:t>
      </w:r>
      <w:r w:rsidRPr="007F10C0">
        <w:rPr>
          <w:rStyle w:val="StyleBoldUnderline"/>
        </w:rPr>
        <w:t>some animal-based insults exemplify our highly anthropocentric worldview. Expressions such as “stupid donkey” are not based on zoological facts, but rather on our misunderstanding of meaningful animal behavior. One important desideratum for the future is therefore more research on human-animal relationships in order to improve our knowledge about the behaviors and needs of the animals we share the world with.</w:t>
      </w:r>
    </w:p>
    <w:sectPr w:rsidR="007F10C0" w:rsidRPr="007F1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Lauryn Falkenstein"/>
    <w:docVar w:name="RibbonPointer" w:val="148602888"/>
    <w:docVar w:name="VerbatimVersion" w:val="5.0"/>
  </w:docVars>
  <w:rsids>
    <w:rsidRoot w:val="008F01A7"/>
    <w:rsid w:val="00005987"/>
    <w:rsid w:val="000139A3"/>
    <w:rsid w:val="000B028F"/>
    <w:rsid w:val="000C5FD6"/>
    <w:rsid w:val="00100833"/>
    <w:rsid w:val="00104529"/>
    <w:rsid w:val="00177B7D"/>
    <w:rsid w:val="0018322D"/>
    <w:rsid w:val="001B5776"/>
    <w:rsid w:val="00251FC7"/>
    <w:rsid w:val="002855A7"/>
    <w:rsid w:val="00315690"/>
    <w:rsid w:val="00325646"/>
    <w:rsid w:val="00365A06"/>
    <w:rsid w:val="003902BA"/>
    <w:rsid w:val="003A09E2"/>
    <w:rsid w:val="00407037"/>
    <w:rsid w:val="004605D6"/>
    <w:rsid w:val="00465CB2"/>
    <w:rsid w:val="004B2DE1"/>
    <w:rsid w:val="004C60E8"/>
    <w:rsid w:val="004E3579"/>
    <w:rsid w:val="004F39E0"/>
    <w:rsid w:val="00521E0F"/>
    <w:rsid w:val="00537BD5"/>
    <w:rsid w:val="005C0018"/>
    <w:rsid w:val="005F657D"/>
    <w:rsid w:val="006065BD"/>
    <w:rsid w:val="00665003"/>
    <w:rsid w:val="006E7ADC"/>
    <w:rsid w:val="007C1B16"/>
    <w:rsid w:val="007F10C0"/>
    <w:rsid w:val="007F5B66"/>
    <w:rsid w:val="008065A2"/>
    <w:rsid w:val="00823A1C"/>
    <w:rsid w:val="00826B46"/>
    <w:rsid w:val="00845B9D"/>
    <w:rsid w:val="00860984"/>
    <w:rsid w:val="00880D8C"/>
    <w:rsid w:val="00892ADB"/>
    <w:rsid w:val="008A3B5D"/>
    <w:rsid w:val="008B3ECB"/>
    <w:rsid w:val="008C1B2E"/>
    <w:rsid w:val="008F01A7"/>
    <w:rsid w:val="0091627E"/>
    <w:rsid w:val="00971AE2"/>
    <w:rsid w:val="009E1922"/>
    <w:rsid w:val="00A93661"/>
    <w:rsid w:val="00A95652"/>
    <w:rsid w:val="00AD6826"/>
    <w:rsid w:val="00B33C6D"/>
    <w:rsid w:val="00B4508F"/>
    <w:rsid w:val="00B52199"/>
    <w:rsid w:val="00B8057C"/>
    <w:rsid w:val="00BF593B"/>
    <w:rsid w:val="00C83417"/>
    <w:rsid w:val="00CD736E"/>
    <w:rsid w:val="00CE161E"/>
    <w:rsid w:val="00CF59A8"/>
    <w:rsid w:val="00D325A9"/>
    <w:rsid w:val="00D36A8A"/>
    <w:rsid w:val="00D71170"/>
    <w:rsid w:val="00D82769"/>
    <w:rsid w:val="00DA6538"/>
    <w:rsid w:val="00E15917"/>
    <w:rsid w:val="00EA4FB5"/>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5D1327-2E64-4E8A-89B5-651A7A79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71AE2"/>
    <w:rPr>
      <w:rFonts w:ascii="Cambria Math" w:hAnsi="Cambria Math"/>
    </w:rPr>
  </w:style>
  <w:style w:type="paragraph" w:styleId="Heading1">
    <w:name w:val="heading 1"/>
    <w:aliases w:val="Pocket"/>
    <w:basedOn w:val="Normal"/>
    <w:next w:val="Normal"/>
    <w:link w:val="Heading1Char"/>
    <w:autoRedefine/>
    <w:qFormat/>
    <w:rsid w:val="00971A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71A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71A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71AE2"/>
    <w:pPr>
      <w:keepNext/>
      <w:keepLines/>
      <w:spacing w:before="40" w:after="0"/>
      <w:outlineLvl w:val="3"/>
    </w:pPr>
    <w:rPr>
      <w:rFonts w:ascii="Arial" w:eastAsiaTheme="majorEastAsia" w:hAnsi="Arial" w:cs="Arial"/>
      <w:b/>
      <w:iCs/>
      <w:sz w:val="26"/>
      <w:szCs w:val="18"/>
      <w:lang w:val="en"/>
    </w:rPr>
  </w:style>
  <w:style w:type="character" w:default="1" w:styleId="DefaultParagraphFont">
    <w:name w:val="Default Paragraph Font"/>
    <w:uiPriority w:val="1"/>
    <w:semiHidden/>
    <w:unhideWhenUsed/>
    <w:rsid w:val="00971A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1AE2"/>
  </w:style>
  <w:style w:type="character" w:customStyle="1" w:styleId="Heading1Char">
    <w:name w:val="Heading 1 Char"/>
    <w:aliases w:val="Pocket Char"/>
    <w:basedOn w:val="DefaultParagraphFont"/>
    <w:link w:val="Heading1"/>
    <w:rsid w:val="00971AE2"/>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971AE2"/>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971AE2"/>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971AE2"/>
    <w:rPr>
      <w:rFonts w:ascii="Arial" w:eastAsiaTheme="majorEastAsia" w:hAnsi="Arial" w:cs="Arial"/>
      <w:b/>
      <w:iCs/>
      <w:sz w:val="26"/>
      <w:szCs w:val="18"/>
      <w:lang w:val="en"/>
    </w:rPr>
  </w:style>
  <w:style w:type="character" w:styleId="Emphasis">
    <w:name w:val="Emphasis"/>
    <w:basedOn w:val="DefaultParagraphFont"/>
    <w:uiPriority w:val="7"/>
    <w:qFormat/>
    <w:rsid w:val="00971AE2"/>
    <w:rPr>
      <w:rFonts w:ascii="Cambria Math" w:hAnsi="Cambria Math"/>
      <w:b/>
      <w:i w:val="0"/>
      <w:iCs/>
      <w:sz w:val="22"/>
      <w:u w:val="single"/>
      <w:bdr w:val="none" w:sz="0" w:space="0" w:color="auto"/>
    </w:rPr>
  </w:style>
  <w:style w:type="character" w:customStyle="1" w:styleId="Style13ptBold">
    <w:name w:val="Style 13 pt Bold"/>
    <w:aliases w:val="Cite"/>
    <w:basedOn w:val="DefaultParagraphFont"/>
    <w:uiPriority w:val="5"/>
    <w:qFormat/>
    <w:rsid w:val="00971AE2"/>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c,Title Char"/>
    <w:basedOn w:val="DefaultParagraphFont"/>
    <w:uiPriority w:val="6"/>
    <w:qFormat/>
    <w:rsid w:val="00971AE2"/>
    <w:rPr>
      <w:b/>
      <w:sz w:val="22"/>
      <w:u w:val="single"/>
    </w:rPr>
  </w:style>
  <w:style w:type="character" w:styleId="Hyperlink">
    <w:name w:val="Hyperlink"/>
    <w:basedOn w:val="DefaultParagraphFont"/>
    <w:uiPriority w:val="99"/>
    <w:semiHidden/>
    <w:unhideWhenUsed/>
    <w:rsid w:val="00971AE2"/>
    <w:rPr>
      <w:color w:val="auto"/>
      <w:u w:val="none"/>
    </w:rPr>
  </w:style>
  <w:style w:type="character" w:styleId="FollowedHyperlink">
    <w:name w:val="FollowedHyperlink"/>
    <w:basedOn w:val="DefaultParagraphFont"/>
    <w:uiPriority w:val="99"/>
    <w:semiHidden/>
    <w:unhideWhenUsed/>
    <w:rsid w:val="00971AE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y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58</TotalTime>
  <Pages>1</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Lauryn Falkenstein</dc:creator>
  <cp:keywords>5.0</cp:keywords>
  <dc:description/>
  <cp:lastModifiedBy>Lauryn Falkenstein</cp:lastModifiedBy>
  <cp:revision>6</cp:revision>
  <dcterms:created xsi:type="dcterms:W3CDTF">2016-07-17T16:17:00Z</dcterms:created>
  <dcterms:modified xsi:type="dcterms:W3CDTF">2016-07-17T23:02:00Z</dcterms:modified>
</cp:coreProperties>
</file>