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5D7" w:rsidRDefault="00FB25D7" w:rsidP="00FB25D7">
      <w:pPr>
        <w:pStyle w:val="Heading1"/>
      </w:pPr>
      <w:r>
        <w:t>Lingchi neg</w:t>
      </w:r>
    </w:p>
    <w:p w:rsidR="00FB25D7" w:rsidRDefault="00FB25D7" w:rsidP="00FB25D7">
      <w:pPr>
        <w:pStyle w:val="Heading3"/>
      </w:pPr>
      <w:r>
        <w:t>Anthro mini-K</w:t>
      </w:r>
    </w:p>
    <w:p w:rsidR="00FB25D7" w:rsidRPr="007D3E0C" w:rsidRDefault="00FB25D7" w:rsidP="00FB25D7">
      <w:pPr>
        <w:pStyle w:val="Heading4"/>
      </w:pPr>
      <w:r>
        <w:t>Bataille’s understanding of animality presumes a devaluation of animal lives</w:t>
      </w:r>
    </w:p>
    <w:p w:rsidR="00FB25D7" w:rsidRPr="007D3E0C" w:rsidRDefault="00FB25D7" w:rsidP="00FB25D7">
      <w:pPr>
        <w:rPr>
          <w:rStyle w:val="Style13ptBold"/>
        </w:rPr>
      </w:pPr>
      <w:r>
        <w:rPr>
          <w:rStyle w:val="Style13ptBold"/>
        </w:rPr>
        <w:t xml:space="preserve">Tyler 5 </w:t>
      </w:r>
      <w:r w:rsidRPr="007D3E0C">
        <w:t>[</w:t>
      </w:r>
      <w:r>
        <w:t xml:space="preserve">Tom Tyler </w:t>
      </w:r>
      <w:r>
        <w:rPr>
          <w:i/>
        </w:rPr>
        <w:t xml:space="preserve">Like Water </w:t>
      </w:r>
      <w:proofErr w:type="gramStart"/>
      <w:r>
        <w:rPr>
          <w:i/>
        </w:rPr>
        <w:t>In</w:t>
      </w:r>
      <w:proofErr w:type="gramEnd"/>
      <w:r>
        <w:rPr>
          <w:i/>
        </w:rPr>
        <w:t xml:space="preserve"> </w:t>
      </w:r>
      <w:r>
        <w:rPr>
          <w:i/>
        </w:rPr>
        <w:lastRenderedPageBreak/>
        <w:t>Water</w:t>
      </w:r>
      <w:r>
        <w:t>//ASherm]</w:t>
      </w:r>
    </w:p>
    <w:p w:rsidR="00FB25D7" w:rsidRDefault="00FB25D7" w:rsidP="00FB25D7">
      <w:pPr>
        <w:rPr>
          <w:rStyle w:val="StyleUnderline"/>
        </w:rPr>
      </w:pPr>
      <w:r w:rsidRPr="007D3E0C">
        <w:rPr>
          <w:sz w:val="16"/>
        </w:rPr>
        <w:t xml:space="preserve">In his opening chapter, </w:t>
      </w:r>
      <w:r w:rsidRPr="007D3E0C">
        <w:rPr>
          <w:rStyle w:val="StyleUnderline"/>
        </w:rPr>
        <w:t>Bataille is principally concerned with introducing, and tentatively exploring, the notion of immanence.</w:t>
      </w:r>
      <w:r w:rsidRPr="007D3E0C">
        <w:rPr>
          <w:sz w:val="16"/>
        </w:rPr>
        <w:t xml:space="preserve">  It is to this end that he embarks on a discussion of animality, and from here later moves to a study of human religious, economic and military affairs.3 That </w:t>
      </w:r>
      <w:r w:rsidRPr="007D3E0C">
        <w:rPr>
          <w:rStyle w:val="StyleUnderline"/>
        </w:rPr>
        <w:t>Bataille</w:t>
      </w:r>
      <w:r w:rsidRPr="007D3E0C">
        <w:rPr>
          <w:sz w:val="16"/>
        </w:rPr>
        <w:t xml:space="preserve"> has no interest in animality or animals in their own right is not, of itself, a matter for concern. But he </w:t>
      </w:r>
      <w:r w:rsidRPr="007D3E0C">
        <w:rPr>
          <w:rStyle w:val="StyleUnderline"/>
        </w:rPr>
        <w:t>does here articulate especially clearly a pair of interrelated claims regarding the relationship between humanity, animality and knowledge</w:t>
      </w:r>
      <w:r w:rsidRPr="007D3E0C">
        <w:rPr>
          <w:sz w:val="16"/>
        </w:rPr>
        <w:t xml:space="preserve">. These claims frequently surface, more or less explicitly, when the animal comes under scrutiny, and the value of my own rather narrow reading of Bataille’s text thus lies in their analysis, and the broader concerns that they throw open. First, the two claims. On the one hand, </w:t>
      </w:r>
      <w:r w:rsidRPr="007D3E0C">
        <w:rPr>
          <w:rStyle w:val="StyleUnderline"/>
        </w:rPr>
        <w:t>the perfect continuity that, according to Bataille, exists between animal and environment, the lack of transcendence, means that phenomena are not distinguished as objects.</w:t>
      </w:r>
      <w:r w:rsidRPr="007D3E0C">
        <w:rPr>
          <w:sz w:val="16"/>
        </w:rPr>
        <w:t xml:space="preserve"> </w:t>
      </w:r>
      <w:r w:rsidRPr="007D3E0C">
        <w:rPr>
          <w:rStyle w:val="StyleUnderline"/>
        </w:rPr>
        <w:t>The animal has no meaning, no knowledge of the world, and exists, as we have seen, like water in water</w:t>
      </w:r>
      <w:r w:rsidRPr="007D3E0C">
        <w:rPr>
          <w:sz w:val="16"/>
        </w:rPr>
        <w:t xml:space="preserve">. On the other hand, </w:t>
      </w:r>
      <w:r w:rsidRPr="007D3E0C">
        <w:rPr>
          <w:rStyle w:val="StyleUnderline"/>
        </w:rPr>
        <w:t>in virtue of the fact that the existence of the animal consists in this uniformity with the environment, that existence is utterly closed to us</w:t>
      </w:r>
      <w:r w:rsidRPr="007D3E0C">
        <w:rPr>
          <w:sz w:val="16"/>
        </w:rPr>
        <w:t xml:space="preserve">. Compelled always to impose precisely those divisions which are denied to the animal, humans cannot entertain any meaningful understanding of animal life. </w:t>
      </w:r>
      <w:r w:rsidRPr="007D3E0C">
        <w:rPr>
          <w:rStyle w:val="StyleUnderline"/>
        </w:rPr>
        <w:t xml:space="preserve">In short, the reason the animal is closed to us, the reason we cannot have knowledge of the animal, is that there is no meaning, no knowledge for the animal. Taken together, the implication of these two claims is that knowledge </w:t>
      </w:r>
      <w:r w:rsidRPr="007D3E0C">
        <w:rPr>
          <w:sz w:val="16"/>
        </w:rPr>
        <w:t xml:space="preserve">(meaning, understanding, cognition) </w:t>
      </w:r>
      <w:r w:rsidRPr="007D3E0C">
        <w:rPr>
          <w:rStyle w:val="StyleUnderline"/>
        </w:rPr>
        <w:t>is</w:t>
      </w:r>
      <w:r w:rsidRPr="007D3E0C">
        <w:rPr>
          <w:sz w:val="16"/>
        </w:rPr>
        <w:t xml:space="preserve"> </w:t>
      </w:r>
      <w:r w:rsidRPr="007D3E0C">
        <w:rPr>
          <w:rStyle w:val="StyleUnderline"/>
        </w:rPr>
        <w:t>always</w:t>
      </w:r>
      <w:r w:rsidRPr="007D3E0C">
        <w:rPr>
          <w:sz w:val="16"/>
        </w:rPr>
        <w:t xml:space="preserve"> and only </w:t>
      </w:r>
      <w:r w:rsidRPr="007D3E0C">
        <w:rPr>
          <w:rStyle w:val="StyleUnderline"/>
        </w:rPr>
        <w:t>human</w:t>
      </w:r>
      <w:r w:rsidRPr="007D3E0C">
        <w:rPr>
          <w:sz w:val="16"/>
        </w:rPr>
        <w:t xml:space="preserve">. We who do and must have knowledge are condemned to our own perspective, to an inevitable anthropocentrism. Any attempt to step outside this limitation, to articulate an understanding or knowledge which is not constrained in this way, will unavoidably descend into poetic babbling. Is (our) knowledge inherently and inevitably constrained in this way? </w:t>
      </w:r>
      <w:r w:rsidRPr="007D3E0C">
        <w:rPr>
          <w:rStyle w:val="StyleUnderline"/>
        </w:rPr>
        <w:t>It is unavoidable, Bataille says, that we should regard the animal as lacking transcendence</w:t>
      </w:r>
      <w:r w:rsidRPr="007D3E0C">
        <w:rPr>
          <w:sz w:val="16"/>
        </w:rPr>
        <w:t xml:space="preserve"> (23, 24). But </w:t>
      </w:r>
      <w:r w:rsidRPr="007D3E0C">
        <w:rPr>
          <w:rStyle w:val="StyleUnderline"/>
        </w:rPr>
        <w:t xml:space="preserve">he has here already assumed a qualitative difference between human and animal experience which he has not demonstrated. </w:t>
      </w:r>
      <w:r w:rsidRPr="007D3E0C">
        <w:rPr>
          <w:sz w:val="16"/>
        </w:rPr>
        <w:t xml:space="preserve">The life of the animal, he says, is closed to us; its place in the world seems in our eyes to be one of complete immanence (20, 24). The pronouns, here and elsewhere in the chapter, are instructive. They refer exclusively to the human. In so doing, </w:t>
      </w:r>
      <w:r w:rsidRPr="007D3E0C">
        <w:rPr>
          <w:rStyle w:val="StyleUnderline"/>
        </w:rPr>
        <w:t>Bataille gives priority to the human perspective, “our” starting point, and suggests that this human perspective is inescapable</w:t>
      </w:r>
      <w:r w:rsidRPr="007D3E0C">
        <w:rPr>
          <w:sz w:val="16"/>
        </w:rPr>
        <w:t xml:space="preserve">. When he asserts that “[f]or the moment, I need to set apart from the dazzle of poetry that which, from the standpoint of experience, appears distinctly and clearly” he is attempting to take stock from the standpoint of human experience (23). Despite his poetic [page 269] suggestion that the animal’s immediacy is in fact our own, </w:t>
      </w:r>
      <w:r w:rsidRPr="007D3E0C">
        <w:rPr>
          <w:rStyle w:val="StyleUnderline"/>
        </w:rPr>
        <w:t xml:space="preserve">Bataille assumes that, in a sense, we are human before we are animal.4 </w:t>
      </w:r>
    </w:p>
    <w:p w:rsidR="00FB25D7" w:rsidRPr="00415C55" w:rsidRDefault="00FB25D7" w:rsidP="00FB25D7">
      <w:pPr>
        <w:pStyle w:val="Heading4"/>
      </w:pPr>
      <w:r w:rsidRPr="00415C55">
        <w:t>The alt is to re-examine the 1ac from an animal standpoint</w:t>
      </w:r>
    </w:p>
    <w:p w:rsidR="00FB25D7" w:rsidRPr="00415C55" w:rsidRDefault="00FB25D7" w:rsidP="00FB25D7">
      <w:pPr>
        <w:rPr>
          <w:rStyle w:val="Style13ptBold"/>
          <w:b w:val="0"/>
          <w:bCs w:val="0"/>
        </w:rPr>
      </w:pPr>
      <w:r>
        <w:rPr>
          <w:rStyle w:val="Style13ptBold"/>
        </w:rPr>
        <w:t xml:space="preserve">Best 9 </w:t>
      </w:r>
      <w:r w:rsidRPr="009D1E66">
        <w:t>[</w:t>
      </w:r>
      <w:r>
        <w:t xml:space="preserve">Steven Best </w:t>
      </w:r>
      <w:proofErr w:type="gramStart"/>
      <w:r>
        <w:t>The</w:t>
      </w:r>
      <w:proofErr w:type="gramEnd"/>
      <w:r>
        <w:t xml:space="preserve"> Rise of Critical Animal Studies: Putting Theory into Action and Animal Liberation into Higher Education//ASherm]</w:t>
      </w:r>
    </w:p>
    <w:p w:rsidR="00FB25D7" w:rsidRPr="009D1E66" w:rsidRDefault="00FB25D7" w:rsidP="00FB25D7">
      <w:pPr>
        <w:rPr>
          <w:sz w:val="16"/>
        </w:rPr>
      </w:pPr>
      <w:r w:rsidRPr="009D1E66">
        <w:rPr>
          <w:sz w:val="16"/>
        </w:rPr>
        <w:t xml:space="preserve">Postmodern critiques have been hugely influential in many theoretical strains of </w:t>
      </w:r>
      <w:r w:rsidRPr="009D1E66">
        <w:rPr>
          <w:rStyle w:val="StyleUnderline"/>
        </w:rPr>
        <w:t>animal studies</w:t>
      </w:r>
      <w:r w:rsidRPr="009D1E66">
        <w:rPr>
          <w:sz w:val="16"/>
        </w:rPr>
        <w:t xml:space="preserve">, but theorists </w:t>
      </w:r>
      <w:r w:rsidRPr="009D1E66">
        <w:rPr>
          <w:rStyle w:val="StyleUnderline"/>
        </w:rPr>
        <w:t>could not employ the insights of postmodernism without overcoming their limitations</w:t>
      </w:r>
      <w:r w:rsidRPr="009D1E66">
        <w:rPr>
          <w:sz w:val="16"/>
        </w:rPr>
        <w:t xml:space="preserve">. This is crucial for two reasons. First, </w:t>
      </w:r>
      <w:r w:rsidRPr="009D1E66">
        <w:rPr>
          <w:rStyle w:val="StyleUnderline"/>
        </w:rPr>
        <w:t>deconstructionists and social constructionists are typically speciesists and dogmatic humanists</w:t>
      </w:r>
      <w:r w:rsidRPr="009D1E66">
        <w:rPr>
          <w:sz w:val="16"/>
        </w:rPr>
        <w:t xml:space="preserve"> (even those who deconstruct “humanism”!), who rarely challenge the human/animal dichotomy and analyze how it is used to advance false views of all animal, human and nonhuman. Second, they fail to see that the human/animal opposition underpins oppositions between reason/emotions, thought/body, men/women, white/black, and Western/n</w:t>
      </w:r>
      <w:r w:rsidRPr="009D1E66">
        <w:rPr>
          <w:sz w:val="16"/>
        </w:rPr>
        <w:lastRenderedPageBreak/>
        <w:t xml:space="preserve">on-Western. Yet as noted by theorists (e.g., Keith Thomas, Jim Mason, and Charles Patterson [7]) with broader optics and more inclusive theories, </w:t>
      </w:r>
      <w:r w:rsidRPr="009D1E66">
        <w:rPr>
          <w:rStyle w:val="StyleUnderline"/>
        </w:rPr>
        <w:t>humanism, speciesism and animal domestication provide the conceptual template and social practice whereby humans begin to clearly distinguish between “human rationality” and “animal irrationality.”</w:t>
      </w:r>
      <w:r w:rsidRPr="009D1E66">
        <w:rPr>
          <w:sz w:val="16"/>
        </w:rPr>
        <w:t xml:space="preserve"> [8]</w:t>
      </w:r>
      <w:r w:rsidRPr="00EA604F">
        <w:rPr>
          <w:rStyle w:val="StyleUnderline"/>
        </w:rPr>
        <w:t xml:space="preserve"> Animals – defined as “brute beasts” lacking “rationality” – thereby provided the moral basement into which one could eject</w:t>
      </w:r>
      <w:r w:rsidRPr="009D1E66">
        <w:rPr>
          <w:sz w:val="16"/>
        </w:rPr>
        <w:t xml:space="preserve"> women, people of color, and other </w:t>
      </w:r>
      <w:r w:rsidRPr="00EA604F">
        <w:rPr>
          <w:rStyle w:val="StyleUnderline"/>
        </w:rPr>
        <w:t>humans deemed to be</w:t>
      </w:r>
      <w:r w:rsidRPr="009D1E66">
        <w:rPr>
          <w:sz w:val="16"/>
        </w:rPr>
        <w:t xml:space="preserve"> subhuman or </w:t>
      </w:r>
      <w:r w:rsidRPr="00EA604F">
        <w:rPr>
          <w:rStyle w:val="StyleUnderline"/>
        </w:rPr>
        <w:t>deficient in (Western male) “humanity.”</w:t>
      </w:r>
      <w:r w:rsidRPr="009D1E66">
        <w:rPr>
          <w:sz w:val="16"/>
        </w:rPr>
        <w:t xml:space="preserve"> Whereas nearly all histories, even so-called “radical” narratives, have been written from the human standpoint, </w:t>
      </w:r>
      <w:r w:rsidRPr="009D1E66">
        <w:rPr>
          <w:rStyle w:val="StyleUnderline"/>
        </w:rPr>
        <w:t>a growing number of theorists have broken free of the speciesist straightjacket to examine history and society from the standpoint of (nonhuman) animals</w:t>
      </w:r>
      <w:r w:rsidRPr="009D1E66">
        <w:rPr>
          <w:sz w:val="16"/>
        </w:rPr>
        <w:t xml:space="preserve">. This approach, as I define it, considers </w:t>
      </w:r>
      <w:r w:rsidRPr="009D1E66">
        <w:rPr>
          <w:rStyle w:val="StyleUnderline"/>
        </w:rPr>
        <w:t>the interaction between human and nonhuman animals – past, present, and future – and the need for profound changes in the way humans define themselves and relate to other sentient species and to the natural world as a whole</w:t>
      </w:r>
      <w:r w:rsidRPr="009D1E66">
        <w:rPr>
          <w:sz w:val="16"/>
        </w:rPr>
        <w:t xml:space="preserve">. What I call </w:t>
      </w:r>
      <w:r w:rsidRPr="009D1E66">
        <w:rPr>
          <w:rStyle w:val="StyleUnderline"/>
        </w:rPr>
        <w:t>the “animal standpoint” examines the origins and development of societies through the dynamic, symbiotic interrelationship between human and nonhuman animals</w:t>
      </w:r>
      <w:r w:rsidRPr="009D1E66">
        <w:rPr>
          <w:sz w:val="16"/>
        </w:rPr>
        <w:t xml:space="preserve">. </w:t>
      </w:r>
      <w:r w:rsidRPr="009D1E66">
        <w:rPr>
          <w:rStyle w:val="StyleUnderline"/>
        </w:rPr>
        <w:t>It</w:t>
      </w:r>
      <w:r w:rsidRPr="009D1E66">
        <w:rPr>
          <w:sz w:val="16"/>
        </w:rPr>
        <w:t xml:space="preserve"> therefore </w:t>
      </w:r>
      <w:r w:rsidRPr="009D1E66">
        <w:rPr>
          <w:rStyle w:val="StyleUnderline"/>
        </w:rPr>
        <w:t>interprets history not from an evolutionary position that reifies human agency</w:t>
      </w:r>
      <w:r w:rsidRPr="009D1E66">
        <w:rPr>
          <w:sz w:val="16"/>
        </w:rPr>
        <w:t xml:space="preserve"> as the autonomous actions of a Promethean species, </w:t>
      </w:r>
      <w:r w:rsidRPr="009D1E66">
        <w:rPr>
          <w:rStyle w:val="StyleUnderline"/>
        </w:rPr>
        <w:t xml:space="preserve">but rather from a co-evolutionary perspective that sees nonhuman animals as inseparably embedded in human history </w:t>
      </w:r>
      <w:r w:rsidRPr="009D1E66">
        <w:rPr>
          <w:sz w:val="16"/>
        </w:rPr>
        <w:t xml:space="preserve">and as dynamic agents in their own right. [9] </w:t>
      </w:r>
      <w:r w:rsidRPr="009D1E66">
        <w:rPr>
          <w:rStyle w:val="StyleUnderline"/>
        </w:rPr>
        <w:t>The animal standpoint seeks to illuminate the origins and development of dominator cultures</w:t>
      </w:r>
      <w:r w:rsidRPr="009D1E66">
        <w:rPr>
          <w:sz w:val="16"/>
        </w:rPr>
        <w:t xml:space="preserve">, to preserve the wisdom and heritage of egalitarian values and social relations, and to discern what moral and social progress means in a far deeper sense than what is discernible through humanist historiography, anthropology, social theory, and philosophy. However “critical,” “subversive,” “groundbreaking,” or “radical” their probing of historical and social dynamics, </w:t>
      </w:r>
      <w:r w:rsidRPr="009D1E66">
        <w:rPr>
          <w:rStyle w:val="StyleUnderline"/>
        </w:rPr>
        <w:t>very few theorists have managed to see beyond the humanist bias in order to adopt a proper analytical and moral relation to other animals; they have failed, in other words, to grasp the importance of nonhuman animals in human life,</w:t>
      </w:r>
      <w:r w:rsidRPr="009D1E66">
        <w:rPr>
          <w:sz w:val="16"/>
        </w:rPr>
        <w:t xml:space="preserve"> the profound ways in which the domination of humans over other animals creates conflict and disequilibrium in human relations to one another and to the Earth as a whole. Thus, </w:t>
      </w:r>
      <w:r w:rsidRPr="009D1E66">
        <w:rPr>
          <w:rStyle w:val="StyleUnderline"/>
        </w:rPr>
        <w:t>the animal standpoint seeks generally to illuminate human biological and social evolution in important new ways, such as reveal the origins, dynamics, and development of dominator cultures</w:t>
      </w:r>
      <w:r w:rsidRPr="009D1E66">
        <w:rPr>
          <w:sz w:val="16"/>
        </w:rPr>
        <w:t>, social hierarchies, economic and political inequalities, and asymmetrical systems of power that are violent and destructive to everything they touch. P</w:t>
      </w:r>
      <w:r w:rsidRPr="009D1E66">
        <w:rPr>
          <w:rStyle w:val="StyleUnderline"/>
        </w:rPr>
        <w:t>roviding perspectives and insights unattainable through other historical approaches, the animal standpoint analyzes how the domination of humans over nonhuman animals is intimately linked to the domination of humans over one another,</w:t>
      </w:r>
      <w:r w:rsidRPr="009D1E66">
        <w:rPr>
          <w:sz w:val="16"/>
        </w:rPr>
        <w:t xml:space="preserve"> as it also brings to light the environmental impact of large-scale animal slaughter and exploitation. A key thesis of animal standpoint theory is that nonhuman animals have been key driving and shaping forces of human thought, psychology, moral and social life, and history overall, and that in fundamental ways, the oppression of human over human is rooted in the oppression of human over nonhuman animal. </w:t>
      </w:r>
      <w:r w:rsidRPr="009D1E66">
        <w:rPr>
          <w:rStyle w:val="StyleUnderline"/>
        </w:rPr>
        <w:t>Animal standpoint theory thus leads us ineluctably to understanding the commonalities of oppression, and hence to alliance politics and the systemic revolutionary viewpoint of total liberation</w:t>
      </w:r>
      <w:r w:rsidRPr="009D1E66">
        <w:rPr>
          <w:sz w:val="16"/>
        </w:rPr>
        <w:t xml:space="preserve">. [10] It demonstrates – would that dogmatic Left, eco-humanists, and so-called “environmentalists” take note! – </w:t>
      </w:r>
      <w:proofErr w:type="gramStart"/>
      <w:r w:rsidRPr="009D1E66">
        <w:rPr>
          <w:sz w:val="16"/>
        </w:rPr>
        <w:t>the</w:t>
      </w:r>
      <w:proofErr w:type="gramEnd"/>
      <w:r w:rsidRPr="009D1E66">
        <w:rPr>
          <w:sz w:val="16"/>
        </w:rPr>
        <w:t xml:space="preserve"> profound importance of veganism and the animal rights/liberation movement for human liberation, peace and justice, and ecological healing and balance. </w:t>
      </w:r>
    </w:p>
    <w:p w:rsidR="00FB25D7" w:rsidRPr="00683A29" w:rsidRDefault="00FB25D7" w:rsidP="00FB25D7"/>
    <w:p w:rsidR="00FB25D7" w:rsidRPr="00683A29" w:rsidRDefault="00FB25D7" w:rsidP="00FB25D7">
      <w:pPr>
        <w:pStyle w:val="Heading3"/>
      </w:pPr>
      <w:r>
        <w:t>Cap link</w:t>
      </w:r>
    </w:p>
    <w:p w:rsidR="00FB25D7" w:rsidRPr="00683A29" w:rsidRDefault="00FB25D7" w:rsidP="00FB25D7">
      <w:pPr>
        <w:pStyle w:val="Heading4"/>
      </w:pPr>
      <w:r>
        <w:t>Death ceremonies are co-opted by capitalism</w:t>
      </w:r>
    </w:p>
    <w:p w:rsidR="00FB25D7" w:rsidRPr="00E15220" w:rsidRDefault="00FB25D7" w:rsidP="00FB25D7">
      <w:r>
        <w:rPr>
          <w:rStyle w:val="Style13ptBold"/>
        </w:rPr>
        <w:t xml:space="preserve">Gates 87 </w:t>
      </w:r>
      <w:r w:rsidRPr="00E15220">
        <w:t>[</w:t>
      </w:r>
      <w:r>
        <w:t xml:space="preserve">Hill Gates Professor at Central Michigan University, Money </w:t>
      </w:r>
      <w:proofErr w:type="gramStart"/>
      <w:r>
        <w:t>For The</w:t>
      </w:r>
      <w:proofErr w:type="gramEnd"/>
      <w:r>
        <w:t xml:space="preserve"> Gods http://www.jstor.org/stable/189307//ASherm]</w:t>
      </w:r>
    </w:p>
    <w:p w:rsidR="00FB25D7" w:rsidRDefault="00FB25D7" w:rsidP="00FB25D7">
      <w:pPr>
        <w:rPr>
          <w:sz w:val="16"/>
        </w:rPr>
      </w:pPr>
      <w:r w:rsidRPr="008A37C5">
        <w:rPr>
          <w:rStyle w:val="StyleUnderline"/>
        </w:rPr>
        <w:t>The logic of the</w:t>
      </w:r>
      <w:r w:rsidRPr="008A37C5">
        <w:rPr>
          <w:sz w:val="16"/>
        </w:rPr>
        <w:t xml:space="preserve"> highly conspicuous </w:t>
      </w:r>
      <w:r w:rsidRPr="008A37C5">
        <w:rPr>
          <w:rStyle w:val="StyleUnderline"/>
        </w:rPr>
        <w:t>use of money in funeral and death-related ceremonies derives from a belief in the important supernatural transactions between people and gods</w:t>
      </w:r>
      <w:r w:rsidRPr="008A37C5">
        <w:rPr>
          <w:sz w:val="16"/>
        </w:rPr>
        <w:t xml:space="preserve"> believed responsible for each person's incarnation and fate. </w:t>
      </w:r>
      <w:r w:rsidRPr="008A37C5">
        <w:rPr>
          <w:rStyle w:val="StyleUnderline"/>
        </w:rPr>
        <w:t>These transac- tions present models of, and for, human behavior that imply that the creation of human life itself depends on capitalist principles</w:t>
      </w:r>
      <w:r w:rsidRPr="008A37C5">
        <w:rPr>
          <w:sz w:val="16"/>
        </w:rPr>
        <w:t>. According to my informants and Hou Ching-Lang (1975: 35)</w:t>
      </w:r>
      <w:proofErr w:type="gramStart"/>
      <w:r w:rsidRPr="008A37C5">
        <w:rPr>
          <w:sz w:val="16"/>
        </w:rPr>
        <w:t>,4</w:t>
      </w:r>
      <w:proofErr w:type="gramEnd"/>
      <w:r w:rsidRPr="008A37C5">
        <w:rPr>
          <w:sz w:val="16"/>
        </w:rPr>
        <w:t xml:space="preserve"> a soul in the supernatural realm seeks rebirth. First, however, it must obtain a body and a fate through which to pursue its karmic </w:t>
      </w:r>
      <w:r w:rsidRPr="008A37C5">
        <w:rPr>
          <w:sz w:val="16"/>
        </w:rPr>
        <w:lastRenderedPageBreak/>
        <w:t xml:space="preserve">course. To do so, </w:t>
      </w:r>
      <w:r w:rsidRPr="008A37C5">
        <w:rPr>
          <w:rStyle w:val="StyleUnderline"/>
        </w:rPr>
        <w:t>it must contract the mystical debt that encumbers each person throughout life</w:t>
      </w:r>
      <w:r w:rsidRPr="008A37C5">
        <w:rPr>
          <w:sz w:val="16"/>
        </w:rPr>
        <w:t xml:space="preserve">. This debt is a sum advanced as a loan to the spirit waiting for reincarnation by one of a large number of celestial treasuries, each with its governing official. </w:t>
      </w:r>
      <w:r w:rsidRPr="008A37C5">
        <w:rPr>
          <w:rStyle w:val="StyleUnderline"/>
        </w:rPr>
        <w:t xml:space="preserve">Part of the money is used to purchase a body for reincarnation; the rest defrays the cost of the individual's particular lot in life, a matter determined prior to birth. Some, indebted for large sums, will receive wealth, high rank, and other blessings in life, while those given less must live with corre- spondingly straitened means. </w:t>
      </w:r>
      <w:r w:rsidRPr="008A37C5">
        <w:rPr>
          <w:sz w:val="16"/>
        </w:rPr>
        <w:t xml:space="preserve">During life, one should strive to reduce the debt through the performance of virtuous acts, through prayers (one Buddhist sutra cited by Hou gives equivalencies between sutra recitations and cash values) (1975: 48), and, very important, </w:t>
      </w:r>
      <w:r w:rsidRPr="008A37C5">
        <w:rPr>
          <w:rStyle w:val="StyleUnderline"/>
        </w:rPr>
        <w:t>through donations of money to the gods, both as burned spirit money and as real cash gifts to temples</w:t>
      </w:r>
      <w:r w:rsidRPr="008A37C5">
        <w:rPr>
          <w:sz w:val="16"/>
        </w:rPr>
        <w:t xml:space="preserve">. But, of course, </w:t>
      </w:r>
      <w:r w:rsidRPr="008A37C5">
        <w:rPr>
          <w:rStyle w:val="StyleUnderline"/>
        </w:rPr>
        <w:t>no</w:t>
      </w:r>
      <w:r w:rsidRPr="008A37C5">
        <w:rPr>
          <w:sz w:val="16"/>
        </w:rPr>
        <w:t xml:space="preserve"> </w:t>
      </w:r>
      <w:r w:rsidRPr="008A37C5">
        <w:rPr>
          <w:rStyle w:val="StyleUnderline"/>
        </w:rPr>
        <w:t>one ever completely repays the debt. When a person dies, at his funeral relatives must pay off the account by burning great sums of spirit money,</w:t>
      </w:r>
      <w:r w:rsidRPr="008A37C5">
        <w:rPr>
          <w:sz w:val="16"/>
        </w:rPr>
        <w:t xml:space="preserve"> if the spirit is to enter unencumbered into a new and presumably more fortunate incarnation. </w:t>
      </w:r>
      <w:r w:rsidRPr="008A37C5">
        <w:rPr>
          <w:rStyle w:val="StyleUnderline"/>
        </w:rPr>
        <w:t>This</w:t>
      </w:r>
      <w:r w:rsidRPr="008A37C5">
        <w:rPr>
          <w:sz w:val="16"/>
        </w:rPr>
        <w:t xml:space="preserve"> "Ceremony of the </w:t>
      </w:r>
      <w:r w:rsidRPr="008A37C5">
        <w:rPr>
          <w:rStyle w:val="StyleUnderline"/>
        </w:rPr>
        <w:t>Reimbursement of the Debt" requires the burning of specific sums of spirit money, and the making out and sending</w:t>
      </w:r>
      <w:r w:rsidRPr="008A37C5">
        <w:rPr>
          <w:sz w:val="16"/>
        </w:rPr>
        <w:t xml:space="preserve"> (by burning) </w:t>
      </w:r>
      <w:r w:rsidRPr="008A37C5">
        <w:rPr>
          <w:rStyle w:val="StyleUnderline"/>
        </w:rPr>
        <w:t>of duplicate copies of a contract of fulfilment of obligation</w:t>
      </w:r>
      <w:r w:rsidRPr="008A37C5">
        <w:rPr>
          <w:sz w:val="16"/>
        </w:rPr>
        <w:t xml:space="preserve">, one to the appropriate treasury officer, and the other to the spirit himself, presumably for his records. A seal, stamped half on each copy, assures verifi- ability. The burning of paper spirit money automatically multi- plies its quantity in the other world, so that more is repaid than was originally borrowed. At the same time, </w:t>
      </w:r>
      <w:r w:rsidRPr="008A37C5">
        <w:rPr>
          <w:rStyle w:val="StyleUnderline"/>
        </w:rPr>
        <w:t>substantial extra sums are burned for the use of the spirit during his stay in the other world, for various subofficials, to smooth the way, and sometimes to clear up the possibly uncancelled debts of other ancestors who might be in need of such assistance</w:t>
      </w:r>
      <w:r w:rsidRPr="008A37C5">
        <w:rPr>
          <w:sz w:val="16"/>
        </w:rPr>
        <w:t xml:space="preserve">. </w:t>
      </w:r>
      <w:r w:rsidRPr="008A37C5">
        <w:rPr>
          <w:rStyle w:val="StyleUnderline"/>
        </w:rPr>
        <w:t>"Sending a bit more is a good idea; the gods expect it," said one informant</w:t>
      </w:r>
      <w:r w:rsidRPr="008A37C5">
        <w:rPr>
          <w:sz w:val="16"/>
        </w:rPr>
        <w:t xml:space="preserve">. While this is the basic pattern that motivates people to offer spirit money to the gods throughout life, and to burn large quantities of it as a coda to many folk funerals, additional ritual complexities are possible. </w:t>
      </w:r>
      <w:r w:rsidRPr="008A37C5">
        <w:rPr>
          <w:rStyle w:val="StyleUnderline"/>
        </w:rPr>
        <w:t>A person who has extraordinarily bad fortune may invite a specialist to perform a ceremony to change fate, in which eerie little paper figures of astrological significance are burnt along with large amounts of spirit money.</w:t>
      </w:r>
      <w:r w:rsidRPr="008A37C5">
        <w:rPr>
          <w:sz w:val="16"/>
        </w:rPr>
        <w:t xml:space="preserve"> Hou describes a ceremony for the "Restoration of Destiny," which may be done after a stretch of extraordinarily good luck, which is assumed to have drawn too extensively on the debt-based account. This could lead to the account's unexpectedly early exhaustion and its holder's premature death (1975: 78). Another rite, in which the supplicant applies for an augmentation of his loan is also possible (1975: 99)</w:t>
      </w:r>
    </w:p>
    <w:p w:rsidR="00FB25D7" w:rsidRDefault="00FB25D7" w:rsidP="00FB25D7">
      <w:pPr>
        <w:rPr>
          <w:sz w:val="16"/>
        </w:rPr>
      </w:pPr>
    </w:p>
    <w:p w:rsidR="00FB25D7" w:rsidRDefault="00FB25D7" w:rsidP="00FB25D7">
      <w:pPr>
        <w:pStyle w:val="Heading4"/>
      </w:pPr>
      <w:r>
        <w:t>Wasteful expenditure functions as another form of capitalism- shifting a calculable exchange value onto the perceived debt of the dead.</w:t>
      </w:r>
    </w:p>
    <w:p w:rsidR="00FB25D7" w:rsidRDefault="00FB25D7" w:rsidP="00FB25D7">
      <w:r>
        <w:rPr>
          <w:rStyle w:val="Style13ptBold"/>
        </w:rPr>
        <w:t xml:space="preserve">Gates 87 </w:t>
      </w:r>
      <w:r w:rsidRPr="00E15220">
        <w:t>[</w:t>
      </w:r>
      <w:r>
        <w:t xml:space="preserve">Hill Gates Professor at Central Michigan University, Money </w:t>
      </w:r>
      <w:proofErr w:type="gramStart"/>
      <w:r>
        <w:t>For The</w:t>
      </w:r>
      <w:proofErr w:type="gramEnd"/>
      <w:r>
        <w:t xml:space="preserve"> Gods http://www.jstor.org/stable/189307//ASherm]</w:t>
      </w:r>
    </w:p>
    <w:p w:rsidR="00FB25D7" w:rsidRDefault="00FB25D7" w:rsidP="00FB25D7">
      <w:pPr>
        <w:rPr>
          <w:rStyle w:val="StyleUnderline"/>
        </w:rPr>
      </w:pPr>
      <w:r w:rsidRPr="00E15220">
        <w:rPr>
          <w:sz w:val="14"/>
        </w:rPr>
        <w:t xml:space="preserve">From his observations in central China in the later nineteenth century, Dore describes two versions of this complex. In the less common, and presumably older version, </w:t>
      </w:r>
      <w:r w:rsidRPr="008A37C5">
        <w:rPr>
          <w:rStyle w:val="StyleUnderline"/>
        </w:rPr>
        <w:t xml:space="preserve">mourners purchased paper printed with "images of public granaries, of the state treasuries" </w:t>
      </w:r>
      <w:r w:rsidRPr="00E15220">
        <w:rPr>
          <w:sz w:val="14"/>
        </w:rPr>
        <w:t xml:space="preserve">(my translation), </w:t>
      </w:r>
      <w:r w:rsidRPr="008A37C5">
        <w:rPr>
          <w:rStyle w:val="StyleUnderline"/>
        </w:rPr>
        <w:t>which were burned with prayers to the guardians of these treasures to be generous to the soul of the deceased.</w:t>
      </w:r>
      <w:r w:rsidRPr="00E15220">
        <w:rPr>
          <w:sz w:val="14"/>
        </w:rPr>
        <w:t xml:space="preserve"> In the more popular version, </w:t>
      </w:r>
      <w:r w:rsidRPr="008A37C5">
        <w:rPr>
          <w:rStyle w:val="StyleUnderline"/>
        </w:rPr>
        <w:t>mourners filled chests with paper money and paper silver ingots, sealed the chests with the date and name of the recipient, and brought it to the temple of the City God, where they were "deposited like capital in the bank of the City God. In the other world he would give to the depositor the interest on the capital placed there"</w:t>
      </w:r>
      <w:r w:rsidRPr="00E15220">
        <w:rPr>
          <w:sz w:val="14"/>
        </w:rPr>
        <w:t xml:space="preserve"> (my translation, 1970: 58-59). There are many common elements between the contemporary Taiwan ritual and the older ones. But </w:t>
      </w:r>
      <w:r w:rsidRPr="008A37C5">
        <w:rPr>
          <w:rStyle w:val="StyleUnderline"/>
        </w:rPr>
        <w:t>DeGroot's version differs in the relative simplicity of its financial arrangements, with its debtor's prison for souls and highly personal basis for the original debt, while Dore's hints at a shift from using money to placate political power to using it in a capitalist way, to draw interest</w:t>
      </w:r>
      <w:r w:rsidRPr="00E15220">
        <w:rPr>
          <w:sz w:val="14"/>
        </w:rPr>
        <w:t xml:space="preserve">. Hou's version, which my informants support, assumes </w:t>
      </w:r>
      <w:r w:rsidRPr="008A37C5">
        <w:rPr>
          <w:rStyle w:val="StyleUnderline"/>
        </w:rPr>
        <w:t>a highly institutionalized financial system, a celestial central bank.</w:t>
      </w:r>
      <w:r w:rsidRPr="00E15220">
        <w:rPr>
          <w:sz w:val="14"/>
        </w:rPr>
        <w:t xml:space="preserve"> Partic- ularly in the Taiwan version, </w:t>
      </w:r>
      <w:r w:rsidRPr="008A37C5">
        <w:rPr>
          <w:rStyle w:val="StyleUnderline"/>
        </w:rPr>
        <w:t>we see the human body, the length of its life, and the quality</w:t>
      </w:r>
      <w:r w:rsidRPr="008A37C5">
        <w:rPr>
          <w:rStyle w:val="StyleUnderline"/>
        </w:rPr>
        <w:lastRenderedPageBreak/>
        <w:t xml:space="preserve"> of that life equated to specific sums of money as extreme an example of the penetration of a money economy into human existence as metaphor can express </w:t>
      </w:r>
      <w:r w:rsidRPr="00E15220">
        <w:rPr>
          <w:sz w:val="14"/>
        </w:rPr>
        <w:t xml:space="preserve">What does the presumption of such transactions tell the Taiwanese about themselves and about their economy? As part of an answer, it is hard to resist a sort of "Daoism and the spirit of Chinese capitalism" analysis of the connections that clearly exist among the folk belief in Original Debt, popular ideals of righ- teous conduct, and petty-capitalist economic practice. In this class, simply staying in business, let alone prospering and expanding, depends on credit-worthiness and trust that others will fulfill their obligations, for now, as always, people of Taiwan's lower classes do not look to the law and the state to enforce contracts. Saso (1982: 185-186), identifying the Confucian virtue of yi with reciprocity among friends and business associates, argues that </w:t>
      </w:r>
      <w:r w:rsidRPr="008A37C5">
        <w:rPr>
          <w:rStyle w:val="StyleUnderline"/>
        </w:rPr>
        <w:t>the worship of gods expresses the social value of these important relationships. That the gods are concerned with honesty and uprightness in human transactions, and rewards these with prosperity, is commonplace among small business- people and craft workers. Paying one's debts</w:t>
      </w:r>
      <w:r w:rsidRPr="00E15220">
        <w:rPr>
          <w:sz w:val="14"/>
        </w:rPr>
        <w:t xml:space="preserve">, an essential obligation on earth, </w:t>
      </w:r>
      <w:r w:rsidRPr="008A37C5">
        <w:rPr>
          <w:rStyle w:val="StyleUnderline"/>
        </w:rPr>
        <w:t>becomes elevated through ritual to a kind of sacrament in heaven, an act of personal salvation</w:t>
      </w:r>
      <w:r w:rsidRPr="00E15220">
        <w:rPr>
          <w:sz w:val="14"/>
        </w:rPr>
        <w:t>. I am interested, however, not just in moneyper se, but in money as capital, and the extent to which</w:t>
      </w:r>
      <w:r w:rsidRPr="008A37C5">
        <w:rPr>
          <w:rStyle w:val="StyleUnderline"/>
        </w:rPr>
        <w:t xml:space="preserve"> these ritual uses reflect and encourage capitalist relations</w:t>
      </w:r>
      <w:r w:rsidRPr="00E15220">
        <w:rPr>
          <w:sz w:val="14"/>
        </w:rPr>
        <w:t>. Marx distinguishes clearly between money acting simply as a medium of circulation or a measure of value, the "universal material representative of wealth" (1973: 216), on the one hand and as capital on the other</w:t>
      </w:r>
      <w:r w:rsidRPr="008A37C5">
        <w:rPr>
          <w:rStyle w:val="StyleUnderline"/>
        </w:rPr>
        <w:t>. Money in precapitalist class societies, through its use as a medium of exchange and measure of value, becomes, in Marx's words, "the embodied form of wealth, in contrast to all the substances of which wealth consists."</w:t>
      </w:r>
      <w:r w:rsidRPr="00E15220">
        <w:rPr>
          <w:sz w:val="14"/>
        </w:rPr>
        <w:t xml:space="preserve"> "From its servile role, in which it appears as mere medium of circulation, it suddenly changes into the lord and god of the world of commodities, while they represent its earthly form" (1973: 221). As complex precapitalist societies monetarize their economies, money becomes "the god among commodities" (Marx, 1973: 221). The Chinese proverb, "</w:t>
      </w:r>
      <w:r w:rsidRPr="008A37C5">
        <w:rPr>
          <w:rStyle w:val="StyleUnderline"/>
        </w:rPr>
        <w:t>Ten ounces of silver gets through to the gods</w:t>
      </w:r>
      <w:r w:rsidRPr="00E15220">
        <w:rPr>
          <w:sz w:val="14"/>
        </w:rPr>
        <w:t xml:space="preserve">; </w:t>
      </w:r>
      <w:r w:rsidRPr="008A37C5">
        <w:rPr>
          <w:rStyle w:val="StyleUnderline"/>
        </w:rPr>
        <w:t>one hundred ounces gets through to Heaven itself'</w:t>
      </w:r>
      <w:r w:rsidRPr="00E15220">
        <w:rPr>
          <w:sz w:val="14"/>
        </w:rPr>
        <w:t xml:space="preserve"> (Plopper, 1969: 168, #1021) expresses similar imagery. Historically, ritual offerings of consumable commodities, foodstuffs, and silk slowly gave way to gold and its symbolic representations, and then to paper symbols much like those still in use. </w:t>
      </w:r>
      <w:r w:rsidRPr="00E15220">
        <w:rPr>
          <w:rStyle w:val="StyleUnderline"/>
        </w:rPr>
        <w:t>Sacrifices made in the state cult, which supported the anticapitalist hegemonic tributary mode of production, include only directly consumable commodities never money</w:t>
      </w:r>
      <w:r w:rsidRPr="00E15220">
        <w:rPr>
          <w:sz w:val="14"/>
        </w:rPr>
        <w:t xml:space="preserve"> (Edkins, 1878: 18-38), for "the idea of a sacrifice in them is that of a banquet" (Edkins, 1878: 23). While DeGroot cites sources placing the transition to paper spirit money as early as the third and fourth centuries, with the money taking nearly its present form by the seventh (1969: 1, 713-714), Hou plausibly argues that the shift took place in conjunction with the great Song urbanization of the twelfth century, which so expanded the use of money in China, and with the growth of traditional banking and paper banknotes. He comments that a text of this period, intended to be recited before divinities and still in use at present, contains elements of"a religion of unknown origin which is totally founded on wealth"- unlike previous Daoist tradition (1975: 35-36). I seriously doubt that the version of the debt rituals current in Taiwan date from the Song; the existence of a less fully capitalist form in Xiamen in the nineteenth century, and an awareness of the plastic nature of folk ideologies in response to cultural change would argue against such a direct line of descent. That a shift occurred from offering supernaturals commodities to offering them money, and then imitations of money, appears historically valid, however. Hou describes the diffusion of an "occidental" style of money to Taiwan through more sophisticated Shanghai merchants after 1949 (1975: 16-17); I found that </w:t>
      </w:r>
      <w:r w:rsidRPr="00E15220">
        <w:rPr>
          <w:rStyle w:val="StyleUnderline"/>
        </w:rPr>
        <w:t>mainlanders from less capitalist- dominated north China still prefer to burn imitation silver ingots rather than either traditional or "occidental-style" paper money. But is this money capital</w:t>
      </w:r>
      <w:r w:rsidRPr="00E15220">
        <w:rPr>
          <w:sz w:val="14"/>
        </w:rPr>
        <w:t xml:space="preserve">? To what extent can it be seen as a means to the production of more money, through capital's capacity for "exchanging itself for labour power, by calling wage labour to life"(Marx and Engels, 1962: 92)? </w:t>
      </w:r>
      <w:r w:rsidRPr="00E15220">
        <w:rPr>
          <w:rStyle w:val="StyleUnderline"/>
        </w:rPr>
        <w:t>In the contemporary Taiwan rituals</w:t>
      </w:r>
      <w:r w:rsidRPr="00E15220">
        <w:rPr>
          <w:sz w:val="14"/>
        </w:rPr>
        <w:t xml:space="preserve"> relating to a soul's supernatural debt </w:t>
      </w:r>
      <w:r w:rsidRPr="00E15220">
        <w:rPr>
          <w:rStyle w:val="StyleUnderline"/>
        </w:rPr>
        <w:t>we can see sketched out, for us and for the Chinese bearers of tradition, Marx's classic distinction "between the circulation of money as capital, and its circulation as mere money</w:t>
      </w:r>
      <w:r w:rsidRPr="00E15220">
        <w:rPr>
          <w:sz w:val="14"/>
        </w:rPr>
        <w:t>" (Marx, 1977 250). This distinction is summed up in two simple formulae. The first mere money, or money as a medium of exchange is C-M-C, denoting the selling of a commodity, C, for money, M, which is then used to purchase a further commodity, C, to be consumed. Here, money simply facilitates the transfer of two commodities of equal value. By contrast, M-C-M denotes the use of money to purchase a commodity, which is resold for money. Money has circulated and returned to its original owner, perhaps in a larger amount, to be recirculated. "</w:t>
      </w:r>
      <w:r w:rsidRPr="00E15220">
        <w:rPr>
          <w:rStyle w:val="StyleUnderline"/>
        </w:rPr>
        <w:t>In the case of intere</w:t>
      </w:r>
      <w:r w:rsidRPr="00E15220">
        <w:rPr>
          <w:rStyle w:val="StyleUnderline"/>
        </w:rPr>
        <w:lastRenderedPageBreak/>
        <w:t xml:space="preserve">st- bearing capital, the circulation M-C-M presents itself in abridged form ... as M-MI, i.e., money which is worth more money, value which is greater than itself' </w:t>
      </w:r>
      <w:r w:rsidRPr="00E15220">
        <w:rPr>
          <w:sz w:val="14"/>
        </w:rPr>
        <w:t>(Marx, 1977: 257).</w:t>
      </w:r>
      <w:r w:rsidRPr="00E15220">
        <w:rPr>
          <w:rStyle w:val="StyleUnderline"/>
        </w:rPr>
        <w:t xml:space="preserve"> "It has acquired the ocult ability to add value to itself. It brings forth living offspring, or at least lays golden eggs" </w:t>
      </w:r>
      <w:r w:rsidRPr="00E15220">
        <w:rPr>
          <w:sz w:val="14"/>
        </w:rPr>
        <w:t xml:space="preserve">(Marx, 1973: 255). </w:t>
      </w:r>
      <w:r w:rsidRPr="00E15220">
        <w:rPr>
          <w:rStyle w:val="StyleUnderline"/>
        </w:rPr>
        <w:t>Are these not the transactions in which Taiwan's gods and humans engage and that conclude in the payment of the debt</w:t>
      </w:r>
      <w:r w:rsidRPr="00E15220">
        <w:rPr>
          <w:sz w:val="14"/>
        </w:rPr>
        <w:t xml:space="preserve">? For human beings, </w:t>
      </w:r>
      <w:r w:rsidRPr="00E15220">
        <w:rPr>
          <w:rStyle w:val="StyleUnderline"/>
        </w:rPr>
        <w:t>money is a medium by which they exchange part of the fruits of their life's labor for the most essential of "6commodities"-a human body and life fate-both of which when consumed, cease to be</w:t>
      </w:r>
      <w:r w:rsidRPr="00E15220">
        <w:rPr>
          <w:sz w:val="14"/>
        </w:rPr>
        <w:t xml:space="preserve">. </w:t>
      </w:r>
      <w:r w:rsidRPr="00E15220">
        <w:rPr>
          <w:rStyle w:val="StyleUnderline"/>
        </w:rPr>
        <w:t>Gods</w:t>
      </w:r>
      <w:r w:rsidRPr="00E15220">
        <w:rPr>
          <w:sz w:val="14"/>
        </w:rPr>
        <w:t xml:space="preserve">, by contrast, </w:t>
      </w:r>
      <w:r w:rsidRPr="00E15220">
        <w:rPr>
          <w:rStyle w:val="StyleUnderline"/>
        </w:rPr>
        <w:t>lay out money as interest-bearing capital, with an expectation of receiving more than they originally lent: a series of offerings over the lifetime of the individual in the course of normal religious activity, and a final repayment that is usually supplemented with extra amounts.</w:t>
      </w:r>
      <w:r w:rsidRPr="00E15220">
        <w:rPr>
          <w:sz w:val="14"/>
        </w:rPr>
        <w:t xml:space="preserve"> This money returns to the celestial treasury to recirculate and expand itself through further capitalist transactions with human souls. As everyone knows, some gods were once humans; deification is a real, though uncommon, possibility for a soul. Typical humans achieve neither this nor the ultimate escape from life's trials, nirvana, but move endlessly through the cycle of debt and repayment. Typical human behavior-consumption-traps us in the world's red dust. </w:t>
      </w:r>
      <w:r w:rsidRPr="00E15220">
        <w:rPr>
          <w:rStyle w:val="StyleUnderline"/>
        </w:rPr>
        <w:t>Thus, this ultimate life-cycle ritual not only teaches the virtue of paying one's debts, but also makes explicit the two uses of money, and the consequences of such uses. In religious metaphor, the putting out of money at interest is honored, the ultimate unproductiveness of its use to support consumption is under- scored.</w:t>
      </w:r>
      <w:r w:rsidRPr="00E15220">
        <w:rPr>
          <w:sz w:val="14"/>
        </w:rPr>
        <w:t xml:space="preserve"> Gods, wealthy and powerful, perform the one transaction; humans, poor and dependent, the other</w:t>
      </w:r>
      <w:r w:rsidRPr="00E15220">
        <w:rPr>
          <w:rStyle w:val="StyleUnderline"/>
        </w:rPr>
        <w:t>. When people are admonished to model their behavior on the gods', they are given an economic program that is not separable from a moral one</w:t>
      </w:r>
    </w:p>
    <w:p w:rsidR="00FB25D7" w:rsidRPr="008A37C5" w:rsidRDefault="00FB25D7" w:rsidP="00FB25D7">
      <w:pPr>
        <w:rPr>
          <w:sz w:val="16"/>
        </w:rPr>
      </w:pPr>
    </w:p>
    <w:p w:rsidR="00EE2912" w:rsidRPr="00FB25D7" w:rsidRDefault="00EE2912" w:rsidP="00FB25D7">
      <w:bookmarkStart w:id="0" w:name="_GoBack"/>
      <w:bookmarkEnd w:id="0"/>
    </w:p>
    <w:sectPr w:rsidR="00EE2912" w:rsidRPr="00FB2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3588804"/>
    <w:docVar w:name="VerbatimVersion" w:val="5.1"/>
  </w:docVars>
  <w:rsids>
    <w:rsidRoot w:val="00327056"/>
    <w:rsid w:val="000139A3"/>
    <w:rsid w:val="00100833"/>
    <w:rsid w:val="00104529"/>
    <w:rsid w:val="00105942"/>
    <w:rsid w:val="00107396"/>
    <w:rsid w:val="00110CA6"/>
    <w:rsid w:val="00115530"/>
    <w:rsid w:val="00144A4C"/>
    <w:rsid w:val="00176AB0"/>
    <w:rsid w:val="00177B7D"/>
    <w:rsid w:val="0018322D"/>
    <w:rsid w:val="001B5776"/>
    <w:rsid w:val="001E527A"/>
    <w:rsid w:val="001E773B"/>
    <w:rsid w:val="001F78CE"/>
    <w:rsid w:val="00251FC7"/>
    <w:rsid w:val="002855A7"/>
    <w:rsid w:val="002B146A"/>
    <w:rsid w:val="002B5E17"/>
    <w:rsid w:val="00315690"/>
    <w:rsid w:val="00316B75"/>
    <w:rsid w:val="00325646"/>
    <w:rsid w:val="00327056"/>
    <w:rsid w:val="003460F2"/>
    <w:rsid w:val="0038158C"/>
    <w:rsid w:val="003902BA"/>
    <w:rsid w:val="003A09E2"/>
    <w:rsid w:val="00407037"/>
    <w:rsid w:val="004605D6"/>
    <w:rsid w:val="004C60E8"/>
    <w:rsid w:val="004E3579"/>
    <w:rsid w:val="004E728B"/>
    <w:rsid w:val="004F39E0"/>
    <w:rsid w:val="00503B67"/>
    <w:rsid w:val="00537BD5"/>
    <w:rsid w:val="0057268A"/>
    <w:rsid w:val="005D2912"/>
    <w:rsid w:val="006065BD"/>
    <w:rsid w:val="006157F4"/>
    <w:rsid w:val="00645FA9"/>
    <w:rsid w:val="00647866"/>
    <w:rsid w:val="00665003"/>
    <w:rsid w:val="00683A29"/>
    <w:rsid w:val="006A2AD0"/>
    <w:rsid w:val="006C2375"/>
    <w:rsid w:val="006D4ECC"/>
    <w:rsid w:val="00722258"/>
    <w:rsid w:val="007243E5"/>
    <w:rsid w:val="00766EA0"/>
    <w:rsid w:val="007A2226"/>
    <w:rsid w:val="007F5B66"/>
    <w:rsid w:val="00823A1C"/>
    <w:rsid w:val="00845B9D"/>
    <w:rsid w:val="00860984"/>
    <w:rsid w:val="00891155"/>
    <w:rsid w:val="008B3ECB"/>
    <w:rsid w:val="008B4E85"/>
    <w:rsid w:val="008C1B2E"/>
    <w:rsid w:val="0091627E"/>
    <w:rsid w:val="0094303A"/>
    <w:rsid w:val="0097032B"/>
    <w:rsid w:val="009D2EAD"/>
    <w:rsid w:val="009D54B2"/>
    <w:rsid w:val="009E1922"/>
    <w:rsid w:val="009F5FCA"/>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566D"/>
    <w:rsid w:val="00EA53EC"/>
    <w:rsid w:val="00EC7DC4"/>
    <w:rsid w:val="00ED30CF"/>
    <w:rsid w:val="00EE2912"/>
    <w:rsid w:val="00F176EF"/>
    <w:rsid w:val="00F45E10"/>
    <w:rsid w:val="00F6364A"/>
    <w:rsid w:val="00F9113A"/>
    <w:rsid w:val="00FB25D7"/>
    <w:rsid w:val="00FE2546"/>
    <w:rsid w:val="00FE7C1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F16F2-7676-457E-A6DF-399C2368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4303A"/>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4303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94303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94303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94303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430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03A"/>
  </w:style>
  <w:style w:type="character" w:customStyle="1" w:styleId="Heading1Char">
    <w:name w:val="Heading 1 Char"/>
    <w:aliases w:val="Pocket Char"/>
    <w:basedOn w:val="DefaultParagraphFont"/>
    <w:link w:val="Heading1"/>
    <w:uiPriority w:val="1"/>
    <w:rsid w:val="0094303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94303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94303A"/>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94303A"/>
    <w:rPr>
      <w:rFonts w:ascii="Georgia" w:eastAsiaTheme="majorEastAsia" w:hAnsi="Georgia" w:cstheme="majorBidi"/>
      <w:b/>
      <w:bCs/>
      <w:iCs/>
    </w:rPr>
  </w:style>
  <w:style w:type="character" w:styleId="Emphasis">
    <w:name w:val="Emphasis"/>
    <w:basedOn w:val="DefaultParagraphFont"/>
    <w:uiPriority w:val="7"/>
    <w:qFormat/>
    <w:rsid w:val="0094303A"/>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94303A"/>
    <w:rPr>
      <w:b/>
      <w:bCs/>
      <w:sz w:val="22"/>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Style,Bold Cite Char,Citation Char Char Char,ci,c,Bo"/>
    <w:basedOn w:val="DefaultParagraphFont"/>
    <w:uiPriority w:val="6"/>
    <w:qFormat/>
    <w:rsid w:val="0094303A"/>
    <w:rPr>
      <w:b w:val="0"/>
      <w:bCs/>
      <w:sz w:val="22"/>
      <w:u w:val="single"/>
    </w:rPr>
  </w:style>
  <w:style w:type="character" w:styleId="Hyperlink">
    <w:name w:val="Hyperlink"/>
    <w:basedOn w:val="DefaultParagraphFont"/>
    <w:uiPriority w:val="99"/>
    <w:semiHidden/>
    <w:rsid w:val="0094303A"/>
    <w:rPr>
      <w:color w:val="auto"/>
      <w:u w:val="none"/>
    </w:rPr>
  </w:style>
  <w:style w:type="character" w:styleId="FollowedHyperlink">
    <w:name w:val="FollowedHyperlink"/>
    <w:basedOn w:val="DefaultParagraphFont"/>
    <w:uiPriority w:val="99"/>
    <w:semiHidden/>
    <w:rsid w:val="0094303A"/>
    <w:rPr>
      <w:color w:val="auto"/>
      <w:u w:val="none"/>
    </w:rPr>
  </w:style>
  <w:style w:type="character" w:customStyle="1" w:styleId="StyleBold">
    <w:name w:val="Style Bold"/>
    <w:basedOn w:val="DefaultParagraphFont"/>
    <w:uiPriority w:val="9"/>
    <w:semiHidden/>
    <w:rsid w:val="0094303A"/>
    <w:rPr>
      <w:b/>
      <w:bCs/>
    </w:rPr>
  </w:style>
  <w:style w:type="paragraph" w:styleId="Header">
    <w:name w:val="header"/>
    <w:basedOn w:val="Normal"/>
    <w:link w:val="HeaderChar"/>
    <w:uiPriority w:val="99"/>
    <w:semiHidden/>
    <w:rsid w:val="0094303A"/>
    <w:pPr>
      <w:tabs>
        <w:tab w:val="center" w:pos="4680"/>
        <w:tab w:val="right" w:pos="9360"/>
      </w:tabs>
    </w:pPr>
  </w:style>
  <w:style w:type="character" w:customStyle="1" w:styleId="HeaderChar">
    <w:name w:val="Header Char"/>
    <w:basedOn w:val="DefaultParagraphFont"/>
    <w:link w:val="Header"/>
    <w:uiPriority w:val="99"/>
    <w:semiHidden/>
    <w:rsid w:val="0094303A"/>
    <w:rPr>
      <w:rFonts w:ascii="Georgia" w:hAnsi="Georgia" w:cs="Calibri"/>
    </w:rPr>
  </w:style>
  <w:style w:type="paragraph" w:styleId="Footer">
    <w:name w:val="footer"/>
    <w:basedOn w:val="Normal"/>
    <w:link w:val="FooterChar"/>
    <w:uiPriority w:val="99"/>
    <w:semiHidden/>
    <w:rsid w:val="0094303A"/>
    <w:pPr>
      <w:tabs>
        <w:tab w:val="center" w:pos="4680"/>
        <w:tab w:val="right" w:pos="9360"/>
      </w:tabs>
    </w:pPr>
  </w:style>
  <w:style w:type="character" w:customStyle="1" w:styleId="FooterChar">
    <w:name w:val="Footer Char"/>
    <w:basedOn w:val="DefaultParagraphFont"/>
    <w:link w:val="Footer"/>
    <w:uiPriority w:val="99"/>
    <w:semiHidden/>
    <w:rsid w:val="0094303A"/>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DF724-E007-4FC5-AA32-F1CEFE023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29</Pages>
  <Words>3087</Words>
  <Characters>17600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dc:creator>
  <cp:keywords>5.1.1</cp:keywords>
  <dc:description/>
  <cp:lastModifiedBy>Kevin Hirn</cp:lastModifiedBy>
  <cp:revision>2</cp:revision>
  <dcterms:created xsi:type="dcterms:W3CDTF">2016-06-28T11:42:00Z</dcterms:created>
  <dcterms:modified xsi:type="dcterms:W3CDTF">2016-06-28T11:42:00Z</dcterms:modified>
</cp:coreProperties>
</file>