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354D84" w14:textId="77777777" w:rsidR="00E16532" w:rsidRPr="00323EF9" w:rsidRDefault="00E16532" w:rsidP="00E16532">
      <w:pPr>
        <w:pStyle w:val="Heading1"/>
      </w:pPr>
      <w:r w:rsidRPr="00323EF9">
        <w:t>-- mourning neg</w:t>
      </w:r>
    </w:p>
    <w:p w14:paraId="73EB8A88" w14:textId="77777777" w:rsidR="00E16532" w:rsidRPr="00323EF9" w:rsidRDefault="00E16532" w:rsidP="00E16532">
      <w:pPr>
        <w:pStyle w:val="Heading2"/>
      </w:pPr>
      <w:r w:rsidRPr="00323EF9">
        <w:lastRenderedPageBreak/>
        <w:t>-- case</w:t>
      </w:r>
    </w:p>
    <w:p w14:paraId="2E2E6B7C" w14:textId="77777777" w:rsidR="00E16532" w:rsidRPr="00323EF9" w:rsidRDefault="00E16532" w:rsidP="00E16532">
      <w:pPr>
        <w:pStyle w:val="Heading4"/>
      </w:pPr>
      <w:r w:rsidRPr="00323EF9">
        <w:t>The ability to mourn is only accessible to “good white people” -- any non-white body who mourns through a critical opinion is automatically dismissed as racebaiting</w:t>
      </w:r>
    </w:p>
    <w:p w14:paraId="45DE3310" w14:textId="77777777" w:rsidR="00E16532" w:rsidRPr="00323EF9" w:rsidRDefault="00E16532" w:rsidP="00E16532">
      <w:pPr>
        <w:rPr>
          <w:rStyle w:val="StyleStyleBold12pt"/>
        </w:rPr>
      </w:pPr>
      <w:r w:rsidRPr="00323EF9">
        <w:rPr>
          <w:rStyle w:val="StyleStyleBold12pt"/>
        </w:rPr>
        <w:t>BLACKQUEERKING 15</w:t>
      </w:r>
    </w:p>
    <w:p w14:paraId="7859BD6F" w14:textId="77777777" w:rsidR="00E16532" w:rsidRPr="00323EF9" w:rsidRDefault="00E16532" w:rsidP="00E16532">
      <w:r w:rsidRPr="00323EF9">
        <w:t>(Drew King, activist. http://askdrew87. com/post/122250482368/mourning-is-now-a-white-privilege “Mourning is now a White Privilege” shr)</w:t>
      </w:r>
    </w:p>
    <w:p w14:paraId="25C53640" w14:textId="77777777" w:rsidR="00E16532" w:rsidRPr="00323EF9" w:rsidRDefault="00E16532" w:rsidP="00E16532">
      <w:pPr>
        <w:rPr>
          <w:sz w:val="16"/>
        </w:rPr>
      </w:pPr>
      <w:r w:rsidRPr="00323EF9">
        <w:rPr>
          <w:sz w:val="16"/>
        </w:rPr>
        <w:t xml:space="preserve">In the wake of events like the Trayvon Martin shooting and the Charleston shooting the black community has become more vocal about social issues. </w:t>
      </w:r>
      <w:r w:rsidRPr="00323EF9">
        <w:rPr>
          <w:rStyle w:val="StyleBoldUnderline"/>
        </w:rPr>
        <w:t>We have been reminded that through protest and social media our voices can be heard.</w:t>
      </w:r>
      <w:r w:rsidRPr="00323EF9">
        <w:rPr>
          <w:sz w:val="16"/>
        </w:rPr>
        <w:t xml:space="preserve"> “Black Lives Matter” has become a trending topic and can be found on paraphernelia across the country ,hundreds of protests have been held globally and the black spirit is being awakened. </w:t>
      </w:r>
      <w:r w:rsidRPr="00323EF9">
        <w:rPr>
          <w:rStyle w:val="StyleBoldUnderline"/>
        </w:rPr>
        <w:t>But there is one issue</w:t>
      </w:r>
      <w:r w:rsidRPr="00323EF9">
        <w:rPr>
          <w:sz w:val="16"/>
        </w:rPr>
        <w:t xml:space="preserve">? </w:t>
      </w:r>
      <w:r w:rsidRPr="00323EF9">
        <w:rPr>
          <w:rStyle w:val="StyleBoldUnderline"/>
        </w:rPr>
        <w:t>Mourning is a white privilege</w:t>
      </w:r>
      <w:r w:rsidRPr="00323EF9">
        <w:rPr>
          <w:sz w:val="16"/>
        </w:rPr>
        <w:t>.</w:t>
      </w:r>
      <w:r w:rsidRPr="00323EF9">
        <w:rPr>
          <w:sz w:val="12"/>
        </w:rPr>
        <w:t>¶</w:t>
      </w:r>
      <w:r w:rsidRPr="00323EF9">
        <w:rPr>
          <w:sz w:val="16"/>
        </w:rPr>
        <w:t xml:space="preserve"> Yes I said </w:t>
      </w:r>
      <w:r w:rsidRPr="00323EF9">
        <w:rPr>
          <w:rStyle w:val="StyleBoldUnderline"/>
        </w:rPr>
        <w:t>mourning is a white privilege and so is speaking up about injustice. We are expected to move on, shutup and focus on all the good in this country. And anyone with a critical opinion is “racebaiting” or “discriminating</w:t>
      </w:r>
      <w:r w:rsidRPr="00323EF9">
        <w:rPr>
          <w:sz w:val="16"/>
        </w:rPr>
        <w:t xml:space="preserve">”. Many do not want to hear about a black movement or black issues because they are comfortable. They are comfortable with the pain and anguish in the black community and do not find us worthy of sympathy or empathy. And this ladies and gentleman is racism. Apathy is in fact racism because if the media can be sympathetic toward a mass murderer why can we not be sympathetic and concerned about our brothers like Eric Gardner, Trayvon Martin,Michael Brown, our dear child Tamir Rice and 9 innocent black people killed while seeking sanctuary? </w:t>
      </w:r>
      <w:r w:rsidRPr="00323EF9">
        <w:rPr>
          <w:rStyle w:val="StyleBoldUnderline"/>
        </w:rPr>
        <w:t>Why am I demonized for speaking on black issues? Because no one wants to change</w:t>
      </w:r>
      <w:r w:rsidRPr="00323EF9">
        <w:rPr>
          <w:sz w:val="16"/>
        </w:rPr>
        <w:t xml:space="preserve">. Apathy and hate fuil racism and why would America want to have a conversation about race if you are comfortable with me being mistreated? The fact that people are avoiding this conversation and demonizing vocal blacks is all the more reason why RACE needs to be discussed. </w:t>
      </w:r>
      <w:r w:rsidRPr="00323EF9">
        <w:rPr>
          <w:rStyle w:val="StyleBoldUnderline"/>
        </w:rPr>
        <w:t xml:space="preserve">Mourning is a white privilege. That is why the media is mourning for a mass murderer in Charleston and not 9 families who have loss someone. Mourning is a white privilege. </w:t>
      </w:r>
      <w:r w:rsidRPr="00323EF9">
        <w:rPr>
          <w:sz w:val="16"/>
        </w:rPr>
        <w:t>Thats why the media demonized and attacked the family of Michael Brown during their time of mourning</w:t>
      </w:r>
      <w:r w:rsidRPr="00323EF9">
        <w:rPr>
          <w:rStyle w:val="StyleBoldUnderline"/>
        </w:rPr>
        <w:t>. Mourning is a white privilege</w:t>
      </w:r>
      <w:r w:rsidRPr="00323EF9">
        <w:rPr>
          <w:sz w:val="16"/>
        </w:rPr>
        <w:t xml:space="preserve">. Thats why some were uncomfortable with BLACK lives matter. If this is not racism then what is? Racism is prejudice, discrimination, or antagonism directed against someone of a different race based on the belief that one’s own race is superior. And if I may ask you </w:t>
      </w:r>
      <w:r w:rsidRPr="00323EF9">
        <w:rPr>
          <w:rStyle w:val="StyleBoldUnderline"/>
        </w:rPr>
        <w:t>when was the last time a white american was told they should not protest or were attacked in a time of mourning or demonized for discussing a cause close to their heart</w:t>
      </w:r>
      <w:r w:rsidRPr="00323EF9">
        <w:rPr>
          <w:sz w:val="16"/>
        </w:rPr>
        <w:t>? It does not happen nearly as often. The mere fact that we have the term “racebaiting” for BLACKS but no term for white activist illustrates my point. These are all signs of oppression and racism.</w:t>
      </w:r>
    </w:p>
    <w:p w14:paraId="19BEF085" w14:textId="77777777" w:rsidR="00E16532" w:rsidRPr="00323EF9" w:rsidRDefault="00E16532" w:rsidP="00E16532">
      <w:pPr>
        <w:pStyle w:val="Heading4"/>
      </w:pPr>
      <w:r w:rsidRPr="00323EF9">
        <w:t>Mourning is a privileged act -- only serves to homogenize the dead and erase all differences between them</w:t>
      </w:r>
    </w:p>
    <w:p w14:paraId="4D1DEBCB" w14:textId="77777777" w:rsidR="00E16532" w:rsidRPr="00323EF9" w:rsidRDefault="00E16532" w:rsidP="00E16532">
      <w:r w:rsidRPr="00323EF9">
        <w:rPr>
          <w:rStyle w:val="StyleStyleBold12pt"/>
        </w:rPr>
        <w:t>Zembylas 9</w:t>
      </w:r>
    </w:p>
    <w:p w14:paraId="0FEB9D8C" w14:textId="77777777" w:rsidR="00E16532" w:rsidRPr="00323EF9" w:rsidRDefault="00E16532" w:rsidP="00E16532">
      <w:r w:rsidRPr="00323EF9">
        <w:t>(Michalinos, Zembylas, (2009), “Making Sense Of Traumatic Events:Toward A Politics Of Aporetic Mourning In Educational Theory And Pedagogy”. shr)</w:t>
      </w:r>
    </w:p>
    <w:p w14:paraId="5D07AC52" w14:textId="77777777" w:rsidR="00E16532" w:rsidRPr="00323EF9" w:rsidRDefault="00E16532" w:rsidP="00E16532">
      <w:pPr>
        <w:rPr>
          <w:sz w:val="16"/>
        </w:rPr>
      </w:pPr>
      <w:r w:rsidRPr="00323EF9">
        <w:rPr>
          <w:sz w:val="16"/>
        </w:rPr>
        <w:t xml:space="preserve">First, </w:t>
      </w:r>
      <w:r w:rsidRPr="00323EF9">
        <w:rPr>
          <w:rStyle w:val="StyleBoldUnderline"/>
        </w:rPr>
        <w:t xml:space="preserve">there is the danger that students may become </w:t>
      </w:r>
      <w:r w:rsidRPr="00323EF9">
        <w:rPr>
          <w:sz w:val="16"/>
        </w:rPr>
        <w:t xml:space="preserve">highly emotionalized </w:t>
      </w:r>
      <w:r w:rsidRPr="00323EF9">
        <w:rPr>
          <w:rStyle w:val="StyleBoldUnderline"/>
        </w:rPr>
        <w:t xml:space="preserve">moral spectators to </w:t>
      </w:r>
      <w:r w:rsidRPr="00323EF9">
        <w:rPr>
          <w:sz w:val="16"/>
        </w:rPr>
        <w:t xml:space="preserve">trauma and </w:t>
      </w:r>
      <w:r w:rsidRPr="00323EF9">
        <w:rPr>
          <w:rStyle w:val="StyleBoldUnderline"/>
        </w:rPr>
        <w:t>mourning</w:t>
      </w:r>
      <w:r w:rsidRPr="00323EF9">
        <w:rPr>
          <w:sz w:val="16"/>
        </w:rPr>
        <w:t xml:space="preserve">.50That is, they mourn for/with others but </w:t>
      </w:r>
      <w:r w:rsidRPr="00323EF9">
        <w:rPr>
          <w:rStyle w:val="StyleBoldUnderline"/>
        </w:rPr>
        <w:t>mourning begins and ends in the emergence of sentimentalism</w:t>
      </w:r>
      <w:r w:rsidRPr="00323EF9">
        <w:rPr>
          <w:sz w:val="16"/>
        </w:rPr>
        <w:t xml:space="preserve"> — especially </w:t>
      </w:r>
      <w:r w:rsidRPr="00323EF9">
        <w:rPr>
          <w:rStyle w:val="StyleBoldUnderline"/>
        </w:rPr>
        <w:t>by those who are privileged</w:t>
      </w:r>
      <w:r w:rsidRPr="00323EF9">
        <w:rPr>
          <w:sz w:val="16"/>
        </w:rPr>
        <w:t xml:space="preserve"> — that is mediated by guilt and pity. Such </w:t>
      </w:r>
      <w:r w:rsidRPr="00323EF9">
        <w:rPr>
          <w:rStyle w:val="StyleBoldUnderline"/>
        </w:rPr>
        <w:t>a response</w:t>
      </w:r>
      <w:r w:rsidRPr="00323EF9">
        <w:rPr>
          <w:sz w:val="16"/>
        </w:rPr>
        <w:t xml:space="preserve">, as Butler points out, </w:t>
      </w:r>
      <w:r w:rsidRPr="00323EF9">
        <w:rPr>
          <w:rStyle w:val="StyleBoldUnderline"/>
        </w:rPr>
        <w:t xml:space="preserve">degenerates into </w:t>
      </w:r>
      <w:r w:rsidRPr="00323EF9">
        <w:rPr>
          <w:sz w:val="16"/>
        </w:rPr>
        <w:t xml:space="preserve">a new form of </w:t>
      </w:r>
      <w:r w:rsidRPr="00323EF9">
        <w:rPr>
          <w:rStyle w:val="StyleBoldUnderline"/>
        </w:rPr>
        <w:t>totalization</w:t>
      </w:r>
      <w:r w:rsidRPr="00323EF9">
        <w:rPr>
          <w:sz w:val="16"/>
        </w:rPr>
        <w:t xml:space="preserve">, homogeneity, </w:t>
      </w:r>
      <w:r w:rsidRPr="00323EF9">
        <w:rPr>
          <w:rStyle w:val="StyleBoldUnderline"/>
        </w:rPr>
        <w:t>and erasure of difference</w:t>
      </w:r>
      <w:r w:rsidRPr="00323EF9">
        <w:rPr>
          <w:sz w:val="16"/>
        </w:rPr>
        <w:t xml:space="preserve">. </w:t>
      </w:r>
      <w:r w:rsidRPr="00323EF9">
        <w:rPr>
          <w:rStyle w:val="StyleBoldUnderline"/>
        </w:rPr>
        <w:t xml:space="preserve">This </w:t>
      </w:r>
      <w:r w:rsidRPr="00323EF9">
        <w:rPr>
          <w:sz w:val="16"/>
        </w:rPr>
        <w:t xml:space="preserve">form of the politics of </w:t>
      </w:r>
      <w:r w:rsidRPr="00323EF9">
        <w:rPr>
          <w:rStyle w:val="StyleBoldUnderline"/>
        </w:rPr>
        <w:t xml:space="preserve">mourning transforms </w:t>
      </w:r>
      <w:r w:rsidRPr="00323EF9">
        <w:rPr>
          <w:sz w:val="16"/>
        </w:rPr>
        <w:t xml:space="preserve">sentimen-talism into expert techniques of </w:t>
      </w:r>
      <w:r w:rsidRPr="00323EF9">
        <w:rPr>
          <w:rStyle w:val="StyleBoldUnderline"/>
        </w:rPr>
        <w:t xml:space="preserve">surface mourning regulated by social norms </w:t>
      </w:r>
      <w:r w:rsidRPr="00323EF9">
        <w:rPr>
          <w:sz w:val="16"/>
        </w:rPr>
        <w:t xml:space="preserve">that claim truthful knowledge.51Clearly, I do not mean to suggest that mourning practi-ces and the ways they are handled in schools are invariably sentimentalized. I am suggesting, however, that </w:t>
      </w:r>
      <w:r w:rsidRPr="00323EF9">
        <w:rPr>
          <w:rStyle w:val="StyleBoldUnderline"/>
        </w:rPr>
        <w:t>sentimentality is indeed a popular rhetorical means by which trauma and mourning are advanced</w:t>
      </w:r>
      <w:r w:rsidRPr="00323EF9">
        <w:rPr>
          <w:sz w:val="16"/>
        </w:rPr>
        <w:t xml:space="preserve">, as a moralistic means of promoting good citizenship and moral character.52For example, </w:t>
      </w:r>
      <w:r w:rsidRPr="00323EF9">
        <w:rPr>
          <w:rStyle w:val="StyleBoldUnderline"/>
        </w:rPr>
        <w:t xml:space="preserve">the form and intensity with which mourning practices are used in contemporary society </w:t>
      </w:r>
      <w:r w:rsidRPr="00323EF9">
        <w:rPr>
          <w:sz w:val="16"/>
        </w:rPr>
        <w:t xml:space="preserve">— take, for instance, such practices by many nation-states to commemorate the warriors who sacrificed their lives fighting the enemy — </w:t>
      </w:r>
      <w:r w:rsidRPr="00323EF9">
        <w:rPr>
          <w:rStyle w:val="StyleBoldUnderline"/>
        </w:rPr>
        <w:t>require an interrogation of the politics of mourn-ing promoted and sustained in public and educational discourses through the rhet-orical use of trauma narratives and mourning practices</w:t>
      </w:r>
      <w:r w:rsidRPr="00323EF9">
        <w:rPr>
          <w:sz w:val="16"/>
        </w:rPr>
        <w:t xml:space="preserve">. Perhaps </w:t>
      </w:r>
      <w:r w:rsidRPr="00323EF9">
        <w:rPr>
          <w:rStyle w:val="StyleBoldUnderline"/>
        </w:rPr>
        <w:t xml:space="preserve">an appreciation of aporetic </w:t>
      </w:r>
      <w:r w:rsidRPr="00323EF9">
        <w:rPr>
          <w:rStyle w:val="StyleBoldUnderline"/>
        </w:rPr>
        <w:lastRenderedPageBreak/>
        <w:t>mourning may give rise to the condition of possibility beyond both cynical reason and an empty, commodified sentimentalism</w:t>
      </w:r>
      <w:r w:rsidRPr="00323EF9">
        <w:rPr>
          <w:sz w:val="16"/>
        </w:rPr>
        <w:t xml:space="preserve"> based on falsely shared suffering.</w:t>
      </w:r>
    </w:p>
    <w:p w14:paraId="0A6AA2EE" w14:textId="77777777" w:rsidR="00E16532" w:rsidRPr="00323EF9" w:rsidRDefault="00E16532" w:rsidP="00E16532">
      <w:pPr>
        <w:pStyle w:val="Heading4"/>
      </w:pPr>
      <w:r w:rsidRPr="00323EF9">
        <w:t xml:space="preserve">Mourning causes ressentiment </w:t>
      </w:r>
      <w:r w:rsidRPr="00323EF9">
        <w:sym w:font="Wingdings" w:char="F04C"/>
      </w:r>
    </w:p>
    <w:p w14:paraId="37F92F78" w14:textId="77777777" w:rsidR="00E16532" w:rsidRPr="00323EF9" w:rsidRDefault="00E16532" w:rsidP="00E16532">
      <w:r w:rsidRPr="00323EF9">
        <w:rPr>
          <w:rStyle w:val="StyleStyleBold12pt"/>
        </w:rPr>
        <w:t>Zembylas 9</w:t>
      </w:r>
    </w:p>
    <w:p w14:paraId="6D9EF279" w14:textId="77777777" w:rsidR="00E16532" w:rsidRPr="00323EF9" w:rsidRDefault="00E16532" w:rsidP="00E16532">
      <w:r w:rsidRPr="00323EF9">
        <w:t>(Michalinos, Zembylas, (2009), “Making Sense Of Traumatic Events:Toward A Politics Of Aporetic Mourning In Educational Theory And Pedagogy”. shr)</w:t>
      </w:r>
    </w:p>
    <w:p w14:paraId="05C8EAAC" w14:textId="77777777" w:rsidR="00E16532" w:rsidRPr="00323EF9" w:rsidRDefault="00E16532" w:rsidP="00E16532">
      <w:pPr>
        <w:rPr>
          <w:sz w:val="16"/>
        </w:rPr>
      </w:pPr>
      <w:r w:rsidRPr="00323EF9">
        <w:rPr>
          <w:sz w:val="16"/>
        </w:rPr>
        <w:t xml:space="preserve">Second, </w:t>
      </w:r>
      <w:r w:rsidRPr="00323EF9">
        <w:rPr>
          <w:rStyle w:val="StyleBoldUnderline"/>
        </w:rPr>
        <w:t>another danger comes from the response of those</w:t>
      </w:r>
      <w:r w:rsidRPr="00323EF9">
        <w:rPr>
          <w:sz w:val="16"/>
        </w:rPr>
        <w:t xml:space="preserve"> students </w:t>
      </w:r>
      <w:r w:rsidRPr="00323EF9">
        <w:rPr>
          <w:rStyle w:val="StyleBoldUnderline"/>
        </w:rPr>
        <w:t>who feel victimized</w:t>
      </w:r>
      <w:r w:rsidRPr="00323EF9">
        <w:rPr>
          <w:sz w:val="16"/>
        </w:rPr>
        <w:t xml:space="preserve"> </w:t>
      </w:r>
      <w:r w:rsidRPr="00323EF9">
        <w:rPr>
          <w:rStyle w:val="StyleBoldUnderline"/>
        </w:rPr>
        <w:t>and entails a feeling of resentment</w:t>
      </w:r>
      <w:r w:rsidRPr="00323EF9">
        <w:rPr>
          <w:sz w:val="16"/>
        </w:rPr>
        <w:t xml:space="preserve">. Based on Friedrich Nietzsche’s notion of ressentiment, Bernard Meltzer and Gil Musolf explain that resentment comprises </w:t>
      </w:r>
      <w:r w:rsidRPr="00323EF9">
        <w:rPr>
          <w:rStyle w:val="StyleBoldUnderline"/>
        </w:rPr>
        <w:t>feelings of anger, indignation, revenge, and the like</w:t>
      </w:r>
      <w:r w:rsidRPr="00323EF9">
        <w:rPr>
          <w:sz w:val="16"/>
        </w:rPr>
        <w:t xml:space="preserve">.53This desire for revenge, as Wendy Brown has shown, may indeed be a reaction against unjust treatment, but </w:t>
      </w:r>
      <w:r w:rsidRPr="00323EF9">
        <w:rPr>
          <w:rStyle w:val="StyleBoldUnderline"/>
        </w:rPr>
        <w:t>attachment to past wounds refuses to see the future possibilities for action</w:t>
      </w:r>
      <w:r w:rsidRPr="00323EF9">
        <w:rPr>
          <w:sz w:val="16"/>
        </w:rPr>
        <w:t>: ‘‘</w:t>
      </w:r>
      <w:r w:rsidRPr="00323EF9">
        <w:rPr>
          <w:rStyle w:val="StyleBoldUnderline"/>
        </w:rPr>
        <w:t>Revenge</w:t>
      </w:r>
      <w:r w:rsidRPr="00323EF9">
        <w:rPr>
          <w:sz w:val="16"/>
        </w:rPr>
        <w:t xml:space="preserve"> as a ‘reaction’, a substitute for the capacity to act, </w:t>
      </w:r>
      <w:r w:rsidRPr="00323EF9">
        <w:rPr>
          <w:rStyle w:val="StyleBoldUnderline"/>
        </w:rPr>
        <w:t>produces iden-tity as</w:t>
      </w:r>
      <w:r w:rsidRPr="00323EF9">
        <w:rPr>
          <w:sz w:val="16"/>
        </w:rPr>
        <w:t xml:space="preserve"> both bound to the history that produced it and as </w:t>
      </w:r>
      <w:r w:rsidRPr="00323EF9">
        <w:rPr>
          <w:rStyle w:val="StyleBoldUnderline"/>
        </w:rPr>
        <w:t>a reproach to the present</w:t>
      </w:r>
      <w:r w:rsidRPr="00323EF9">
        <w:rPr>
          <w:sz w:val="16"/>
        </w:rPr>
        <w:t xml:space="preserve"> </w:t>
      </w:r>
      <w:r w:rsidRPr="00323EF9">
        <w:rPr>
          <w:rStyle w:val="StyleBoldUnderline"/>
        </w:rPr>
        <w:t>which embodies that history</w:t>
      </w:r>
      <w:r w:rsidRPr="00323EF9">
        <w:rPr>
          <w:sz w:val="16"/>
        </w:rPr>
        <w:t xml:space="preserve">.’’54For Brown, </w:t>
      </w:r>
      <w:r w:rsidRPr="00323EF9">
        <w:rPr>
          <w:rStyle w:val="StyleBoldUnderline"/>
        </w:rPr>
        <w:t>there is a</w:t>
      </w:r>
      <w:r w:rsidRPr="00323EF9">
        <w:rPr>
          <w:sz w:val="16"/>
        </w:rPr>
        <w:t xml:space="preserve"> paralyzing </w:t>
      </w:r>
      <w:r w:rsidRPr="00323EF9">
        <w:rPr>
          <w:rStyle w:val="StyleBoldUnderline"/>
        </w:rPr>
        <w:t>tendency inflect-ing the logic of wound attachment: preoccupation with the past risks forcing sub-altern subjects to get stuck in a present with no hope and a future that puts the past before all else</w:t>
      </w:r>
      <w:r w:rsidRPr="00323EF9">
        <w:rPr>
          <w:sz w:val="16"/>
        </w:rPr>
        <w:t>. Butler, on the other hand, provides an alternative view and argues that the trauma of hate speech brings about opportuni ties for agency through constituting a subject that is able to retort.55In other words, getting stuck in the weight of history is not necessarily the only option; the process of mourning losses may open up forms of subjecthood from which the subaltern can exercise a renewed agency and new affective attachment with others.</w:t>
      </w:r>
    </w:p>
    <w:p w14:paraId="07DF6C61" w14:textId="77777777" w:rsidR="00E16532" w:rsidRPr="00323EF9" w:rsidRDefault="00E16532" w:rsidP="00E16532">
      <w:pPr>
        <w:pStyle w:val="Heading4"/>
      </w:pPr>
      <w:r w:rsidRPr="00323EF9">
        <w:t>The 1AC just exchanges the promise of mourning for a ballot</w:t>
      </w:r>
    </w:p>
    <w:p w14:paraId="214D78F1" w14:textId="77777777" w:rsidR="00E16532" w:rsidRPr="00323EF9" w:rsidRDefault="00E16532" w:rsidP="00E16532">
      <w:r w:rsidRPr="00323EF9">
        <w:rPr>
          <w:rStyle w:val="StyleStyleBold12pt"/>
        </w:rPr>
        <w:t>Zembylas 9</w:t>
      </w:r>
    </w:p>
    <w:p w14:paraId="342575C4" w14:textId="77777777" w:rsidR="00E16532" w:rsidRPr="00323EF9" w:rsidRDefault="00E16532" w:rsidP="00E16532">
      <w:r w:rsidRPr="00323EF9">
        <w:t>(Michalinos, Zembylas, (2009), “Making Sense Of Traumatic Events:Toward A Politics Of Aporetic Mourning In Educational Theory And Pedagogy”. shr)</w:t>
      </w:r>
    </w:p>
    <w:p w14:paraId="1C23AD3B" w14:textId="77777777" w:rsidR="00E16532" w:rsidRPr="00323EF9" w:rsidRDefault="00E16532" w:rsidP="00E16532">
      <w:pPr>
        <w:rPr>
          <w:rStyle w:val="StyleBoldUnderline"/>
        </w:rPr>
      </w:pPr>
      <w:r w:rsidRPr="00323EF9">
        <w:rPr>
          <w:sz w:val="16"/>
        </w:rPr>
        <w:t xml:space="preserve">Finally, </w:t>
      </w:r>
      <w:r w:rsidRPr="00323EF9">
        <w:rPr>
          <w:rStyle w:val="StyleBoldUnderline"/>
        </w:rPr>
        <w:t>there is the danger that</w:t>
      </w:r>
      <w:r w:rsidRPr="00323EF9">
        <w:rPr>
          <w:sz w:val="16"/>
        </w:rPr>
        <w:t xml:space="preserve"> the sentimental narrative of </w:t>
      </w:r>
      <w:r w:rsidRPr="00323EF9">
        <w:rPr>
          <w:rStyle w:val="StyleBoldUnderline"/>
        </w:rPr>
        <w:t>trauma and mourning is consumable and ineffective.</w:t>
      </w:r>
      <w:r w:rsidRPr="00323EF9">
        <w:rPr>
          <w:sz w:val="16"/>
        </w:rPr>
        <w:t xml:space="preserve"> The students-as-moral </w:t>
      </w:r>
      <w:r w:rsidRPr="00323EF9">
        <w:rPr>
          <w:rStyle w:val="StyleBoldUnderline"/>
        </w:rPr>
        <w:t>spectators of others’ suffering</w:t>
      </w:r>
      <w:r w:rsidRPr="00323EF9">
        <w:rPr>
          <w:sz w:val="16"/>
        </w:rPr>
        <w:t xml:space="preserve"> are irritated by the scenes they see; thus, they </w:t>
      </w:r>
      <w:r w:rsidRPr="00323EF9">
        <w:rPr>
          <w:rStyle w:val="StyleBoldUnderline"/>
        </w:rPr>
        <w:t>become unwilling to engage with the implications of suffering and injustice</w:t>
      </w:r>
      <w:r w:rsidRPr="00323EF9">
        <w:rPr>
          <w:sz w:val="16"/>
        </w:rPr>
        <w:t xml:space="preserve">. </w:t>
      </w:r>
      <w:r w:rsidRPr="00323EF9">
        <w:rPr>
          <w:rStyle w:val="StyleBoldUnderline"/>
        </w:rPr>
        <w:t xml:space="preserve">This </w:t>
      </w:r>
      <w:r w:rsidRPr="00323EF9">
        <w:rPr>
          <w:sz w:val="16"/>
        </w:rPr>
        <w:t xml:space="preserve">desensitization is dangerous as a political position because it </w:t>
      </w:r>
      <w:r w:rsidRPr="00323EF9">
        <w:rPr>
          <w:rStyle w:val="StyleBoldUnderline"/>
        </w:rPr>
        <w:t xml:space="preserve">implies unwillingness to do something </w:t>
      </w:r>
      <w:r w:rsidRPr="00323EF9">
        <w:rPr>
          <w:sz w:val="16"/>
        </w:rPr>
        <w:t xml:space="preserve">about others’ suffering. </w:t>
      </w:r>
      <w:r w:rsidRPr="00323EF9">
        <w:rPr>
          <w:rStyle w:val="StyleBoldUnderline"/>
        </w:rPr>
        <w:t xml:space="preserve">Mourning may take different forms </w:t>
      </w:r>
      <w:r w:rsidRPr="00323EF9">
        <w:rPr>
          <w:sz w:val="16"/>
        </w:rPr>
        <w:t xml:space="preserve">and intensities, yet </w:t>
      </w:r>
      <w:r w:rsidRPr="00323EF9">
        <w:rPr>
          <w:rStyle w:val="StyleBoldUnderline"/>
        </w:rPr>
        <w:t>its fetishization</w:t>
      </w:r>
      <w:r w:rsidRPr="00323EF9">
        <w:rPr>
          <w:sz w:val="16"/>
        </w:rPr>
        <w:t xml:space="preserve"> (especially through the media) </w:t>
      </w:r>
      <w:r w:rsidRPr="00323EF9">
        <w:rPr>
          <w:rStyle w:val="StyleBoldUnderline"/>
        </w:rPr>
        <w:t xml:space="preserve">disengages students from </w:t>
      </w:r>
      <w:r w:rsidRPr="00323EF9">
        <w:rPr>
          <w:sz w:val="16"/>
        </w:rPr>
        <w:t xml:space="preserve">the dis-comforting implications of traumatic events.57The spectating student may ini-tially feel disturbed by frequently televised images of a traumatic event and may even be prompted to mourn, but </w:t>
      </w:r>
      <w:r w:rsidRPr="00323EF9">
        <w:rPr>
          <w:rStyle w:val="StyleBoldUnderline"/>
        </w:rPr>
        <w:t xml:space="preserve">fatigue from the repetitive display of scenes of suf-fering fixes the event in a few images and produces a decontextualized view </w:t>
      </w:r>
      <w:r w:rsidRPr="00323EF9">
        <w:rPr>
          <w:sz w:val="16"/>
        </w:rPr>
        <w:t xml:space="preserve">ofinjustice.58For example, as Ann Kaplan writes, the visuality of </w:t>
      </w:r>
      <w:r w:rsidRPr="00323EF9">
        <w:rPr>
          <w:rStyle w:val="StyleBoldUnderline"/>
        </w:rPr>
        <w:t xml:space="preserve">suffering </w:t>
      </w:r>
      <w:r w:rsidRPr="00323EF9">
        <w:rPr>
          <w:sz w:val="16"/>
        </w:rPr>
        <w:t xml:space="preserve">in cata-strophic events — such as September 11, 2001, in the United States — </w:t>
      </w:r>
      <w:r w:rsidRPr="00323EF9">
        <w:rPr>
          <w:rStyle w:val="StyleBoldUnderline"/>
        </w:rPr>
        <w:t>is often translated in such melodramatic or sensationalized ways that these events hardly seem real</w:t>
      </w:r>
      <w:r w:rsidRPr="00323EF9">
        <w:rPr>
          <w:sz w:val="16"/>
        </w:rPr>
        <w:t xml:space="preserve">. The result is that </w:t>
      </w:r>
      <w:r w:rsidRPr="00323EF9">
        <w:rPr>
          <w:rStyle w:val="StyleBoldUnderline"/>
        </w:rPr>
        <w:t>students reduce the meaning of these events to a few superficial or exaggerated phrases.</w:t>
      </w:r>
    </w:p>
    <w:p w14:paraId="1FB97FC9" w14:textId="77777777" w:rsidR="00E16532" w:rsidRPr="00323EF9" w:rsidRDefault="00E16532" w:rsidP="00E16532">
      <w:pPr>
        <w:pStyle w:val="Heading2"/>
      </w:pPr>
      <w:bookmarkStart w:id="0" w:name="_GoBack"/>
      <w:bookmarkEnd w:id="0"/>
      <w:r w:rsidRPr="00323EF9">
        <w:lastRenderedPageBreak/>
        <w:t>-- k links</w:t>
      </w:r>
    </w:p>
    <w:p w14:paraId="2A680335" w14:textId="77777777" w:rsidR="00E16532" w:rsidRPr="00323EF9" w:rsidRDefault="00E16532" w:rsidP="00E16532">
      <w:pPr>
        <w:pStyle w:val="Heading3"/>
      </w:pPr>
      <w:r w:rsidRPr="00323EF9">
        <w:lastRenderedPageBreak/>
        <w:t>-- ableism link</w:t>
      </w:r>
    </w:p>
    <w:p w14:paraId="734FE324" w14:textId="77777777" w:rsidR="00E16532" w:rsidRPr="00323EF9" w:rsidRDefault="00E16532" w:rsidP="00E16532">
      <w:pPr>
        <w:pStyle w:val="Heading4"/>
      </w:pPr>
      <w:r w:rsidRPr="00323EF9">
        <w:t>Your politics of mourning are exclusionary to non-able bodied people – they are trapped in between the harsh binary of grievable and non-grievable that Butler posits.</w:t>
      </w:r>
    </w:p>
    <w:p w14:paraId="5AC9C294" w14:textId="77777777" w:rsidR="00E16532" w:rsidRPr="00323EF9" w:rsidRDefault="00E16532" w:rsidP="00E16532">
      <w:pPr>
        <w:rPr>
          <w:rStyle w:val="StyleStyleBold12pt"/>
        </w:rPr>
      </w:pPr>
      <w:r w:rsidRPr="00323EF9">
        <w:rPr>
          <w:rStyle w:val="StyleStyleBold12pt"/>
        </w:rPr>
        <w:t>McGuire 10</w:t>
      </w:r>
    </w:p>
    <w:p w14:paraId="093A9431" w14:textId="77777777" w:rsidR="00E16532" w:rsidRPr="00323EF9" w:rsidRDefault="00E16532" w:rsidP="00E16532">
      <w:r w:rsidRPr="00323EF9">
        <w:t xml:space="preserve">(Anne McGuire, works in the Sociology and Equity Studies in Education department at U of Toronto, “Disability, Non-disability and the Politics of Mourning: Re-conceiving the 'we'” </w:t>
      </w:r>
      <w:r w:rsidRPr="00323EF9">
        <w:rPr>
          <w:i/>
        </w:rPr>
        <w:t>Disability Studies Quarterly</w:t>
      </w:r>
      <w:r w:rsidRPr="00323EF9">
        <w:t>, Vol 30, No 3/4 (2010) shr)</w:t>
      </w:r>
    </w:p>
    <w:p w14:paraId="2753C8E9" w14:textId="77777777" w:rsidR="00E16532" w:rsidRPr="00323EF9" w:rsidRDefault="00E16532" w:rsidP="00E16532">
      <w:pPr>
        <w:rPr>
          <w:sz w:val="16"/>
        </w:rPr>
      </w:pPr>
      <w:r w:rsidRPr="00323EF9">
        <w:rPr>
          <w:sz w:val="16"/>
        </w:rPr>
        <w:t xml:space="preserve">In many ways, Brown's articles depict his son as precisely the nonviable life to which Butler refers. Yet, unlike Butler's examples where one product of a radical dehumanization is an equally productive "silence of the newspapers" (Butler 2004, 36), Brown's mourning happens on the front page. Reading along with Butler, </w:t>
      </w:r>
      <w:r w:rsidRPr="00323EF9">
        <w:rPr>
          <w:rStyle w:val="StyleBoldUnderline"/>
        </w:rPr>
        <w:t>if</w:t>
      </w:r>
      <w:r w:rsidRPr="00323EF9">
        <w:rPr>
          <w:sz w:val="16"/>
        </w:rPr>
        <w:t xml:space="preserve"> Walker's </w:t>
      </w:r>
      <w:r w:rsidRPr="00323EF9">
        <w:rPr>
          <w:rStyle w:val="StyleBoldUnderline"/>
        </w:rPr>
        <w:t>life has been made non-viable, than it must also be ungrievable.</w:t>
      </w:r>
      <w:r w:rsidRPr="00323EF9">
        <w:rPr>
          <w:sz w:val="16"/>
        </w:rPr>
        <w:t xml:space="preserve"> Still, it is clear that something/someone is being mourned in the Globe and Mail. In and through his articles, Brown seems to be addressing Walker as he says "…my sweet, sweet lost and broken boy" (Brown 2007a, A1). Yet, </w:t>
      </w:r>
      <w:r w:rsidRPr="00323EF9">
        <w:rPr>
          <w:rStyle w:val="StyleBoldUnderline"/>
        </w:rPr>
        <w:t>given that Walker is not lost, he is neither dead nor absent, who is this</w:t>
      </w:r>
      <w:r w:rsidRPr="00323EF9">
        <w:rPr>
          <w:sz w:val="16"/>
        </w:rPr>
        <w:t xml:space="preserve"> boy Brown is addressing? </w:t>
      </w:r>
      <w:r w:rsidRPr="00323EF9">
        <w:rPr>
          <w:rStyle w:val="StyleBoldUnderline"/>
        </w:rPr>
        <w:t>What</w:t>
      </w:r>
      <w:r w:rsidRPr="00323EF9">
        <w:rPr>
          <w:sz w:val="16"/>
        </w:rPr>
        <w:t xml:space="preserve">, then </w:t>
      </w:r>
      <w:r w:rsidRPr="00323EF9">
        <w:rPr>
          <w:rStyle w:val="StyleBoldUnderline"/>
        </w:rPr>
        <w:t xml:space="preserve">is being mourned </w:t>
      </w:r>
      <w:r w:rsidRPr="00323EF9">
        <w:rPr>
          <w:sz w:val="16"/>
        </w:rPr>
        <w:t>in these articles?</w:t>
      </w:r>
      <w:r w:rsidRPr="00323EF9">
        <w:rPr>
          <w:sz w:val="12"/>
        </w:rPr>
        <w:t>¶</w:t>
      </w:r>
      <w:r w:rsidRPr="00323EF9">
        <w:rPr>
          <w:sz w:val="16"/>
        </w:rPr>
        <w:t xml:space="preserve"> Cognitive </w:t>
      </w:r>
      <w:r w:rsidRPr="00323EF9">
        <w:rPr>
          <w:rStyle w:val="StyleBoldUnderline"/>
        </w:rPr>
        <w:t xml:space="preserve">disability is characterized </w:t>
      </w:r>
      <w:r w:rsidRPr="00323EF9">
        <w:rPr>
          <w:sz w:val="16"/>
        </w:rPr>
        <w:t xml:space="preserve">in Brown's articles </w:t>
      </w:r>
      <w:r w:rsidRPr="00323EF9">
        <w:rPr>
          <w:rStyle w:val="StyleBoldUnderline"/>
        </w:rPr>
        <w:t>as "hopelessly broken</w:t>
      </w:r>
      <w:r w:rsidRPr="00323EF9">
        <w:rPr>
          <w:sz w:val="16"/>
        </w:rPr>
        <w:t xml:space="preserve">" (Brown 2007c, F7), </w:t>
      </w:r>
      <w:r w:rsidRPr="00323EF9">
        <w:rPr>
          <w:rStyle w:val="StyleBoldUnderline"/>
        </w:rPr>
        <w:t>but broken in relation to what? To narrate a body as 'broken' is to already understand that an originary body is lost</w:t>
      </w:r>
      <w:r w:rsidRPr="00323EF9">
        <w:rPr>
          <w:sz w:val="16"/>
        </w:rPr>
        <w:t xml:space="preserve">, either temporarily or permanently. Brown's </w:t>
      </w:r>
      <w:r w:rsidRPr="00323EF9">
        <w:rPr>
          <w:rStyle w:val="StyleBoldUnderline"/>
        </w:rPr>
        <w:t>narrative of his 'lost and broken boy', this boy who was born broken, calls up the image of the unbroken child; the expected child.</w:t>
      </w:r>
      <w:r w:rsidRPr="00323EF9">
        <w:rPr>
          <w:sz w:val="16"/>
        </w:rPr>
        <w:t xml:space="preserve"> The story of this 'expected child' begins before birth during that time of expectation, when parents are told that they are expecting and, who (consider the 'bestselling pregnancy book of all time,' What to Expect When You Are Expecting).</w:t>
      </w:r>
      <w:r w:rsidRPr="00323EF9">
        <w:rPr>
          <w:sz w:val="12"/>
        </w:rPr>
        <w:t>¶</w:t>
      </w:r>
      <w:r w:rsidRPr="00323EF9">
        <w:rPr>
          <w:sz w:val="16"/>
        </w:rPr>
        <w:t xml:space="preserve"> The newspaper birth announcement, like the obituary, announces something more than simply who happens to be born and to whom (Titchkosky, 2007). </w:t>
      </w:r>
      <w:r w:rsidRPr="00323EF9">
        <w:rPr>
          <w:rStyle w:val="StyleBoldUnderline"/>
        </w:rPr>
        <w:t>Weaving together cultural assumptions about the desirable body and the viable life, the birth announcement restricts who must be born</w:t>
      </w:r>
      <w:r w:rsidRPr="00323EF9">
        <w:rPr>
          <w:sz w:val="16"/>
        </w:rPr>
        <w:t xml:space="preserve">. Birth announcements serve as acts of welcoming. Most commonly, we read: "It's a girl!", "It's a boy!", "healthy!", "happy!" and so on. </w:t>
      </w:r>
      <w:r w:rsidRPr="00323EF9">
        <w:rPr>
          <w:rStyle w:val="StyleBoldUnderline"/>
        </w:rPr>
        <w:t xml:space="preserve">These announcements, however, remain silent with the arrival of the </w:t>
      </w:r>
      <w:r w:rsidRPr="00323EF9">
        <w:rPr>
          <w:sz w:val="16"/>
        </w:rPr>
        <w:t xml:space="preserve">intersex child, the cognitively </w:t>
      </w:r>
      <w:r w:rsidRPr="00323EF9">
        <w:rPr>
          <w:rStyle w:val="StyleBoldUnderline"/>
        </w:rPr>
        <w:t>disabled child — the child who is unimagined, unexpected and whose arrival, subsequently, goes unwelcomed</w:t>
      </w:r>
      <w:r w:rsidRPr="00323EF9">
        <w:rPr>
          <w:sz w:val="16"/>
        </w:rPr>
        <w:t xml:space="preserve">. In this way, the image of the expected child has come to be shaped and infused with dominant and even compulsory hopes and anticipations. </w:t>
      </w:r>
      <w:r w:rsidRPr="00323EF9">
        <w:rPr>
          <w:rStyle w:val="StyleBoldUnderline"/>
        </w:rPr>
        <w:t>The possibilities of who might be expected, and who might be welcomed as a viable life, are restricted</w:t>
      </w:r>
      <w:r w:rsidRPr="00323EF9">
        <w:rPr>
          <w:sz w:val="16"/>
        </w:rPr>
        <w:t>.</w:t>
      </w:r>
      <w:r w:rsidRPr="00323EF9">
        <w:rPr>
          <w:sz w:val="12"/>
        </w:rPr>
        <w:t>¶</w:t>
      </w:r>
      <w:r w:rsidRPr="00323EF9">
        <w:rPr>
          <w:sz w:val="16"/>
        </w:rPr>
        <w:t xml:space="preserve"> In the case of Brown, </w:t>
      </w:r>
      <w:r w:rsidRPr="00323EF9">
        <w:rPr>
          <w:rStyle w:val="StyleBoldUnderline"/>
        </w:rPr>
        <w:t>this expected child was never born at all.</w:t>
      </w:r>
      <w:r w:rsidRPr="00323EF9">
        <w:rPr>
          <w:sz w:val="16"/>
        </w:rPr>
        <w:t xml:space="preserve"> In an article in the Autism Network International newsletter, "Don't Mourn for Us," Jim Sinclair (1993) </w:t>
      </w:r>
      <w:r w:rsidRPr="00323EF9">
        <w:rPr>
          <w:rStyle w:val="StyleBoldUnderline"/>
        </w:rPr>
        <w:t>compares the loss of a parent's expectations with the birth of a stillborn child. The stillborn — not as an absent child but as a very present figure — seems to animate</w:t>
      </w:r>
      <w:r w:rsidRPr="00323EF9">
        <w:rPr>
          <w:sz w:val="16"/>
        </w:rPr>
        <w:t xml:space="preserve"> Brown's </w:t>
      </w:r>
      <w:r w:rsidRPr="00323EF9">
        <w:rPr>
          <w:rStyle w:val="StyleBoldUnderline"/>
        </w:rPr>
        <w:t xml:space="preserve">observations </w:t>
      </w:r>
      <w:r w:rsidRPr="00323EF9">
        <w:rPr>
          <w:sz w:val="16"/>
        </w:rPr>
        <w:t xml:space="preserve">and interpretations </w:t>
      </w:r>
      <w:r w:rsidRPr="00323EF9">
        <w:rPr>
          <w:rStyle w:val="StyleBoldUnderline"/>
        </w:rPr>
        <w:t>and haunts the life of disability throughout Brown's narrative.</w:t>
      </w:r>
      <w:r w:rsidRPr="00323EF9">
        <w:rPr>
          <w:rStyle w:val="StyleBoldUnderline"/>
          <w:sz w:val="12"/>
          <w:u w:val="none"/>
        </w:rPr>
        <w:t>¶</w:t>
      </w:r>
      <w:r w:rsidRPr="00323EF9">
        <w:rPr>
          <w:rStyle w:val="StyleBoldUnderline"/>
        </w:rPr>
        <w:t xml:space="preserve"> The child Brown mourns for is precisely the figure of the stillborn, the affirmation of the negated life of disability</w:t>
      </w:r>
      <w:r w:rsidRPr="00323EF9">
        <w:rPr>
          <w:sz w:val="16"/>
        </w:rPr>
        <w:t xml:space="preserve">. In this way, Brown's </w:t>
      </w:r>
      <w:r w:rsidRPr="00323EF9">
        <w:rPr>
          <w:rStyle w:val="StyleBoldUnderline"/>
        </w:rPr>
        <w:t>articles do not mourn disability, they mourn because of it</w:t>
      </w:r>
      <w:r w:rsidRPr="00323EF9">
        <w:rPr>
          <w:sz w:val="16"/>
        </w:rPr>
        <w:t xml:space="preserve">. Brown's articles describe "a boy of [his] dreams," an "ordinary" son; an expected son, who can "talk like a trial lawyer", "throw a ball," "be an ordinary kid who [gets] C's in school". This figure has a girlfriend, will get married, says: "Ma, I love you" and "Fuck you Dad!" (Brown 2007, F1-F8). </w:t>
      </w:r>
      <w:r w:rsidRPr="00323EF9">
        <w:rPr>
          <w:rStyle w:val="StyleBoldUnderline"/>
        </w:rPr>
        <w:t>The figure of the stillborn is replete with possibility, and is thus mournable, because he fits the contours of the imagined shape of the compulsory human subject — he performs his whiteness, maleness, middle classness, heterosexuality and his non-disability</w:t>
      </w:r>
      <w:r w:rsidRPr="00323EF9">
        <w:rPr>
          <w:sz w:val="16"/>
        </w:rPr>
        <w:t>.</w:t>
      </w:r>
      <w:r w:rsidRPr="00323EF9">
        <w:rPr>
          <w:sz w:val="12"/>
        </w:rPr>
        <w:t>¶</w:t>
      </w:r>
      <w:r w:rsidRPr="00323EF9">
        <w:rPr>
          <w:sz w:val="16"/>
        </w:rPr>
        <w:t xml:space="preserve"> Yet, vis-à-vis the life of disability, the stillborn — </w:t>
      </w:r>
      <w:r w:rsidRPr="00323EF9">
        <w:rPr>
          <w:rStyle w:val="StyleBoldUnderline"/>
        </w:rPr>
        <w:t>this valued and viable figure of non-disability — is necessarily rendered still…but not entirely absent. In relation to the birth of disability, the figure of non-disability may be born still. However, this figure is born, still</w:t>
      </w:r>
      <w:r w:rsidRPr="00323EF9">
        <w:rPr>
          <w:sz w:val="16"/>
        </w:rPr>
        <w:t xml:space="preserve">. The figure of the stillborn (who is always and already linked with death and loss) is made to be so proximal as to be (almost) grafted onto the life of disability. </w:t>
      </w:r>
      <w:r w:rsidRPr="00323EF9">
        <w:rPr>
          <w:rStyle w:val="StyleBoldUnderline"/>
        </w:rPr>
        <w:t>The conflation of Brown's</w:t>
      </w:r>
      <w:r w:rsidRPr="00323EF9">
        <w:rPr>
          <w:sz w:val="16"/>
        </w:rPr>
        <w:t xml:space="preserve"> loss (i.e. his </w:t>
      </w:r>
      <w:r w:rsidRPr="00323EF9">
        <w:rPr>
          <w:rStyle w:val="StyleBoldUnderline"/>
        </w:rPr>
        <w:t>expectations</w:t>
      </w:r>
      <w:r w:rsidRPr="00323EF9">
        <w:rPr>
          <w:sz w:val="16"/>
        </w:rPr>
        <w:t xml:space="preserve">) </w:t>
      </w:r>
      <w:r w:rsidRPr="00323EF9">
        <w:rPr>
          <w:rStyle w:val="StyleBoldUnderline"/>
        </w:rPr>
        <w:t>and his son's life enacts the life of disability as 'not quite a life'</w:t>
      </w:r>
      <w:r w:rsidRPr="00323EF9">
        <w:rPr>
          <w:sz w:val="16"/>
        </w:rPr>
        <w:t xml:space="preserve"> (Butler 2004, 34) or even, to borrow from Michalko, as "already dead" (Michalko 2002, 110).</w:t>
      </w:r>
    </w:p>
    <w:p w14:paraId="544F5375" w14:textId="77777777" w:rsidR="00E16532" w:rsidRPr="00323EF9" w:rsidRDefault="00E16532" w:rsidP="00E16532">
      <w:pPr>
        <w:pStyle w:val="Heading3"/>
      </w:pPr>
      <w:r w:rsidRPr="00323EF9">
        <w:lastRenderedPageBreak/>
        <w:t>-- cap link</w:t>
      </w:r>
    </w:p>
    <w:p w14:paraId="02418DEB" w14:textId="77777777" w:rsidR="00E16532" w:rsidRPr="00323EF9" w:rsidRDefault="00E16532" w:rsidP="00E16532">
      <w:pPr>
        <w:pStyle w:val="Heading4"/>
      </w:pPr>
      <w:r w:rsidRPr="00323EF9">
        <w:t>The silencing of emotional discourse and grief that  the 1AC criticizes was born out of an alternate form of capitalism known as “emotional capitalism” -- they will miss the boat when it comes to the root cause debate.</w:t>
      </w:r>
    </w:p>
    <w:p w14:paraId="27EE1EC1" w14:textId="77777777" w:rsidR="00E16532" w:rsidRPr="00323EF9" w:rsidRDefault="00E16532" w:rsidP="00E16532">
      <w:pPr>
        <w:rPr>
          <w:rStyle w:val="StyleStyleBold12pt"/>
        </w:rPr>
      </w:pPr>
      <w:r w:rsidRPr="00323EF9">
        <w:rPr>
          <w:rStyle w:val="StyleStyleBold12pt"/>
        </w:rPr>
        <w:t>Illouz 13</w:t>
      </w:r>
    </w:p>
    <w:p w14:paraId="751E964C" w14:textId="77777777" w:rsidR="00E16532" w:rsidRPr="00323EF9" w:rsidRDefault="00E16532" w:rsidP="00E16532">
      <w:r w:rsidRPr="00323EF9">
        <w:t>(Eva Illouz, Professor of Sociology, The University of Jerusalem, 2013, Cold Intimacies: The Making of Emotional Capitalism shr)</w:t>
      </w:r>
    </w:p>
    <w:p w14:paraId="3178DDB1" w14:textId="77777777" w:rsidR="00E16532" w:rsidRPr="00323EF9" w:rsidRDefault="00E16532" w:rsidP="00E16532">
      <w:pPr>
        <w:rPr>
          <w:sz w:val="16"/>
        </w:rPr>
      </w:pPr>
      <w:r w:rsidRPr="00323EF9">
        <w:rPr>
          <w:sz w:val="16"/>
        </w:rPr>
        <w:t xml:space="preserve">My claim is that </w:t>
      </w:r>
      <w:r w:rsidRPr="00323EF9">
        <w:rPr>
          <w:rStyle w:val="StyleBoldUnderline"/>
        </w:rPr>
        <w:t>the making of capitalism went hand in hand with the making of an intensely specialized emotional culture</w:t>
      </w:r>
      <w:r w:rsidRPr="00323EF9">
        <w:rPr>
          <w:sz w:val="16"/>
        </w:rPr>
        <w:t xml:space="preserve"> and that </w:t>
      </w:r>
      <w:r w:rsidRPr="00323EF9">
        <w:rPr>
          <w:rStyle w:val="StyleBoldUnderline"/>
        </w:rPr>
        <w:t xml:space="preserve">when we focus on this dimension of capitalism — on its emotions </w:t>
      </w:r>
      <w:r w:rsidRPr="00323EF9">
        <w:rPr>
          <w:sz w:val="16"/>
        </w:rPr>
        <w:t xml:space="preserve">so to speak — </w:t>
      </w:r>
      <w:r w:rsidRPr="00323EF9">
        <w:rPr>
          <w:rStyle w:val="StyleBoldUnderline"/>
        </w:rPr>
        <w:t xml:space="preserve">we may be in a position to uncover another order </w:t>
      </w:r>
      <w:r w:rsidRPr="00323EF9">
        <w:rPr>
          <w:sz w:val="16"/>
        </w:rPr>
        <w:t xml:space="preserve">in the social organization of capitalism. In this first lecture, I show that </w:t>
      </w:r>
      <w:r w:rsidRPr="00323EF9">
        <w:rPr>
          <w:rStyle w:val="StyleBoldUnderline"/>
        </w:rPr>
        <w:t>when we view emotions as principal characters in the story of capitalism and modernity, the conventional division between</w:t>
      </w:r>
      <w:r w:rsidRPr="00323EF9">
        <w:rPr>
          <w:sz w:val="16"/>
        </w:rPr>
        <w:t xml:space="preserve"> an a-emotional public sphere and </w:t>
      </w:r>
      <w:r w:rsidRPr="00323EF9">
        <w:rPr>
          <w:rStyle w:val="StyleBoldUnderline"/>
        </w:rPr>
        <w:t>the private sphere saturated with emotions begins to dissolve</w:t>
      </w:r>
      <w:r w:rsidRPr="00323EF9">
        <w:rPr>
          <w:sz w:val="16"/>
        </w:rPr>
        <w:t xml:space="preserve">, as it becomes apparent that throughout the twentieth century middle-class men and women were made to focus intensely on their emotional life, both in the workplace and In the family, by using similar techniques to foreground the self and its relation to others. Such new culture of </w:t>
      </w:r>
      <w:r w:rsidRPr="00323EF9">
        <w:rPr>
          <w:rStyle w:val="StyleBoldUnderline"/>
        </w:rPr>
        <w:t>emotionality does not mean</w:t>
      </w:r>
      <w:r w:rsidRPr="00323EF9">
        <w:rPr>
          <w:sz w:val="16"/>
        </w:rPr>
        <w:t xml:space="preserve">, as Tocquevillean critics fear, </w:t>
      </w:r>
      <w:r w:rsidRPr="00323EF9">
        <w:rPr>
          <w:rStyle w:val="StyleBoldUnderline"/>
        </w:rPr>
        <w:t>that we have withdrawn inside the shell of private life, quite the contrary, never has the private self been so publicly performed and harnessed to the discourses and values of the economic and political spheres</w:t>
      </w:r>
      <w:r w:rsidRPr="00323EF9">
        <w:rPr>
          <w:sz w:val="16"/>
        </w:rPr>
        <w:t xml:space="preserve">. The second lecture explores more fully the ways in which modem </w:t>
      </w:r>
      <w:r w:rsidRPr="00323EF9">
        <w:rPr>
          <w:rStyle w:val="StyleBoldUnderline"/>
        </w:rPr>
        <w:t xml:space="preserve">identity has indeed become increasingly publicly performed </w:t>
      </w:r>
      <w:r w:rsidRPr="00323EF9">
        <w:rPr>
          <w:sz w:val="16"/>
        </w:rPr>
        <w:t xml:space="preserve">in a variety of social sites </w:t>
      </w:r>
      <w:r w:rsidRPr="00323EF9">
        <w:rPr>
          <w:rStyle w:val="StyleBoldUnderline"/>
        </w:rPr>
        <w:t xml:space="preserve">through a narrative </w:t>
      </w:r>
      <w:r w:rsidRPr="00323EF9">
        <w:rPr>
          <w:sz w:val="16"/>
        </w:rPr>
        <w:t xml:space="preserve">which combines the aspiration to self-realization with the claim to emotional suffering. The </w:t>
      </w:r>
      <w:r w:rsidRPr="00323EF9">
        <w:rPr>
          <w:rStyle w:val="StyleBoldUnderline"/>
        </w:rPr>
        <w:t xml:space="preserve">prevalence and persistence of this narrative, which we may call as shorthand a narrative of recognition, is related to the material </w:t>
      </w:r>
      <w:r w:rsidRPr="00323EF9">
        <w:rPr>
          <w:sz w:val="16"/>
        </w:rPr>
        <w:t xml:space="preserve">and ideal interests of a variety of social groups </w:t>
      </w:r>
      <w:r w:rsidRPr="00323EF9">
        <w:rPr>
          <w:rStyle w:val="StyleBoldUnderline"/>
        </w:rPr>
        <w:t>operating within the market in civil society</w:t>
      </w:r>
      <w:r w:rsidRPr="00323EF9">
        <w:rPr>
          <w:sz w:val="16"/>
        </w:rPr>
        <w:t xml:space="preserve">, and within the institutional boundaries of the state. In the third lecture, I show how the process of making the self into an emotional and public matter finds its most potent expression in the technology of the Internet, a technology which presupposes and enacts a public emotional self and in fact even makes the public emotional self precede private interactions and constitute them. Although each lecture can be read separately, there is an organic link between them and a cumulative progression toward the main goal of these three lectures, namely to </w:t>
      </w:r>
      <w:r w:rsidRPr="00323EF9">
        <w:rPr>
          <w:rStyle w:val="StyleBoldUnderline"/>
        </w:rPr>
        <w:t>draw the contours of what I call emotional capitalism. Emotional capitalism is a culture in which emotional and economic discourses and practices mutually shape each other</w:t>
      </w:r>
      <w:r w:rsidRPr="00323EF9">
        <w:rPr>
          <w:sz w:val="16"/>
        </w:rPr>
        <w:t xml:space="preserve">, thus producing what I view as a broad, sweeping movement in which affect W made an essential aspect of economic behavior and in which </w:t>
      </w:r>
      <w:r w:rsidRPr="00323EF9">
        <w:rPr>
          <w:rStyle w:val="StyleBoldUnderline"/>
        </w:rPr>
        <w:t xml:space="preserve">emotional life </w:t>
      </w:r>
      <w:r w:rsidRPr="00323EF9">
        <w:rPr>
          <w:sz w:val="16"/>
        </w:rPr>
        <w:t xml:space="preserve">- especially that of the middle classes </w:t>
      </w:r>
      <w:r w:rsidRPr="00323EF9">
        <w:rPr>
          <w:rStyle w:val="StyleBoldUnderline"/>
        </w:rPr>
        <w:t>- follows the logic of economic relations and exchange</w:t>
      </w:r>
      <w:r w:rsidRPr="00323EF9">
        <w:rPr>
          <w:sz w:val="16"/>
        </w:rPr>
        <w:t>. Inevitably, the themes of 'rationalization' and "</w:t>
      </w:r>
      <w:r w:rsidRPr="00323EF9">
        <w:rPr>
          <w:rStyle w:val="StyleBoldUnderline"/>
        </w:rPr>
        <w:t xml:space="preserve">commodification. (of emotions) are current topics </w:t>
      </w:r>
      <w:r w:rsidRPr="00323EF9">
        <w:rPr>
          <w:sz w:val="16"/>
        </w:rPr>
        <w:t xml:space="preserve">running throughout all three lectures. Yet, my analysis is neither Marxian nor Weberian in that I do not presuppose that economy and emotions can be (or ought to be) separate from each other). In fact. as I show, </w:t>
      </w:r>
      <w:r w:rsidRPr="00323EF9">
        <w:rPr>
          <w:rStyle w:val="StyleBoldUnderline"/>
        </w:rPr>
        <w:t>market-based cultural repertoires shape and inform interpersonal and emotional relationships</w:t>
      </w:r>
      <w:r w:rsidRPr="00323EF9">
        <w:rPr>
          <w:sz w:val="16"/>
        </w:rPr>
        <w:t>, while interpersonal relationships are at the epicenter of economic relationships. More exactly</w:t>
      </w:r>
      <w:r w:rsidRPr="00323EF9">
        <w:rPr>
          <w:rStyle w:val="StyleBoldUnderline"/>
        </w:rPr>
        <w:t xml:space="preserve">, market repertoires </w:t>
      </w:r>
      <w:r w:rsidRPr="00323EF9">
        <w:rPr>
          <w:sz w:val="16"/>
        </w:rPr>
        <w:t xml:space="preserve">become intertwined with the language of psychology and, combined together </w:t>
      </w:r>
      <w:r w:rsidRPr="00323EF9">
        <w:rPr>
          <w:rStyle w:val="StyleBoldUnderline"/>
        </w:rPr>
        <w:t>offer new techniques and meanings to forge new forms of sociability</w:t>
      </w:r>
      <w:r w:rsidRPr="00323EF9">
        <w:rPr>
          <w:sz w:val="16"/>
        </w:rPr>
        <w:t xml:space="preserve">. In the following section. I will examine how this new mode of sociability emerged and what are Its core emotional (imaginary) signification. </w:t>
      </w:r>
    </w:p>
    <w:p w14:paraId="04DDA15A" w14:textId="77777777" w:rsidR="00E16532" w:rsidRPr="00323EF9" w:rsidRDefault="00E16532" w:rsidP="00E16532"/>
    <w:p w14:paraId="4583A933" w14:textId="77777777" w:rsidR="00E16532" w:rsidRPr="00323EF9" w:rsidRDefault="00E16532" w:rsidP="00E16532">
      <w:pPr>
        <w:pStyle w:val="Heading3"/>
      </w:pPr>
      <w:r w:rsidRPr="00323EF9">
        <w:lastRenderedPageBreak/>
        <w:t>-- fem links</w:t>
      </w:r>
    </w:p>
    <w:p w14:paraId="66FEE982" w14:textId="77777777" w:rsidR="00E16532" w:rsidRPr="00323EF9" w:rsidRDefault="00E16532" w:rsidP="00E16532">
      <w:pPr>
        <w:pStyle w:val="Heading4"/>
      </w:pPr>
      <w:r w:rsidRPr="00323EF9">
        <w:t>Your aff ignores the perception of a feminist perspective on militarism and mourning -- feminist coalitions are always silenced by mourning but are the only way to create real change -- means we solve the aff better</w:t>
      </w:r>
    </w:p>
    <w:p w14:paraId="5C511437" w14:textId="77777777" w:rsidR="00E16532" w:rsidRPr="00323EF9" w:rsidRDefault="00E16532" w:rsidP="00E16532">
      <w:pPr>
        <w:contextualSpacing/>
        <w:rPr>
          <w:sz w:val="20"/>
        </w:rPr>
      </w:pPr>
      <w:r w:rsidRPr="00323EF9">
        <w:rPr>
          <w:rStyle w:val="StyleStyleBold12pt"/>
          <w:sz w:val="24"/>
        </w:rPr>
        <w:t>Butler 04</w:t>
      </w:r>
      <w:r w:rsidRPr="00323EF9">
        <w:rPr>
          <w:b/>
          <w:bCs/>
          <w:sz w:val="20"/>
          <w:u w:val="single"/>
        </w:rPr>
        <w:t xml:space="preserve"> </w:t>
      </w:r>
      <w:r w:rsidRPr="00323EF9">
        <w:rPr>
          <w:sz w:val="20"/>
        </w:rPr>
        <w:t>(Judith, Prof of Gender Studies, “Precarious Life: The Power of Mourning and Violence”, pg 45-47, shr)</w:t>
      </w:r>
    </w:p>
    <w:p w14:paraId="2D8162B7" w14:textId="77777777" w:rsidR="00E16532" w:rsidRPr="00323EF9" w:rsidRDefault="00E16532" w:rsidP="00E16532">
      <w:pPr>
        <w:rPr>
          <w:sz w:val="16"/>
        </w:rPr>
      </w:pPr>
      <w:r w:rsidRPr="00323EF9">
        <w:rPr>
          <w:rStyle w:val="StyleBoldUnderline"/>
        </w:rPr>
        <w:t>A feminist opposition to militarism emerges from many sources</w:t>
      </w:r>
      <w:r w:rsidRPr="00323EF9">
        <w:rPr>
          <w:sz w:val="16"/>
        </w:rPr>
        <w:t>, many cultural venues, in any number of idioms;</w:t>
      </w:r>
      <w:r w:rsidRPr="00323EF9">
        <w:rPr>
          <w:rStyle w:val="StyleBoldUnderline"/>
        </w:rPr>
        <w:t xml:space="preserve"> it</w:t>
      </w:r>
      <w:r w:rsidRPr="00323EF9">
        <w:rPr>
          <w:sz w:val="16"/>
        </w:rPr>
        <w:t xml:space="preserve"> does not have to-- and, finally, </w:t>
      </w:r>
      <w:r w:rsidRPr="00323EF9">
        <w:rPr>
          <w:rStyle w:val="StyleBoldUnderline"/>
        </w:rPr>
        <w:t>cannot</w:t>
      </w:r>
      <w:r w:rsidRPr="00323EF9">
        <w:rPr>
          <w:sz w:val="16"/>
        </w:rPr>
        <w:t>—</w:t>
      </w:r>
      <w:r w:rsidRPr="00323EF9">
        <w:rPr>
          <w:rStyle w:val="StyleBoldUnderline"/>
        </w:rPr>
        <w:t>speak in a single political idiom</w:t>
      </w:r>
      <w:r w:rsidRPr="00323EF9">
        <w:rPr>
          <w:sz w:val="16"/>
        </w:rPr>
        <w:t xml:space="preserve">, and no grand settling of epistemological accounts has to be required. This seems to be the theoretical commitment, for instance, of the organization Women in Black." A desideratum comes from Chandra Mohanty's important essay "Under Western Eyes," in which she maintains that </w:t>
      </w:r>
      <w:r w:rsidRPr="00323EF9">
        <w:rPr>
          <w:rStyle w:val="StyleBoldUnderline"/>
        </w:rPr>
        <w:t xml:space="preserve">notions of progress within feminism cannot be equated with assimilation to so-called Western notions of agency </w:t>
      </w:r>
      <w:r w:rsidRPr="00323EF9">
        <w:rPr>
          <w:sz w:val="16"/>
        </w:rPr>
        <w:t xml:space="preserve">and political mobilization.. There she argues that the comparative framework in which First World feminism develop their critique of the conditions of oppression for Third World women on the bags of universal claims not only misreads the agency of Third World feminists, but also falsely produces a homogeneous conception of who they are and what they want. In her view, that framework also reproduces the First World as the site of authentic feminist agency and does so by producing a monolithic Third World against which to understand itself. Finally, she argues that </w:t>
      </w:r>
      <w:r w:rsidRPr="00323EF9">
        <w:rPr>
          <w:rStyle w:val="StyleBoldUnderline"/>
        </w:rPr>
        <w:t>the imposition of versions of agency onto Third World contexts, and focusing on the ostensible lack of agency signified by the veil or the burka</w:t>
      </w:r>
      <w:r w:rsidRPr="00323EF9">
        <w:rPr>
          <w:sz w:val="16"/>
        </w:rPr>
        <w:t xml:space="preserve">, not only </w:t>
      </w:r>
      <w:r w:rsidRPr="00323EF9">
        <w:rPr>
          <w:rStyle w:val="StyleBoldUnderline"/>
        </w:rPr>
        <w:t>misunderstands the various cultural meanings that the burka might carry for women who wear it</w:t>
      </w:r>
      <w:r w:rsidRPr="00323EF9">
        <w:rPr>
          <w:sz w:val="16"/>
        </w:rPr>
        <w:t xml:space="preserve">, but also </w:t>
      </w:r>
      <w:r w:rsidRPr="00323EF9">
        <w:rPr>
          <w:rStyle w:val="StyleBoldUnderline"/>
        </w:rPr>
        <w:t>denies the very idioms of agency that are relevant for such women</w:t>
      </w:r>
      <w:r w:rsidRPr="00323EF9">
        <w:rPr>
          <w:sz w:val="16"/>
        </w:rPr>
        <w:t xml:space="preserve">.. Mohanty's critique is thorough and right—and it was written more than a decade ago. It seems to me now that </w:t>
      </w:r>
      <w:r w:rsidRPr="00323EF9">
        <w:rPr>
          <w:rStyle w:val="StyleBoldUnderline"/>
        </w:rPr>
        <w:t xml:space="preserve">the possibility of international coalition has robe rethought on the basis of this critique and others. Such a coalition would </w:t>
      </w:r>
      <w:r w:rsidRPr="00323EF9">
        <w:rPr>
          <w:sz w:val="16"/>
        </w:rPr>
        <w:t xml:space="preserve">have to </w:t>
      </w:r>
      <w:r w:rsidRPr="00323EF9">
        <w:rPr>
          <w:rStyle w:val="StyleBoldUnderline"/>
        </w:rPr>
        <w:t>be modeled on new modes of cultural translation</w:t>
      </w:r>
      <w:r w:rsidRPr="00323EF9">
        <w:rPr>
          <w:sz w:val="16"/>
        </w:rPr>
        <w:t xml:space="preserve"> and would be different from appreciating this or that position or using for recognition in ways that assume that we are all fixed and frozen in our various locations and "subject-positions." </w:t>
      </w:r>
      <w:r w:rsidRPr="00323EF9">
        <w:rPr>
          <w:rStyle w:val="StyleBoldUnderline"/>
        </w:rPr>
        <w:t>We could have several engaged intellectual debates going on at the same time and find ourselves joined in the fight against violence</w:t>
      </w:r>
      <w:r w:rsidRPr="00323EF9">
        <w:rPr>
          <w:sz w:val="16"/>
        </w:rPr>
        <w:t xml:space="preserve">, without having to agree on many epistemological issues. </w:t>
      </w:r>
      <w:r w:rsidRPr="00323EF9">
        <w:rPr>
          <w:rStyle w:val="StyleBoldUnderline"/>
        </w:rPr>
        <w:t>We could disagree on the status and character of modernity and yet find ourselves joined in asserting and defending the rights of indigenous women to health care, reproductive technology, decent wages, physical protection, cultural rights, freedom of assembly</w:t>
      </w:r>
      <w:r w:rsidRPr="00323EF9">
        <w:rPr>
          <w:sz w:val="16"/>
        </w:rPr>
        <w:t xml:space="preserve">. If you now me on such a protest line, would you wonder how a postmodernist was able to muster the necessary "agency" to get there today? I doubt it. You would assume that I had walked or taken the subway! By the same token, various routes lead us into politics, various stories bring us onto the street, various kinds of mooning and belief. </w:t>
      </w:r>
      <w:r w:rsidRPr="00323EF9">
        <w:rPr>
          <w:rStyle w:val="StyleBoldUnderline"/>
        </w:rPr>
        <w:t>We do nor need to ground ourselves in a single model of communication, a single model of reason, a single notion of rho subject before we are able to act</w:t>
      </w:r>
      <w:r w:rsidRPr="00323EF9">
        <w:rPr>
          <w:sz w:val="16"/>
        </w:rPr>
        <w:t xml:space="preserve">. </w:t>
      </w:r>
      <w:r w:rsidRPr="00323EF9">
        <w:rPr>
          <w:rStyle w:val="StyleBoldUnderline"/>
        </w:rPr>
        <w:t>Indeed, an international coalition of feminist activists and thinkers--a coalition that affirms the thinking of activists and the activism of thinkers and refuses to put them into distinctive categories that deny the actual complexity of the lives in question—will</w:t>
      </w:r>
      <w:r w:rsidRPr="00323EF9">
        <w:rPr>
          <w:sz w:val="16"/>
        </w:rPr>
        <w:t xml:space="preserve"> have to </w:t>
      </w:r>
      <w:r w:rsidRPr="00323EF9">
        <w:rPr>
          <w:rStyle w:val="StyleBoldUnderline"/>
        </w:rPr>
        <w:t xml:space="preserve">accept the </w:t>
      </w:r>
      <w:r w:rsidRPr="00323EF9">
        <w:rPr>
          <w:sz w:val="16"/>
        </w:rPr>
        <w:t xml:space="preserve">array of sometimes </w:t>
      </w:r>
      <w:r w:rsidRPr="00323EF9">
        <w:rPr>
          <w:rStyle w:val="StyleBoldUnderline"/>
        </w:rPr>
        <w:t xml:space="preserve">incommensurable </w:t>
      </w:r>
      <w:r w:rsidRPr="00323EF9">
        <w:rPr>
          <w:sz w:val="16"/>
        </w:rPr>
        <w:t xml:space="preserve">epistemological and political beliefs and modes and </w:t>
      </w:r>
      <w:r w:rsidRPr="00323EF9">
        <w:rPr>
          <w:rStyle w:val="StyleBoldUnderline"/>
        </w:rPr>
        <w:t>means of agency that bring us into activism.</w:t>
      </w:r>
      <w:r w:rsidRPr="00323EF9">
        <w:rPr>
          <w:sz w:val="16"/>
        </w:rPr>
        <w:t xml:space="preserve"> There will be differences among women, for instance, on what the role of reason is in contemporary politics. Spivak insists that it  not mows that politicizes the tribal women of India suffering exploitation by capitalist firms, but a set of values and a sense of the sacred that come through religion!' And Adrian Cavarero claims that </w:t>
      </w:r>
      <w:r w:rsidRPr="00323EF9">
        <w:rPr>
          <w:rStyle w:val="StyleBoldUnderline"/>
        </w:rPr>
        <w:t>it is not because we are reasoning beings that we are connected to one another, but, rather, because we are exposed to one another,</w:t>
      </w:r>
      <w:r w:rsidRPr="00323EF9">
        <w:rPr>
          <w:sz w:val="16"/>
        </w:rPr>
        <w:t xml:space="preserve"> requiring a recognition that does not substitute the recognises for the recognized 16 Do we want to say that </w:t>
      </w:r>
      <w:r w:rsidRPr="00323EF9">
        <w:rPr>
          <w:rStyle w:val="StyleBoldUnderline"/>
        </w:rPr>
        <w:t>it is our status as 'subjects" that binds us all together even though, for many of us, the °subject" is multiple or fractured</w:t>
      </w:r>
      <w:r w:rsidRPr="00323EF9">
        <w:rPr>
          <w:sz w:val="16"/>
        </w:rPr>
        <w:t xml:space="preserve">? And does the insistence on the subject as a precondition of political agency not erase the more fundamental modes of dependency that do bind us and out of which emerge our thinking and affiliation, the bode of our vulnerability, affiliation, and collective resistance? </w:t>
      </w:r>
      <w:r w:rsidRPr="00323EF9">
        <w:rPr>
          <w:rStyle w:val="StyleBoldUnderline"/>
        </w:rPr>
        <w:t>What allows us to encounter one another? What are the conditions of possibility for en international feminist coalition?</w:t>
      </w:r>
      <w:r w:rsidRPr="00323EF9">
        <w:rPr>
          <w:sz w:val="16"/>
        </w:rPr>
        <w:t xml:space="preserve"> My sense is that to answer these questions, we cannot look to the nature of "man," or the a priori conditions of language, or the timeless conditions of communication. </w:t>
      </w:r>
      <w:r w:rsidRPr="00323EF9">
        <w:rPr>
          <w:rStyle w:val="StyleBoldUnderline"/>
        </w:rPr>
        <w:t xml:space="preserve">We have to consider the demands of cultural translation that we assume to be part of an ethical responsibility </w:t>
      </w:r>
      <w:r w:rsidRPr="00323EF9">
        <w:rPr>
          <w:sz w:val="16"/>
        </w:rPr>
        <w:t xml:space="preserve">(over and above the explicit prohibitions against thinking the Other under the sign of the "human") as we try Co think the global dilemmas that women face. It is not possible Co impose a language of politics developed within First World contexts on women who </w:t>
      </w:r>
      <w:r w:rsidRPr="00323EF9">
        <w:rPr>
          <w:sz w:val="16"/>
        </w:rPr>
        <w:lastRenderedPageBreak/>
        <w:t xml:space="preserve">are facing the threat of imperialist economic exploitation and cultural obliteration. On the other hand, we would be wrong to think that the First World is here and the Third world is there, that a second world is somewhere elm, that a subaltern subtends these divisions. These </w:t>
      </w:r>
      <w:r w:rsidRPr="00323EF9">
        <w:rPr>
          <w:rStyle w:val="StyleBoldUnderline"/>
        </w:rPr>
        <w:t>topographies have shifted, and what was once thought of as a border</w:t>
      </w:r>
      <w:r w:rsidRPr="00323EF9">
        <w:rPr>
          <w:sz w:val="16"/>
        </w:rPr>
        <w:t xml:space="preserve">, that which delimits and bounds, </w:t>
      </w:r>
      <w:r w:rsidRPr="00323EF9">
        <w:rPr>
          <w:rStyle w:val="StyleBoldUnderline"/>
        </w:rPr>
        <w:t xml:space="preserve">is a highly populated site, </w:t>
      </w:r>
      <w:r w:rsidRPr="00323EF9">
        <w:rPr>
          <w:sz w:val="16"/>
        </w:rPr>
        <w:t xml:space="preserve">if not the very definition of the nation, </w:t>
      </w:r>
      <w:r w:rsidRPr="00323EF9">
        <w:rPr>
          <w:rStyle w:val="StyleBoldUnderline"/>
        </w:rPr>
        <w:t>confounding identity</w:t>
      </w:r>
      <w:r w:rsidRPr="00323EF9">
        <w:rPr>
          <w:sz w:val="16"/>
        </w:rPr>
        <w:t xml:space="preserve"> in what may well become a very auspicious direction. </w:t>
      </w:r>
    </w:p>
    <w:p w14:paraId="57B4CD10" w14:textId="77777777" w:rsidR="00E16532" w:rsidRPr="00323EF9" w:rsidRDefault="00E16532" w:rsidP="00E16532">
      <w:pPr>
        <w:pStyle w:val="Heading4"/>
      </w:pPr>
      <w:r w:rsidRPr="00323EF9">
        <w:t xml:space="preserve">The process of Western mourning is violently homogenizing to genders -- while masculine bodies can mourn publically, feminine bodies are expected to grieve silently and in private. </w:t>
      </w:r>
    </w:p>
    <w:p w14:paraId="4E2BBCB2" w14:textId="77777777" w:rsidR="00E16532" w:rsidRPr="00323EF9" w:rsidRDefault="00E16532" w:rsidP="00E16532">
      <w:pPr>
        <w:rPr>
          <w:rStyle w:val="StyleStyleBold12pt"/>
        </w:rPr>
      </w:pPr>
      <w:r w:rsidRPr="00323EF9">
        <w:rPr>
          <w:rStyle w:val="StyleStyleBold12pt"/>
        </w:rPr>
        <w:t>Athanasiou 5</w:t>
      </w:r>
    </w:p>
    <w:p w14:paraId="7EF2E95A" w14:textId="77777777" w:rsidR="00E16532" w:rsidRPr="00323EF9" w:rsidRDefault="00E16532" w:rsidP="00E16532">
      <w:r w:rsidRPr="00323EF9">
        <w:t xml:space="preserve">(Athena Athanasiou, 2005, “Reflections on the Politics of Mourning: Feminist Ethics and Politics in the Age of Empire” </w:t>
      </w:r>
      <w:r w:rsidRPr="00323EF9">
        <w:rPr>
          <w:i/>
        </w:rPr>
        <w:t>Historein</w:t>
      </w:r>
      <w:r w:rsidRPr="00323EF9">
        <w:t>, volume 5 shr)</w:t>
      </w:r>
    </w:p>
    <w:p w14:paraId="47EF2917" w14:textId="77777777" w:rsidR="00E16532" w:rsidRPr="00323EF9" w:rsidRDefault="00E16532" w:rsidP="00E16532">
      <w:pPr>
        <w:rPr>
          <w:rStyle w:val="StyleStyleBold12pt"/>
          <w:b w:val="0"/>
          <w:sz w:val="16"/>
        </w:rPr>
      </w:pPr>
      <w:r w:rsidRPr="00323EF9">
        <w:rPr>
          <w:rStyle w:val="StyleBoldUnderline"/>
        </w:rPr>
        <w:t>In</w:t>
      </w:r>
      <w:r w:rsidRPr="00323EF9">
        <w:rPr>
          <w:sz w:val="16"/>
        </w:rPr>
        <w:t xml:space="preserve"> many parts of </w:t>
      </w:r>
      <w:r w:rsidRPr="00323EF9">
        <w:rPr>
          <w:rStyle w:val="StyleBoldUnderline"/>
        </w:rPr>
        <w:t>the world</w:t>
      </w:r>
      <w:r w:rsidRPr="00323EF9">
        <w:rPr>
          <w:sz w:val="16"/>
        </w:rPr>
        <w:t xml:space="preserve">, notably in the Mediterranean and the Balkans, </w:t>
      </w:r>
      <w:r w:rsidRPr="00323EF9">
        <w:rPr>
          <w:rStyle w:val="StyleBoldUnderline"/>
        </w:rPr>
        <w:t>black</w:t>
      </w:r>
      <w:r w:rsidRPr="00323EF9">
        <w:rPr>
          <w:sz w:val="16"/>
        </w:rPr>
        <w:t xml:space="preserve"> clothing – as a mourning attire – </w:t>
      </w:r>
      <w:r w:rsidRPr="00323EF9">
        <w:rPr>
          <w:rStyle w:val="StyleBoldUnderline"/>
        </w:rPr>
        <w:t>signals women’s particular relation to bereavement and death and their right, but also civic duty, to mourn</w:t>
      </w:r>
      <w:r w:rsidRPr="00323EF9">
        <w:rPr>
          <w:sz w:val="16"/>
        </w:rPr>
        <w:t xml:space="preserve">.3 As </w:t>
      </w:r>
      <w:r w:rsidRPr="00323EF9">
        <w:rPr>
          <w:rStyle w:val="StyleBoldUnderline"/>
        </w:rPr>
        <w:t>the cultural idiom of mourning is</w:t>
      </w:r>
      <w:r w:rsidRPr="00323EF9">
        <w:rPr>
          <w:sz w:val="16"/>
        </w:rPr>
        <w:t xml:space="preserve"> typically </w:t>
      </w:r>
      <w:r w:rsidRPr="00323EF9">
        <w:rPr>
          <w:rStyle w:val="StyleBoldUnderline"/>
        </w:rPr>
        <w:t>imbued with the nationalistic and heterosexist fantasy of the ‘mother</w:t>
      </w:r>
      <w:r w:rsidRPr="00323EF9">
        <w:rPr>
          <w:sz w:val="16"/>
        </w:rPr>
        <w:t xml:space="preserve"> of the nation’, the weeping mother </w:t>
      </w:r>
      <w:r w:rsidRPr="00323EF9">
        <w:rPr>
          <w:rStyle w:val="StyleBoldUnderline"/>
        </w:rPr>
        <w:t>who has honorably sacrificed her sons</w:t>
      </w:r>
      <w:r w:rsidRPr="00323EF9">
        <w:rPr>
          <w:sz w:val="16"/>
        </w:rPr>
        <w:t xml:space="preserve"> to the nation’s military pursuits, Women in Black </w:t>
      </w:r>
      <w:r w:rsidRPr="00323EF9">
        <w:rPr>
          <w:rStyle w:val="StyleBoldUnderline"/>
        </w:rPr>
        <w:t>profoundly undermine the normative role stereotypically assigned to women by nationalism and patriarchy</w:t>
      </w:r>
      <w:r w:rsidRPr="00323EF9">
        <w:rPr>
          <w:sz w:val="16"/>
        </w:rPr>
        <w:t xml:space="preserve">. </w:t>
      </w:r>
      <w:r w:rsidRPr="00323EF9">
        <w:rPr>
          <w:rStyle w:val="StyleBoldUnderline"/>
        </w:rPr>
        <w:t>They</w:t>
      </w:r>
      <w:r w:rsidRPr="00323EF9">
        <w:rPr>
          <w:sz w:val="16"/>
        </w:rPr>
        <w:t xml:space="preserve"> do so by </w:t>
      </w:r>
      <w:r w:rsidRPr="00323EF9">
        <w:rPr>
          <w:rStyle w:val="StyleBoldUnderline"/>
        </w:rPr>
        <w:t>re-embody</w:t>
      </w:r>
      <w:r w:rsidRPr="00323EF9">
        <w:rPr>
          <w:sz w:val="16"/>
        </w:rPr>
        <w:t xml:space="preserve">ing the ambiguous sign of </w:t>
      </w:r>
      <w:r w:rsidRPr="00323EF9">
        <w:rPr>
          <w:rStyle w:val="StyleBoldUnderline"/>
        </w:rPr>
        <w:t>mourning outside the sanctioned boundaries of the home and the valences of femininity, by performing an alternative feminist politics which involves being radically disloyal</w:t>
      </w:r>
      <w:r w:rsidRPr="00323EF9">
        <w:rPr>
          <w:sz w:val="16"/>
        </w:rPr>
        <w:t xml:space="preserve">, instead of unconditionally supportive, to ‘their’ men in time of war. Their struggle against militarism is entwined with a radical cosmopolitics of gender, a politics eloquently reflected not only in their practices of </w:t>
      </w:r>
      <w:r w:rsidRPr="00323EF9">
        <w:rPr>
          <w:rStyle w:val="StyleBoldUnderline"/>
        </w:rPr>
        <w:t>disrupting formulations of women’s proper place</w:t>
      </w:r>
      <w:r w:rsidRPr="00323EF9">
        <w:rPr>
          <w:sz w:val="16"/>
        </w:rPr>
        <w:t xml:space="preserve"> (in the nation-state, in the family, etc.), </w:t>
      </w:r>
      <w:r w:rsidRPr="00323EF9">
        <w:rPr>
          <w:rStyle w:val="StyleBoldUnderline"/>
        </w:rPr>
        <w:t>but also</w:t>
      </w:r>
      <w:r w:rsidRPr="00323EF9">
        <w:rPr>
          <w:sz w:val="16"/>
        </w:rPr>
        <w:t xml:space="preserve"> in their non-exclusionary notion of </w:t>
      </w:r>
      <w:r w:rsidRPr="00323EF9">
        <w:rPr>
          <w:rStyle w:val="StyleBoldUnderline"/>
        </w:rPr>
        <w:t>who counts as a ‘woman’: people of all genders and sexualities are welcomed to participate as women in their actions of ritual mourning</w:t>
      </w:r>
      <w:r w:rsidRPr="00323EF9">
        <w:rPr>
          <w:sz w:val="16"/>
        </w:rPr>
        <w:t xml:space="preserve">.4 By performing the simultaneous disruptive acts of estrangement from the nation’s normative life and of solidarity with the non-living abjected “adversary” (the dehumanized enemy), </w:t>
      </w:r>
      <w:r w:rsidRPr="00323EF9">
        <w:rPr>
          <w:rStyle w:val="StyleBoldUnderline"/>
        </w:rPr>
        <w:t>Women in Black create new transnational alliances of struggle</w:t>
      </w:r>
      <w:r w:rsidRPr="00323EF9">
        <w:rPr>
          <w:sz w:val="16"/>
        </w:rPr>
        <w:t xml:space="preserve"> for a new, radical ‘sexual difference’, for a new, radical humanness.</w:t>
      </w:r>
    </w:p>
    <w:p w14:paraId="52140CBC" w14:textId="23EE68C0" w:rsidR="009807DA" w:rsidRPr="00E16532" w:rsidRDefault="009807DA" w:rsidP="00E16532"/>
    <w:sectPr w:rsidR="009807DA" w:rsidRPr="00E1653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CAB023" w14:textId="77777777" w:rsidR="00F340AD" w:rsidRDefault="00F340AD" w:rsidP="00E46E7E">
      <w:r>
        <w:separator/>
      </w:r>
    </w:p>
  </w:endnote>
  <w:endnote w:type="continuationSeparator" w:id="0">
    <w:p w14:paraId="17D55760" w14:textId="77777777" w:rsidR="00F340AD" w:rsidRDefault="00F340A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8C4223" w14:textId="77777777" w:rsidR="00F340AD" w:rsidRDefault="00F340AD" w:rsidP="00E46E7E">
      <w:r>
        <w:separator/>
      </w:r>
    </w:p>
  </w:footnote>
  <w:footnote w:type="continuationSeparator" w:id="0">
    <w:p w14:paraId="3B351FB2" w14:textId="77777777" w:rsidR="00F340AD" w:rsidRDefault="00F340AD"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AD0"/>
    <w:rsid w:val="000140EC"/>
    <w:rsid w:val="00016A35"/>
    <w:rsid w:val="00055ED2"/>
    <w:rsid w:val="00090EB4"/>
    <w:rsid w:val="000C16B3"/>
    <w:rsid w:val="000C602A"/>
    <w:rsid w:val="000C7ACA"/>
    <w:rsid w:val="00106D6F"/>
    <w:rsid w:val="001408C0"/>
    <w:rsid w:val="00143FD7"/>
    <w:rsid w:val="001463FB"/>
    <w:rsid w:val="001710E3"/>
    <w:rsid w:val="00186DB7"/>
    <w:rsid w:val="001D7626"/>
    <w:rsid w:val="001F41F2"/>
    <w:rsid w:val="001F6468"/>
    <w:rsid w:val="00216C27"/>
    <w:rsid w:val="0023255B"/>
    <w:rsid w:val="002432BB"/>
    <w:rsid w:val="002613DA"/>
    <w:rsid w:val="00266644"/>
    <w:rsid w:val="002B6353"/>
    <w:rsid w:val="002B68C8"/>
    <w:rsid w:val="002F35F4"/>
    <w:rsid w:val="002F3E28"/>
    <w:rsid w:val="002F4044"/>
    <w:rsid w:val="002F40E6"/>
    <w:rsid w:val="00303E5B"/>
    <w:rsid w:val="003105F7"/>
    <w:rsid w:val="00313226"/>
    <w:rsid w:val="0031425E"/>
    <w:rsid w:val="00323EF9"/>
    <w:rsid w:val="00325059"/>
    <w:rsid w:val="00357719"/>
    <w:rsid w:val="00374144"/>
    <w:rsid w:val="003B3EC7"/>
    <w:rsid w:val="003F42AF"/>
    <w:rsid w:val="00412F6D"/>
    <w:rsid w:val="0042635A"/>
    <w:rsid w:val="00435E21"/>
    <w:rsid w:val="00466B6F"/>
    <w:rsid w:val="004B3188"/>
    <w:rsid w:val="004B3DB3"/>
    <w:rsid w:val="004C63B5"/>
    <w:rsid w:val="004D461E"/>
    <w:rsid w:val="004F394B"/>
    <w:rsid w:val="00517479"/>
    <w:rsid w:val="00542864"/>
    <w:rsid w:val="00543E79"/>
    <w:rsid w:val="00567EB1"/>
    <w:rsid w:val="005A0BE5"/>
    <w:rsid w:val="005C0E1F"/>
    <w:rsid w:val="005C3B74"/>
    <w:rsid w:val="005E0D2B"/>
    <w:rsid w:val="005E2C99"/>
    <w:rsid w:val="00615530"/>
    <w:rsid w:val="00666D33"/>
    <w:rsid w:val="00672258"/>
    <w:rsid w:val="0067575B"/>
    <w:rsid w:val="00692C26"/>
    <w:rsid w:val="006A0963"/>
    <w:rsid w:val="006A3C18"/>
    <w:rsid w:val="006D79D2"/>
    <w:rsid w:val="006F2D3D"/>
    <w:rsid w:val="006F3C13"/>
    <w:rsid w:val="006F5DB5"/>
    <w:rsid w:val="00700835"/>
    <w:rsid w:val="00726F87"/>
    <w:rsid w:val="007333B9"/>
    <w:rsid w:val="00791B7D"/>
    <w:rsid w:val="00795F63"/>
    <w:rsid w:val="007A3515"/>
    <w:rsid w:val="007D7924"/>
    <w:rsid w:val="007E470C"/>
    <w:rsid w:val="007E5F71"/>
    <w:rsid w:val="00807783"/>
    <w:rsid w:val="00821415"/>
    <w:rsid w:val="0083768F"/>
    <w:rsid w:val="00854DD2"/>
    <w:rsid w:val="00856759"/>
    <w:rsid w:val="00875610"/>
    <w:rsid w:val="008A3C2F"/>
    <w:rsid w:val="0091522C"/>
    <w:rsid w:val="0091595A"/>
    <w:rsid w:val="009165EA"/>
    <w:rsid w:val="009807DA"/>
    <w:rsid w:val="009829F2"/>
    <w:rsid w:val="00992A9F"/>
    <w:rsid w:val="00993F61"/>
    <w:rsid w:val="009B0746"/>
    <w:rsid w:val="009B1E5A"/>
    <w:rsid w:val="009C198B"/>
    <w:rsid w:val="009D207E"/>
    <w:rsid w:val="009E5822"/>
    <w:rsid w:val="009E691A"/>
    <w:rsid w:val="009F22D0"/>
    <w:rsid w:val="009F3759"/>
    <w:rsid w:val="00A025EF"/>
    <w:rsid w:val="00A03005"/>
    <w:rsid w:val="00A074CB"/>
    <w:rsid w:val="00A13D45"/>
    <w:rsid w:val="00A273E7"/>
    <w:rsid w:val="00A369C4"/>
    <w:rsid w:val="00A47986"/>
    <w:rsid w:val="00A91A24"/>
    <w:rsid w:val="00A9252F"/>
    <w:rsid w:val="00A93DAC"/>
    <w:rsid w:val="00A96470"/>
    <w:rsid w:val="00AC057F"/>
    <w:rsid w:val="00AC0E99"/>
    <w:rsid w:val="00AC281A"/>
    <w:rsid w:val="00AF1E67"/>
    <w:rsid w:val="00AF5046"/>
    <w:rsid w:val="00AF70D4"/>
    <w:rsid w:val="00B169A1"/>
    <w:rsid w:val="00B33E0C"/>
    <w:rsid w:val="00B45FE9"/>
    <w:rsid w:val="00B55D49"/>
    <w:rsid w:val="00B6272D"/>
    <w:rsid w:val="00B65E97"/>
    <w:rsid w:val="00B72030"/>
    <w:rsid w:val="00B75CCD"/>
    <w:rsid w:val="00B84180"/>
    <w:rsid w:val="00BA3740"/>
    <w:rsid w:val="00BE4C38"/>
    <w:rsid w:val="00BE63EA"/>
    <w:rsid w:val="00C14054"/>
    <w:rsid w:val="00C42A3C"/>
    <w:rsid w:val="00C87AD0"/>
    <w:rsid w:val="00CB0410"/>
    <w:rsid w:val="00CD2C6D"/>
    <w:rsid w:val="00CF1A0F"/>
    <w:rsid w:val="00D36252"/>
    <w:rsid w:val="00D4330B"/>
    <w:rsid w:val="00D460F1"/>
    <w:rsid w:val="00D51B44"/>
    <w:rsid w:val="00D6085D"/>
    <w:rsid w:val="00D66D57"/>
    <w:rsid w:val="00D81480"/>
    <w:rsid w:val="00D94A25"/>
    <w:rsid w:val="00DA2E40"/>
    <w:rsid w:val="00DA5BF8"/>
    <w:rsid w:val="00DC71AA"/>
    <w:rsid w:val="00DD2FAB"/>
    <w:rsid w:val="00DE627C"/>
    <w:rsid w:val="00DF1850"/>
    <w:rsid w:val="00E16532"/>
    <w:rsid w:val="00E46E7E"/>
    <w:rsid w:val="00E85B8C"/>
    <w:rsid w:val="00E95631"/>
    <w:rsid w:val="00EE5BFB"/>
    <w:rsid w:val="00F1173B"/>
    <w:rsid w:val="00F340AD"/>
    <w:rsid w:val="00F45F2E"/>
    <w:rsid w:val="00F765FE"/>
    <w:rsid w:val="00FA538E"/>
    <w:rsid w:val="00FD50BA"/>
    <w:rsid w:val="00FE4803"/>
    <w:rsid w:val="00FE7B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CB7ABB"/>
  <w14:defaultImageDpi w14:val="300"/>
  <w15:docId w15:val="{3A779F97-D5C9-4028-8B9B-704EDA2B8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765FE"/>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F765F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F765FE"/>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F765FE"/>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4"/>
    <w:qFormat/>
    <w:rsid w:val="00F765F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F765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65FE"/>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Style1,Box"/>
    <w:basedOn w:val="DefaultParagraphFont"/>
    <w:link w:val="textbold"/>
    <w:uiPriority w:val="7"/>
    <w:qFormat/>
    <w:rsid w:val="00F765FE"/>
    <w:rPr>
      <w:rFonts w:ascii="Georgia" w:hAnsi="Georgia" w:cs="Calibri"/>
      <w:b/>
      <w:i w:val="0"/>
      <w:iCs/>
      <w:sz w:val="22"/>
      <w:u w:val="single"/>
      <w:bdr w:val="none" w:sz="0" w:space="0" w:color="auto"/>
    </w:rPr>
  </w:style>
  <w:style w:type="character" w:customStyle="1" w:styleId="Heading1Char">
    <w:name w:val="Heading 1 Char"/>
    <w:aliases w:val="Pocket Char"/>
    <w:basedOn w:val="DefaultParagraphFont"/>
    <w:link w:val="Heading1"/>
    <w:uiPriority w:val="1"/>
    <w:rsid w:val="00F765FE"/>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F765FE"/>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F765FE"/>
    <w:rPr>
      <w:rFonts w:ascii="Georgia" w:eastAsiaTheme="majorEastAsia" w:hAnsi="Georgia" w:cstheme="majorBidi"/>
      <w:b/>
      <w:bCs/>
      <w:caps/>
      <w:sz w:val="32"/>
      <w:szCs w:val="22"/>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4"/>
    <w:rsid w:val="00F765FE"/>
    <w:rPr>
      <w:rFonts w:ascii="Georgia" w:eastAsiaTheme="majorEastAsia" w:hAnsi="Georgia" w:cstheme="majorBidi"/>
      <w:b/>
      <w:bCs/>
      <w:iCs/>
      <w:sz w:val="22"/>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Not."/>
    <w:basedOn w:val="StyleBold"/>
    <w:uiPriority w:val="5"/>
    <w:qFormat/>
    <w:rsid w:val="00F765FE"/>
    <w:rPr>
      <w:b/>
      <w:bCs/>
      <w:sz w:val="22"/>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F765FE"/>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F765FE"/>
    <w:pPr>
      <w:tabs>
        <w:tab w:val="center" w:pos="4680"/>
        <w:tab w:val="right" w:pos="9360"/>
      </w:tabs>
    </w:pPr>
  </w:style>
  <w:style w:type="character" w:customStyle="1" w:styleId="HeaderChar">
    <w:name w:val="Header Char"/>
    <w:basedOn w:val="DefaultParagraphFont"/>
    <w:link w:val="Header"/>
    <w:uiPriority w:val="99"/>
    <w:rsid w:val="00F765FE"/>
    <w:rPr>
      <w:rFonts w:ascii="Georgia" w:eastAsiaTheme="minorHAnsi" w:hAnsi="Georgia" w:cs="Calibri"/>
      <w:sz w:val="22"/>
      <w:szCs w:val="22"/>
    </w:rPr>
  </w:style>
  <w:style w:type="paragraph" w:styleId="Footer">
    <w:name w:val="footer"/>
    <w:basedOn w:val="Normal"/>
    <w:link w:val="FooterChar"/>
    <w:uiPriority w:val="99"/>
    <w:rsid w:val="00F765FE"/>
    <w:pPr>
      <w:tabs>
        <w:tab w:val="center" w:pos="4680"/>
        <w:tab w:val="right" w:pos="9360"/>
      </w:tabs>
    </w:pPr>
  </w:style>
  <w:style w:type="character" w:customStyle="1" w:styleId="FooterChar">
    <w:name w:val="Footer Char"/>
    <w:basedOn w:val="DefaultParagraphFont"/>
    <w:link w:val="Footer"/>
    <w:uiPriority w:val="99"/>
    <w:rsid w:val="00F765FE"/>
    <w:rPr>
      <w:rFonts w:ascii="Georgia" w:eastAsiaTheme="minorHAnsi" w:hAnsi="Georgia"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F765FE"/>
    <w:rPr>
      <w:color w:val="auto"/>
      <w:u w:val="none"/>
    </w:rPr>
  </w:style>
  <w:style w:type="paragraph" w:customStyle="1" w:styleId="textbold">
    <w:name w:val="text bold"/>
    <w:basedOn w:val="Normal"/>
    <w:link w:val="Emphasis"/>
    <w:uiPriority w:val="7"/>
    <w:qFormat/>
    <w:rsid w:val="00542864"/>
    <w:pPr>
      <w:spacing w:after="160" w:line="259" w:lineRule="auto"/>
      <w:ind w:left="720"/>
      <w:jc w:val="both"/>
    </w:pPr>
    <w:rPr>
      <w:rFonts w:eastAsiaTheme="minorEastAsia"/>
      <w:b/>
      <w:iCs/>
      <w:szCs w:val="24"/>
      <w:u w:val="single"/>
    </w:rPr>
  </w:style>
  <w:style w:type="paragraph" w:styleId="NormalWeb">
    <w:name w:val="Normal (Web)"/>
    <w:basedOn w:val="Normal"/>
    <w:uiPriority w:val="99"/>
    <w:semiHidden/>
    <w:unhideWhenUsed/>
    <w:rsid w:val="00EE5BFB"/>
    <w:rPr>
      <w:rFonts w:ascii="Times New Roman" w:hAnsi="Times New Roman" w:cs="Times New Roman"/>
      <w:sz w:val="24"/>
    </w:rPr>
  </w:style>
  <w:style w:type="paragraph" w:customStyle="1" w:styleId="evidencetext">
    <w:name w:val="evidence text"/>
    <w:basedOn w:val="Normal"/>
    <w:rsid w:val="00A025EF"/>
    <w:pPr>
      <w:ind w:left="1440" w:right="2016"/>
    </w:pPr>
    <w:rPr>
      <w:rFonts w:ascii="Arial" w:eastAsia="Times New Roman" w:hAnsi="Arial" w:cs="Times New Roman"/>
      <w:noProof/>
      <w:color w:val="000000"/>
      <w:sz w:val="18"/>
    </w:rPr>
  </w:style>
  <w:style w:type="paragraph" w:customStyle="1" w:styleId="boldcite">
    <w:name w:val="bold cite"/>
    <w:basedOn w:val="Normal"/>
    <w:rsid w:val="00A025EF"/>
    <w:pPr>
      <w:ind w:left="1440" w:right="2016"/>
    </w:pPr>
    <w:rPr>
      <w:rFonts w:ascii="Arial" w:eastAsia="Times New Roman" w:hAnsi="Arial" w:cs="Times New Roman"/>
      <w:b/>
      <w:noProof/>
      <w:color w:val="000000"/>
      <w:sz w:val="24"/>
      <w:u w:color="000000"/>
    </w:rPr>
  </w:style>
  <w:style w:type="character" w:customStyle="1" w:styleId="StyleBold">
    <w:name w:val="Style Bold"/>
    <w:basedOn w:val="DefaultParagraphFont"/>
    <w:uiPriority w:val="9"/>
    <w:semiHidden/>
    <w:rsid w:val="00F765FE"/>
    <w:rPr>
      <w:b/>
      <w:bCs/>
    </w:rPr>
  </w:style>
  <w:style w:type="character" w:styleId="FollowedHyperlink">
    <w:name w:val="FollowedHyperlink"/>
    <w:basedOn w:val="DefaultParagraphFont"/>
    <w:uiPriority w:val="99"/>
    <w:semiHidden/>
    <w:rsid w:val="00F765F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0611549">
      <w:bodyDiv w:val="1"/>
      <w:marLeft w:val="0"/>
      <w:marRight w:val="0"/>
      <w:marTop w:val="0"/>
      <w:marBottom w:val="0"/>
      <w:divBdr>
        <w:top w:val="none" w:sz="0" w:space="0" w:color="auto"/>
        <w:left w:val="none" w:sz="0" w:space="0" w:color="auto"/>
        <w:bottom w:val="none" w:sz="0" w:space="0" w:color="auto"/>
        <w:right w:val="none" w:sz="0" w:space="0" w:color="auto"/>
      </w:divBdr>
      <w:divsChild>
        <w:div w:id="1767965444">
          <w:marLeft w:val="0"/>
          <w:marRight w:val="0"/>
          <w:marTop w:val="0"/>
          <w:marBottom w:val="0"/>
          <w:divBdr>
            <w:top w:val="none" w:sz="0" w:space="0" w:color="auto"/>
            <w:left w:val="none" w:sz="0" w:space="0" w:color="auto"/>
            <w:bottom w:val="none" w:sz="0" w:space="0" w:color="auto"/>
            <w:right w:val="none" w:sz="0" w:space="0" w:color="auto"/>
          </w:divBdr>
          <w:divsChild>
            <w:div w:id="1364214217">
              <w:marLeft w:val="0"/>
              <w:marRight w:val="0"/>
              <w:marTop w:val="0"/>
              <w:marBottom w:val="0"/>
              <w:divBdr>
                <w:top w:val="none" w:sz="0" w:space="0" w:color="auto"/>
                <w:left w:val="none" w:sz="0" w:space="0" w:color="auto"/>
                <w:bottom w:val="none" w:sz="0" w:space="0" w:color="auto"/>
                <w:right w:val="none" w:sz="0" w:space="0" w:color="auto"/>
              </w:divBdr>
              <w:divsChild>
                <w:div w:id="1876429570">
                  <w:marLeft w:val="0"/>
                  <w:marRight w:val="0"/>
                  <w:marTop w:val="0"/>
                  <w:marBottom w:val="0"/>
                  <w:divBdr>
                    <w:top w:val="none" w:sz="0" w:space="0" w:color="auto"/>
                    <w:left w:val="none" w:sz="0" w:space="0" w:color="auto"/>
                    <w:bottom w:val="none" w:sz="0" w:space="0" w:color="auto"/>
                    <w:right w:val="none" w:sz="0" w:space="0" w:color="auto"/>
                  </w:divBdr>
                  <w:divsChild>
                    <w:div w:id="81573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232740">
      <w:bodyDiv w:val="1"/>
      <w:marLeft w:val="0"/>
      <w:marRight w:val="0"/>
      <w:marTop w:val="0"/>
      <w:marBottom w:val="0"/>
      <w:divBdr>
        <w:top w:val="none" w:sz="0" w:space="0" w:color="auto"/>
        <w:left w:val="none" w:sz="0" w:space="0" w:color="auto"/>
        <w:bottom w:val="none" w:sz="0" w:space="0" w:color="auto"/>
        <w:right w:val="none" w:sz="0" w:space="0" w:color="auto"/>
      </w:divBdr>
      <w:divsChild>
        <w:div w:id="1193614894">
          <w:marLeft w:val="0"/>
          <w:marRight w:val="0"/>
          <w:marTop w:val="0"/>
          <w:marBottom w:val="0"/>
          <w:divBdr>
            <w:top w:val="none" w:sz="0" w:space="0" w:color="auto"/>
            <w:left w:val="none" w:sz="0" w:space="0" w:color="auto"/>
            <w:bottom w:val="none" w:sz="0" w:space="0" w:color="auto"/>
            <w:right w:val="none" w:sz="0" w:space="0" w:color="auto"/>
          </w:divBdr>
          <w:divsChild>
            <w:div w:id="1095440097">
              <w:marLeft w:val="0"/>
              <w:marRight w:val="0"/>
              <w:marTop w:val="0"/>
              <w:marBottom w:val="0"/>
              <w:divBdr>
                <w:top w:val="none" w:sz="0" w:space="0" w:color="auto"/>
                <w:left w:val="none" w:sz="0" w:space="0" w:color="auto"/>
                <w:bottom w:val="none" w:sz="0" w:space="0" w:color="auto"/>
                <w:right w:val="none" w:sz="0" w:space="0" w:color="auto"/>
              </w:divBdr>
              <w:divsChild>
                <w:div w:id="169177194">
                  <w:marLeft w:val="0"/>
                  <w:marRight w:val="0"/>
                  <w:marTop w:val="0"/>
                  <w:marBottom w:val="0"/>
                  <w:divBdr>
                    <w:top w:val="none" w:sz="0" w:space="0" w:color="auto"/>
                    <w:left w:val="none" w:sz="0" w:space="0" w:color="auto"/>
                    <w:bottom w:val="none" w:sz="0" w:space="0" w:color="auto"/>
                    <w:right w:val="none" w:sz="0" w:space="0" w:color="auto"/>
                  </w:divBdr>
                  <w:divsChild>
                    <w:div w:id="14753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8</Pages>
  <Words>3546</Words>
  <Characters>20216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Roberts</dc:creator>
  <cp:keywords/>
  <dc:description/>
  <cp:lastModifiedBy>Kevin Hirn</cp:lastModifiedBy>
  <cp:revision>2</cp:revision>
  <dcterms:created xsi:type="dcterms:W3CDTF">2016-06-28T11:40:00Z</dcterms:created>
  <dcterms:modified xsi:type="dcterms:W3CDTF">2016-06-28T11:40:00Z</dcterms:modified>
  <cp:category/>
</cp:coreProperties>
</file>