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167" w:rsidRDefault="00FD4167" w:rsidP="00FD4167">
      <w:pPr>
        <w:pStyle w:val="Heading4"/>
      </w:pPr>
      <w:r>
        <w:t xml:space="preserve">The AFF’s internal link chain is wrong- the US has worse infrastructure than China- don’t let them claim cooperation because their plan text offers aid to China. </w:t>
      </w:r>
    </w:p>
    <w:p w:rsidR="00FD4167" w:rsidRDefault="00FD4167" w:rsidP="00FD4167">
      <w:r w:rsidRPr="004C681A">
        <w:rPr>
          <w:rStyle w:val="Style13ptBold"/>
        </w:rPr>
        <w:t>Petri 06/30/16</w:t>
      </w:r>
      <w:r>
        <w:t xml:space="preserve"> </w:t>
      </w:r>
      <w:r w:rsidRPr="004C681A">
        <w:rPr>
          <w:sz w:val="20"/>
        </w:rPr>
        <w:t>(Thomas, representative for Wisconsin's 6th Congressional District from 1979 to 2015. A.B., Harvard University, Cambridge, Mass., 1962; J.D., Harvard Law School, Cambridge, Mass., 1965; clerk to United States Judge James Doyle of the Western District of Wisconsin, 1965; lawyer, private practice; Peace Corps volunteer, 1966-1967; White House aide, 1969-1970; member of the Wisconsin state senate, 1973-1979) [http://www.chinausfocus.com/finance-economy/the-u-s-should-welcome-infrastructure-investments-from-china/] Accessed: 7/17/16 LGF</w:t>
      </w:r>
    </w:p>
    <w:p w:rsidR="00FD4167" w:rsidRDefault="00FD4167" w:rsidP="00FD4167">
      <w:pPr>
        <w:rPr>
          <w:sz w:val="18"/>
        </w:rPr>
      </w:pPr>
      <w:r w:rsidRPr="003B3428">
        <w:rPr>
          <w:rStyle w:val="StyleBoldUnderline"/>
        </w:rPr>
        <w:t xml:space="preserve">Last December, Congress passed a $305 billion highway bill that was signed with hours to spare before the nation’s road and transit spending ran out. </w:t>
      </w:r>
      <w:r w:rsidRPr="003B3428">
        <w:rPr>
          <w:sz w:val="18"/>
          <w:szCs w:val="18"/>
        </w:rPr>
        <w:t>While this bill was the first long-term national transportation spending package in over a decade, it was unfortunately a drop in the ocean, especially in comparison to the world’s other major economies. I have never been reminded more of America’s transportation woes than on a recent trip to China</w:t>
      </w:r>
      <w:r w:rsidRPr="003B3428">
        <w:rPr>
          <w:rStyle w:val="StyleBoldUnderline"/>
        </w:rPr>
        <w:t>. It is no secret that America’s infrastructure has been crumbling for years. In January of 2015, the American Enterprise Institute found that since 1960, government spending on highways has dropped by nearly 50% in proportion to total government expenditures. The American Society of Civil Engineers recently gave America’s overall infrastructure a grade of D-plus,</w:t>
      </w:r>
      <w:r w:rsidRPr="003B3428">
        <w:rPr>
          <w:sz w:val="18"/>
          <w:szCs w:val="18"/>
        </w:rPr>
        <w:t xml:space="preserve"> suggesting we must spend $3.6 trillion by 2020 to bring it back up to an acceptable level. Not only is our infrastructure not properly maintained, we are also struggling to deliver to the American public what it demands: the most efficient and first-rate transportation available. </w:t>
      </w:r>
      <w:r w:rsidRPr="00993389">
        <w:rPr>
          <w:sz w:val="18"/>
        </w:rPr>
        <w:t xml:space="preserve">The current state of our transportation infrastructure causes urban traffic congestion, slow-moving trains and flight delays. </w:t>
      </w:r>
      <w:r w:rsidRPr="003B3428">
        <w:rPr>
          <w:rStyle w:val="StyleBoldUnderline"/>
        </w:rPr>
        <w:t>The effects have obvious consequences, such as lower productivity, increased carbon emissions and a lower quality of life. China, on the other hand, has invested significantly in infrastructure, both at home and abroad, which led the country to being crowned the largest investor and builder of infrastructure in the world. On a visit to Beijing</w:t>
      </w:r>
      <w:r w:rsidRPr="003B3428">
        <w:rPr>
          <w:sz w:val="18"/>
          <w:szCs w:val="18"/>
        </w:rPr>
        <w:t xml:space="preserve">, Chongqing and Shanghai with the U.S. Association of Former Members of Congress hosted by the China-United States Exchange Foundation, our delegation of five former members of Congress met with government and business leaders to discuss a wide range of issues. While the conversations were dominated by the South China Sea and the upcoming U.S. presidential election, </w:t>
      </w:r>
      <w:r w:rsidRPr="003B3428">
        <w:rPr>
          <w:rStyle w:val="StyleBoldUnderline"/>
        </w:rPr>
        <w:t>I couldn’t help but speak about the spectacular state of China’s highways and rail systems. Finding funding for infrastructure projects in the United States has been far more difficult than in China, where Beijing seems to be regularly appropriating investment into landmark projects. However, in recent years, China has offered to invest, not only in U.S. infrastructure projects, but also in other industries.</w:t>
      </w:r>
      <w:r w:rsidRPr="003B3428">
        <w:rPr>
          <w:sz w:val="18"/>
          <w:szCs w:val="18"/>
        </w:rPr>
        <w:t xml:space="preserve"> According to a recent study by the National Committee on U.S.-China Relations, Chinese foreign direct investment in the U.S. set a new record in 2015 with more than $15 billion in growth. Chinese-owned operations now span 80% of all U.S. congressional districts and employ more than 90,000 Americans. In the state of Wisconsin, we have received almost $600 million in Chinese investment from 2000 to 2015. There are currently 14 Chinese-affiliated establishments, providing more than 1,300 jobs to Wisconsin citizens. However, Chinese investment in Wisconsin, and the Midwest, still significantly lags behind that of the east and west coasts. </w:t>
      </w:r>
      <w:r w:rsidRPr="003B3428">
        <w:rPr>
          <w:rStyle w:val="StyleBoldUnderline"/>
        </w:rPr>
        <w:t>Even with this recent growth, the U.S. has outsourced very few infrastructure projects to Chinese firms</w:t>
      </w:r>
      <w:r w:rsidRPr="003B3428">
        <w:rPr>
          <w:sz w:val="18"/>
          <w:szCs w:val="18"/>
        </w:rPr>
        <w:t xml:space="preserve">. Only five road and bridge projects, worth a mere $100 million, have been financed by Chinese firms, accounting for only 1 percent of China’s total investment in engineering contracts in the world. Despite being the U.S. being the largest recipient of Chinese investment in 2015, very few of these investments went to construction and infrastructure projects. </w:t>
      </w:r>
      <w:r w:rsidRPr="003B3428">
        <w:rPr>
          <w:rStyle w:val="StyleBoldUnderline"/>
        </w:rPr>
        <w:t xml:space="preserve">China’s global infrastructure projects in over 70 countries have helped grow its expertise and efficiency in delivering quality and cost-effective infrastructure projects, placing it in a unique position to aid the U.S. with our infrastructure and funding woes. </w:t>
      </w:r>
      <w:r w:rsidRPr="003B3428">
        <w:rPr>
          <w:sz w:val="18"/>
          <w:szCs w:val="18"/>
        </w:rPr>
        <w:t xml:space="preserve">Recent attempts to address this need, such as the Los Angeles/Las Vegas high-speed rail line, have fallen through due in large part to the high barriers to foreign infrastructure investment in the United States. Numbers aside, there is often a sense of insecurity when Chinese projects and investments are mentioned. The same resentment was expressed almost 30 years ago when Japanese investments were perceived as a threat to the United States. However, in 2016, Japan’s economy and investments are viewed as integral to the American economy, helping to strengthen the strong alliance that we have nurtured in the post-World War II era. While </w:t>
      </w:r>
      <w:r w:rsidRPr="003B3428">
        <w:rPr>
          <w:rStyle w:val="StyleBoldUnderline"/>
        </w:rPr>
        <w:t xml:space="preserve">national security </w:t>
      </w:r>
      <w:r w:rsidRPr="003B3428">
        <w:rPr>
          <w:sz w:val="18"/>
          <w:szCs w:val="18"/>
        </w:rPr>
        <w:t xml:space="preserve">must of course be taken into account when considering foreign direct investment, it </w:t>
      </w:r>
      <w:r w:rsidRPr="003B3428">
        <w:rPr>
          <w:rStyle w:val="StyleBoldUnderline"/>
        </w:rPr>
        <w:t xml:space="preserve">should not prevent foreign investors from aiding the United States in critical infrastructure and transportation projects. </w:t>
      </w:r>
      <w:r w:rsidRPr="003B3428">
        <w:rPr>
          <w:sz w:val="18"/>
          <w:szCs w:val="18"/>
        </w:rPr>
        <w:t>Instead of posing a security risk, the solutions to maintaining and upgrading our infrastructure present an unrealized opportunity to minimize our differences with China and to increase our bilateral cooperation, bringing closer together the two largest economies in the world.</w:t>
      </w:r>
      <w:r w:rsidRPr="004C681A">
        <w:rPr>
          <w:sz w:val="18"/>
        </w:rPr>
        <w:t xml:space="preserve"> </w:t>
      </w:r>
    </w:p>
    <w:p w:rsidR="00FD4167" w:rsidRPr="00684772" w:rsidRDefault="00FD4167" w:rsidP="00FD4167">
      <w:pPr>
        <w:pStyle w:val="Heading4"/>
      </w:pPr>
      <w:r w:rsidRPr="00684772">
        <w:t xml:space="preserve">SQ solve- New China Precision Medicine Initiative uses computing to solve pandemics. </w:t>
      </w:r>
    </w:p>
    <w:p w:rsidR="00FD4167" w:rsidRDefault="00FD4167" w:rsidP="00FD4167">
      <w:pPr>
        <w:rPr>
          <w:sz w:val="18"/>
        </w:rPr>
      </w:pPr>
      <w:r w:rsidRPr="00684772">
        <w:rPr>
          <w:rStyle w:val="Style13ptBold"/>
        </w:rPr>
        <w:t>Farmer and Shi 5/25/16</w:t>
      </w:r>
      <w:r>
        <w:rPr>
          <w:sz w:val="18"/>
        </w:rPr>
        <w:t xml:space="preserve"> (Edward, PhD EVP, Communications &amp; New Ventures A historian by training, macroeconomic analyst in Mexico City before moving to Reykjavik to join deCODE genetics in the year 2000. As Chief Communications Officer Edward helped to build deCODE’s profile as a global leader in human genetics, overseeing media and investor relations, and launching major websites on gene discovery, DNA-based diagnostics, and drug discovery &amp; development. </w:t>
      </w:r>
      <w:proofErr w:type="gramStart"/>
      <w:r>
        <w:rPr>
          <w:sz w:val="18"/>
        </w:rPr>
        <w:t>and</w:t>
      </w:r>
      <w:proofErr w:type="gramEnd"/>
      <w:r>
        <w:rPr>
          <w:sz w:val="18"/>
        </w:rPr>
        <w:t xml:space="preserve"> Aaron, PR Director at WuXi AppTec International Studies University(Nanjing) Bachelor's degree, English Language and Literature, General 1998 – 2002) May 24, 2016 [http://www.wuxiapptec.com/press/detail/324/18.html] Accessed: 7/18/16 LGF</w:t>
      </w:r>
    </w:p>
    <w:p w:rsidR="00FD4167" w:rsidRDefault="00FD4167" w:rsidP="00FD4167">
      <w:pPr>
        <w:rPr>
          <w:sz w:val="18"/>
        </w:rPr>
      </w:pPr>
      <w:r>
        <w:rPr>
          <w:sz w:val="18"/>
        </w:rPr>
        <w:t>Huawei</w:t>
      </w:r>
      <w:r w:rsidRPr="00684772">
        <w:rPr>
          <w:rStyle w:val="StyleBoldUnderline"/>
        </w:rPr>
        <w:t>, WuXi AppTec and WuXi NextCODE launch the most powerful, proven and quality-certified national-scale cloud infrastructure for using the genome to improve medicine and health ·</w:t>
      </w:r>
      <w:r>
        <w:rPr>
          <w:sz w:val="18"/>
        </w:rPr>
        <w:t xml:space="preserve"> </w:t>
      </w:r>
      <w:r w:rsidRPr="00684772">
        <w:rPr>
          <w:rStyle w:val="StyleBoldUnderline"/>
        </w:rPr>
        <w:t>Will benefit patients by accelerating capabilities in discovery, clinical medicine and wellness · The world’s leading genomics platform hosted on China’s</w:t>
      </w:r>
      <w:r>
        <w:rPr>
          <w:rStyle w:val="StyleBoldUnderline"/>
        </w:rPr>
        <w:t xml:space="preserve"> </w:t>
      </w:r>
      <w:r w:rsidRPr="00684772">
        <w:rPr>
          <w:rStyle w:val="StyleBoldUnderline"/>
        </w:rPr>
        <w:t>secure and reliable</w:t>
      </w:r>
      <w:r>
        <w:rPr>
          <w:rStyle w:val="StyleBoldUnderline"/>
        </w:rPr>
        <w:t xml:space="preserve"> </w:t>
      </w:r>
      <w:r w:rsidRPr="00684772">
        <w:rPr>
          <w:rStyle w:val="StyleBoldUnderline"/>
        </w:rPr>
        <w:t>cloud network · A unified infrastructure to serve the China Precision Medicine Initiative, genome discovery of unrivalled scale, as well as clinical diagnostics and drug development</w:t>
      </w:r>
      <w:r>
        <w:rPr>
          <w:sz w:val="18"/>
        </w:rPr>
        <w:t xml:space="preserve"> SHENZHEN; SHANGHAI; CAMBRIDGE, Massachusetts; and REYKJAVIK, 24 May 2016 –Huawei, a leading global information and communications technology provider, and WuXiAppTec, the global open-access R&amp;D platform, today launched the China Precision Medicine Cloud at a ceremony in Shanghai. This platform brings together three unique elements: Huawei’s industry-leading capabilities and national network for cloud computing; the globally recognized medical innovation expertise of WuXi AppTec; and the unrivalled competence of its subsidiary WuXi NextCODE in organizing, mining and sharing genomics big data. </w:t>
      </w:r>
      <w:r w:rsidRPr="00684772">
        <w:rPr>
          <w:rStyle w:val="StyleBoldUnderline"/>
        </w:rPr>
        <w:t>The technology in this platform underpins data infrastructure across China and the largest and most advanced precision medicine projects around the world–from national genome projects to gene discovery, clinical</w:t>
      </w:r>
      <w:r>
        <w:rPr>
          <w:rStyle w:val="StyleBoldUnderline"/>
        </w:rPr>
        <w:t xml:space="preserve"> </w:t>
      </w:r>
      <w:r w:rsidRPr="00684772">
        <w:rPr>
          <w:rStyle w:val="StyleBoldUnderline"/>
        </w:rPr>
        <w:t>diagnostics, targeted pharmaceutical development and scientific wellness. It will link scientific excellence and data from across China</w:t>
      </w:r>
      <w:r>
        <w:rPr>
          <w:rStyle w:val="StyleBoldUnderline"/>
        </w:rPr>
        <w:t xml:space="preserve"> </w:t>
      </w:r>
      <w:r w:rsidRPr="00684772">
        <w:rPr>
          <w:rStyle w:val="StyleBoldUnderline"/>
        </w:rPr>
        <w:t xml:space="preserve">through a secure nationwide network and governmental, medical, academic and industry </w:t>
      </w:r>
      <w:proofErr w:type="gramStart"/>
      <w:r w:rsidRPr="00684772">
        <w:rPr>
          <w:rStyle w:val="StyleBoldUnderline"/>
        </w:rPr>
        <w:t>collaborations</w:t>
      </w:r>
      <w:r>
        <w:rPr>
          <w:rStyle w:val="StyleBoldUnderline"/>
        </w:rPr>
        <w:t xml:space="preserve"> </w:t>
      </w:r>
      <w:r>
        <w:rPr>
          <w:sz w:val="18"/>
        </w:rPr>
        <w:t>.</w:t>
      </w:r>
      <w:proofErr w:type="gramEnd"/>
      <w:r>
        <w:rPr>
          <w:sz w:val="18"/>
        </w:rPr>
        <w:t xml:space="preserve"> A unified cloud that enables both clinical and research genomics in real time, online is the foundation for delivering precision medicine efficiently at national scale. WuXi AppTec and Huawei will follow the guidance of the China Food and Drug Administration (CFDA) and work closely with partner life-science cloud providers to develop the data standards and exchange framework required to deliver the China PMI. WuXi AppTec and WuXi NextCODE solutions already meet US CAP and CLIA standards and include HIPAA-compliant DNAnexus technology delivering the precision FDA in the United States, so that in implementing guidelines developed by the CFDA the China Precision Medicine Cloud will be well positioned for global compliance and collaboration. </w:t>
      </w:r>
      <w:r w:rsidRPr="00684772">
        <w:rPr>
          <w:rStyle w:val="StyleBoldUnderline"/>
        </w:rPr>
        <w:t xml:space="preserve">“It is an honor to have the opportunity to do our part in enabling doctors, scientists, companies and policymakers to develop and implement the most advanced precision medicine across China,” said </w:t>
      </w:r>
      <w:r>
        <w:rPr>
          <w:sz w:val="18"/>
        </w:rPr>
        <w:t xml:space="preserve">Dr. Ge Li, Chairman and </w:t>
      </w:r>
      <w:r w:rsidRPr="00684772">
        <w:rPr>
          <w:rStyle w:val="StyleBoldUnderline"/>
        </w:rPr>
        <w:t xml:space="preserve">CEO of </w:t>
      </w:r>
      <w:proofErr w:type="gramStart"/>
      <w:r w:rsidRPr="00684772">
        <w:rPr>
          <w:rStyle w:val="StyleBoldUnderline"/>
        </w:rPr>
        <w:t>WuXi</w:t>
      </w:r>
      <w:proofErr w:type="gramEnd"/>
      <w:r w:rsidRPr="00684772">
        <w:rPr>
          <w:rStyle w:val="StyleBoldUnderline"/>
        </w:rPr>
        <w:t xml:space="preserve"> AppTec. “The China Precision Medicine Cloud aims to harness unique strengths to accelerate innovation. This collaboration is a direct extension of the WuXi commitment to services with high clinical impact, leveraging big data to create the one kind of value that matters: benefit for people and patients.”</w:t>
      </w:r>
      <w:r>
        <w:rPr>
          <w:sz w:val="18"/>
        </w:rPr>
        <w:t xml:space="preserve"> “We are focused on unlocking the full potential of precision medicine in China,” said Hannes Smarason, COO of </w:t>
      </w:r>
      <w:proofErr w:type="gramStart"/>
      <w:r>
        <w:rPr>
          <w:sz w:val="18"/>
        </w:rPr>
        <w:t>WuXi</w:t>
      </w:r>
      <w:proofErr w:type="gramEnd"/>
      <w:r>
        <w:rPr>
          <w:sz w:val="18"/>
        </w:rPr>
        <w:t xml:space="preserve"> NextCODE. “This is a big data challenge, and what we are creating here is the fusion of the largest scale genomics platform and the leading China cloud network. It is a win-win for China Precision Medicine and its impact here and around the world.”</w:t>
      </w:r>
    </w:p>
    <w:p w:rsidR="00FD4167" w:rsidRDefault="00FD4167" w:rsidP="00FD4167">
      <w:pPr>
        <w:pStyle w:val="Heading4"/>
      </w:pPr>
      <w:r>
        <w:t xml:space="preserve">SQ solves- China developed their rural medical infrastructure after the SARS outbreak. </w:t>
      </w:r>
    </w:p>
    <w:p w:rsidR="00FD4167" w:rsidRDefault="00FD4167" w:rsidP="00FD4167">
      <w:pPr>
        <w:rPr>
          <w:sz w:val="18"/>
        </w:rPr>
      </w:pPr>
      <w:r w:rsidRPr="00071BC8">
        <w:rPr>
          <w:rStyle w:val="Style13ptBold"/>
        </w:rPr>
        <w:t>Nofri 15</w:t>
      </w:r>
      <w:r>
        <w:rPr>
          <w:sz w:val="18"/>
        </w:rPr>
        <w:t xml:space="preserve"> (Edoardo Maria, He received his education in Liceo Classico Galileo (Classical Lyceum) located in the hearth of the “cradle of Renaissance”.  In 2014 he obtained the Bachelor of Business Administration and Management. Nowadays, he is a second year Master of Science in International Management student at Bocconi University (Milan, Italy). In particular, he takes part to a Double Degree program held jointly by Bocconi University and Fudan University.) Nov 13, 2015 [http://www.albertoforchielli.com/2015/11/13/the-chinese-healthcare-system-how-it-works-and-future-trends/] Accessed: 7/18/16 LGF</w:t>
      </w:r>
    </w:p>
    <w:p w:rsidR="00FD4167" w:rsidRDefault="00FD4167" w:rsidP="00FD4167">
      <w:pPr>
        <w:rPr>
          <w:sz w:val="18"/>
        </w:rPr>
      </w:pPr>
      <w:r>
        <w:rPr>
          <w:sz w:val="18"/>
        </w:rPr>
        <w:t xml:space="preserve">In recent years, especially </w:t>
      </w:r>
      <w:r w:rsidRPr="00E66866">
        <w:rPr>
          <w:rStyle w:val="StyleBoldUnderline"/>
        </w:rPr>
        <w:t>since the SARS outbreak in 2003, healthcare reform, primarily in the rural regions of China, has received unprecedented attention from the central government</w:t>
      </w:r>
      <w:r>
        <w:rPr>
          <w:sz w:val="18"/>
        </w:rPr>
        <w:t xml:space="preserve">. While </w:t>
      </w:r>
      <w:r w:rsidRPr="00E66866">
        <w:rPr>
          <w:rStyle w:val="StyleBoldUnderline"/>
        </w:rPr>
        <w:t>a rural health insurance system</w:t>
      </w:r>
      <w:r>
        <w:rPr>
          <w:sz w:val="18"/>
        </w:rPr>
        <w:t xml:space="preserve"> had existed in China prior to its economic reforms, it </w:t>
      </w:r>
      <w:r w:rsidRPr="00E66866">
        <w:rPr>
          <w:rStyle w:val="StyleBoldUnderline"/>
        </w:rPr>
        <w:t>floundered during the early 1980s primarily because of the collapse of the rural collective economy</w:t>
      </w:r>
      <w:r>
        <w:rPr>
          <w:sz w:val="18"/>
        </w:rPr>
        <w:t>. As a result, some 90% of the rural population was left without any type of health insurance coverage</w:t>
      </w:r>
      <w:r w:rsidRPr="00E66866">
        <w:rPr>
          <w:rStyle w:val="StyleBoldUnderline"/>
        </w:rPr>
        <w:t>. In 2003, the State Council issued the decision to further enhance the rural health care system, aimed at re-establishing the new rural cooperative medical insurance</w:t>
      </w:r>
      <w:r>
        <w:rPr>
          <w:sz w:val="18"/>
        </w:rPr>
        <w:t xml:space="preserve"> (NRCM). The NRCM scheme covered the rural residents on a voluntary basis in order to avoid impoverishment caused by catastrophic expenses from infectious and endemic diseases. The NRCM was piloted in 2003 in selected counties. </w:t>
      </w:r>
      <w:r w:rsidRPr="00E66866">
        <w:rPr>
          <w:rStyle w:val="StyleBoldUnderline"/>
        </w:rPr>
        <w:t>In 2010, the NRCM covered more than 90% of all rural residents. The NRCM was funded by premiums from both the insured and by subsidies from the local and central governments. This was the first time that Beijing had allocated funds from the central government budget to support a rural health insurance plan. The NRCM provides partial coverage for all kinds of medical expenses, excluding some outpatient expenses and drug expenses</w:t>
      </w:r>
      <w:r>
        <w:rPr>
          <w:sz w:val="18"/>
        </w:rPr>
        <w:t>. The reimbursement caps vary by local economic development levels. The initiation and expansion of the NRCM diminished the disparities in health insurance coverage; however, it is still unknown whether the expansion helped reduce disparities in other healthcare areas, such as healthcare utilization and cost.</w:t>
      </w:r>
    </w:p>
    <w:p w:rsidR="00A95652" w:rsidRPr="008C1B2E" w:rsidRDefault="00A95652" w:rsidP="008C1B2E">
      <w:bookmarkStart w:id="0" w:name="_GoBack"/>
      <w:bookmarkEnd w:id="0"/>
    </w:p>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Lauryn Falkenstein"/>
    <w:docVar w:name="RibbonPointer" w:val="148602888"/>
    <w:docVar w:name="VerbatimVersion" w:val="5.0"/>
  </w:docVars>
  <w:rsids>
    <w:rsidRoot w:val="00FD4167"/>
    <w:rsid w:val="00005987"/>
    <w:rsid w:val="000139A3"/>
    <w:rsid w:val="000B028F"/>
    <w:rsid w:val="000C5FD6"/>
    <w:rsid w:val="00100833"/>
    <w:rsid w:val="00104529"/>
    <w:rsid w:val="00177B7D"/>
    <w:rsid w:val="0018322D"/>
    <w:rsid w:val="001B5776"/>
    <w:rsid w:val="00251FC7"/>
    <w:rsid w:val="002855A7"/>
    <w:rsid w:val="00315690"/>
    <w:rsid w:val="00325646"/>
    <w:rsid w:val="00365A06"/>
    <w:rsid w:val="003902BA"/>
    <w:rsid w:val="003A09E2"/>
    <w:rsid w:val="00407037"/>
    <w:rsid w:val="004605D6"/>
    <w:rsid w:val="00465CB2"/>
    <w:rsid w:val="004B2DE1"/>
    <w:rsid w:val="004C60E8"/>
    <w:rsid w:val="004E3579"/>
    <w:rsid w:val="004F39E0"/>
    <w:rsid w:val="00521E0F"/>
    <w:rsid w:val="00537BD5"/>
    <w:rsid w:val="005C0018"/>
    <w:rsid w:val="006065BD"/>
    <w:rsid w:val="00665003"/>
    <w:rsid w:val="006E7ADC"/>
    <w:rsid w:val="007F5B66"/>
    <w:rsid w:val="00823A1C"/>
    <w:rsid w:val="00826B46"/>
    <w:rsid w:val="00845B9D"/>
    <w:rsid w:val="00860984"/>
    <w:rsid w:val="008A3B5D"/>
    <w:rsid w:val="008B3ECB"/>
    <w:rsid w:val="008C1B2E"/>
    <w:rsid w:val="0091627E"/>
    <w:rsid w:val="009E1922"/>
    <w:rsid w:val="00A93661"/>
    <w:rsid w:val="00A95652"/>
    <w:rsid w:val="00AD6826"/>
    <w:rsid w:val="00B33C6D"/>
    <w:rsid w:val="00B4508F"/>
    <w:rsid w:val="00B52199"/>
    <w:rsid w:val="00B8057C"/>
    <w:rsid w:val="00BF593B"/>
    <w:rsid w:val="00C83417"/>
    <w:rsid w:val="00CD736E"/>
    <w:rsid w:val="00CE161E"/>
    <w:rsid w:val="00CF59A8"/>
    <w:rsid w:val="00D325A9"/>
    <w:rsid w:val="00D36A8A"/>
    <w:rsid w:val="00D71170"/>
    <w:rsid w:val="00D82769"/>
    <w:rsid w:val="00DA6538"/>
    <w:rsid w:val="00E15917"/>
    <w:rsid w:val="00EA4FB5"/>
    <w:rsid w:val="00ED30CF"/>
    <w:rsid w:val="00F176EF"/>
    <w:rsid w:val="00FD416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7F850-62A2-4747-B35D-FFF1D2135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D4167"/>
    <w:rPr>
      <w:rFonts w:ascii="Cambria Math" w:hAnsi="Cambria Math"/>
    </w:rPr>
  </w:style>
  <w:style w:type="paragraph" w:styleId="Heading1">
    <w:name w:val="heading 1"/>
    <w:aliases w:val="Pocket"/>
    <w:basedOn w:val="Normal"/>
    <w:next w:val="Normal"/>
    <w:link w:val="Heading1Char"/>
    <w:autoRedefine/>
    <w:qFormat/>
    <w:rsid w:val="00FD41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D41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D41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No Spacing111111,tags"/>
    <w:basedOn w:val="Normal"/>
    <w:next w:val="Normal"/>
    <w:link w:val="Heading4Char"/>
    <w:autoRedefine/>
    <w:uiPriority w:val="3"/>
    <w:unhideWhenUsed/>
    <w:qFormat/>
    <w:rsid w:val="00FD4167"/>
    <w:pPr>
      <w:keepNext/>
      <w:keepLines/>
      <w:spacing w:before="40" w:after="0"/>
      <w:outlineLvl w:val="3"/>
    </w:pPr>
    <w:rPr>
      <w:rFonts w:ascii="Arial" w:eastAsiaTheme="majorEastAsia" w:hAnsi="Arial" w:cs="Arial"/>
      <w:b/>
      <w:iCs/>
      <w:sz w:val="26"/>
      <w:szCs w:val="18"/>
      <w:lang w:val="en"/>
    </w:rPr>
  </w:style>
  <w:style w:type="character" w:default="1" w:styleId="DefaultParagraphFont">
    <w:name w:val="Default Paragraph Font"/>
    <w:uiPriority w:val="1"/>
    <w:semiHidden/>
    <w:unhideWhenUsed/>
    <w:rsid w:val="00FD41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4167"/>
  </w:style>
  <w:style w:type="character" w:customStyle="1" w:styleId="Heading1Char">
    <w:name w:val="Heading 1 Char"/>
    <w:aliases w:val="Pocket Char"/>
    <w:basedOn w:val="DefaultParagraphFont"/>
    <w:link w:val="Heading1"/>
    <w:rsid w:val="00FD4167"/>
    <w:rPr>
      <w:rFonts w:ascii="Cambria Math" w:eastAsiaTheme="majorEastAsia" w:hAnsi="Cambria Math" w:cstheme="majorBidi"/>
      <w:b/>
      <w:sz w:val="52"/>
      <w:szCs w:val="32"/>
    </w:rPr>
  </w:style>
  <w:style w:type="character" w:customStyle="1" w:styleId="Heading2Char">
    <w:name w:val="Heading 2 Char"/>
    <w:aliases w:val="Hat Char"/>
    <w:basedOn w:val="DefaultParagraphFont"/>
    <w:link w:val="Heading2"/>
    <w:uiPriority w:val="1"/>
    <w:rsid w:val="00FD4167"/>
    <w:rPr>
      <w:rFonts w:ascii="Cambria Math" w:eastAsiaTheme="majorEastAsia" w:hAnsi="Cambria Math" w:cstheme="majorBidi"/>
      <w:b/>
      <w:sz w:val="44"/>
      <w:szCs w:val="26"/>
      <w:u w:val="double"/>
    </w:rPr>
  </w:style>
  <w:style w:type="character" w:customStyle="1" w:styleId="Heading3Char">
    <w:name w:val="Heading 3 Char"/>
    <w:aliases w:val="Block Char"/>
    <w:basedOn w:val="DefaultParagraphFont"/>
    <w:link w:val="Heading3"/>
    <w:uiPriority w:val="2"/>
    <w:rsid w:val="00FD4167"/>
    <w:rPr>
      <w:rFonts w:ascii="Cambria Math" w:eastAsiaTheme="majorEastAsia" w:hAnsi="Cambria Math"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D4167"/>
    <w:rPr>
      <w:rFonts w:ascii="Arial" w:eastAsiaTheme="majorEastAsia" w:hAnsi="Arial" w:cs="Arial"/>
      <w:b/>
      <w:iCs/>
      <w:sz w:val="26"/>
      <w:szCs w:val="18"/>
      <w:lang w:val="en"/>
    </w:rPr>
  </w:style>
  <w:style w:type="character" w:styleId="Emphasis">
    <w:name w:val="Emphasis"/>
    <w:basedOn w:val="DefaultParagraphFont"/>
    <w:uiPriority w:val="7"/>
    <w:qFormat/>
    <w:rsid w:val="00FD4167"/>
    <w:rPr>
      <w:rFonts w:ascii="Cambria Math" w:hAnsi="Cambria Math"/>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D4167"/>
    <w:rPr>
      <w:b/>
      <w:bCs/>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c,Title Char,Bo"/>
    <w:basedOn w:val="DefaultParagraphFont"/>
    <w:uiPriority w:val="6"/>
    <w:qFormat/>
    <w:rsid w:val="00FD4167"/>
    <w:rPr>
      <w:b/>
      <w:sz w:val="22"/>
      <w:u w:val="single"/>
    </w:rPr>
  </w:style>
  <w:style w:type="character" w:styleId="Hyperlink">
    <w:name w:val="Hyperlink"/>
    <w:basedOn w:val="DefaultParagraphFont"/>
    <w:uiPriority w:val="99"/>
    <w:semiHidden/>
    <w:unhideWhenUsed/>
    <w:rsid w:val="00FD4167"/>
    <w:rPr>
      <w:color w:val="auto"/>
      <w:u w:val="none"/>
    </w:rPr>
  </w:style>
  <w:style w:type="character" w:styleId="FollowedHyperlink">
    <w:name w:val="FollowedHyperlink"/>
    <w:basedOn w:val="DefaultParagraphFont"/>
    <w:uiPriority w:val="99"/>
    <w:semiHidden/>
    <w:unhideWhenUsed/>
    <w:rsid w:val="00FD416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y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Lauryn Falkenstein</dc:creator>
  <cp:keywords>5.0</cp:keywords>
  <dc:description/>
  <cp:lastModifiedBy>Lauryn Falkenstein</cp:lastModifiedBy>
  <cp:revision>1</cp:revision>
  <dcterms:created xsi:type="dcterms:W3CDTF">2016-07-18T21:10:00Z</dcterms:created>
  <dcterms:modified xsi:type="dcterms:W3CDTF">2016-07-18T21:14:00Z</dcterms:modified>
</cp:coreProperties>
</file>