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9EE" w:rsidRDefault="002469EE" w:rsidP="002469EE">
      <w:pPr>
        <w:pStyle w:val="Heading4"/>
      </w:pPr>
      <w:r>
        <w:t xml:space="preserve">Affect good. </w:t>
      </w:r>
    </w:p>
    <w:p w:rsidR="002469EE" w:rsidRPr="00841C33"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pPr>
        <w:rPr>
          <w:rStyle w:val="StyleUnderline"/>
        </w:rPr>
      </w:pPr>
      <w:r w:rsidRPr="00841C33">
        <w:t xml:space="preserve">For the purposes of this book, </w:t>
      </w:r>
      <w:r w:rsidRPr="00841C33">
        <w:rPr>
          <w:rStyle w:val="StyleUnderline"/>
        </w:rPr>
        <w:t>I define affect without</w:t>
      </w:r>
      <w:r w:rsidRPr="00841C33">
        <w:t xml:space="preserve"> necessary</w:t>
      </w:r>
      <w:r>
        <w:t xml:space="preserve"> </w:t>
      </w:r>
      <w:r w:rsidRPr="00841C33">
        <w:rPr>
          <w:rStyle w:val="StyleUnderline"/>
        </w:rPr>
        <w:t>restriction, that is, I include the notion that affect is something not necessarily corporeal and that it potentially engages many bodies at once, rather than</w:t>
      </w:r>
      <w:r w:rsidRPr="00841C33">
        <w:t xml:space="preserve"> (only) </w:t>
      </w:r>
      <w:r w:rsidRPr="00841C33">
        <w:rPr>
          <w:rStyle w:val="StyleUnderline"/>
        </w:rPr>
        <w:t>being contained as an emotion within a single body. Affect inheres in the capacity to affect and be affected</w:t>
      </w:r>
      <w:r w:rsidRPr="00841C33">
        <w:t xml:space="preserve">. Yet </w:t>
      </w:r>
      <w:r w:rsidRPr="00841C33">
        <w:rPr>
          <w:rStyle w:val="StyleUnderline"/>
        </w:rPr>
        <w:t>I am also interested in the relatively subjective, individually held “emotion” or “feeling.”</w:t>
      </w:r>
      <w:r w:rsidRPr="00841C33">
        <w:t xml:space="preserve"> </w:t>
      </w:r>
      <w:r w:rsidRPr="00841C33">
        <w:rPr>
          <w:rStyle w:val="StyleUnderline"/>
        </w:rPr>
        <w:t>While I prioritize the former, I also attend to the latter (with cautions about its true possessibility) precisely because, in the case of environmental illness or multiple chemical sensitivity, the entry of an exterior object not only influences the further affectivity 12 of an intoxicated human body, but “emotions” that body: it lends it particular emotions or feelings as against others</w:t>
      </w:r>
      <w:r w:rsidRPr="00841C33">
        <w:t>. I take my cue from</w:t>
      </w:r>
      <w:r>
        <w:t xml:space="preserve"> </w:t>
      </w:r>
      <w:r w:rsidRPr="00841C33">
        <w:t xml:space="preserve">Sara Ahmed’s notion of “affective economies,” in which </w:t>
      </w:r>
      <w:r w:rsidRPr="00841C33">
        <w:rPr>
          <w:rStyle w:val="StyleUnderline"/>
        </w:rPr>
        <w:t>specific emotions play roles in binding subjects and objects</w:t>
      </w:r>
      <w:r w:rsidRPr="00841C33">
        <w:t>. She writes, “</w:t>
      </w:r>
      <w:r w:rsidRPr="00841C33">
        <w:rPr>
          <w:rStyle w:val="StyleUnderline"/>
        </w:rPr>
        <w:t>emotions involve subjects and objects, but without residing positively within them. Indeed, emotions may seem like a force of residence as an effect of a certain history, a history that may operate by concealing its own traces</w:t>
      </w:r>
      <w:r w:rsidRPr="00841C33">
        <w:t xml:space="preserve">.”25 </w:t>
      </w:r>
      <w:r w:rsidRPr="00841C33">
        <w:rPr>
          <w:rStyle w:val="StyleUnderline"/>
        </w:rPr>
        <w:t>The traces I examine in this book are those of animate hierarchies. If affect includes affectivity—how one body affects another— then affect, in this book, becomes a study of the governmentality of animate hierarchies, an examination of how acts seem to operate with, or against, the order of things</w:t>
      </w:r>
      <w:r w:rsidRPr="00841C33">
        <w:t xml:space="preserve"> (to appropriate Foucault’s phrasing for</w:t>
      </w:r>
      <w:r>
        <w:t xml:space="preserve"> </w:t>
      </w:r>
      <w:r w:rsidRPr="00841C33">
        <w:t>different purposes).26</w:t>
      </w:r>
      <w:r>
        <w:t xml:space="preserve"> </w:t>
      </w:r>
      <w:r w:rsidRPr="00841C33">
        <w:rPr>
          <w:rStyle w:val="StyleUnderline"/>
        </w:rPr>
        <w:t>Queer theory</w:t>
      </w:r>
      <w:r w:rsidRPr="00841C33">
        <w:t>, building upon feminism’s critique of gender difference,</w:t>
      </w:r>
      <w:r>
        <w:t xml:space="preserve"> </w:t>
      </w:r>
      <w:r w:rsidRPr="00841C33">
        <w:t>has been at the forefront of recalibrating many categories of</w:t>
      </w:r>
      <w:r>
        <w:t xml:space="preserve"> </w:t>
      </w:r>
      <w:r w:rsidRPr="00841C33">
        <w:t xml:space="preserve">difference, and it </w:t>
      </w:r>
      <w:r w:rsidRPr="00841C33">
        <w:rPr>
          <w:rStyle w:val="StyleUnderline"/>
        </w:rPr>
        <w:t>has further rewritten how we understand affect, especially with regard to trauma, death, mourning, shame, loss, impossibility, and intimacy</w:t>
      </w:r>
      <w:r w:rsidRPr="00841C33">
        <w:t xml:space="preserve"> (not least because of the impact of the hiv/</w:t>
      </w:r>
      <w:r>
        <w:t xml:space="preserve"> </w:t>
      </w:r>
      <w:r w:rsidRPr="00841C33">
        <w:t>aids crisis); key thinkers here include Ann Cvetkovich, Lauren Berlant,</w:t>
      </w:r>
      <w:r>
        <w:t xml:space="preserve"> </w:t>
      </w:r>
      <w:r w:rsidRPr="00841C33">
        <w:t>Heather Love, and Lee Edelman, among others.27 As will be demonstrated,</w:t>
      </w:r>
      <w:r>
        <w:t xml:space="preserve"> </w:t>
      </w:r>
      <w:r w:rsidRPr="006902BB">
        <w:rPr>
          <w:rStyle w:val="StyleUnderline"/>
        </w:rPr>
        <w:t>these are all terms that intersect in productive ways with animacy</w:t>
      </w:r>
      <w:r w:rsidRPr="00841C33">
        <w:t xml:space="preserve">. Thus, </w:t>
      </w:r>
      <w:r w:rsidRPr="006902BB">
        <w:rPr>
          <w:rStyle w:val="StyleUnderline"/>
        </w:rPr>
        <w:t>this book fixes particular attention on queer theoretical questions of intimacy, sexuality, and connectivity; critical race work on the flexible zones of extension of race, the ways that raciality circulates transnationally, and the intersections of race and environment; the staging of animals to displace racial and sexual questions; disability studies questions about toxicity and recuperation; environmental justice connections between environmentally condemned marginalized communities and the toxins conferred upon them; and queer of color mappings of race and sexuality in “unlikely” places.</w:t>
      </w:r>
    </w:p>
    <w:p w:rsidR="002469EE" w:rsidRDefault="002469EE" w:rsidP="002469EE">
      <w:pPr>
        <w:rPr>
          <w:rStyle w:val="StyleUnderline"/>
        </w:rPr>
      </w:pPr>
    </w:p>
    <w:p w:rsidR="002469EE" w:rsidRPr="002469EE" w:rsidRDefault="002469EE" w:rsidP="002469EE">
      <w:pPr>
        <w:pStyle w:val="Heading4"/>
      </w:pPr>
      <w:r>
        <w:t>We were always already an understanding of capitalism within the matrices of control.</w:t>
      </w:r>
    </w:p>
    <w:p w:rsidR="002469EE" w:rsidRPr="00841C33"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833E43">
        <w:t xml:space="preserve">So, </w:t>
      </w:r>
      <w:r w:rsidRPr="00833E43">
        <w:rPr>
          <w:rStyle w:val="StyleUnderline"/>
        </w:rPr>
        <w:t>the story of lead, a story of toxicity, security, and nationality, is also necessarily about labor</w:t>
      </w:r>
      <w:r w:rsidRPr="00833E43">
        <w:t xml:space="preserve">: </w:t>
      </w:r>
      <w:r w:rsidRPr="00833E43">
        <w:rPr>
          <w:rStyle w:val="StyleUnderline"/>
        </w:rPr>
        <w:t>when it is registered, and when it is hidden, and who pays what kind of attention to whose labor. The regular erasure, or continued invisibility, in the lead narratives of the textile sweatshops, device assemblers, and toy painters, who are largely young women who have migrated into the Chinese cities from rural satellites, renders quite ironic the care work that is so poignantly provided by the toys—and transitively by the women who make them</w:t>
      </w:r>
      <w:r w:rsidRPr="00833E43">
        <w:t>.</w:t>
      </w:r>
      <w:r>
        <w:t xml:space="preserve"> </w:t>
      </w:r>
      <w:r w:rsidRPr="00833E43">
        <w:t>The transitive criminalization of Chinese toy assemblers is all the</w:t>
      </w:r>
      <w:r>
        <w:t xml:space="preserve"> </w:t>
      </w:r>
      <w:r w:rsidRPr="00833E43">
        <w:t>more ironic when we consider the routinization of childcare inside</w:t>
      </w:r>
      <w:r>
        <w:t xml:space="preserve"> </w:t>
      </w:r>
      <w:r w:rsidRPr="00833E43">
        <w:t>the United States by African Americans and immigrants from Central</w:t>
      </w:r>
      <w:r>
        <w:t xml:space="preserve"> </w:t>
      </w:r>
      <w:r w:rsidRPr="00833E43">
        <w:t>and South America, the Philippines, South Asia, the Caribbean,</w:t>
      </w:r>
      <w:r>
        <w:t xml:space="preserve"> </w:t>
      </w:r>
      <w:r w:rsidRPr="00833E43">
        <w:t>and elsewhere, for middle- class parents of all ethnicities.42 In some</w:t>
      </w:r>
      <w:r>
        <w:t xml:space="preserve"> </w:t>
      </w:r>
      <w:r w:rsidRPr="00833E43">
        <w:t>respects, the economy itself and changing kinship structures have increasingly</w:t>
      </w:r>
      <w:r>
        <w:t xml:space="preserve"> </w:t>
      </w:r>
      <w:r w:rsidRPr="00833E43">
        <w:t>meant that parents hire help while they work away from</w:t>
      </w:r>
      <w:r>
        <w:t xml:space="preserve"> </w:t>
      </w:r>
      <w:r w:rsidRPr="00833E43">
        <w:t>home, a creep of the care crisis into higher echelons of society, as</w:t>
      </w:r>
      <w:r>
        <w:t xml:space="preserve"> </w:t>
      </w:r>
      <w:r w:rsidRPr="00833E43">
        <w:t>feminist labor scholar Evelyn Nakano Glenn notes.43 From the 1980s,</w:t>
      </w:r>
      <w:r>
        <w:t xml:space="preserve"> </w:t>
      </w:r>
      <w:r w:rsidRPr="00833E43">
        <w:t>middle- class mothers increasingly joined the labor force as neoliberalism</w:t>
      </w:r>
      <w:r>
        <w:t xml:space="preserve"> </w:t>
      </w:r>
      <w:r w:rsidRPr="00833E43">
        <w:t>took hold in the racialized sphere of the care of children: as they</w:t>
      </w:r>
      <w:r>
        <w:t xml:space="preserve"> </w:t>
      </w:r>
      <w:r w:rsidRPr="00833E43">
        <w:t>increasingly left the house and their children, “mothers had to accomplish</w:t>
      </w:r>
      <w:r>
        <w:t xml:space="preserve"> </w:t>
      </w:r>
      <w:r w:rsidRPr="00833E43">
        <w:t>more intimate care in less time,” suggesting that care work be</w:t>
      </w:r>
      <w:r>
        <w:t xml:space="preserve"> </w:t>
      </w:r>
      <w:r w:rsidRPr="00833E43">
        <w:t>taken up by others in their place.44 The racial mapping of the desirable</w:t>
      </w:r>
      <w:r>
        <w:t xml:space="preserve"> </w:t>
      </w:r>
      <w:r w:rsidRPr="00833E43">
        <w:t>subjects in the United States thus occurs in the context of the erasure</w:t>
      </w:r>
      <w:r>
        <w:t xml:space="preserve"> </w:t>
      </w:r>
      <w:r w:rsidRPr="00833E43">
        <w:t>of its disposable ones; I refer here to Grace Chang’s notion of (immigrant</w:t>
      </w:r>
      <w:r>
        <w:t xml:space="preserve"> </w:t>
      </w:r>
      <w:r w:rsidRPr="00833E43">
        <w:t>female) “disposable domestics.”45</w:t>
      </w:r>
    </w:p>
    <w:p w:rsidR="002469EE" w:rsidRDefault="002469EE" w:rsidP="002469EE"/>
    <w:p w:rsidR="002469EE" w:rsidRDefault="002469EE" w:rsidP="002469EE">
      <w:pPr>
        <w:pStyle w:val="Heading4"/>
      </w:pPr>
      <w:r>
        <w:t xml:space="preserve">We are an understanding of capitalism. </w:t>
      </w:r>
    </w:p>
    <w:p w:rsidR="002469EE" w:rsidRPr="000B0EE1"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Pr="004B11B2" w:rsidRDefault="002469EE" w:rsidP="002469EE">
      <w:pPr>
        <w:rPr>
          <w:rStyle w:val="StyleUnderline"/>
        </w:rPr>
      </w:pPr>
      <w:r w:rsidRPr="002D3C54">
        <w:t>I referred earlier to a mode of transmission—from contaminated</w:t>
      </w:r>
      <w:r>
        <w:t xml:space="preserve"> </w:t>
      </w:r>
      <w:r w:rsidRPr="002D3C54">
        <w:t xml:space="preserve">toy to child—as one of transitivity. </w:t>
      </w:r>
      <w:r w:rsidRPr="004B11B2">
        <w:rPr>
          <w:rStyle w:val="StyleUnderline"/>
        </w:rPr>
        <w:t>For the late- capitalist, high consumption, and highly networked sectors of the world, transitivity has arguably become a default mode not only of representation but of world- relating</w:t>
      </w:r>
      <w:r w:rsidRPr="002D3C54">
        <w:t>. The asymmetry of this world</w:t>
      </w:r>
      <w:r w:rsidRPr="004B11B2">
        <w:rPr>
          <w:rStyle w:val="StyleUnderline"/>
        </w:rPr>
        <w:t>- relation is no barrier to the toxic effectivity of simmering racial panics. The sphere of the world that is well rehearsed in the flow of transnational commodities, services, and communications has become the perfect “host” for such transitivity</w:t>
      </w:r>
      <w:r w:rsidRPr="002D3C54">
        <w:t>, or at least the collapsing of transitive relations into conceptualizations</w:t>
      </w:r>
      <w:r>
        <w:t xml:space="preserve"> </w:t>
      </w:r>
      <w:r w:rsidRPr="002D3C54">
        <w:t xml:space="preserve">of immediate contact. Patricia </w:t>
      </w:r>
      <w:r w:rsidRPr="004B11B2">
        <w:rPr>
          <w:rStyle w:val="StyleUnderline"/>
        </w:rPr>
        <w:t>Clough,</w:t>
      </w:r>
      <w:r w:rsidRPr="002D3C54">
        <w:t xml:space="preserve"> </w:t>
      </w:r>
      <w:r w:rsidRPr="004B11B2">
        <w:rPr>
          <w:rStyle w:val="StyleUnderline"/>
        </w:rPr>
        <w:t>in her theorization of the complex, even nonhuman, agencies and affects</w:t>
      </w:r>
      <w:r w:rsidRPr="002D3C54">
        <w:t xml:space="preserve"> participating</w:t>
      </w:r>
      <w:r>
        <w:t xml:space="preserve"> </w:t>
      </w:r>
      <w:r w:rsidRPr="002D3C54">
        <w:t>in television and computer- consuming information societies,</w:t>
      </w:r>
      <w:r>
        <w:t xml:space="preserve"> </w:t>
      </w:r>
      <w:r w:rsidRPr="002D3C54">
        <w:t xml:space="preserve">aptly </w:t>
      </w:r>
      <w:r w:rsidRPr="004B11B2">
        <w:rPr>
          <w:rStyle w:val="StyleUnderline"/>
        </w:rPr>
        <w:t>writes that “even as the transnational or the global become visible, proposing themselves as far- flung extensions of social structure, they are ungrounded by that upon which they depend: the speed of the exchange of information, capital, bodies, and abstract knowledge and the vulnerability of exposure to media event- ness.”46</w:t>
      </w:r>
    </w:p>
    <w:p w:rsidR="002469EE" w:rsidRDefault="002469EE" w:rsidP="002469EE"/>
    <w:p w:rsidR="002469EE" w:rsidRDefault="002469EE" w:rsidP="002469EE">
      <w:pPr>
        <w:pStyle w:val="Heading4"/>
      </w:pPr>
      <w:r>
        <w:t xml:space="preserve">queerness + disability perm. </w:t>
      </w:r>
    </w:p>
    <w:p w:rsidR="002469EE" w:rsidRPr="00841C33"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DD58E1">
        <w:t>Let me return to the visual symbolic of media coverage of lead toxicity.</w:t>
      </w:r>
      <w:r>
        <w:t xml:space="preserve"> </w:t>
      </w:r>
      <w:r w:rsidRPr="00DD58E1">
        <w:t>The florid palette of toy- panic images yielded two prominent</w:t>
      </w:r>
      <w:r>
        <w:t xml:space="preserve"> </w:t>
      </w:r>
      <w:r w:rsidRPr="00DD58E1">
        <w:t>and repeating icons. The media representations favored a pairing of</w:t>
      </w:r>
      <w:r>
        <w:t xml:space="preserve"> </w:t>
      </w:r>
      <w:r w:rsidRPr="00DD58E1">
        <w:t>images: on the one hand, the vulnerable child, more frequently a</w:t>
      </w:r>
      <w:r>
        <w:t xml:space="preserve"> </w:t>
      </w:r>
      <w:r w:rsidRPr="00DD58E1">
        <w:t>young, white, middle- class boy; and on the other hand, the dangerous</w:t>
      </w:r>
      <w:r>
        <w:t xml:space="preserve"> </w:t>
      </w:r>
      <w:r w:rsidRPr="00DD58E1">
        <w:t>party: Thomas the Tank Engine. The iconic white boy’s lead toxicity</w:t>
      </w:r>
      <w:r>
        <w:t xml:space="preserve"> </w:t>
      </w:r>
      <w:r w:rsidRPr="00DD58E1">
        <w:t>must be avoided: he should not be mentally deficient, delayed,</w:t>
      </w:r>
      <w:r>
        <w:t xml:space="preserve"> </w:t>
      </w:r>
      <w:r w:rsidRPr="00DD58E1">
        <w:t>or lethargic. His intellectual capabilities must be assured to consolidate</w:t>
      </w:r>
      <w:r>
        <w:t xml:space="preserve"> </w:t>
      </w:r>
      <w:r w:rsidRPr="00DD58E1">
        <w:t>a futurity of heteronormative (white) masculinity; that is to say,</w:t>
      </w:r>
      <w:r>
        <w:t xml:space="preserve"> </w:t>
      </w:r>
      <w:r w:rsidRPr="00DD58E1">
        <w:t xml:space="preserve">he must not be queer. This is not only because one of </w:t>
      </w:r>
      <w:r w:rsidRPr="004B11B2">
        <w:rPr>
          <w:rStyle w:val="StyleUnderline"/>
        </w:rPr>
        <w:t>lead’s toxicities</w:t>
      </w:r>
      <w:r>
        <w:t xml:space="preserve"> </w:t>
      </w:r>
      <w:r w:rsidRPr="00DD58E1">
        <w:t xml:space="preserve">reported by the Centers for Disease Control and Prevention </w:t>
      </w:r>
      <w:r w:rsidRPr="004B11B2">
        <w:rPr>
          <w:rStyle w:val="StyleUnderline"/>
        </w:rPr>
        <w:t>is reproductive disability and infertility;</w:t>
      </w:r>
      <w:r w:rsidRPr="00DD58E1">
        <w:t xml:space="preserve"> I suggest here that one aspect</w:t>
      </w:r>
      <w:r>
        <w:t xml:space="preserve"> </w:t>
      </w:r>
      <w:r w:rsidRPr="00DD58E1">
        <w:t>of the threat of lead toxicity is its origin in a forbidden sexuality, for</w:t>
      </w:r>
      <w:r>
        <w:t xml:space="preserve"> </w:t>
      </w:r>
      <w:r w:rsidRPr="00DD58E1">
        <w:t>the frightening originary scene of intoxication is one of a queer licking.</w:t>
      </w:r>
      <w:r>
        <w:t xml:space="preserve"> </w:t>
      </w:r>
      <w:r w:rsidRPr="004B11B2">
        <w:rPr>
          <w:rStyle w:val="StyleUnderline"/>
        </w:rPr>
        <w:t>Here again is the example of the white boy, who in the threatening and frightening scene is precisely licking the painted train, a train whose name is Thomas</w:t>
      </w:r>
      <w:r w:rsidRPr="00DD58E1">
        <w:t>, a train that is also one of the West’s preeminent</w:t>
      </w:r>
      <w:r>
        <w:t xml:space="preserve"> </w:t>
      </w:r>
      <w:r w:rsidRPr="00DD58E1">
        <w:t>Freudian phallic icons.59 This image of a boy licking the train,</w:t>
      </w:r>
      <w:r>
        <w:t xml:space="preserve"> </w:t>
      </w:r>
      <w:r w:rsidRPr="00DD58E1">
        <w:t>though clearly the feared scene of contamination, never appears literally,</w:t>
      </w:r>
      <w:r>
        <w:t xml:space="preserve"> </w:t>
      </w:r>
      <w:r w:rsidRPr="00DD58E1">
        <w:t>or least I have not found it appearing literally; rather, if a boy</w:t>
      </w:r>
      <w:r>
        <w:t xml:space="preserve"> </w:t>
      </w:r>
      <w:r w:rsidRPr="00DD58E1">
        <w:t>and a train are present, the boy and the train are depicted proximately,</w:t>
      </w:r>
      <w:r>
        <w:t xml:space="preserve"> </w:t>
      </w:r>
      <w:r w:rsidRPr="00DD58E1">
        <w:t>and that is enough to represent the threat (the licking boy would be</w:t>
      </w:r>
      <w:r>
        <w:t xml:space="preserve"> </w:t>
      </w:r>
      <w:r w:rsidRPr="00DD58E1">
        <w:t>too much, would too directly represent the forbidden). But suggestions</w:t>
      </w:r>
      <w:r>
        <w:t xml:space="preserve"> </w:t>
      </w:r>
      <w:r w:rsidRPr="00DD58E1">
        <w:t>are sometimes loaded onto the proximities. In one representative</w:t>
      </w:r>
      <w:r>
        <w:t xml:space="preserve"> </w:t>
      </w:r>
      <w:r w:rsidRPr="00DD58E1">
        <w:t>image from a website alerting its readers to rc2’s recall of Thomas</w:t>
      </w:r>
      <w:r>
        <w:t xml:space="preserve"> </w:t>
      </w:r>
      <w:r w:rsidRPr="00DD58E1">
        <w:t>the Tank Engine trains, we see the head and chest of a blond boy lying</w:t>
      </w:r>
      <w:r>
        <w:t xml:space="preserve"> </w:t>
      </w:r>
      <w:r w:rsidRPr="00DD58E1">
        <w:t>alongside a train that is in the foreground. The boy’s moist lips are</w:t>
      </w:r>
      <w:r>
        <w:t xml:space="preserve"> </w:t>
      </w:r>
      <w:r w:rsidRPr="00DD58E1">
        <w:t>parted and smiling, his eyes intent and alert; he grasps a dark- hued</w:t>
      </w:r>
      <w:r>
        <w:t xml:space="preserve"> </w:t>
      </w:r>
      <w:r w:rsidRPr="00DD58E1">
        <w:t>train car with his right hand, gazing slightly upward at it. The other</w:t>
      </w:r>
      <w:r>
        <w:t xml:space="preserve"> </w:t>
      </w:r>
      <w:r w:rsidRPr="00DD58E1">
        <w:t>cars, receding toward the camera, fall out of focus. The scene is—at</w:t>
      </w:r>
      <w:r>
        <w:t xml:space="preserve"> </w:t>
      </w:r>
      <w:r w:rsidRPr="00DD58E1">
        <w:t>the very least—physically and emotionally intimate, pleasurable, and</w:t>
      </w:r>
      <w:r>
        <w:t xml:space="preserve"> </w:t>
      </w:r>
      <w:r w:rsidRPr="00DD58E1">
        <w:t>desirous.60</w:t>
      </w:r>
      <w:r>
        <w:t xml:space="preserve"> </w:t>
      </w:r>
      <w:r w:rsidRPr="00DD58E1">
        <w:t>On its website, the Centers for Disease Control and Prevention</w:t>
      </w:r>
      <w:r>
        <w:t xml:space="preserve"> </w:t>
      </w:r>
      <w:r w:rsidRPr="00DD58E1">
        <w:t>issued a fact sheet about lead, including the following statement under</w:t>
      </w:r>
      <w:r>
        <w:t xml:space="preserve"> </w:t>
      </w:r>
      <w:r w:rsidRPr="00DD58E1">
        <w:t>186</w:t>
      </w:r>
      <w:r>
        <w:t xml:space="preserve"> </w:t>
      </w:r>
      <w:r w:rsidRPr="00DD58E1">
        <w:t>the heading “how your child may be exposed”: “Lead is invisible to</w:t>
      </w:r>
      <w:r>
        <w:t xml:space="preserve"> </w:t>
      </w:r>
      <w:r w:rsidRPr="00DD58E1">
        <w:t>the naked eye and has no smell. Children may be exposed to it from</w:t>
      </w:r>
      <w:r>
        <w:t xml:space="preserve"> </w:t>
      </w:r>
      <w:r w:rsidRPr="00DD58E1">
        <w:t>consumer products through normal hand- to- mouth activity, which</w:t>
      </w:r>
      <w:r>
        <w:t xml:space="preserve"> </w:t>
      </w:r>
      <w:r w:rsidRPr="00DD58E1">
        <w:t>is part of their normal development. They often place toys, fingers,</w:t>
      </w:r>
      <w:r>
        <w:t xml:space="preserve"> </w:t>
      </w:r>
      <w:r w:rsidRPr="00DD58E1">
        <w:t>and other objects in their mouth, exposing themselves to lead paint or</w:t>
      </w:r>
      <w:r>
        <w:t xml:space="preserve"> </w:t>
      </w:r>
      <w:r w:rsidRPr="00DD58E1">
        <w:t>dust.”61 The language here, which means to reassure anxious parents,</w:t>
      </w:r>
      <w:r>
        <w:t xml:space="preserve"> </w:t>
      </w:r>
      <w:r w:rsidRPr="00DD58E1">
        <w:t>twice uses the word normal in describing children’s orality: their hand to-</w:t>
      </w:r>
      <w:r>
        <w:t xml:space="preserve"> </w:t>
      </w:r>
      <w:r w:rsidRPr="00DD58E1">
        <w:t>mouth activity is “normal . . . part of their normal development.”</w:t>
      </w:r>
      <w:r>
        <w:t xml:space="preserve"> </w:t>
      </w:r>
      <w:r w:rsidRPr="00DD58E1">
        <w:t>This redundancy betrays a nervousness about children, with its language</w:t>
      </w:r>
      <w:r>
        <w:t xml:space="preserve"> </w:t>
      </w:r>
      <w:r w:rsidRPr="00DD58E1">
        <w:t>of proper development and its delineation of what is or is not</w:t>
      </w:r>
      <w:r>
        <w:t xml:space="preserve"> </w:t>
      </w:r>
      <w:r w:rsidRPr="00DD58E1">
        <w:t>permissible in normal play.</w:t>
      </w:r>
      <w:r>
        <w:t xml:space="preserve"> </w:t>
      </w:r>
      <w:r w:rsidRPr="00DD58E1">
        <w:t>Returning to that fantasy that images could only approximate: what</w:t>
      </w:r>
      <w:r>
        <w:t xml:space="preserve"> </w:t>
      </w:r>
      <w:r w:rsidRPr="00DD58E1">
        <w:t>precisely is wrong with the boy licking the train? Two things are</w:t>
      </w:r>
      <w:r>
        <w:t xml:space="preserve"> </w:t>
      </w:r>
      <w:r w:rsidRPr="00DD58E1">
        <w:t>wrong: one, the boy licking Thomas the Tank Engine is playing improperly</w:t>
      </w:r>
      <w:r>
        <w:t xml:space="preserve"> </w:t>
      </w:r>
      <w:r w:rsidRPr="00DD58E1">
        <w:t>with the phallic toy, not thrusting it forward along the floor,</w:t>
      </w:r>
      <w:r>
        <w:t xml:space="preserve"> </w:t>
      </w:r>
      <w:r w:rsidRPr="00DD58E1">
        <w:t>but putting it into his mouth. Such late- exhibited orality bears the</w:t>
      </w:r>
      <w:r>
        <w:t xml:space="preserve"> </w:t>
      </w:r>
      <w:r w:rsidRPr="00DD58E1">
        <w:t>sheen of that “retarded” stage of development known as homosexuality.</w:t>
      </w:r>
      <w:r>
        <w:t xml:space="preserve"> </w:t>
      </w:r>
      <w:r w:rsidRPr="00DD58E1">
        <w:t>I am invoking the impossible juncture between the queernesses</w:t>
      </w:r>
      <w:r>
        <w:t xml:space="preserve"> </w:t>
      </w:r>
      <w:r w:rsidRPr="00DD58E1">
        <w:t>“naturally” afforded to children and the fear of a truly queer child.62 I</w:t>
      </w:r>
      <w:r>
        <w:t xml:space="preserve"> </w:t>
      </w:r>
      <w:r w:rsidRPr="00DD58E1">
        <w:t>recently had a conversation with a British man in his seventies about</w:t>
      </w:r>
      <w:r>
        <w:t xml:space="preserve"> </w:t>
      </w:r>
      <w:r w:rsidRPr="00DD58E1">
        <w:t>the lead panic within the United States. With a twinkle in his eye, he</w:t>
      </w:r>
      <w:r>
        <w:t xml:space="preserve"> </w:t>
      </w:r>
      <w:r w:rsidRPr="00DD58E1">
        <w:t>said, “We had that lead in toys when I was young! Perhaps we just</w:t>
      </w:r>
      <w:r>
        <w:t xml:space="preserve"> </w:t>
      </w:r>
      <w:r w:rsidRPr="00DD58E1">
        <w:t>didn’t suck them?” To me, his comment highlights the kind of temporal</w:t>
      </w:r>
      <w:r>
        <w:t xml:space="preserve"> </w:t>
      </w:r>
      <w:r w:rsidRPr="00DD58E1">
        <w:t>limitations on some kinds of national memory, the invested forgetting</w:t>
      </w:r>
      <w:r>
        <w:t xml:space="preserve"> </w:t>
      </w:r>
      <w:r w:rsidRPr="00DD58E1">
        <w:t>that is necessary for such a lead panic to become so enlivened.</w:t>
      </w:r>
      <w:r>
        <w:t xml:space="preserve"> </w:t>
      </w:r>
      <w:r w:rsidRPr="004B11B2">
        <w:rPr>
          <w:rStyle w:val="StyleUnderline"/>
        </w:rPr>
        <w:t>Given that lead’s very threat is that it produces cognitive disabilities, the scene of the child licking his toxic train slides further into queerness, as queer and disabled bodies alike trouble the capitalist marriage of domesticity, heterosexuality, and ability. The queer disability</w:t>
      </w:r>
      <w:r w:rsidRPr="00DD58E1">
        <w:t xml:space="preserve"> theorist</w:t>
      </w:r>
      <w:r>
        <w:t xml:space="preserve"> </w:t>
      </w:r>
      <w:r w:rsidRPr="00DD58E1">
        <w:t xml:space="preserve">Robert McRuer </w:t>
      </w:r>
      <w:r w:rsidRPr="004B11B2">
        <w:rPr>
          <w:rStyle w:val="StyleUnderline"/>
        </w:rPr>
        <w:t>writes of the development of domesticity within capitalism that the “ideological reconsolidation of the home as a site of intimacy and heterosexuality was also the reconsolidation of the home as a site for the development of able- bodied identities, practices, and relations.”</w:t>
      </w:r>
      <w:r w:rsidRPr="00DD58E1">
        <w:t>63 Exhibiting telltale signs of homosexuality and lead</w:t>
      </w:r>
      <w:r>
        <w:t xml:space="preserve"> </w:t>
      </w:r>
      <w:r w:rsidRPr="00DD58E1">
        <w:t>toxicity alike is simultaneously to alert a protected, domestic sphere</w:t>
      </w:r>
      <w:r>
        <w:t xml:space="preserve"> </w:t>
      </w:r>
      <w:r w:rsidRPr="00DD58E1">
        <w:t>to the threat of disability. One could say that lead itself is queered here</w:t>
      </w:r>
      <w:r>
        <w:t xml:space="preserve"> </w:t>
      </w:r>
      <w:r w:rsidRPr="00DD58E1">
        <w:t>as a microcosmic pollutant that, almost of its own accord, invades the</w:t>
      </w:r>
      <w:r>
        <w:t xml:space="preserve"> </w:t>
      </w:r>
      <w:r w:rsidRPr="00DD58E1">
        <w:t>body through plenitudes of microcosmic holes (a child’s skin), sites</w:t>
      </w:r>
      <w:r>
        <w:t xml:space="preserve"> </w:t>
      </w:r>
      <w:r w:rsidRPr="00DD58E1">
        <w:t>the state cannot afford to acknowledge, for the queer vulnerabilities</w:t>
      </w:r>
      <w:r>
        <w:t xml:space="preserve"> </w:t>
      </w:r>
      <w:r w:rsidRPr="00DD58E1">
        <w:t>they portend.</w:t>
      </w:r>
      <w:r>
        <w:t xml:space="preserve"> </w:t>
      </w:r>
      <w:r w:rsidRPr="00DD58E1">
        <w:t>187</w:t>
      </w:r>
      <w:r>
        <w:t xml:space="preserve"> </w:t>
      </w:r>
      <w:r w:rsidRPr="00DD58E1">
        <w:t>Animacy theory embraces the ramified sites and traces of shifting</w:t>
      </w:r>
      <w:r>
        <w:t xml:space="preserve"> </w:t>
      </w:r>
      <w:r w:rsidRPr="00DD58E1">
        <w:t>being. It claims first that the tropes by which lead threatens to contaminate</w:t>
      </w:r>
      <w:r>
        <w:t xml:space="preserve"> </w:t>
      </w:r>
      <w:r w:rsidRPr="00DD58E1">
        <w:t>“healthy” privileged subjects relies fundamentally on animacy</w:t>
      </w:r>
      <w:r>
        <w:t xml:space="preserve"> </w:t>
      </w:r>
      <w:r w:rsidRPr="00DD58E1">
        <w:t xml:space="preserve">hierarchies. </w:t>
      </w:r>
      <w:r w:rsidRPr="004B11B2">
        <w:rPr>
          <w:rStyle w:val="StyleUnderline"/>
        </w:rPr>
        <w:t>Lead can drag vulnerable people down, through variously “lesser” positions of animateness, into the realms of the “vegetable” or the nonsentient. At the same time, it has already weighed on some bodies more than others. The strength of anxieties about lead toxicity microcosmically, and very compactly, demonstrates that race, class, sexuality, and ability are unstable. These are not assured categories or properties that could operate intersectionally in a binary analysis,</w:t>
      </w:r>
      <w:r w:rsidRPr="00DD58E1">
        <w:t xml:space="preserve"> but are rather variably “mattering participants” in</w:t>
      </w:r>
      <w:r>
        <w:t xml:space="preserve"> </w:t>
      </w:r>
      <w:r w:rsidRPr="00DD58E1">
        <w:t>dominant ontologies that cannot therefore securely or finally attach</w:t>
      </w:r>
      <w:r>
        <w:t xml:space="preserve"> </w:t>
      </w:r>
      <w:r w:rsidRPr="00DD58E1">
        <w:t>to anybody. Animacy theory objectifies animate hierarchies, assessing</w:t>
      </w:r>
      <w:r>
        <w:t xml:space="preserve"> </w:t>
      </w:r>
      <w:r w:rsidRPr="00DD58E1">
        <w:t>their diverse truth effects against the mobilities and slippages that too</w:t>
      </w:r>
      <w:r>
        <w:t xml:space="preserve"> </w:t>
      </w:r>
      <w:r w:rsidRPr="00DD58E1">
        <w:t>easily occur within them, and asks what paths the slippages trace. The</w:t>
      </w:r>
      <w:r>
        <w:t xml:space="preserve"> </w:t>
      </w:r>
      <w:r w:rsidRPr="00DD58E1">
        <w:t>next chapter focuses on the peculiar affective mediations wrought by</w:t>
      </w:r>
      <w:r>
        <w:t xml:space="preserve"> </w:t>
      </w:r>
      <w:r w:rsidRPr="00DD58E1">
        <w:t>toxicity, expanding beyond the paranoid images of altered bodies and</w:t>
      </w:r>
      <w:r>
        <w:t xml:space="preserve"> </w:t>
      </w:r>
      <w:r w:rsidRPr="00DD58E1">
        <w:t>minds produced by the fearful ensembles of U.S. biosecurity that are</w:t>
      </w:r>
      <w:r>
        <w:t xml:space="preserve"> </w:t>
      </w:r>
      <w:r w:rsidRPr="00DD58E1">
        <w:t>recounted in this chapter.</w:t>
      </w:r>
    </w:p>
    <w:p w:rsidR="002469EE" w:rsidRDefault="002469EE" w:rsidP="002469EE"/>
    <w:p w:rsidR="002469EE" w:rsidRDefault="002469EE" w:rsidP="002469EE">
      <w:pPr>
        <w:pStyle w:val="Heading4"/>
      </w:pPr>
      <w:r>
        <w:t xml:space="preserve">Lead is a mode of queered toxicity – we witness the inherent brokenness of systems of segregation and privilege. </w:t>
      </w:r>
    </w:p>
    <w:p w:rsidR="002469EE" w:rsidRPr="00841C33"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205D33">
        <w:t>I have suggested here that the mediation of lead in and around</w:t>
      </w:r>
      <w:r>
        <w:t xml:space="preserve"> </w:t>
      </w:r>
      <w:r w:rsidRPr="00205D33">
        <w:t>categories of “life” in turn undoes lead’s deadness by reanimating it.</w:t>
      </w:r>
      <w:r>
        <w:t xml:space="preserve"> </w:t>
      </w:r>
      <w:r w:rsidRPr="00205D33">
        <w:t xml:space="preserve">In other words, </w:t>
      </w:r>
      <w:r w:rsidRPr="004B11B2">
        <w:rPr>
          <w:rStyle w:val="StyleUnderline"/>
        </w:rPr>
        <w:t>lead has the capacity to poison definitively animate beings, and as such achieves its own animacy as an agent of harm. By examining the signifying economies of health, imperialism, and degradation</w:t>
      </w:r>
      <w:r w:rsidRPr="00205D33">
        <w:t xml:space="preserve"> that paint race onto different bodies, and </w:t>
      </w:r>
      <w:r w:rsidRPr="004B11B2">
        <w:rPr>
          <w:rStyle w:val="StyleUnderline"/>
        </w:rPr>
        <w:t>by directing attention to the multiplicity of “contact zones” of those engaging lead—from working on the assembly line, to using the new products that contain them, to the downstream use of the products</w:t>
      </w:r>
      <w:r w:rsidRPr="00205D33">
        <w:t>, to the recycling and mining of them—</w:t>
      </w:r>
      <w:r w:rsidRPr="004B11B2">
        <w:rPr>
          <w:rStyle w:val="StyleUnderline"/>
        </w:rPr>
        <w:t>we witness the inherent brokenness of “races,” “geographics,” and “bodies” as systems of segregation</w:t>
      </w:r>
      <w:r w:rsidRPr="00205D33">
        <w:t>, even as</w:t>
      </w:r>
      <w:r>
        <w:t xml:space="preserve"> </w:t>
      </w:r>
      <w:r w:rsidRPr="00205D33">
        <w:t>they remain numbingly effective in informing discourses of combat,</w:t>
      </w:r>
      <w:r>
        <w:t xml:space="preserve"> </w:t>
      </w:r>
      <w:r w:rsidRPr="00205D33">
        <w:t xml:space="preserve">health, </w:t>
      </w:r>
      <w:r w:rsidRPr="004B11B2">
        <w:rPr>
          <w:rStyle w:val="StyleUnderline"/>
        </w:rPr>
        <w:t>and privilege. An environmental history of toxic objects must minimally register the gendered, laboring, and chronically toxically exposed bodies of globalized capital, which systematically bear less frequent mention in narratives of toxicity than the cautionary warnings from the seat of U.S. Empire.</w:t>
      </w:r>
      <w:r w:rsidRPr="00205D33">
        <w:t xml:space="preserve"> With this registration, lead’s spectacle</w:t>
      </w:r>
      <w:r>
        <w:t xml:space="preserve"> </w:t>
      </w:r>
      <w:r w:rsidRPr="00205D33">
        <w:t>remains connected to the possible forging of justice.</w:t>
      </w:r>
    </w:p>
    <w:p w:rsidR="002469EE" w:rsidRDefault="002469EE" w:rsidP="002469EE"/>
    <w:p w:rsidR="002469EE" w:rsidRDefault="002469EE" w:rsidP="002469EE">
      <w:pPr>
        <w:pStyle w:val="Heading4"/>
      </w:pPr>
      <w:r>
        <w:t>Perm card for antiblackness</w:t>
      </w:r>
    </w:p>
    <w:p w:rsidR="002469EE" w:rsidRPr="00841C33"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4B11B2">
        <w:rPr>
          <w:rStyle w:val="StyleUnderline"/>
        </w:rPr>
        <w:t>Here I move from exploring toxicity’s contemporary pervasiveness as a notion, to exploring its purported and experienced mechanisms in the human body. This</w:t>
      </w:r>
      <w:r w:rsidRPr="000B0EE1">
        <w:t xml:space="preserve"> shift concerns the role of metaphor</w:t>
      </w:r>
      <w:r>
        <w:t xml:space="preserve"> </w:t>
      </w:r>
      <w:r w:rsidRPr="000B0EE1">
        <w:t xml:space="preserve">in biopolitics, since the seemingly metaphorical productions of </w:t>
      </w:r>
      <w:r w:rsidRPr="004B11B2">
        <w:rPr>
          <w:rStyle w:val="StyleUnderline"/>
        </w:rPr>
        <w:t>cultural expressions of toxicity are not necessarily more concrete than the literal ones, which are themselves composed of complex cultures of immunity thinking. Reflecting on the ambiguous subject- object relations of toxicity, I use animacy theory to ask how the flexible subjectness or objectness of an actant raises important questions about the contingencies of humanness and animateness. These contingencies are eminently contestable within critical queer and race and disability</w:t>
      </w:r>
      <w:r>
        <w:t xml:space="preserve"> </w:t>
      </w:r>
      <w:r w:rsidRPr="000B0EE1">
        <w:t>approaches that, for instance, disaggregate verbal patients from</w:t>
      </w:r>
      <w:r>
        <w:t xml:space="preserve"> </w:t>
      </w:r>
      <w:r w:rsidRPr="000B0EE1">
        <w:t xml:space="preserve">the bottom of the hierarchy. Since, as I argued in chapter 1, </w:t>
      </w:r>
      <w:r w:rsidRPr="004B11B2">
        <w:rPr>
          <w:rStyle w:val="StyleUnderline"/>
        </w:rPr>
        <w:t>animacy hierarchies are simultaneously ontologies of affect, then such ontologies might benefit from a reconceptualization of “the order of things,” particularly along unconventional lines of race, sexuality, and ability</w:t>
      </w:r>
      <w:r w:rsidRPr="000B0EE1">
        <w:t>.3</w:t>
      </w:r>
    </w:p>
    <w:p w:rsidR="002469EE" w:rsidRDefault="002469EE" w:rsidP="002469EE"/>
    <w:p w:rsidR="002469EE" w:rsidRDefault="002469EE" w:rsidP="002469EE">
      <w:pPr>
        <w:pStyle w:val="Heading4"/>
      </w:pPr>
      <w:r>
        <w:t xml:space="preserve">Puar concludes with Chen, no link and net benefit to the permutation. </w:t>
      </w:r>
    </w:p>
    <w:p w:rsidR="002469EE" w:rsidRPr="006A16F8"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6A16F8">
        <w:t xml:space="preserve">Recall that </w:t>
      </w:r>
      <w:r w:rsidRPr="00DA6E69">
        <w:rPr>
          <w:rStyle w:val="StyleUnderline"/>
        </w:rPr>
        <w:t>matters of life and death have arguably underlain queer theory from the early 1990s, when radical queer activism in relation to aids blended saliently with academic theorizing on politics of gender and sexuality.</w:t>
      </w:r>
      <w:r w:rsidRPr="006A16F8">
        <w:t xml:space="preserve"> More recently, Lee Edelman takes up a psychoanalytic</w:t>
      </w:r>
      <w:r>
        <w:t xml:space="preserve"> </w:t>
      </w:r>
      <w:r w:rsidRPr="006A16F8">
        <w:t>analysis of queerness’s figural deathly assignment in relation to a relentless</w:t>
      </w:r>
      <w:r>
        <w:t xml:space="preserve"> </w:t>
      </w:r>
      <w:r w:rsidRPr="006A16F8">
        <w:t xml:space="preserve">“reproductive futurism.”20 </w:t>
      </w:r>
      <w:r w:rsidRPr="00DA6E69">
        <w:rPr>
          <w:rStyle w:val="StyleUnderline"/>
        </w:rPr>
        <w:t>Jasbir Puar points to life and death economies that place some queer subjects in the privileged realm of a biopolitically “optimized life,” while other perverse subjects are consigned to the realm of death, as a “result of the successes of queer incorporation into the domains of consumer markets and social recognition in the post–civil rights, late twentieth century.”21 Similar affective pulses of surging lifeliness or morbid resignation might reflect the legacy of the deathly impact of aids in queer scholarship</w:t>
      </w:r>
      <w:r w:rsidRPr="006A16F8">
        <w:t xml:space="preserve">. </w:t>
      </w:r>
      <w:r w:rsidRPr="00DA6E69">
        <w:rPr>
          <w:rStyle w:val="StyleUnderline"/>
        </w:rPr>
        <w:t>Suggesting a “horizonal” imagining whose terms are pointedly not foretold by a pragmatic limitation on the present</w:t>
      </w:r>
      <w:r w:rsidRPr="006A16F8">
        <w:t xml:space="preserve">, José Esteban </w:t>
      </w:r>
      <w:r w:rsidRPr="00DA6E69">
        <w:rPr>
          <w:rStyle w:val="StyleUnderline"/>
        </w:rPr>
        <w:t>Muñoz</w:t>
      </w:r>
      <w:r w:rsidRPr="006A16F8">
        <w:t xml:space="preserve"> in Cruising</w:t>
      </w:r>
      <w:r>
        <w:t xml:space="preserve"> </w:t>
      </w:r>
      <w:r w:rsidRPr="006A16F8">
        <w:t xml:space="preserve">Utopia </w:t>
      </w:r>
      <w:r w:rsidRPr="00DA6E69">
        <w:rPr>
          <w:rStyle w:val="StyleUnderline"/>
        </w:rPr>
        <w:t>offers a way around the false promise of a neoliberal, homonormative utopia whose major concerns are limited to gay marriage and gay service in the military: lifely for a few, deathly for others</w:t>
      </w:r>
      <w:r w:rsidRPr="006A16F8">
        <w:t>.22</w:t>
      </w:r>
    </w:p>
    <w:p w:rsidR="002469EE" w:rsidRDefault="002469EE" w:rsidP="002469EE"/>
    <w:p w:rsidR="002469EE" w:rsidRDefault="002469EE" w:rsidP="002469EE">
      <w:pPr>
        <w:pStyle w:val="Heading4"/>
      </w:pPr>
      <w:r>
        <w:t xml:space="preserve">Toxicity is a condition – too complex to staticise. </w:t>
      </w:r>
    </w:p>
    <w:p w:rsidR="002469EE" w:rsidRPr="006A16F8"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DA6E69">
        <w:rPr>
          <w:rStyle w:val="StyleUnderline"/>
        </w:rPr>
        <w:t>To enact a method that prioritizes a queer reach for toxicity’s “worlding,” I want to interleave considerations of toxicity and intoxication with a “toxic sensorium”: a sense memory of objects and affects</w:t>
      </w:r>
      <w:r>
        <w:t xml:space="preserve"> </w:t>
      </w:r>
      <w:r w:rsidRPr="00644E0F">
        <w:t>that was my felt orientation to the world when I was recently categorized</w:t>
      </w:r>
      <w:r>
        <w:t xml:space="preserve"> </w:t>
      </w:r>
      <w:r w:rsidRPr="00644E0F">
        <w:t xml:space="preserve">as “ill.” </w:t>
      </w:r>
      <w:r w:rsidRPr="00DA6E69">
        <w:rPr>
          <w:rStyle w:val="StyleUnderline"/>
        </w:rPr>
        <w:t xml:space="preserve">It seems never a simple matter to discuss toxicity, to objectify it. It is yet another matter to experience something that seems by one measure or another to be categorized as a toxin, to undergo intoxication, intoxification. This difference raises questions about toxic methodology, which in some way inherits anthropology’s question about what can be done to respond to crises of objectivity. While no simple solution exists, it is my interest to attenuate the exceptionalisms that attain all too easily in, for instance, the previous chapter’s assessment of lead toxicity’s discursive range: </w:t>
      </w:r>
      <w:r w:rsidRPr="00644E0F">
        <w:t>it is possible for a reader</w:t>
      </w:r>
      <w:r>
        <w:t xml:space="preserve"> </w:t>
      </w:r>
      <w:r w:rsidRPr="00644E0F">
        <w:t>to comfortably reside in a certain sense of integral, nontoxic security</w:t>
      </w:r>
      <w:r>
        <w:t xml:space="preserve"> </w:t>
      </w:r>
      <w:r w:rsidRPr="00644E0F">
        <w:t>in that analysis.</w:t>
      </w:r>
      <w:r>
        <w:t xml:space="preserve"> </w:t>
      </w:r>
      <w:r w:rsidRPr="00DA6E69">
        <w:rPr>
          <w:rStyle w:val="StyleUnderline"/>
        </w:rPr>
        <w:t>To intensify toxicity’s intuitive reach, I engage toxicity as a condition, one that is too complex to imagine as a property of one or another individual or group or something that could itself be so easily bounded</w:t>
      </w:r>
      <w:r w:rsidRPr="00644E0F">
        <w:t xml:space="preserve">. </w:t>
      </w:r>
      <w:r w:rsidRPr="00DA6E69">
        <w:rPr>
          <w:rStyle w:val="StyleUnderline"/>
        </w:rPr>
        <w:t>I would like to deemphasize the borders of the immune 197 system and its concomitant attachments to “life” and “death,” such that the immune system’s aim is to realize and protect life. How can we think more broadly about synthesis and symbiosis, including toxic vapors, interspersals, intrinsic mixings, and alterations, favoring interabsorption over corporeal exceptionalism?</w:t>
      </w:r>
      <w:r w:rsidRPr="00644E0F">
        <w:t xml:space="preserve"> I will not address these</w:t>
      </w:r>
      <w:r>
        <w:t xml:space="preserve"> </w:t>
      </w:r>
      <w:r w:rsidRPr="00644E0F">
        <w:t>questions from a point of view of mythic health. Rather, I will tell a</w:t>
      </w:r>
      <w:r>
        <w:t xml:space="preserve"> </w:t>
      </w:r>
      <w:r w:rsidRPr="00644E0F">
        <w:t>tale from the perspective of the existence that I have recently claimed,</w:t>
      </w:r>
      <w:r>
        <w:t xml:space="preserve"> </w:t>
      </w:r>
      <w:r w:rsidRPr="00644E0F">
        <w:t>one that has been quite accurately considered “toxic.”</w:t>
      </w:r>
      <w:r>
        <w:t xml:space="preserve"> </w:t>
      </w:r>
    </w:p>
    <w:p w:rsidR="002469EE" w:rsidRDefault="002469EE" w:rsidP="002469EE"/>
    <w:p w:rsidR="002469EE" w:rsidRDefault="002469EE" w:rsidP="002469EE">
      <w:pPr>
        <w:pStyle w:val="Heading4"/>
      </w:pPr>
      <w:r>
        <w:t xml:space="preserve">Toxicity is affectual – it can be at the molecular level or it may be visual. </w:t>
      </w:r>
    </w:p>
    <w:p w:rsidR="002469EE" w:rsidRPr="003D4B7D"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DA6E69">
        <w:rPr>
          <w:rStyle w:val="StyleUnderline"/>
        </w:rPr>
        <w:t>There is a potency and intensity to two animate or inanimate bodies passing one another, bodies that have</w:t>
      </w:r>
      <w:r w:rsidRPr="003D4B7D">
        <w:t xml:space="preserve"> an exchange—</w:t>
      </w:r>
      <w:r w:rsidRPr="00DA6E69">
        <w:rPr>
          <w:rStyle w:val="StyleUnderline"/>
        </w:rPr>
        <w:t>a potentially queer exchange—that effectively risks the implantation of injury</w:t>
      </w:r>
      <w:r w:rsidRPr="003D4B7D">
        <w:t xml:space="preserve">. </w:t>
      </w:r>
      <w:r w:rsidRPr="00DA6E69">
        <w:rPr>
          <w:rStyle w:val="StyleUnderline"/>
        </w:rPr>
        <w:t>The quality of the exchange may be at the molecular level, airborne molecules entering the breathing apparatus, molecules that may or may not have violent bodily effects; or the exchange may be visual, the meeting of eyes unleashing a series of pleasurable or unpleasurable bodily reactions, chill, pulse rush, adrenaline, heat, fear, tingling skin. The necessary condition for toxicity to be enlivened—proximity, or 207 intimacy—means that queer theories are especially rich for thinking about the affects of toxicity</w:t>
      </w:r>
      <w:r w:rsidRPr="003D4B7D">
        <w:t>. At the same time, queer theories can further</w:t>
      </w:r>
      <w:r>
        <w:t xml:space="preserve"> </w:t>
      </w:r>
      <w:r w:rsidRPr="003D4B7D">
        <w:t>benefit from the lessons of disability theory, particularly by rethinking</w:t>
      </w:r>
      <w:r>
        <w:t xml:space="preserve"> </w:t>
      </w:r>
      <w:r w:rsidRPr="003D4B7D">
        <w:t>its own others.</w:t>
      </w:r>
      <w:r>
        <w:t xml:space="preserve"> </w:t>
      </w:r>
      <w:r w:rsidRPr="00DA6E69">
        <w:rPr>
          <w:rStyle w:val="StyleUnderline"/>
        </w:rPr>
        <w:t>Thinking and feeling with toxicity invites us to revise, once again, the sociality that queer theory has in many ways made possible. As a relational notion, toxicity speaks productively to queer- utopian imagining and helps us revisit the question of how and where subjectobject dispositions should be attributed to the relational queer figure</w:t>
      </w:r>
      <w:r w:rsidRPr="003D4B7D">
        <w:t>.</w:t>
      </w:r>
      <w:r>
        <w:t xml:space="preserve"> </w:t>
      </w:r>
      <w:r w:rsidRPr="003D4B7D">
        <w:t xml:space="preserve">But even further, </w:t>
      </w:r>
      <w:r w:rsidRPr="00DA6E69">
        <w:rPr>
          <w:rStyle w:val="StyleUnderline"/>
        </w:rPr>
        <w:t>queer theory is an apt home for the consideration of toxicity, for I believe the two—queerness and toxicity—have an affinity. They truck with negativity, marginality, and subject- object confusions; they have, arguably, an affective intensity; they challenge heteronormative understandings of intimacy. Both have gotten under the skin</w:t>
      </w:r>
      <w:r w:rsidRPr="003D4B7D">
        <w:t>. Yet queer theory’s attachment to certain human bodies and</w:t>
      </w:r>
      <w:r>
        <w:t xml:space="preserve"> </w:t>
      </w:r>
      <w:r w:rsidRPr="003D4B7D">
        <w:t>other human objects elides from its view the queer socialities that certain</w:t>
      </w:r>
      <w:r>
        <w:t xml:space="preserve"> </w:t>
      </w:r>
      <w:r w:rsidRPr="003D4B7D">
        <w:t>other, nonhuman intimacies portend. What are the exceptionalisms</w:t>
      </w:r>
      <w:r>
        <w:t xml:space="preserve"> </w:t>
      </w:r>
      <w:r w:rsidRPr="003D4B7D">
        <w:t>that can haunt such theorizing?</w:t>
      </w:r>
    </w:p>
    <w:p w:rsidR="002469EE" w:rsidRDefault="002469EE" w:rsidP="002469EE"/>
    <w:p w:rsidR="002469EE" w:rsidRDefault="002469EE" w:rsidP="002469EE">
      <w:pPr>
        <w:pStyle w:val="Heading4"/>
      </w:pPr>
      <w:r>
        <w:t xml:space="preserve">Sarah Ahmed does not take into consideration the specificities of animation and inanimation. </w:t>
      </w:r>
    </w:p>
    <w:p w:rsidR="002469EE" w:rsidRPr="003D4B7D"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3D4B7D">
        <w:t>Cosmologies, of course, are as much written into Western philosophies</w:t>
      </w:r>
      <w:r>
        <w:t xml:space="preserve"> </w:t>
      </w:r>
      <w:r w:rsidRPr="003D4B7D">
        <w:t>as they are in Akwesasne cultures, and the life and death hidden</w:t>
      </w:r>
      <w:r>
        <w:t xml:space="preserve"> </w:t>
      </w:r>
      <w:r w:rsidRPr="003D4B7D">
        <w:t>within their objects has a binding effect on their theoretical impulse.</w:t>
      </w:r>
      <w:r>
        <w:t xml:space="preserve"> </w:t>
      </w:r>
      <w:r w:rsidRPr="00257E14">
        <w:rPr>
          <w:rStyle w:val="StyleUnderline"/>
        </w:rPr>
        <w:t>In her important book Queer Phenomenology, Sara Ahmed</w:t>
      </w:r>
      <w:r w:rsidRPr="003D4B7D">
        <w:t xml:space="preserve"> gives extensive,</w:t>
      </w:r>
      <w:r>
        <w:t xml:space="preserve"> </w:t>
      </w:r>
      <w:r w:rsidRPr="003D4B7D">
        <w:t>unabashed attention to tables, at one point writing extensively</w:t>
      </w:r>
      <w:r>
        <w:t xml:space="preserve"> </w:t>
      </w:r>
      <w:r w:rsidRPr="003D4B7D">
        <w:t>about her “orientation” (in a larger discussion of sexuality and orientations)</w:t>
      </w:r>
      <w:r>
        <w:t xml:space="preserve"> </w:t>
      </w:r>
      <w:r w:rsidRPr="003D4B7D">
        <w:t>toward a table of hers and that table’s orientation toward</w:t>
      </w:r>
      <w:r>
        <w:t xml:space="preserve"> </w:t>
      </w:r>
      <w:r w:rsidRPr="003D4B7D">
        <w:t xml:space="preserve">her. She </w:t>
      </w:r>
      <w:r w:rsidRPr="00257E14">
        <w:rPr>
          <w:rStyle w:val="StyleUnderline"/>
        </w:rPr>
        <w:t>writes, “we perceive the object as an object, as something that ‘has’ integrity, and is ‘in’ space, only by haunting that very space; that is, by co- inhabiting space such that the boundary between the co- inhabitants of space does not hold. The skin connects as well as contains. . . . Orientations are tactile and they involve more than one skin surface: we, in approaching this or that table, are also approached by the table, which touches us when we touch it.”39 Ahmed works here with an important and profound assertion</w:t>
      </w:r>
      <w:r w:rsidRPr="003D4B7D">
        <w:t xml:space="preserve"> by Maurice Merleau-</w:t>
      </w:r>
      <w:r>
        <w:t xml:space="preserve"> </w:t>
      </w:r>
      <w:r w:rsidRPr="003D4B7D">
        <w:t xml:space="preserve">Ponty </w:t>
      </w:r>
      <w:r w:rsidRPr="00257E14">
        <w:rPr>
          <w:rStyle w:val="StyleUnderline"/>
        </w:rPr>
        <w:t>that sensory engagement binds sensing and sensed objects to one another; in this way, my skin is simultaneously the skin of the world. Yet, if we were to stretch this intercorporeality further, it appears that Ahmed still presumes the proper integrity of her body and of the table, an exclusion of molecular travel that permits her to position one thing against another. Ahmed is talking mainly about the perception of integrity; but I wonder what happens when percepts are to some degree bypassed, for instance, by the air itself. When physically copresent with others, I ingest them. There is nothing fanciful about this. I am ingesting their exhaled air, their sloughed skin, and the skin of the tables, chairs, and carpet of our shared room. Ahmed’s reading thus takes the deadness and inanimacy of that table as a reference point for the orientation of a life, one in which the table is moved according to the purposes and conveniences of its owner. And while it would be unfair to ask of her analysis something not proper to its devices, I do wonder how this analysis might change once the object distinctions between animate and inanimate collapse, when we move beyond the exclusionary zone made up of the perceptual operands of phenomenology.</w:t>
      </w:r>
      <w:r w:rsidRPr="003D4B7D">
        <w:t xml:space="preserve"> The affective relations I have with</w:t>
      </w:r>
      <w:r>
        <w:t xml:space="preserve"> </w:t>
      </w:r>
      <w:r w:rsidRPr="003D4B7D">
        <w:t>a couch are not made out of a predicted script and are received as no</w:t>
      </w:r>
      <w:r>
        <w:t xml:space="preserve"> </w:t>
      </w:r>
      <w:r w:rsidRPr="003D4B7D">
        <w:t>different from those with animate beings, which, depending on the</w:t>
      </w:r>
      <w:r>
        <w:t xml:space="preserve"> </w:t>
      </w:r>
      <w:r w:rsidRPr="003D4B7D">
        <w:t>perspective, is both their failing and their merit.</w:t>
      </w:r>
      <w:r>
        <w:t xml:space="preserve"> </w:t>
      </w:r>
      <w:r w:rsidRPr="003D4B7D">
        <w:t>210</w:t>
      </w:r>
      <w:r>
        <w:t xml:space="preserve"> </w:t>
      </w:r>
    </w:p>
    <w:p w:rsidR="002469EE" w:rsidRDefault="002469EE" w:rsidP="002469EE"/>
    <w:p w:rsidR="002469EE" w:rsidRDefault="002469EE" w:rsidP="002469EE">
      <w:pPr>
        <w:pStyle w:val="Heading4"/>
      </w:pPr>
      <w:r>
        <w:t xml:space="preserve">Toxicity is porous, viscous. We are not very containable or quarantinable – we are conditions with effect with our own affects and animacies. </w:t>
      </w:r>
    </w:p>
    <w:p w:rsidR="002469EE" w:rsidRPr="006A16F8"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Default="002469EE" w:rsidP="002469EE">
      <w:r w:rsidRPr="003D4B7D">
        <w:t xml:space="preserve">My question then becomes: </w:t>
      </w:r>
      <w:r w:rsidRPr="00257E14">
        <w:rPr>
          <w:rStyle w:val="StyleUnderline"/>
        </w:rPr>
        <w:t>What is lost when we hold tightly to that exceptionalism which says that couches are dead and we are live? For would not my nonproductivity, my nonhuman sociality, render me some other human’s “dead,” as certainly it has, in case after case of the denial of disabled existence, emotional life, sexuality, or subjectivity? And what is lost when we say that couches must be cathected differently from humans</w:t>
      </w:r>
      <w:r w:rsidRPr="003D4B7D">
        <w:t>? Or when we say that only certain couches as</w:t>
      </w:r>
      <w:r>
        <w:t xml:space="preserve"> </w:t>
      </w:r>
      <w:r w:rsidRPr="003D4B7D">
        <w:t>they are used would deserve the attribution of a sexual fetish? These</w:t>
      </w:r>
      <w:r>
        <w:t xml:space="preserve"> </w:t>
      </w:r>
      <w:r w:rsidRPr="003D4B7D">
        <w:t>are only questions to which I have no ready answers, except to declare</w:t>
      </w:r>
      <w:r>
        <w:t xml:space="preserve"> </w:t>
      </w:r>
      <w:r w:rsidRPr="003D4B7D">
        <w:t>that those forms of exceptionalism no longer seem very reasonable.</w:t>
      </w:r>
      <w:r>
        <w:t xml:space="preserve"> </w:t>
      </w:r>
      <w:r w:rsidRPr="003D4B7D">
        <w:t>Indeed, the literary scholar John Plotz’s careful review essay on new</w:t>
      </w:r>
      <w:r>
        <w:t xml:space="preserve"> </w:t>
      </w:r>
      <w:r w:rsidRPr="003D4B7D">
        <w:t>trends in materiality theories, “Can the Sofa Speak? A Look at Thing</w:t>
      </w:r>
      <w:r>
        <w:t xml:space="preserve"> </w:t>
      </w:r>
      <w:r w:rsidRPr="003D4B7D">
        <w:t>Theory,” itself never arrives at confronting the possibility of the sofa’s</w:t>
      </w:r>
      <w:r>
        <w:t xml:space="preserve"> </w:t>
      </w:r>
      <w:r w:rsidRPr="003D4B7D">
        <w:t>speech, seeming to presume that the question of sofas remains at the</w:t>
      </w:r>
      <w:r>
        <w:t xml:space="preserve"> </w:t>
      </w:r>
      <w:r w:rsidRPr="003D4B7D">
        <w:t>level of humorous titular play, no explanation needed.40</w:t>
      </w:r>
      <w:r>
        <w:t xml:space="preserve"> </w:t>
      </w:r>
      <w:r w:rsidRPr="00257E14">
        <w:rPr>
          <w:rStyle w:val="StyleUnderline"/>
        </w:rPr>
        <w:t>It seems that animacy and its affects are mediated not by whether you are a couch, a piece of metal, a human child, or an animal, but by how holistically you are interpreted and how dynamic you are perceived to be. Stones themselves move, change, degrade over time, but in ways that exceed human scales. Human “patients” get defined, via their companion technologies, as inanimate, even as they zip right by you in a manual wheelchair. And above and beyond these factors related to the power of interpretation and stereotype, there is the strict physicality of the elements that travel in, on, and through us, and sometimes stay. If we ingest each other’s skin cells, as well as each other’s skin creams, then animacy comes to appear as a category itself held in false containment, insofar as it portends exteriorized control relationships rather than mutual imbrications, even at the most material levels. Nancy Tuana, reading New Orleans after Hurricane Katrina in terms of interactionist ontology, writes, “There is a viscous porosity of flesh—my flesh and the flesh of the world. This porosity is a hinge through which we are of and in the world. I refer to it as viscous, for there are membranes that affect the interactions.”41 Furthermore, the toxicity of the queer to the heterosexual collective or individual body, the toxicity of the dirty subjects to the hygienic State, the toxicity of heavy metals to an individual body: none of these segregations perfectly succeeds even while it is believed with all effort and investment to be effective. In perhaps its best versions, toxicity does not repel but propels queer 211 loves, especially once we release it from exclusively human hosts, disproportionately inviting dis/ability, industrial labor, biological targets, and military vaccine recipients—inviting loss and its “losers” and trespassing containers of animacy.</w:t>
      </w:r>
      <w:r w:rsidRPr="003D4B7D">
        <w:t xml:space="preserve"> We need not assign the trainlicking</w:t>
      </w:r>
      <w:r>
        <w:t xml:space="preserve"> </w:t>
      </w:r>
      <w:r w:rsidRPr="003D4B7D">
        <w:t>boy of the previous chapter so surely to the nihilistic underside</w:t>
      </w:r>
      <w:r>
        <w:t xml:space="preserve"> </w:t>
      </w:r>
      <w:r w:rsidRPr="003D4B7D">
        <w:t xml:space="preserve">of futurity or to his own termination, figurative or otherwise. </w:t>
      </w:r>
      <w:r w:rsidRPr="00257E14">
        <w:rPr>
          <w:rStyle w:val="StyleUnderline"/>
        </w:rPr>
        <w:t>I would be foolish to imagine that toxicity stands in for “utopia” given the explosion of resentful, despairing, painful, screamingly negative affects that surround toxicity. Nevertheless, I am reluctant to deny the queer productivity of toxins and toxicity, a productivity that extends beyond an enumerable set of addictive or pleasure- inducing substances, or to neglect</w:t>
      </w:r>
      <w:r w:rsidRPr="003D4B7D">
        <w:t xml:space="preserve"> (or, indeed, ask after) </w:t>
      </w:r>
      <w:r w:rsidRPr="00257E14">
        <w:rPr>
          <w:rStyle w:val="StyleUnderline"/>
        </w:rPr>
        <w:t>the pleasures, the loves, the rehabilitations, the affections, the assets that toxic conditions induce. Unlike viruses, toxins are not so very containable or quarantinable; they are better thought of as conditions with effects, bringing their own affects and animacies to bear on lives and nonlives.</w:t>
      </w:r>
      <w:r w:rsidRPr="003D4B7D">
        <w:t xml:space="preserve"> If we move beyond</w:t>
      </w:r>
      <w:r>
        <w:t xml:space="preserve"> </w:t>
      </w:r>
      <w:r w:rsidRPr="003D4B7D">
        <w:t>the painful “antisocial” effects to consider the sociality that is present</w:t>
      </w:r>
      <w:r>
        <w:t xml:space="preserve"> </w:t>
      </w:r>
      <w:r w:rsidRPr="003D4B7D">
        <w:t>there, we find in that sociality a reflection on extant socialities among</w:t>
      </w:r>
      <w:r>
        <w:t xml:space="preserve"> </w:t>
      </w:r>
      <w:r w:rsidRPr="003D4B7D">
        <w:t>us, the queer- inanimate social lives that exist beyond the fetish, beyond</w:t>
      </w:r>
      <w:r>
        <w:t xml:space="preserve"> </w:t>
      </w:r>
      <w:r w:rsidRPr="003D4B7D">
        <w:t>the animate, beyond the pure clash of human body sex.</w:t>
      </w:r>
    </w:p>
    <w:p w:rsidR="002469EE" w:rsidRDefault="002469EE" w:rsidP="002469EE"/>
    <w:p w:rsidR="002469EE" w:rsidRDefault="002469EE" w:rsidP="002469EE">
      <w:pPr>
        <w:pStyle w:val="Heading4"/>
      </w:pPr>
      <w:r>
        <w:t xml:space="preserve">Queer toxicity does not privilege the human subject – rather letting affect fall to the interanimation that surrounds us. </w:t>
      </w:r>
    </w:p>
    <w:p w:rsidR="002469EE" w:rsidRPr="003D4B7D" w:rsidRDefault="002469EE" w:rsidP="002469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2469EE" w:rsidRPr="003D4B7D" w:rsidRDefault="002469EE" w:rsidP="002469EE">
      <w:r w:rsidRPr="00605B23">
        <w:rPr>
          <w:rStyle w:val="StyleUnderline"/>
        </w:rPr>
        <w:t>In view of the attempts of these works to suggest a future politics, or the recommendations for politics that might be extracted from them, toxic affect is certainly not suggested as a panacea. It is a (re- )solution to the question of what to do with the ambivalence of queerness only to the extent that it does not represent a choice: it is already here, it is not a matter of queer political agency so much as a queered political state of the present. If toxicity is ambivalently constructed by a barely tenable political community, that fragility is not acknowledged</w:t>
      </w:r>
      <w:r w:rsidRPr="003D4B7D">
        <w:t>.</w:t>
      </w:r>
      <w:r>
        <w:t xml:space="preserve"> </w:t>
      </w:r>
      <w:r w:rsidRPr="003D4B7D">
        <w:t xml:space="preserve">Nevertheless, an uptake, rather than a denial of, </w:t>
      </w:r>
      <w:r w:rsidRPr="00605B23">
        <w:rPr>
          <w:rStyle w:val="StyleUnderline"/>
        </w:rPr>
        <w:t xml:space="preserve">toxicity seems to have the power to turn a lens on the anxieties that produce it and allow for a queer knowledge production that gives some means for structural remedy </w:t>
      </w:r>
      <w:r w:rsidRPr="003D4B7D">
        <w:t>while not abandoning a claim to being just a little</w:t>
      </w:r>
      <w:r>
        <w:t xml:space="preserve"> </w:t>
      </w:r>
      <w:r w:rsidRPr="003D4B7D">
        <w:t xml:space="preserve">bit “off.” </w:t>
      </w:r>
      <w:r w:rsidRPr="00605B23">
        <w:rPr>
          <w:rStyle w:val="StyleUnderline"/>
        </w:rPr>
        <w:t>The growing acknowledgment of a shared condition of toxicity within the United States</w:t>
      </w:r>
      <w:r w:rsidRPr="003D4B7D">
        <w:t>—not only in terms of citing numbers of</w:t>
      </w:r>
      <w:r>
        <w:t xml:space="preserve"> </w:t>
      </w:r>
      <w:r w:rsidRPr="003D4B7D">
        <w:t>toxins present in people’s bodies, toxins whose hospitality toward the</w:t>
      </w:r>
      <w:r>
        <w:t xml:space="preserve"> </w:t>
      </w:r>
      <w:r w:rsidRPr="003D4B7D">
        <w:t>body is uncertain (or toward whom the body doesn’t know whether it</w:t>
      </w:r>
      <w:r>
        <w:t xml:space="preserve"> </w:t>
      </w:r>
      <w:r w:rsidRPr="003D4B7D">
        <w:t>221</w:t>
      </w:r>
      <w:r>
        <w:t xml:space="preserve"> </w:t>
      </w:r>
      <w:r w:rsidRPr="003D4B7D">
        <w:t xml:space="preserve">should be hospitable), </w:t>
      </w:r>
      <w:r w:rsidRPr="00605B23">
        <w:rPr>
          <w:rStyle w:val="StyleUnderline"/>
        </w:rPr>
        <w:t>but also in terms of the resigned acknowledgment that toxic assets were part of the fabric of U.S. capitalism</w:t>
      </w:r>
      <w:r w:rsidRPr="003D4B7D">
        <w:t>—</w:t>
      </w:r>
      <w:r w:rsidRPr="00605B23">
        <w:rPr>
          <w:rStyle w:val="StyleUnderline"/>
        </w:rPr>
        <w:t>is not just evidence of a fall, or a radical shifting of political and economic fortunes. It is also evidence that the interstices of the otherwise suffocating cultures of neoliberalism may be engaged, productive, and immensely meaningful. Thus, toxicity, as a queer thing or affect, both is and is more than horizon, which is unpredictable and, furthermore, synchronically traceable only to the extent that we not remain ontologically faithful. Toxicity fails over and again to privilege</w:t>
      </w:r>
      <w:r w:rsidRPr="003D4B7D">
        <w:t xml:space="preserve"> rationality’s favorite partner,</w:t>
      </w:r>
      <w:r>
        <w:t xml:space="preserve"> </w:t>
      </w:r>
      <w:r w:rsidRPr="00605B23">
        <w:rPr>
          <w:rStyle w:val="StyleUnderline"/>
        </w:rPr>
        <w:t>the human subject</w:t>
      </w:r>
      <w:r w:rsidRPr="003D4B7D">
        <w:t>, rather defaulting to chairs, couches, and other</w:t>
      </w:r>
      <w:r>
        <w:t xml:space="preserve"> </w:t>
      </w:r>
      <w:r w:rsidRPr="003D4B7D">
        <w:t>sexual orientations, but we might be wrong to disavow its claim to</w:t>
      </w:r>
      <w:r>
        <w:t xml:space="preserve"> </w:t>
      </w:r>
      <w:r w:rsidRPr="003D4B7D">
        <w:t xml:space="preserve">rationality altogether. </w:t>
      </w:r>
      <w:r w:rsidRPr="00605B23">
        <w:rPr>
          <w:rStyle w:val="StyleUnderline"/>
        </w:rPr>
        <w:t>If we let affect fall to object life, or to the interanimation that surrounds us, one example of which toxicity illuminates very precisely, then perhaps there is a chance to take up (not revive, as it is far from “old and tired”) queer as something both like itself and yet also entirely different</w:t>
      </w:r>
      <w:r w:rsidRPr="003D4B7D">
        <w:t>.</w:t>
      </w:r>
    </w:p>
    <w:p w:rsidR="004C40EE" w:rsidRDefault="004C40EE" w:rsidP="004C40EE">
      <w:pPr>
        <w:pStyle w:val="Heading4"/>
      </w:pPr>
      <w:r>
        <w:t xml:space="preserve">AT Transphobia indicts </w:t>
      </w:r>
    </w:p>
    <w:p w:rsidR="004C40EE" w:rsidRPr="00841C33" w:rsidRDefault="004C40EE" w:rsidP="004C40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40EE" w:rsidRPr="00006B4C" w:rsidRDefault="004C40EE" w:rsidP="004C40EE">
      <w:pPr>
        <w:rPr>
          <w:rStyle w:val="StyleUnderline"/>
        </w:rPr>
      </w:pPr>
      <w:r w:rsidRPr="00006B4C">
        <w:rPr>
          <w:rStyle w:val="StyleUnderline"/>
        </w:rPr>
        <w:t>Animacy hierarchies in Western ontologies are about kind: they assert that this group is affiliated with these properties</w:t>
      </w:r>
      <w:r w:rsidRPr="00F270A9">
        <w:t xml:space="preserve"> (for instance, the assertion</w:t>
      </w:r>
      <w:r>
        <w:t xml:space="preserve"> </w:t>
      </w:r>
      <w:r w:rsidRPr="00F270A9">
        <w:t xml:space="preserve">that “animals lack language”). </w:t>
      </w:r>
      <w:r w:rsidRPr="00006B4C">
        <w:rPr>
          <w:rStyle w:val="StyleUnderline"/>
        </w:rPr>
        <w:t>In such a hierarchy’s conceptual life, kinds are equated with propensities; but in the maintenance of kinds, the hierarchy simultaneously assigns kinds a generativity, mapping and marking reproductive and nonreproductive bodies. Reproductivity in its signal bodily and material sites thus plays a key role in contentious debates about the borders between kinds. When carefully managed cross- animate realms change, so must the biopolitical stakes around their realignment</w:t>
      </w:r>
      <w:r w:rsidRPr="00F270A9">
        <w:t>. Continuing the previous chapter’s concern</w:t>
      </w:r>
      <w:r>
        <w:t xml:space="preserve"> </w:t>
      </w:r>
      <w:r w:rsidRPr="00F270A9">
        <w:t xml:space="preserve">with queer animality, I turn here to take up questions of </w:t>
      </w:r>
      <w:r w:rsidRPr="00006B4C">
        <w:rPr>
          <w:rStyle w:val="StyleUnderline"/>
        </w:rPr>
        <w:t>materiality, animality, and transness, demarcating the “proper boundaries” around</w:t>
      </w:r>
      <w:r>
        <w:t xml:space="preserve"> </w:t>
      </w:r>
      <w:r w:rsidRPr="00F270A9">
        <w:t>128</w:t>
      </w:r>
      <w:r>
        <w:t xml:space="preserve"> </w:t>
      </w:r>
      <w:r w:rsidRPr="00006B4C">
        <w:rPr>
          <w:rStyle w:val="StyleUnderline"/>
        </w:rPr>
        <w:t>both nonhuman animals and humans so that the drawn biopolitical relations among them can be made more palpable</w:t>
      </w:r>
      <w:r w:rsidRPr="00F270A9">
        <w:t>.</w:t>
      </w:r>
      <w:r>
        <w:t xml:space="preserve"> </w:t>
      </w:r>
      <w:r w:rsidRPr="00F270A9">
        <w:t>I further consider the epistemological and temporal lessons made</w:t>
      </w:r>
      <w:r>
        <w:t xml:space="preserve"> </w:t>
      </w:r>
      <w:r w:rsidRPr="00F270A9">
        <w:t>possible by thinking about animality in terms of sex: in this case, its</w:t>
      </w:r>
      <w:r>
        <w:t xml:space="preserve"> </w:t>
      </w:r>
      <w:r w:rsidRPr="00F270A9">
        <w:t>regulation, its contestation, and its purported desexualization. Indeed,</w:t>
      </w:r>
      <w:r>
        <w:t xml:space="preserve"> </w:t>
      </w:r>
      <w:r w:rsidRPr="00006B4C">
        <w:rPr>
          <w:rStyle w:val="StyleUnderline"/>
        </w:rPr>
        <w:t>in this</w:t>
      </w:r>
      <w:r w:rsidRPr="00F270A9">
        <w:t xml:space="preserve"> chapter’s </w:t>
      </w:r>
      <w:r w:rsidRPr="00006B4C">
        <w:rPr>
          <w:rStyle w:val="StyleUnderline"/>
        </w:rPr>
        <w:t>take on “transness,” I focus on how animal- human boundaries are articulated in terms of sex and gender</w:t>
      </w:r>
      <w:r w:rsidRPr="00F270A9">
        <w:t xml:space="preserve"> by examining</w:t>
      </w:r>
      <w:r>
        <w:t xml:space="preserve"> </w:t>
      </w:r>
      <w:r w:rsidRPr="00F270A9">
        <w:t>perhaps the most consistent missing morphology in cultural representations</w:t>
      </w:r>
      <w:r>
        <w:t xml:space="preserve"> </w:t>
      </w:r>
      <w:r w:rsidRPr="00F270A9">
        <w:t>of animals: the genitalia.1</w:t>
      </w:r>
      <w:r>
        <w:t xml:space="preserve"> </w:t>
      </w:r>
      <w:r w:rsidRPr="00006B4C">
        <w:rPr>
          <w:rStyle w:val="StyleUnderline"/>
        </w:rPr>
        <w:t>If mattering turns irrevocably on gender—if, as Judith Butler writes, questions of gender are irretrievably interwoven with questions of materiality, and if human substantiation enduringly depends on the expulsion of animals—then it is imperative that we ask questions not only about how animals matter, but how they matter sexually</w:t>
      </w:r>
      <w:r w:rsidRPr="00F270A9">
        <w:t>.</w:t>
      </w:r>
      <w:r>
        <w:t xml:space="preserve"> </w:t>
      </w:r>
      <w:r w:rsidRPr="00F270A9">
        <w:t xml:space="preserve">2 </w:t>
      </w:r>
      <w:r w:rsidRPr="00006B4C">
        <w:rPr>
          <w:rStyle w:val="StyleUnderline"/>
        </w:rPr>
        <w:t>To examine the transness of animal figures in cultural productions or philosophical discourses (beyond their biology, queerness, or pure animality, for instance) is to also interrogate how humans’ analogic mapping to and from animals (within imagined, lived, or taxonomic intimacies) paradoxically survives the cancellation wrought by the operations of abjection, casting a trans light back on the human</w:t>
      </w:r>
      <w:r w:rsidRPr="00F270A9">
        <w:t>.</w:t>
      </w:r>
      <w:r>
        <w:t xml:space="preserve"> </w:t>
      </w:r>
      <w:r w:rsidRPr="00006B4C">
        <w:rPr>
          <w:rStyle w:val="StyleUnderline"/>
        </w:rPr>
        <w:t>By considering the simultaneous relevance of race, gender, sexuality, and geopolitics in animal studies, this chapter builds on recent work that treats animal spaces intersectionally.3 It makes use of the simultaneous mobility, stasis, and border violation shared among transgender spaces and other forms of trans- being: transnationality, transraciality, translation, transspecies. This is not to conflate these various, importantly distinct terms, but to instead try to think them together in new constellations.</w:t>
      </w:r>
    </w:p>
    <w:p w:rsidR="004C40EE" w:rsidRDefault="004C40EE" w:rsidP="004C40EE"/>
    <w:p w:rsidR="004C40EE" w:rsidRDefault="004C40EE" w:rsidP="004C40EE">
      <w:pPr>
        <w:pStyle w:val="Heading4"/>
      </w:pPr>
      <w:r>
        <w:t>Animacy is fluid. Our linguist practices matter – debate is political</w:t>
      </w:r>
    </w:p>
    <w:p w:rsidR="004C40EE" w:rsidRPr="00841C33" w:rsidRDefault="004C40EE" w:rsidP="004C40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40EE" w:rsidRPr="00D3619D" w:rsidRDefault="004C40EE" w:rsidP="004C40EE">
      <w:pPr>
        <w:rPr>
          <w:rStyle w:val="StyleUnderline"/>
        </w:rPr>
      </w:pPr>
      <w:r w:rsidRPr="001F2B44">
        <w:t xml:space="preserve">Ultimately, </w:t>
      </w:r>
      <w:r w:rsidRPr="00006B4C">
        <w:rPr>
          <w:rStyle w:val="StyleUnderline"/>
        </w:rPr>
        <w:t>animacy remains an unfixed notion</w:t>
      </w:r>
      <w:r w:rsidRPr="001F2B44">
        <w:t>. Linguists’ humility</w:t>
      </w:r>
      <w:r>
        <w:t xml:space="preserve"> </w:t>
      </w:r>
      <w:r w:rsidRPr="001F2B44">
        <w:t>before this elusiveness speaks to both disciplinarity’s hopeful possibility</w:t>
      </w:r>
      <w:r>
        <w:t xml:space="preserve"> </w:t>
      </w:r>
      <w:r w:rsidRPr="001F2B44">
        <w:t>(since exhaustive attempts still remain humble before the possibility</w:t>
      </w:r>
      <w:r>
        <w:t xml:space="preserve"> </w:t>
      </w:r>
      <w:r w:rsidRPr="001F2B44">
        <w:t>of other disciplinary studies) and the failure of disciplinarity</w:t>
      </w:r>
      <w:r>
        <w:t xml:space="preserve"> </w:t>
      </w:r>
      <w:r w:rsidRPr="001F2B44">
        <w:t>(to achieve the final mastery of its objects, if and when it ever hopes</w:t>
      </w:r>
      <w:r>
        <w:t xml:space="preserve"> </w:t>
      </w:r>
      <w:r w:rsidRPr="001F2B44">
        <w:t xml:space="preserve">to do so). </w:t>
      </w:r>
      <w:r w:rsidRPr="00006B4C">
        <w:rPr>
          <w:rStyle w:val="StyleUnderline"/>
        </w:rPr>
        <w:t>Animacy’s slipperiness here is beneficial for another reason: it serves as a reminder of the transformative importance of transnationality and migration. Consider that number can play a part in determining animacy. Fortunate mismatches can occur for secondlanguage English speakers who might not give a damn about whether proper number marking</w:t>
      </w:r>
      <w:r w:rsidRPr="001F2B44">
        <w:t xml:space="preserve"> (singular or plural) </w:t>
      </w:r>
      <w:r w:rsidRPr="00006B4C">
        <w:rPr>
          <w:rStyle w:val="StyleUnderline"/>
        </w:rPr>
        <w:t>or proper pronominal gender has been applied</w:t>
      </w:r>
      <w:r w:rsidRPr="001F2B44">
        <w:t xml:space="preserve"> (as has been the case with my Chinese immigrant</w:t>
      </w:r>
      <w:r>
        <w:t xml:space="preserve"> </w:t>
      </w:r>
      <w:r w:rsidRPr="001F2B44">
        <w:t xml:space="preserve">parents), and </w:t>
      </w:r>
      <w:r w:rsidRPr="00006B4C">
        <w:rPr>
          <w:rStyle w:val="StyleUnderline"/>
        </w:rPr>
        <w:t xml:space="preserve">animacy’s effects need not have anything to do 55 with intentionality either. In this transnational case, ontologies are interrupted, faced with their own instability, since sentience, agency, and control relations are thus remapped, vitalizing some linguistic referents and devitalizing others. Animacy’s slipperiness in such circumstances suggests, from a new direction, the troubled consolidation of the (Western) subject. Resorting to questions of universality is not my interest here; it suffices to note that animacy seems to be around, pressing itself into linguistic materiality </w:t>
      </w:r>
      <w:r w:rsidRPr="001F2B44">
        <w:t>(and in this hesitant validation I am no different</w:t>
      </w:r>
      <w:r>
        <w:t xml:space="preserve"> </w:t>
      </w:r>
      <w:r w:rsidRPr="001F2B44">
        <w:t>from various linguists who are still wondering what it is, even if it</w:t>
      </w:r>
      <w:r>
        <w:t xml:space="preserve"> </w:t>
      </w:r>
      <w:r w:rsidRPr="001F2B44">
        <w:t xml:space="preserve">“stays around”). Rather, the question is: </w:t>
      </w:r>
      <w:r w:rsidRPr="00D3619D">
        <w:rPr>
          <w:rStyle w:val="StyleUnderline"/>
        </w:rPr>
        <w:t>why</w:t>
      </w:r>
      <w:r w:rsidRPr="001F2B44">
        <w:t>—</w:t>
      </w:r>
      <w:r w:rsidRPr="00D3619D">
        <w:rPr>
          <w:rStyle w:val="StyleUnderline"/>
        </w:rPr>
        <w:t>or</w:t>
      </w:r>
      <w:r w:rsidRPr="001F2B44">
        <w:t xml:space="preserve"> rather, </w:t>
      </w:r>
      <w:r w:rsidRPr="00D3619D">
        <w:rPr>
          <w:rStyle w:val="StyleUnderline"/>
        </w:rPr>
        <w:t>how</w:t>
      </w:r>
      <w:r w:rsidRPr="001F2B44">
        <w:t>—</w:t>
      </w:r>
      <w:r w:rsidRPr="00D3619D">
        <w:rPr>
          <w:rStyle w:val="StyleUnderline"/>
        </w:rPr>
        <w:t>does animacy matter, both in the critical and political sense</w:t>
      </w:r>
      <w:r w:rsidRPr="001F2B44">
        <w:t>? And, perhaps,</w:t>
      </w:r>
      <w:r>
        <w:t xml:space="preserve"> </w:t>
      </w:r>
      <w:r w:rsidRPr="001F2B44">
        <w:t>what are the limits (analogical or otherwise) of a linguistic analysis?</w:t>
      </w:r>
      <w:r>
        <w:t xml:space="preserve"> </w:t>
      </w:r>
      <w:r w:rsidRPr="001F2B44">
        <w:t xml:space="preserve">The shortest answer is that if </w:t>
      </w:r>
      <w:r w:rsidRPr="00D3619D">
        <w:rPr>
          <w:rStyle w:val="StyleUnderline"/>
        </w:rPr>
        <w:t>animacy gradations have linguistic consequences and linguistic consequences are always also political ones, then animacy gradations are inextricably political. Language tells us of shared priorities (cognitive or not) and material- linguistic economies, in which some “stuff” emerges and other “stuff” remains ineffable, unmaterialized. The sentience of a noun phrase has linguistic and grammatical consequences, and these consequences are never merely grammatical and linguistic, but also deeply political.</w:t>
      </w:r>
    </w:p>
    <w:p w:rsidR="004C40EE" w:rsidRDefault="004C40EE" w:rsidP="004C40EE"/>
    <w:p w:rsidR="004C40EE" w:rsidRDefault="004C40EE" w:rsidP="004C40EE">
      <w:pPr>
        <w:pStyle w:val="Heading4"/>
      </w:pPr>
      <w:r>
        <w:t xml:space="preserve">Linguistics and epistemology shape reality. </w:t>
      </w:r>
    </w:p>
    <w:p w:rsidR="004C40EE" w:rsidRPr="00841C33" w:rsidRDefault="004C40EE" w:rsidP="004C40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40EE" w:rsidRDefault="004C40EE" w:rsidP="004C40EE">
      <w:pPr>
        <w:rPr>
          <w:rStyle w:val="Emphasis"/>
        </w:rPr>
      </w:pPr>
      <w:r w:rsidRPr="006A0A8A">
        <w:rPr>
          <w:sz w:val="14"/>
        </w:rPr>
        <w:t xml:space="preserve">There are very basic questions about animality, objectification, and humanity embedded within the examples of George Allen and Jimmy Lai. What is “macaca”? What is “I”? </w:t>
      </w:r>
      <w:r w:rsidRPr="00D3619D">
        <w:rPr>
          <w:rStyle w:val="StyleUnderline"/>
        </w:rPr>
        <w:t>What</w:t>
      </w:r>
      <w:r w:rsidRPr="006A0A8A">
        <w:rPr>
          <w:sz w:val="14"/>
        </w:rPr>
        <w:t xml:space="preserve">, finally, </w:t>
      </w:r>
      <w:r w:rsidRPr="00D3619D">
        <w:rPr>
          <w:rStyle w:val="StyleUnderline"/>
        </w:rPr>
        <w:t>is it to be “human”</w:t>
      </w:r>
      <w:r w:rsidRPr="006A0A8A">
        <w:rPr>
          <w:sz w:val="14"/>
        </w:rPr>
        <w:t xml:space="preserve">? 40 How do these categorizations, and the elisions as well as the segregations between them, work? </w:t>
      </w:r>
      <w:r w:rsidRPr="00D3619D">
        <w:rPr>
          <w:rStyle w:val="StyleUnderline"/>
        </w:rPr>
        <w:t>On what principles of division and identity are they coded</w:t>
      </w:r>
      <w:r w:rsidRPr="006A0A8A">
        <w:rPr>
          <w:sz w:val="14"/>
        </w:rPr>
        <w:t xml:space="preserve">? </w:t>
      </w:r>
      <w:r w:rsidRPr="00D3619D">
        <w:rPr>
          <w:rStyle w:val="StyleUnderline"/>
        </w:rPr>
        <w:t>And how do codes shift for different bodies? These questions begin to get at the complexities of many structures of inequality, not least sexism, homophobia, and ableism. Further, if racism is the hierarchalization of power and privilege across lines of race, then its reliance on the construction of a fragile humanity is one of its most profound dependencies</w:t>
      </w:r>
      <w:r w:rsidRPr="006A0A8A">
        <w:rPr>
          <w:sz w:val="14"/>
        </w:rPr>
        <w:t xml:space="preserve">. We have seen two examples of dehumanization by way of juxtaposition and blending with relatively animate and (arguably) inanimate substances, a macaca and a turtle’s egg (which contains within it only the future potential of lifeliness). While each of these close readings may make local sense, a question remains: </w:t>
      </w:r>
      <w:r w:rsidRPr="00D3619D">
        <w:rPr>
          <w:rStyle w:val="StyleUnderline"/>
        </w:rPr>
        <w:t>what background assumptions or structures must be present, or serve as support, for</w:t>
      </w:r>
      <w:r w:rsidRPr="006A0A8A">
        <w:rPr>
          <w:sz w:val="14"/>
        </w:rPr>
        <w:t xml:space="preserve"> these </w:t>
      </w:r>
      <w:r w:rsidRPr="00D3619D">
        <w:rPr>
          <w:rStyle w:val="StyleUnderline"/>
        </w:rPr>
        <w:t>dehumanizations to do their imaginative work</w:t>
      </w:r>
      <w:r w:rsidRPr="006A0A8A">
        <w:rPr>
          <w:sz w:val="14"/>
        </w:rPr>
        <w:t xml:space="preserve">? At the least, </w:t>
      </w:r>
      <w:r w:rsidRPr="00D3619D">
        <w:rPr>
          <w:rStyle w:val="StyleUnderline"/>
        </w:rPr>
        <w:t>what seems</w:t>
      </w:r>
      <w:r w:rsidRPr="006A0A8A">
        <w:rPr>
          <w:sz w:val="14"/>
        </w:rPr>
        <w:t xml:space="preserve"> almost certainly </w:t>
      </w:r>
      <w:r w:rsidRPr="00D3619D">
        <w:rPr>
          <w:rStyle w:val="StyleUnderline"/>
        </w:rPr>
        <w:t>operative</w:t>
      </w:r>
      <w:r w:rsidRPr="006A0A8A">
        <w:rPr>
          <w:sz w:val="14"/>
        </w:rPr>
        <w:t xml:space="preserve"> in both these cases </w:t>
      </w:r>
      <w:r w:rsidRPr="00D3619D">
        <w:rPr>
          <w:rStyle w:val="StyleUnderline"/>
        </w:rPr>
        <w:t>is a reference cline</w:t>
      </w:r>
      <w:r w:rsidRPr="006A0A8A">
        <w:rPr>
          <w:sz w:val="14"/>
        </w:rPr>
        <w:t xml:space="preserve"> (a graded linear scale) resembling a “great chain of being,” </w:t>
      </w:r>
      <w:r w:rsidRPr="00D3619D">
        <w:rPr>
          <w:rStyle w:val="StyleUnderline"/>
        </w:rPr>
        <w:t>an ordered hierarchy from inanimate object to plant to nonhuman animal to human, by which subject properties are differentially distributed (with humans possessing maximal and optimal subjectivity at the top)</w:t>
      </w:r>
      <w:r w:rsidRPr="006A0A8A">
        <w:rPr>
          <w:sz w:val="14"/>
        </w:rPr>
        <w:t xml:space="preserve">. </w:t>
      </w:r>
      <w:r w:rsidRPr="00D3619D">
        <w:rPr>
          <w:rStyle w:val="StyleUnderline"/>
        </w:rPr>
        <w:t>When humans are blended with objects along this cline, they are effectively “dehumanized,” and simultaneously de- subjectified and objectified.</w:t>
      </w:r>
      <w:r w:rsidRPr="006A0A8A">
        <w:rPr>
          <w:sz w:val="14"/>
        </w:rPr>
        <w:t xml:space="preserve"> The insults macaca and turtle’s egg with zero iq may well be examples of “abject subjects”: a subject aware of its abjection; a clashing embodiment of dignity as well as of shame. This paradox of the simultaneity of abjection and subjectivity is particularly emphasized in Julia Kristeva’s articulation of the abjection of self: “</w:t>
      </w:r>
      <w:r w:rsidRPr="00D3619D">
        <w:rPr>
          <w:rStyle w:val="StyleUnderline"/>
        </w:rPr>
        <w:t>If it be true that the abject simultaneously beseeches and pulverizes the subject, one can understand that it is experienced at the peak of its strength when that subject, weary of fruitless attempts to identify with something on the outside, finds the impossible within; when it finds that the impossible constitutes its very being, that it is none other than abject.”</w:t>
      </w:r>
      <w:r w:rsidRPr="006A0A8A">
        <w:rPr>
          <w:sz w:val="14"/>
        </w:rPr>
        <w:t xml:space="preserve">40 The examples are, far from merely propositional, deeply imbued with affect: </w:t>
      </w:r>
      <w:r w:rsidRPr="00D3619D">
        <w:rPr>
          <w:rStyle w:val="StyleUnderline"/>
        </w:rPr>
        <w:t>in the coincidence of high stature and base animality, the blendings embody an intensity, a fraught collision between humanity and “ zeroness.” What does it mean to exist at the level of the zero, moving away from humanness down the animacy hierarchy?</w:t>
      </w:r>
      <w:r w:rsidRPr="006A0A8A">
        <w:rPr>
          <w:sz w:val="14"/>
        </w:rPr>
        <w:t xml:space="preserve"> Take the phrase “I just don’t want to be a vegetable,” uttered by a person who fears a loss of 41 mental capacities. This sentence simply does not make sense unless it is understood as a disavowal of the next relevant position on a cline, a position to which one could slide if deprived of certain subjective properties. Between vegetable and animal lies a notable conventional difference in mentality, if we can call it that: the presence of an entity called the brain, which is commonly afforded the locus of thought. *“I just don’t want to be a stone” (recalling Aristotle’s soul- less body), however, seems to go too far within this dominant hierarchy (and thus receives a linguist’s mark for ungrammaticality or unacceptability, the asterisk); </w:t>
      </w:r>
      <w:r w:rsidRPr="00D3619D">
        <w:rPr>
          <w:rStyle w:val="StyleUnderline"/>
        </w:rPr>
        <w:t>some kind of animacy, some kind of thriving and sensitivity, must be preserved for the person’s denial to highlight the major locus of difference between what is desired and what is undesired.</w:t>
      </w:r>
      <w:r w:rsidRPr="006A0A8A">
        <w:rPr>
          <w:sz w:val="14"/>
        </w:rPr>
        <w:t xml:space="preserve"> The varying acceptability of these phrases reiterates that subjective properties are assigned to various stations on that cline, running from human, to animal, to vegetable, to inanimate stone. If we ask further what lies beyond the strict material positionality of an object, what the object may have been affectively invested with— in a sense, this is to acknowledge that vegetality may be defined as more than simply not being able to think, but a failure of lifeliness, of ability to act upon others—we find something like animacy. The question then becomes: Who are the proper mediums of affect? Are they humans? Humans and animals? Vegetables? Or inanimate entities, such as the incorporeal blend or a “dead” but warming and comforting piece of furniture? “I just don’t want to be a vegetable,” while seemingly an imaginative fancy, also informs, microcosmically and iteratively, of what proper humanity resembles—nonvegetables—and, further, that humans could in some way become vegetables. Further, it describes what discredited human subjects are like: vegetables. Indeed, vegetables, believed to be living, are not at the bottom of the animacy hierarchy, as stones seem to be; for instance, when humans and nonhuman animals eat them, they have specific effects and can be either nourishing or toxic to bodily systems. As Jane Bennett cogently notes, food itself is an “actant.”41 Using a term like persistent vegetative state potentially, again microcosmically, informs us of how we should understand vegetables themselves: vegetables cannot think; they are passive; they merely survive; they are dependent, not freestanding plants, but partaking of plants’ nutrients. In this way, the “vegetality” (constructed between the medicalized language of “persistent vegetative state” and 42 the lay expression “she’s a vegetable”) of Terri Schiavo, whose nonspeaking body became the subject of contentious national, legal, and interfamilial debate for seven years, culminating in the court- ordered removal of her feeding tube in 2005, became a politicized linguistic event as well as a politicized discussion about life and death.42 Indeed, Lennard Davis has pointed out that had Terri Schiavo been considered a “severely disabled woman” rather than a “vegetable,” different politics—even different legal consequences—would have ensued.43 As many scholars and activists have made clear, disability politics is a consistently unacknowledged and erased partner to right- to- die bioethical considerations; everyone loses by not thinking deeply enough about their underlying connections. To the insistence of disability rights on the legitimacy of such lives as Schiavo’s and the need for serious consideration of what is so dismissively dubbed vegetality, we might add an unlikely consideration by N. Katherine Hayles, who takes seriously the lessons of information architectures that distribute subjectivities among bodies and technologies, thereby threatening conventional definitions of human consciousness: “Shift the seat of identity from brain to cell or from neocortex to brainstem, and the nature of the subject radically changes. . . . Conscious mind can be hijacked, cut off by mutinous cells, absorbed into an artificial consciousness, or back- propagated through flawed memory. . . . Whether consciousness is seen as a precious evolutionary achievement that we should fight to preserve . . . or as an isolation room whose limits we are ready to outgrow, we can no longer simply assume that consciousness guarantees the existence of the self. In this sense, the posthuman subject is also a postconscious subject.”44 It is in such embroiled contexts that, given the conceptual resources that are loosely called animacy structures, language users of all kinds (including institutions and collectivities) not only contain or break the proper domain of vegetables, be they vegetal or human. </w:t>
      </w:r>
      <w:r w:rsidRPr="0062481C">
        <w:rPr>
          <w:rStyle w:val="Emphasis"/>
        </w:rPr>
        <w:t>Language users use animacy hierarchies to manipulate, affirm, and shift the ontologies that matter the world.</w:t>
      </w:r>
    </w:p>
    <w:p w:rsidR="004C40EE" w:rsidRDefault="004C40EE" w:rsidP="004C40EE">
      <w:pPr>
        <w:rPr>
          <w:rStyle w:val="Emphasis"/>
        </w:rPr>
      </w:pPr>
    </w:p>
    <w:p w:rsidR="004C40EE" w:rsidRPr="0062481C" w:rsidRDefault="004C40EE" w:rsidP="004C40EE">
      <w:pPr>
        <w:pStyle w:val="Heading4"/>
      </w:pPr>
      <w:r>
        <w:t xml:space="preserve">Perm: grammar. Queer toxicity is a method by which to create new grammars which solve the neg. </w:t>
      </w:r>
    </w:p>
    <w:p w:rsidR="004C40EE" w:rsidRPr="0062481C" w:rsidRDefault="004C40EE" w:rsidP="004C40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40EE" w:rsidRPr="006A0A8A" w:rsidRDefault="004C40EE" w:rsidP="004C40EE">
      <w:pPr>
        <w:rPr>
          <w:rStyle w:val="StyleUnderline"/>
        </w:rPr>
      </w:pPr>
      <w:r w:rsidRPr="006A0A8A">
        <w:t>The</w:t>
      </w:r>
      <w:r w:rsidRPr="0062481C">
        <w:t xml:space="preserve"> rest of this book focuses on this conceptual hierarchy in the</w:t>
      </w:r>
      <w:r>
        <w:t xml:space="preserve"> </w:t>
      </w:r>
      <w:r w:rsidRPr="0062481C">
        <w:t>context of the recent United States, while retaining a grasp on the renderings</w:t>
      </w:r>
      <w:r>
        <w:t xml:space="preserve"> </w:t>
      </w:r>
      <w:r w:rsidRPr="0062481C">
        <w:t xml:space="preserve">of it presented here. </w:t>
      </w:r>
      <w:r w:rsidRPr="006A0A8A">
        <w:rPr>
          <w:rStyle w:val="StyleUnderline"/>
        </w:rPr>
        <w:t>While I consider the animacy hierarchy as linguists do, as a prevalent conceptual structure and ordering that might possibly come out of understandings of lifeliness, sentience, agency, ability, and mobility in a richly textured world, I actively contextualize this hierarchy as a politically dominant one, one potentially affected and shaped by the spread of Christian cosmologies, capitalism, and the colonial orders of things.</w:t>
      </w:r>
      <w:r w:rsidRPr="0062481C">
        <w:t xml:space="preserve"> In this way, I depart from Yamamoto,</w:t>
      </w:r>
      <w:r>
        <w:t xml:space="preserve"> </w:t>
      </w:r>
      <w:r w:rsidRPr="0062481C">
        <w:t xml:space="preserve">Cherry, and Comrie, since </w:t>
      </w:r>
      <w:r w:rsidRPr="006A0A8A">
        <w:rPr>
          <w:rStyle w:val="StyleUnderline"/>
        </w:rPr>
        <w:t>my understanding of grammar expands beyond linguistic coercion to broader strokes of biopolitical governance. That is to say, I read this hierarchy, treated by linguists as an avowedly conceptual organization of worldly and abstract things with grammatical consequence, as naturally also an ontology of affect: for animacy hierarchies are precisely about which things can or cannot affect— or be affected by—which other things within a specific scheme of possible action (with the added delimitation within linguistics that the hierarchy is, with reference to a culturally shared order of things, a field of reference whose shared usage facilitates communicating</w:t>
      </w:r>
      <w:r w:rsidRPr="0062481C">
        <w:t>).</w:t>
      </w:r>
      <w:r>
        <w:t xml:space="preserve"> </w:t>
      </w:r>
      <w:r w:rsidRPr="0062481C">
        <w:t xml:space="preserve">Finally, </w:t>
      </w:r>
      <w:r w:rsidRPr="006A0A8A">
        <w:rPr>
          <w:rStyle w:val="Emphasis"/>
        </w:rPr>
        <w:t>I</w:t>
      </w:r>
      <w:r w:rsidRPr="0062481C">
        <w:t xml:space="preserve"> take a rather uncommon linguistic approach of </w:t>
      </w:r>
      <w:r w:rsidRPr="006A0A8A">
        <w:rPr>
          <w:rStyle w:val="StyleUnderline"/>
        </w:rPr>
        <w:t>studying</w:t>
      </w:r>
      <w:r>
        <w:t xml:space="preserve"> </w:t>
      </w:r>
      <w:r w:rsidRPr="0062481C">
        <w:t xml:space="preserve">not this dominant </w:t>
      </w:r>
      <w:r w:rsidRPr="006A0A8A">
        <w:rPr>
          <w:rStyle w:val="StyleUnderline"/>
        </w:rPr>
        <w:t>animacy hierarchy’s</w:t>
      </w:r>
      <w:r w:rsidRPr="0062481C">
        <w:t xml:space="preserve"> norms, but its </w:t>
      </w:r>
      <w:r w:rsidRPr="006A0A8A">
        <w:rPr>
          <w:rStyle w:val="StyleUnderline"/>
        </w:rPr>
        <w:t>failings</w:t>
      </w:r>
      <w:r w:rsidRPr="0062481C">
        <w:t>—as I</w:t>
      </w:r>
      <w:r>
        <w:t xml:space="preserve"> </w:t>
      </w:r>
      <w:r w:rsidRPr="0062481C">
        <w:t xml:space="preserve">call them, </w:t>
      </w:r>
      <w:r w:rsidRPr="006A0A8A">
        <w:rPr>
          <w:rStyle w:val="StyleUnderline"/>
        </w:rPr>
        <w:t>its leakages, its “ambivalent grammaticalities”—to map the ways in which such a conceptual hierarchy cannot but fail, the ways in which it must continually interanimate in spite of its apparent fixedness. Above all, I claim that animacy is political, shaped by what or who counts as human, and what or who does not.</w:t>
      </w:r>
    </w:p>
    <w:p w:rsidR="004C40EE" w:rsidRDefault="004C40EE" w:rsidP="004C40EE"/>
    <w:p w:rsidR="004C40EE" w:rsidRDefault="004C40EE" w:rsidP="004C40EE">
      <w:pPr>
        <w:pStyle w:val="Heading4"/>
      </w:pPr>
      <w:r>
        <w:t xml:space="preserve">Perm card for Antiblackness – bring not the dead to the living but rather the living to the dead. </w:t>
      </w:r>
    </w:p>
    <w:p w:rsidR="004C40EE" w:rsidRPr="0062481C" w:rsidRDefault="004C40EE" w:rsidP="004C40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40EE" w:rsidRPr="006A0A8A" w:rsidRDefault="004C40EE" w:rsidP="004C40EE">
      <w:pPr>
        <w:rPr>
          <w:rStyle w:val="StyleUnderline"/>
        </w:rPr>
      </w:pPr>
      <w:r w:rsidRPr="006A0A8A">
        <w:rPr>
          <w:rStyle w:val="StyleUnderline"/>
        </w:rPr>
        <w:t>Toxins have moved well beyond their specific range of biological attribution, leaking out of nominal and literal bounds</w:t>
      </w:r>
      <w:r w:rsidRPr="006A0A8A">
        <w:rPr>
          <w:sz w:val="16"/>
        </w:rPr>
        <w:t xml:space="preserve">. </w:t>
      </w:r>
      <w:r w:rsidRPr="006A0A8A">
        <w:rPr>
          <w:rStyle w:val="StyleUnderline"/>
        </w:rPr>
        <w:t>A politician will decry the “toxic” political atmosphere;4 Britney Spears will sing “Don’t you know that you’re toxic / And I love what you do”;5 an advice columnist will caution us to keep a healthy distance from “toxic” acquaintances.6 One book is written for workers “suffering the ravages of a toxic personality,” describing what they do as “poison, corrupt, pollute, and contaminate. . . . We define the toxic personality as anyone who demonstrates a pattern of counterproductive work behaviors that debilitate individuals, teams, and even organizations over the long term.”7 Thus, toxic people, not just chemicals, are appearing in popular social discourse, suggesting a shift in national sentiment that registers an increasing interest in individual bodily, emotional, and psychic security.</w:t>
      </w:r>
      <w:r w:rsidRPr="006A0A8A">
        <w:rPr>
          <w:sz w:val="16"/>
        </w:rPr>
        <w:t xml:space="preserve"> For </w:t>
      </w:r>
      <w:r w:rsidRPr="006A0A8A">
        <w:rPr>
          <w:rStyle w:val="StyleUnderline"/>
        </w:rPr>
        <w:t>the rhetoric of security inevitably has ramifications not simply related to health: as the previous chapter delineated, recent concerns about the toxicity of lead were especially charged in terms of race, sexuality, ability, and nation.</w:t>
      </w:r>
      <w:r w:rsidRPr="006A0A8A">
        <w:rPr>
          <w:sz w:val="16"/>
        </w:rPr>
        <w:t xml:space="preserve"> Let us probe the affective dynamics of one example in detail, the 191 paradoxical conceit of the now- popular phrase “toxic assets,” associated with policies of financial deregulation in the United States that entered a new phase in the early 1990s. Notably, the toxic assets of significance that originated at that time and that are held responsible for global economic fallout are the financial products composed of grouped mortgages tied to a hypervalued and unstable residential real estate market. We might say that this complex financial product, this “toxic asset,” is a “good” precisely because it entails capital value; yet it has unfortunately become—considering the discourse in which “toxic asset” has meaning—not only “toxic” but also perhaps “untouchable” (as an affective stance), “unengageable” (as tokens of exchange with limited commensurability), and perhaps even “disabling” (that is, it renders the corporation that buys it up also invalid). The term toxic assets thus reflects an effort to externalize—but also to indict for their threatening closeness (to home)—corrupt layers of financial organization. These examples illustrate that </w:t>
      </w:r>
      <w:r w:rsidRPr="006A0A8A">
        <w:rPr>
          <w:rStyle w:val="StyleUnderline"/>
        </w:rPr>
        <w:t>there seems to be a basic semantic schema for toxicity: in this schema, two bodies are proximate; the first body, living or abstract, is under threat by the second; the second has the effect of poisoning, and altering, the first, causing a degree of damage, disability, or even death. In English, this adjectival meaning of toxic—of or related to poison, which means that a body or its blood could be harmed by an external agent</w:t>
      </w:r>
      <w:r w:rsidRPr="006A0A8A">
        <w:rPr>
          <w:sz w:val="16"/>
        </w:rPr>
        <w:t>—</w:t>
      </w:r>
      <w:r w:rsidRPr="006A0A8A">
        <w:rPr>
          <w:rStyle w:val="StyleUnderline"/>
        </w:rPr>
        <w:t>has endured since the 1600s</w:t>
      </w:r>
      <w:r w:rsidRPr="006A0A8A">
        <w:rPr>
          <w:sz w:val="16"/>
        </w:rPr>
        <w:t xml:space="preserve">, according to the oed, and it was concretized into the noun toxin in 1890; it is debatable when the metaphorical use emerged. If we are willing to assign “literal” to toxicity’s application to the human body and “metaphoric” to all others, then these metaphorical mappings are not always very sound. Linnda Durre, author of Surviving the Toxic Workplace, identifies certain personalities as toxic; among them is one she dubs “The Delicate Flower”: “If someone is sitting there constantly saying: ‘You’re wearing perfume. I’m going to have an allergy attack,’ or: ‘You’re eating meat. That’s so disgusting,’ it’s like grinding, grinding, whining, whining every day of your life.”8 Durre would rather expunge the workplace of such complaints; she fails to consider that the design of a workplace might well place certain people, including those susceptible to allergy attacks, at a radical disadvantage. </w:t>
      </w:r>
      <w:r w:rsidRPr="006A0A8A">
        <w:rPr>
          <w:rStyle w:val="StyleUnderline"/>
        </w:rPr>
        <w:t>If the definition of toxin has always been the outcome of political negotiation and a threshold value on a set of selected tests, its conditionality is no more true in medical discourse than in social discourse, 192 in which one’s definition of a toxic irritant coincides with habitual scapegoats of ableist, sexist, and racist systems. Toxicity’s “first” (under threat) and “second” (threatening) bodies are thus in the eye of the beholder.</w:t>
      </w:r>
    </w:p>
    <w:p w:rsidR="004C40EE" w:rsidRDefault="004C40EE" w:rsidP="004C40EE"/>
    <w:p w:rsidR="004C40EE" w:rsidRDefault="004C40EE" w:rsidP="004C40EE">
      <w:pPr>
        <w:pStyle w:val="Heading4"/>
      </w:pPr>
      <w:r>
        <w:t>Poisoned affect good</w:t>
      </w:r>
    </w:p>
    <w:p w:rsidR="004C40EE" w:rsidRPr="0062481C" w:rsidRDefault="004C40EE" w:rsidP="004C40EE">
      <w:pPr>
        <w:rPr>
          <w:b/>
          <w:sz w:val="26"/>
        </w:rPr>
      </w:pPr>
      <w:r w:rsidRPr="00DA63AD">
        <w:rPr>
          <w:rStyle w:val="Style13ptBold"/>
        </w:rPr>
        <w:t>Chen 12,</w:t>
      </w:r>
      <w:r>
        <w:t xml:space="preserve"> (Mel, 2012; </w:t>
      </w:r>
      <w:r w:rsidRPr="001E06D4">
        <w:t>Associate Professor of Gender &amp; Women's Studies and director of the Center for the Study of Sexual Culture at the University of California, Berkeley</w:t>
      </w:r>
      <w:r>
        <w:t xml:space="preserve">; </w:t>
      </w:r>
      <w:r w:rsidRPr="001E06D4">
        <w:t>Board of Directors of the Society for Disability Studies</w:t>
      </w:r>
      <w:r>
        <w:t xml:space="preserve">,  </w:t>
      </w:r>
      <w:r w:rsidRPr="00170A1C">
        <w:t>affiliate of the Center for Race and Gender, the Science and Technology Studies Center, and the Institute for Cognitive and Behavioral Sciences</w:t>
      </w:r>
      <w:r>
        <w:t xml:space="preserve">; </w:t>
      </w:r>
      <w:r w:rsidRPr="00170A1C">
        <w:t>Ph.D. in</w:t>
      </w:r>
      <w:r>
        <w:t xml:space="preserve"> Linguistics from U.C. Berkeley, </w:t>
      </w:r>
      <w:r w:rsidRPr="00170A1C">
        <w:rPr>
          <w:i/>
        </w:rPr>
        <w:t>Animacies: Biopolitics, Racial Mattering, and Queer Affect</w:t>
      </w:r>
      <w:r>
        <w:t xml:space="preserve">, </w:t>
      </w:r>
      <w:r w:rsidRPr="001E06D4">
        <w:t>Duke University Press</w:t>
      </w:r>
      <w:r>
        <w:t xml:space="preserve">) </w:t>
      </w:r>
    </w:p>
    <w:p w:rsidR="004C40EE" w:rsidRPr="00AF5DC0" w:rsidRDefault="004C40EE" w:rsidP="004C40EE">
      <w:r w:rsidRPr="00AF5DC0">
        <w:t>We can further consider the Italian political philosopher Ricardo</w:t>
      </w:r>
      <w:r>
        <w:t xml:space="preserve"> </w:t>
      </w:r>
      <w:r w:rsidRPr="00AF5DC0">
        <w:t xml:space="preserve">Esposito’s elucidation of the ways in which </w:t>
      </w:r>
      <w:r w:rsidRPr="00B53189">
        <w:rPr>
          <w:rStyle w:val="StyleUnderline"/>
        </w:rPr>
        <w:t>immunity seems to work as a kind of destructive “negative protection of life</w:t>
      </w:r>
      <w:r w:rsidRPr="00AF5DC0">
        <w:t>.”19 In Esposito’s</w:t>
      </w:r>
      <w:r>
        <w:t xml:space="preserve"> </w:t>
      </w:r>
      <w:r w:rsidRPr="00AF5DC0">
        <w:t xml:space="preserve">“immunizing paradigm,” </w:t>
      </w:r>
      <w:r w:rsidRPr="00B53189">
        <w:rPr>
          <w:rStyle w:val="StyleUnderline"/>
        </w:rPr>
        <w:t>immunity is contracted on a “poisoned” affect of gratitude</w:t>
      </w:r>
      <w:r w:rsidRPr="00AF5DC0">
        <w:t xml:space="preserve"> (on the basis of membership in a community) </w:t>
      </w:r>
      <w:r w:rsidRPr="00B53189">
        <w:rPr>
          <w:rStyle w:val="StyleUnderline"/>
        </w:rPr>
        <w:t>that undercuts the final possibility of individual immunity</w:t>
      </w:r>
      <w:r w:rsidRPr="00AF5DC0">
        <w:t>. Esposito identifies</w:t>
      </w:r>
      <w:r>
        <w:t xml:space="preserve"> </w:t>
      </w:r>
      <w:r w:rsidRPr="00AF5DC0">
        <w:t>the shaky prescription of the introjection of the negative agent</w:t>
      </w:r>
      <w:r>
        <w:t xml:space="preserve"> </w:t>
      </w:r>
      <w:r w:rsidRPr="00AF5DC0">
        <w:t xml:space="preserve">as a way to defend against its exterior identity. Intriguingly, </w:t>
      </w:r>
      <w:r w:rsidRPr="00B53189">
        <w:rPr>
          <w:rStyle w:val="StyleUnderline"/>
        </w:rPr>
        <w:t>through “poisoned” affect, or an affect of gratitude that is somehow fatally compromised, toxicity thus sneaks into</w:t>
      </w:r>
      <w:r w:rsidRPr="00AF5DC0">
        <w:t xml:space="preserve"> Esposito’s elaboration </w:t>
      </w:r>
      <w:r w:rsidRPr="00B53189">
        <w:t>of</w:t>
      </w:r>
      <w:r w:rsidRPr="00B53189">
        <w:rPr>
          <w:rStyle w:val="StyleUnderline"/>
        </w:rPr>
        <w:t xml:space="preserve"> immunity in the realm of affect rather than as a formal object; it is thus never fully addressed beyond the given questions of negativity in relation to immunity</w:t>
      </w:r>
      <w:r w:rsidRPr="00AF5DC0">
        <w:t xml:space="preserve">. This may not be surprising, as </w:t>
      </w:r>
      <w:r w:rsidRPr="00B53189">
        <w:rPr>
          <w:rStyle w:val="StyleUnderline"/>
        </w:rPr>
        <w:t>the history of immunity does not confirm that toxicity was there from the start. But if it was not there, then what was?</w:t>
      </w:r>
      <w:r>
        <w:t xml:space="preserve"> </w:t>
      </w:r>
      <w:r w:rsidRPr="00AF5DC0">
        <w:t xml:space="preserve">It could be productive, I think, to </w:t>
      </w:r>
      <w:r w:rsidRPr="00B53189">
        <w:rPr>
          <w:rStyle w:val="StyleUnderline"/>
        </w:rPr>
        <w:t>use this theorization of immunity to ask questions of the absence or presence of toxicity (both are here) as a means of approaching immunity, and particularly to take the consideration of “poisoned” affect and its compromise to individual immunity further</w:t>
      </w:r>
      <w:r w:rsidRPr="00AF5DC0">
        <w:t xml:space="preserve">. I suggest that </w:t>
      </w:r>
      <w:r w:rsidRPr="00B53189">
        <w:rPr>
          <w:rStyle w:val="StyleUnderline"/>
        </w:rPr>
        <w:t>toxicity incontrovertibly meddles with the relations of subject and object required for even the kind of contractual immunitary ordering</w:t>
      </w:r>
      <w:r w:rsidRPr="00AF5DC0">
        <w:t xml:space="preserve"> that Esposito suggests. Thus,</w:t>
      </w:r>
      <w:r>
        <w:t xml:space="preserve"> </w:t>
      </w:r>
      <w:r w:rsidRPr="00B53189">
        <w:rPr>
          <w:rStyle w:val="StyleUnderline"/>
        </w:rPr>
        <w:t>while the threat of toxicity is held to a clear subject- object relation, intoxication (of an object by a toxin) is never held to an advantageous “homeopathic” quantity</w:t>
      </w:r>
      <w:r w:rsidRPr="00AF5DC0">
        <w:t xml:space="preserve"> (in light of the biopolitical interjection of</w:t>
      </w:r>
      <w:r>
        <w:t xml:space="preserve"> </w:t>
      </w:r>
      <w:r w:rsidRPr="00AF5DC0">
        <w:t xml:space="preserve">negativity): indeed, </w:t>
      </w:r>
      <w:r w:rsidRPr="00B53189">
        <w:rPr>
          <w:rStyle w:val="StyleUnderline"/>
        </w:rPr>
        <w:t>this is the function of poisoned affect seen fully through</w:t>
      </w:r>
      <w:r w:rsidRPr="00AF5DC0">
        <w:t xml:space="preserve">. </w:t>
      </w:r>
      <w:r w:rsidRPr="00B53189">
        <w:rPr>
          <w:rStyle w:val="StyleUnderline"/>
        </w:rPr>
        <w:t>Not only is political immunity challenged, the very nature of this alteration cannot be fully known. Who is, after all, the subject here</w:t>
      </w:r>
      <w:r w:rsidRPr="00AF5DC0">
        <w:t xml:space="preserve">? </w:t>
      </w:r>
      <w:r w:rsidRPr="00B53189">
        <w:rPr>
          <w:rStyle w:val="StyleUnderline"/>
        </w:rPr>
        <w:t>What if the object, which is itself a subject, has been substantively and subjectively altered by the toxin</w:t>
      </w:r>
      <w:r w:rsidRPr="00AF5DC0">
        <w:t>? Could we tell a history of</w:t>
      </w:r>
      <w:r>
        <w:t xml:space="preserve"> </w:t>
      </w:r>
      <w:r w:rsidRPr="00AF5DC0">
        <w:t>intoxication in relation to political immunity that sits next to Esposito’s?</w:t>
      </w:r>
      <w:r>
        <w:t xml:space="preserve"> </w:t>
      </w:r>
      <w:r w:rsidRPr="00AF5DC0">
        <w:t>There are clearly many more questions than answers here about</w:t>
      </w:r>
      <w:r>
        <w:t xml:space="preserve"> </w:t>
      </w:r>
      <w:r w:rsidRPr="00AF5DC0">
        <w:t>the history of the political affect of immunity.</w:t>
      </w:r>
    </w:p>
    <w:p w:rsidR="004C40EE" w:rsidRPr="00B55AD5" w:rsidRDefault="004C40EE" w:rsidP="004C40EE"/>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Annie Jia"/>
    <w:docVar w:name="RibbonPointer" w:val="150407768"/>
    <w:docVar w:name="VerbatimVersion" w:val="5.1"/>
  </w:docVars>
  <w:rsids>
    <w:rsidRoot w:val="002469EE"/>
    <w:rsid w:val="000139A3"/>
    <w:rsid w:val="000F1675"/>
    <w:rsid w:val="00100833"/>
    <w:rsid w:val="00104529"/>
    <w:rsid w:val="00105942"/>
    <w:rsid w:val="00107396"/>
    <w:rsid w:val="00125DDA"/>
    <w:rsid w:val="00144A4C"/>
    <w:rsid w:val="00176AB0"/>
    <w:rsid w:val="00177B7D"/>
    <w:rsid w:val="0018322D"/>
    <w:rsid w:val="001B5776"/>
    <w:rsid w:val="001E527A"/>
    <w:rsid w:val="001F78CE"/>
    <w:rsid w:val="002469EE"/>
    <w:rsid w:val="00251FC7"/>
    <w:rsid w:val="002855A7"/>
    <w:rsid w:val="002B146A"/>
    <w:rsid w:val="002B5E17"/>
    <w:rsid w:val="00315690"/>
    <w:rsid w:val="00316B75"/>
    <w:rsid w:val="00325646"/>
    <w:rsid w:val="003460F2"/>
    <w:rsid w:val="0038158C"/>
    <w:rsid w:val="003902BA"/>
    <w:rsid w:val="003A09E2"/>
    <w:rsid w:val="00407037"/>
    <w:rsid w:val="004605D6"/>
    <w:rsid w:val="004C40EE"/>
    <w:rsid w:val="004C60E8"/>
    <w:rsid w:val="004E3579"/>
    <w:rsid w:val="004E49AB"/>
    <w:rsid w:val="004E728B"/>
    <w:rsid w:val="004F39E0"/>
    <w:rsid w:val="00531A23"/>
    <w:rsid w:val="00533105"/>
    <w:rsid w:val="00537BD5"/>
    <w:rsid w:val="0054680A"/>
    <w:rsid w:val="0057268A"/>
    <w:rsid w:val="005D2912"/>
    <w:rsid w:val="005E637E"/>
    <w:rsid w:val="006065BD"/>
    <w:rsid w:val="00645FA9"/>
    <w:rsid w:val="00647866"/>
    <w:rsid w:val="00665003"/>
    <w:rsid w:val="0069086D"/>
    <w:rsid w:val="006A2AD0"/>
    <w:rsid w:val="006C2375"/>
    <w:rsid w:val="006D4ECC"/>
    <w:rsid w:val="00707726"/>
    <w:rsid w:val="00722258"/>
    <w:rsid w:val="007243E5"/>
    <w:rsid w:val="0073145A"/>
    <w:rsid w:val="00766EA0"/>
    <w:rsid w:val="007A2226"/>
    <w:rsid w:val="007F5B66"/>
    <w:rsid w:val="00823A1C"/>
    <w:rsid w:val="00823B52"/>
    <w:rsid w:val="00845B9D"/>
    <w:rsid w:val="00860984"/>
    <w:rsid w:val="008B3ECB"/>
    <w:rsid w:val="008B4E85"/>
    <w:rsid w:val="008C1B2E"/>
    <w:rsid w:val="0091627E"/>
    <w:rsid w:val="0097032B"/>
    <w:rsid w:val="009C0D41"/>
    <w:rsid w:val="009D2EAD"/>
    <w:rsid w:val="009D54B2"/>
    <w:rsid w:val="009E1922"/>
    <w:rsid w:val="009F7ED2"/>
    <w:rsid w:val="00A147CB"/>
    <w:rsid w:val="00A200A7"/>
    <w:rsid w:val="00A93661"/>
    <w:rsid w:val="00A95652"/>
    <w:rsid w:val="00AC062A"/>
    <w:rsid w:val="00AC0AB8"/>
    <w:rsid w:val="00B33C6D"/>
    <w:rsid w:val="00B4508F"/>
    <w:rsid w:val="00B55AD5"/>
    <w:rsid w:val="00B8057C"/>
    <w:rsid w:val="00BA0FFB"/>
    <w:rsid w:val="00BD6238"/>
    <w:rsid w:val="00BF593B"/>
    <w:rsid w:val="00BF773A"/>
    <w:rsid w:val="00BF7E81"/>
    <w:rsid w:val="00C13773"/>
    <w:rsid w:val="00C13E4A"/>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71240"/>
    <w:rsid w:val="00EC2481"/>
    <w:rsid w:val="00EC67C9"/>
    <w:rsid w:val="00EC7DC4"/>
    <w:rsid w:val="00ED30CF"/>
    <w:rsid w:val="00F176EF"/>
    <w:rsid w:val="00F45E10"/>
    <w:rsid w:val="00F6364A"/>
    <w:rsid w:val="00F9113A"/>
    <w:rsid w:val="00FE2546"/>
    <w:rsid w:val="00FF2D19"/>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E398DF-87E6-4218-9955-0C67D9C5A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40EE"/>
    <w:rPr>
      <w:rFonts w:ascii="Cambria Math" w:hAnsi="Cambria Math" w:cs="Times New Roman"/>
    </w:rPr>
  </w:style>
  <w:style w:type="paragraph" w:styleId="Heading1">
    <w:name w:val="heading 1"/>
    <w:aliases w:val="Pocket"/>
    <w:basedOn w:val="Normal"/>
    <w:next w:val="Normal"/>
    <w:link w:val="Heading1Char"/>
    <w:autoRedefine/>
    <w:qFormat/>
    <w:rsid w:val="004C40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40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40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C40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40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0EE"/>
  </w:style>
  <w:style w:type="character" w:customStyle="1" w:styleId="Heading1Char">
    <w:name w:val="Heading 1 Char"/>
    <w:aliases w:val="Pocket Char"/>
    <w:basedOn w:val="DefaultParagraphFont"/>
    <w:link w:val="Heading1"/>
    <w:rsid w:val="004C40EE"/>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4C40EE"/>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4C40EE"/>
    <w:rPr>
      <w:rFonts w:ascii="Cambria Math" w:eastAsiaTheme="majorEastAsia" w:hAnsi="Cambria Math" w:cstheme="majorBidi"/>
      <w:b/>
      <w:sz w:val="32"/>
      <w:szCs w:val="24"/>
      <w:u w:val="single"/>
    </w:rPr>
  </w:style>
  <w:style w:type="character" w:customStyle="1" w:styleId="Heading4Char">
    <w:name w:val="Heading 4 Char"/>
    <w:aliases w:val="Tag Char"/>
    <w:basedOn w:val="DefaultParagraphFont"/>
    <w:link w:val="Heading4"/>
    <w:uiPriority w:val="3"/>
    <w:rsid w:val="004C40EE"/>
    <w:rPr>
      <w:rFonts w:ascii="Cambria Math" w:eastAsiaTheme="majorEastAsia" w:hAnsi="Cambria Math" w:cstheme="majorBidi"/>
      <w:b/>
      <w:iCs/>
      <w:sz w:val="26"/>
    </w:rPr>
  </w:style>
  <w:style w:type="character" w:styleId="Emphasis">
    <w:name w:val="Emphasis"/>
    <w:basedOn w:val="DefaultParagraphFont"/>
    <w:uiPriority w:val="7"/>
    <w:qFormat/>
    <w:rsid w:val="004C40EE"/>
    <w:rPr>
      <w:rFonts w:ascii="Cambria Math" w:hAnsi="Cambria Math"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C40E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Title Char"/>
    <w:basedOn w:val="DefaultParagraphFont"/>
    <w:uiPriority w:val="6"/>
    <w:qFormat/>
    <w:rsid w:val="004C40EE"/>
    <w:rPr>
      <w:b w:val="0"/>
      <w:sz w:val="22"/>
      <w:u w:val="single"/>
    </w:rPr>
  </w:style>
  <w:style w:type="character" w:styleId="Hyperlink">
    <w:name w:val="Hyperlink"/>
    <w:basedOn w:val="DefaultParagraphFont"/>
    <w:uiPriority w:val="99"/>
    <w:semiHidden/>
    <w:unhideWhenUsed/>
    <w:rsid w:val="004C40EE"/>
    <w:rPr>
      <w:color w:val="auto"/>
      <w:u w:val="none"/>
    </w:rPr>
  </w:style>
  <w:style w:type="character" w:styleId="FollowedHyperlink">
    <w:name w:val="FollowedHyperlink"/>
    <w:basedOn w:val="DefaultParagraphFont"/>
    <w:uiPriority w:val="99"/>
    <w:semiHidden/>
    <w:unhideWhenUsed/>
    <w:rsid w:val="004C40E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ngm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324C6-A357-4120-9225-41BC535C1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8776</Words>
  <Characters>50027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ANNIE</dc:creator>
  <cp:keywords>5.1.1</cp:keywords>
  <cp:lastModifiedBy>Madeleine Langr</cp:lastModifiedBy>
  <cp:revision>2</cp:revision>
  <dcterms:created xsi:type="dcterms:W3CDTF">2016-07-19T04:00:00Z</dcterms:created>
  <dcterms:modified xsi:type="dcterms:W3CDTF">2016-07-19T13:38:00Z</dcterms:modified>
</cp:coreProperties>
</file>