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2E4C" w:rsidRDefault="007C776D" w:rsidP="007C776D">
      <w:pPr>
        <w:pStyle w:val="Heading1"/>
      </w:pPr>
      <w:r>
        <w:t xml:space="preserve">DDIx Starter </w:t>
      </w:r>
      <w:bookmarkStart w:id="0" w:name="_GoBack"/>
      <w:bookmarkEnd w:id="0"/>
      <w:r>
        <w:t>Pack Updates</w:t>
      </w:r>
    </w:p>
    <w:p w:rsidR="007C776D" w:rsidRDefault="007C776D" w:rsidP="007C776D"/>
    <w:p w:rsidR="007C776D" w:rsidRDefault="007C776D" w:rsidP="007C776D">
      <w:pPr>
        <w:pStyle w:val="Heading1"/>
      </w:pPr>
      <w:r>
        <w:lastRenderedPageBreak/>
        <w:t>Aff</w:t>
      </w:r>
    </w:p>
    <w:p w:rsidR="007C776D" w:rsidRDefault="007C776D" w:rsidP="007C776D"/>
    <w:p w:rsidR="007C776D" w:rsidRDefault="007C776D" w:rsidP="007C776D">
      <w:pPr>
        <w:pStyle w:val="Heading3"/>
      </w:pPr>
      <w:r>
        <w:lastRenderedPageBreak/>
        <w:t>Warming Not Inev</w:t>
      </w:r>
    </w:p>
    <w:p w:rsidR="007C776D" w:rsidRPr="00A51DEA" w:rsidRDefault="007C776D" w:rsidP="007C776D"/>
    <w:p w:rsidR="007C776D" w:rsidRPr="00A51DEA" w:rsidRDefault="007C776D" w:rsidP="007C776D">
      <w:pPr>
        <w:pStyle w:val="Heading4"/>
        <w:rPr>
          <w:rStyle w:val="StyleUnderline"/>
          <w:b w:val="0"/>
          <w:sz w:val="28"/>
          <w:szCs w:val="28"/>
          <w:u w:val="none"/>
        </w:rPr>
      </w:pPr>
      <w:r w:rsidRPr="00A51DEA">
        <w:rPr>
          <w:rStyle w:val="StyleUnderline"/>
          <w:sz w:val="28"/>
          <w:szCs w:val="28"/>
          <w:u w:val="none"/>
        </w:rPr>
        <w:t>Warming not inevitable, we can delay 450 ppm but we must act now</w:t>
      </w:r>
    </w:p>
    <w:p w:rsidR="007C776D" w:rsidRDefault="007C776D" w:rsidP="007C776D">
      <w:pPr>
        <w:rPr>
          <w:rStyle w:val="Style13ptBold"/>
        </w:rPr>
      </w:pPr>
      <w:r>
        <w:rPr>
          <w:rStyle w:val="Style13ptBold"/>
        </w:rPr>
        <w:t>Neslen 2016</w:t>
      </w:r>
    </w:p>
    <w:p w:rsidR="007C776D" w:rsidRPr="00001E8B" w:rsidRDefault="007C776D" w:rsidP="007C776D">
      <w:pPr>
        <w:rPr>
          <w:rStyle w:val="Style13ptBold"/>
          <w:b w:val="0"/>
          <w:sz w:val="12"/>
          <w:szCs w:val="12"/>
        </w:rPr>
      </w:pPr>
      <w:r w:rsidRPr="00001E8B">
        <w:rPr>
          <w:rStyle w:val="Style13ptBold"/>
          <w:b w:val="0"/>
          <w:sz w:val="12"/>
          <w:szCs w:val="12"/>
        </w:rPr>
        <w:t>(Arthur, Arthur Neslen is the Europe environment correspondent at the Guardian, “Carbon dioxide levels in atmosphere forecast to shatter milestone”, The Guardian, https://www.theguardian.com/environment/2016/jun/13/carbon-dioxide-levels-in-atmosphere-forecast-to-shatter-milestone//ghs-an)</w:t>
      </w:r>
    </w:p>
    <w:p w:rsidR="007C776D" w:rsidRPr="000B3E6D" w:rsidRDefault="007C776D" w:rsidP="007C776D">
      <w:pPr>
        <w:rPr>
          <w:sz w:val="16"/>
        </w:rPr>
      </w:pPr>
      <w:r w:rsidRPr="00985FED">
        <w:rPr>
          <w:rStyle w:val="StyleUnderline"/>
        </w:rPr>
        <w:t>Atmospheric concentrations of CO2 will shatter the symbolic barrier of 400 parts per million</w:t>
      </w:r>
      <w:r w:rsidRPr="000B3E6D">
        <w:rPr>
          <w:sz w:val="16"/>
        </w:rPr>
        <w:t xml:space="preserve"> (ppm</w:t>
      </w:r>
      <w:r w:rsidRPr="00985FED">
        <w:rPr>
          <w:rStyle w:val="StyleUnderline"/>
        </w:rPr>
        <w:t>) this year</w:t>
      </w:r>
      <w:r w:rsidRPr="000B3E6D">
        <w:rPr>
          <w:sz w:val="16"/>
        </w:rPr>
        <w:t xml:space="preserve"> and will not fall below it our in our lifetimes, according to a new Met Office study</w:t>
      </w:r>
      <w:proofErr w:type="gramStart"/>
      <w:r w:rsidRPr="000B3E6D">
        <w:rPr>
          <w:sz w:val="16"/>
        </w:rPr>
        <w:t>.</w:t>
      </w:r>
      <w:r w:rsidRPr="00985FED">
        <w:rPr>
          <w:sz w:val="12"/>
        </w:rPr>
        <w:t>¶</w:t>
      </w:r>
      <w:proofErr w:type="gramEnd"/>
      <w:r w:rsidRPr="00985FED">
        <w:rPr>
          <w:sz w:val="12"/>
        </w:rPr>
        <w:t xml:space="preserve"> </w:t>
      </w:r>
      <w:r w:rsidRPr="000B3E6D">
        <w:rPr>
          <w:sz w:val="16"/>
        </w:rPr>
        <w:t>Carbon dioxide measurements at the Mauna Loa observatory in Hawaii are forecast to soar by a record 3.1ppm this year – up from an annual average of 2.1ppm – due in large part to the cyclical El Niño weather event in the Pacific, the paper says.</w:t>
      </w:r>
      <w:r w:rsidRPr="00985FED">
        <w:rPr>
          <w:sz w:val="12"/>
        </w:rPr>
        <w:t xml:space="preserve">¶ </w:t>
      </w:r>
      <w:r w:rsidRPr="000B3E6D">
        <w:rPr>
          <w:sz w:val="16"/>
        </w:rPr>
        <w:t>The surge in CO2 levels will be larger than during the last big El Niño in 1997/98, because manmade emissions have increased by 25% since then, boosting the phenomenon’s strength.</w:t>
      </w:r>
      <w:r w:rsidRPr="00985FED">
        <w:rPr>
          <w:sz w:val="12"/>
        </w:rPr>
        <w:t xml:space="preserve">¶ </w:t>
      </w:r>
      <w:r w:rsidRPr="000B3E6D">
        <w:rPr>
          <w:sz w:val="16"/>
        </w:rPr>
        <w:t>The Met Office also attributes around a fifth of the current El Niño’s severity to forest fires, which were started by humans and exacerbated by drought.</w:t>
      </w:r>
      <w:r w:rsidRPr="00985FED">
        <w:rPr>
          <w:sz w:val="12"/>
        </w:rPr>
        <w:t xml:space="preserve">¶ </w:t>
      </w:r>
      <w:r w:rsidRPr="000B3E6D">
        <w:rPr>
          <w:sz w:val="16"/>
        </w:rPr>
        <w:t>The paper’s lead author, Professor Richard Betts of the Met’s Hadley Centre and Exeter University, said the fact that the 400ppm threshold had been breached a year earlier than expected carried a warning for the future.</w:t>
      </w:r>
      <w:r w:rsidRPr="00985FED">
        <w:rPr>
          <w:sz w:val="12"/>
        </w:rPr>
        <w:t xml:space="preserve">¶ </w:t>
      </w:r>
      <w:r w:rsidRPr="000B3E6D">
        <w:rPr>
          <w:sz w:val="16"/>
        </w:rPr>
        <w:t>“Once you have passed that barrier, it takes a long time for CO2 to be removed from the atmosphere by natural processes,” he said. “Even if we cut emissions, we wouldn’t see concentrations coming down for a long time, so we have said goodbye to measurements below 400ppm at Mauna Loa.”</w:t>
      </w:r>
      <w:r w:rsidRPr="00985FED">
        <w:rPr>
          <w:sz w:val="12"/>
        </w:rPr>
        <w:t xml:space="preserve">¶ </w:t>
      </w:r>
      <w:proofErr w:type="gramStart"/>
      <w:r w:rsidRPr="000B3E6D">
        <w:rPr>
          <w:sz w:val="16"/>
        </w:rPr>
        <w:t>The</w:t>
      </w:r>
      <w:proofErr w:type="gramEnd"/>
      <w:r w:rsidRPr="000B3E6D">
        <w:rPr>
          <w:sz w:val="16"/>
        </w:rPr>
        <w:t xml:space="preserve"> leap across the 400ppm watershed at the Hawaiian observatory will not change any climate change fundamentals. Rather, it marks a psychological rubicon, and reminder of the clock ticking down on global warming</w:t>
      </w:r>
      <w:proofErr w:type="gramStart"/>
      <w:r w:rsidRPr="000B3E6D">
        <w:rPr>
          <w:sz w:val="16"/>
        </w:rPr>
        <w:t>.</w:t>
      </w:r>
      <w:r w:rsidRPr="00985FED">
        <w:rPr>
          <w:sz w:val="12"/>
        </w:rPr>
        <w:t>¶</w:t>
      </w:r>
      <w:proofErr w:type="gramEnd"/>
      <w:r w:rsidRPr="00985FED">
        <w:rPr>
          <w:sz w:val="12"/>
        </w:rPr>
        <w:t xml:space="preserve"> </w:t>
      </w:r>
      <w:r w:rsidRPr="00985FED">
        <w:rPr>
          <w:rStyle w:val="StyleUnderline"/>
        </w:rPr>
        <w:t xml:space="preserve">The </w:t>
      </w:r>
      <w:r w:rsidRPr="000B3E6D">
        <w:rPr>
          <w:sz w:val="16"/>
        </w:rPr>
        <w:t xml:space="preserve">UN’s Intergovernmental Panel on Climate Change </w:t>
      </w:r>
      <w:r w:rsidRPr="00985FED">
        <w:rPr>
          <w:rStyle w:val="StyleUnderline"/>
        </w:rPr>
        <w:t>(IPCC)</w:t>
      </w:r>
      <w:r w:rsidRPr="000B3E6D">
        <w:rPr>
          <w:sz w:val="16"/>
        </w:rPr>
        <w:t xml:space="preserve"> </w:t>
      </w:r>
      <w:r w:rsidRPr="00985FED">
        <w:rPr>
          <w:rStyle w:val="StyleUnderline"/>
        </w:rPr>
        <w:t>says that CO2 concentrations must be stabilised at 450ppm to have a fair chance of avoiding global warming above 2C, which could carry catastrophic consequences</w:t>
      </w:r>
      <w:r w:rsidRPr="000B3E6D">
        <w:rPr>
          <w:sz w:val="16"/>
        </w:rPr>
        <w:t>.</w:t>
      </w:r>
      <w:r w:rsidRPr="00985FED">
        <w:rPr>
          <w:sz w:val="12"/>
        </w:rPr>
        <w:t xml:space="preserve">¶ </w:t>
      </w:r>
      <w:r w:rsidRPr="000B3E6D">
        <w:rPr>
          <w:sz w:val="16"/>
        </w:rPr>
        <w:t>Doing that that will require a 40-70% emissions cut by 2050, compared to 2010 levels, and zero emissions by the end of the century.</w:t>
      </w:r>
      <w:r w:rsidRPr="00985FED">
        <w:rPr>
          <w:sz w:val="12"/>
        </w:rPr>
        <w:t xml:space="preserve">¶ </w:t>
      </w:r>
      <w:r w:rsidRPr="000B3E6D">
        <w:rPr>
          <w:sz w:val="16"/>
        </w:rPr>
        <w:t>CO2 turned into stone in Iceland in climate change breakthrough</w:t>
      </w:r>
      <w:r w:rsidRPr="00985FED">
        <w:rPr>
          <w:sz w:val="12"/>
        </w:rPr>
        <w:t xml:space="preserve">¶ </w:t>
      </w:r>
      <w:r w:rsidRPr="000B3E6D">
        <w:rPr>
          <w:sz w:val="16"/>
        </w:rPr>
        <w:t>However, despite the Paris agreement last December and a boost in renewable energy that has at least temporarily checked the growth in global emissions, the world is on track to substantially overshoot the target.</w:t>
      </w:r>
      <w:r w:rsidRPr="00985FED">
        <w:rPr>
          <w:sz w:val="12"/>
        </w:rPr>
        <w:t xml:space="preserve">¶ </w:t>
      </w:r>
      <w:r w:rsidRPr="000B3E6D">
        <w:rPr>
          <w:sz w:val="16"/>
        </w:rPr>
        <w:t>“We could be passing above 450ppm in roughly 20 years,” Betts said. “</w:t>
      </w:r>
      <w:r w:rsidRPr="00985FED">
        <w:rPr>
          <w:rStyle w:val="StyleUnderline"/>
        </w:rPr>
        <w:t>If we start to reduce our global emissions now, we could delay that moment but it is still looking like a challenge to stay below 450ppm</w:t>
      </w:r>
      <w:r w:rsidRPr="000B3E6D">
        <w:rPr>
          <w:sz w:val="16"/>
        </w:rPr>
        <w:t>. If we carry on as we are going, we could pass 450ppm even sooner than 20 years, ac</w:t>
      </w:r>
      <w:r>
        <w:rPr>
          <w:sz w:val="16"/>
        </w:rPr>
        <w:t>cording to the IPCC scenarios.”</w:t>
      </w:r>
      <w:r w:rsidRPr="00985FED">
        <w:rPr>
          <w:sz w:val="12"/>
        </w:rPr>
        <w:t xml:space="preserve">¶ </w:t>
      </w:r>
      <w:r w:rsidRPr="000B3E6D">
        <w:rPr>
          <w:sz w:val="16"/>
        </w:rPr>
        <w:t>Climate modelling is a complex and delicate science, but confidence in the latest projections is high among the Met Office experts</w:t>
      </w:r>
      <w:proofErr w:type="gramStart"/>
      <w:r w:rsidRPr="000B3E6D">
        <w:rPr>
          <w:sz w:val="16"/>
        </w:rPr>
        <w:t>.</w:t>
      </w:r>
      <w:r w:rsidRPr="00985FED">
        <w:rPr>
          <w:sz w:val="12"/>
        </w:rPr>
        <w:t>¶</w:t>
      </w:r>
      <w:proofErr w:type="gramEnd"/>
      <w:r w:rsidRPr="00985FED">
        <w:rPr>
          <w:sz w:val="12"/>
        </w:rPr>
        <w:t xml:space="preserve"> </w:t>
      </w:r>
      <w:r w:rsidRPr="000B3E6D">
        <w:rPr>
          <w:sz w:val="16"/>
        </w:rPr>
        <w:t>CO2 concentrations follow seasonal flows, reaching an annual maximum in May and a minimum in September, when tree foliage acts as a sink, breathing in carbon dioxide from the atmosphere.</w:t>
      </w:r>
      <w:r w:rsidRPr="00985FED">
        <w:rPr>
          <w:sz w:val="12"/>
        </w:rPr>
        <w:t xml:space="preserve">¶ </w:t>
      </w:r>
      <w:r w:rsidRPr="000B3E6D">
        <w:rPr>
          <w:sz w:val="16"/>
        </w:rPr>
        <w:t>Last November, the Met Office predicted that mean concentrations of atmospheric CO2 in May 2016 would reach 407.57ppm, with a 0.5ppm margin of error. In fact, they reached 407.7</w:t>
      </w:r>
      <w:proofErr w:type="gramStart"/>
      <w:r w:rsidRPr="000B3E6D">
        <w:rPr>
          <w:sz w:val="16"/>
        </w:rPr>
        <w:t>.</w:t>
      </w:r>
      <w:r w:rsidRPr="00985FED">
        <w:rPr>
          <w:sz w:val="12"/>
        </w:rPr>
        <w:t>¶</w:t>
      </w:r>
      <w:proofErr w:type="gramEnd"/>
      <w:r w:rsidRPr="00985FED">
        <w:rPr>
          <w:sz w:val="12"/>
        </w:rPr>
        <w:t xml:space="preserve"> </w:t>
      </w:r>
      <w:r w:rsidRPr="000B3E6D">
        <w:rPr>
          <w:sz w:val="16"/>
        </w:rPr>
        <w:t>Prof Ralph Keeling of the Scripps Institution of Oceanography, a co-author on the paper, said: “Back in September last year, we suspected that we were measuring CO2 concentrations below 400 ppm for the last time. Now it is looking like this was indeed the case.”</w:t>
      </w:r>
    </w:p>
    <w:p w:rsidR="007C776D" w:rsidRDefault="007C776D" w:rsidP="007C776D">
      <w:pPr>
        <w:pStyle w:val="Heading3"/>
      </w:pPr>
      <w:r>
        <w:lastRenderedPageBreak/>
        <w:t>A2: Polysilicon</w:t>
      </w:r>
    </w:p>
    <w:p w:rsidR="007C776D" w:rsidRDefault="007C776D" w:rsidP="007C776D"/>
    <w:p w:rsidR="007C776D" w:rsidRDefault="007C776D" w:rsidP="007C776D">
      <w:pPr>
        <w:pStyle w:val="Heading4"/>
        <w:rPr>
          <w:rFonts w:eastAsia="Times New Roman"/>
        </w:rPr>
      </w:pPr>
      <w:r>
        <w:rPr>
          <w:rFonts w:eastAsia="Times New Roman"/>
        </w:rPr>
        <w:t>Polysilicon market is high and stable</w:t>
      </w:r>
    </w:p>
    <w:p w:rsidR="007C776D" w:rsidRPr="00014953" w:rsidRDefault="007C776D" w:rsidP="007C776D">
      <w:pPr>
        <w:spacing w:line="240" w:lineRule="auto"/>
        <w:rPr>
          <w:rStyle w:val="Style13ptBold"/>
        </w:rPr>
      </w:pPr>
      <w:r w:rsidRPr="00014953">
        <w:rPr>
          <w:rFonts w:ascii="Arial" w:hAnsi="Arial" w:cs="Arial"/>
          <w:color w:val="9B9B9B"/>
          <w:sz w:val="18"/>
          <w:szCs w:val="18"/>
        </w:rPr>
        <w:t> </w:t>
      </w:r>
      <w:hyperlink r:id="rId7" w:history="1">
        <w:r w:rsidRPr="00014953">
          <w:rPr>
            <w:rStyle w:val="Style13ptBold"/>
          </w:rPr>
          <w:t>Sontakke,</w:t>
        </w:r>
      </w:hyperlink>
      <w:r>
        <w:rPr>
          <w:rStyle w:val="Style13ptBold"/>
        </w:rPr>
        <w:t xml:space="preserve"> </w:t>
      </w:r>
      <w:r w:rsidRPr="00014953">
        <w:rPr>
          <w:rStyle w:val="Style13ptBold"/>
          <w:sz w:val="22"/>
        </w:rPr>
        <w:t>Mayur</w:t>
      </w:r>
      <w:r>
        <w:rPr>
          <w:rStyle w:val="Style13ptBold"/>
          <w:sz w:val="22"/>
        </w:rPr>
        <w:t xml:space="preserve">, </w:t>
      </w:r>
      <w:r>
        <w:rPr>
          <w:rStyle w:val="Style13ptBold"/>
        </w:rPr>
        <w:t xml:space="preserve">2015 </w:t>
      </w:r>
      <w:r w:rsidRPr="00386E12">
        <w:t xml:space="preserve">(National Institute of Industrial Engineering; Rating Analysist; Manager at Market Realist in Industry and Chemicals Department) (http://marketrealist.com/2015/02/concentration-top-polysilicon-market/) </w:t>
      </w:r>
    </w:p>
    <w:p w:rsidR="007C776D" w:rsidRDefault="007C776D" w:rsidP="007C776D">
      <w:pPr>
        <w:spacing w:after="0" w:line="240" w:lineRule="auto"/>
        <w:textAlignment w:val="baseline"/>
        <w:rPr>
          <w:rFonts w:asciiTheme="minorHAnsi" w:eastAsia="Times New Roman" w:hAnsiTheme="minorHAnsi"/>
          <w:color w:val="000000"/>
          <w:sz w:val="24"/>
        </w:rPr>
      </w:pPr>
    </w:p>
    <w:p w:rsidR="007C776D" w:rsidRPr="00406C7A" w:rsidRDefault="007C776D" w:rsidP="007C776D">
      <w:pPr>
        <w:spacing w:after="0" w:line="240" w:lineRule="auto"/>
        <w:textAlignment w:val="baseline"/>
        <w:rPr>
          <w:rFonts w:asciiTheme="minorHAnsi" w:eastAsia="Times New Roman" w:hAnsiTheme="minorHAnsi"/>
          <w:color w:val="000000"/>
          <w:sz w:val="24"/>
        </w:rPr>
      </w:pPr>
      <w:r w:rsidRPr="00406C7A">
        <w:rPr>
          <w:rFonts w:asciiTheme="minorHAnsi" w:eastAsia="Times New Roman" w:hAnsiTheme="minorHAnsi"/>
          <w:color w:val="000000"/>
          <w:sz w:val="24"/>
        </w:rPr>
        <w:t>T</w:t>
      </w:r>
      <w:r w:rsidRPr="00406C7A">
        <w:rPr>
          <w:rFonts w:asciiTheme="minorHAnsi" w:eastAsia="Times New Roman" w:hAnsiTheme="minorHAnsi"/>
          <w:color w:val="000000"/>
          <w:sz w:val="24"/>
          <w:u w:val="single"/>
        </w:rPr>
        <w:t xml:space="preserve">he </w:t>
      </w:r>
      <w:r w:rsidRPr="00737BCE">
        <w:rPr>
          <w:rFonts w:asciiTheme="minorHAnsi" w:eastAsia="Times New Roman" w:hAnsiTheme="minorHAnsi"/>
          <w:color w:val="000000"/>
          <w:sz w:val="24"/>
          <w:highlight w:val="yellow"/>
          <w:u w:val="single"/>
        </w:rPr>
        <w:t>polysilicon market is highly concentrated</w:t>
      </w:r>
      <w:r w:rsidRPr="00406C7A">
        <w:rPr>
          <w:rFonts w:asciiTheme="minorHAnsi" w:eastAsia="Times New Roman" w:hAnsiTheme="minorHAnsi"/>
          <w:color w:val="000000"/>
          <w:sz w:val="24"/>
          <w:u w:val="single"/>
        </w:rPr>
        <w:t>.</w:t>
      </w:r>
      <w:r w:rsidRPr="00406C7A">
        <w:rPr>
          <w:rFonts w:asciiTheme="minorHAnsi" w:eastAsia="Times New Roman" w:hAnsiTheme="minorHAnsi"/>
          <w:color w:val="000000"/>
          <w:sz w:val="24"/>
        </w:rPr>
        <w:t xml:space="preserve"> The </w:t>
      </w:r>
      <w:r w:rsidRPr="00737BCE">
        <w:rPr>
          <w:rStyle w:val="StyleUnderline"/>
          <w:rFonts w:asciiTheme="minorHAnsi" w:hAnsiTheme="minorHAnsi"/>
          <w:highlight w:val="yellow"/>
        </w:rPr>
        <w:t>top</w:t>
      </w:r>
      <w:r w:rsidRPr="00014953">
        <w:rPr>
          <w:rStyle w:val="StyleUnderline"/>
          <w:rFonts w:asciiTheme="minorHAnsi" w:hAnsiTheme="minorHAnsi"/>
        </w:rPr>
        <w:t xml:space="preserve"> four </w:t>
      </w:r>
      <w:r w:rsidRPr="00737BCE">
        <w:rPr>
          <w:rStyle w:val="StyleUnderline"/>
          <w:rFonts w:asciiTheme="minorHAnsi" w:hAnsiTheme="minorHAnsi"/>
          <w:highlight w:val="yellow"/>
        </w:rPr>
        <w:t>companies control</w:t>
      </w:r>
      <w:r w:rsidRPr="00014953">
        <w:rPr>
          <w:rStyle w:val="StyleUnderline"/>
          <w:rFonts w:asciiTheme="minorHAnsi" w:hAnsiTheme="minorHAnsi"/>
        </w:rPr>
        <w:t xml:space="preserve"> about </w:t>
      </w:r>
      <w:r w:rsidRPr="00737BCE">
        <w:rPr>
          <w:rStyle w:val="StyleUnderline"/>
          <w:rFonts w:asciiTheme="minorHAnsi" w:hAnsiTheme="minorHAnsi"/>
          <w:highlight w:val="yellow"/>
        </w:rPr>
        <w:t>70% of all business</w:t>
      </w:r>
      <w:r w:rsidRPr="00406C7A">
        <w:rPr>
          <w:rFonts w:asciiTheme="minorHAnsi" w:eastAsia="Times New Roman" w:hAnsiTheme="minorHAnsi"/>
          <w:color w:val="000000"/>
          <w:sz w:val="24"/>
        </w:rPr>
        <w:t xml:space="preserve">. In 2013, </w:t>
      </w:r>
      <w:r w:rsidRPr="00737BCE">
        <w:rPr>
          <w:rFonts w:asciiTheme="minorHAnsi" w:eastAsia="Times New Roman" w:hAnsiTheme="minorHAnsi"/>
          <w:color w:val="000000"/>
          <w:sz w:val="24"/>
          <w:highlight w:val="yellow"/>
          <w:u w:val="single"/>
        </w:rPr>
        <w:t>China-based GCL</w:t>
      </w:r>
      <w:r w:rsidRPr="00406C7A">
        <w:rPr>
          <w:rFonts w:asciiTheme="minorHAnsi" w:eastAsia="Times New Roman" w:hAnsiTheme="minorHAnsi"/>
          <w:color w:val="000000"/>
          <w:sz w:val="24"/>
          <w:u w:val="single"/>
        </w:rPr>
        <w:t xml:space="preserve"> was the </w:t>
      </w:r>
      <w:r w:rsidRPr="00737BCE">
        <w:rPr>
          <w:rFonts w:asciiTheme="minorHAnsi" w:eastAsia="Times New Roman" w:hAnsiTheme="minorHAnsi"/>
          <w:color w:val="000000"/>
          <w:sz w:val="24"/>
          <w:highlight w:val="yellow"/>
          <w:u w:val="single"/>
        </w:rPr>
        <w:t>largest producer with 22% of the global market</w:t>
      </w:r>
      <w:r w:rsidRPr="00406C7A">
        <w:rPr>
          <w:rFonts w:asciiTheme="minorHAnsi" w:eastAsia="Times New Roman" w:hAnsiTheme="minorHAnsi"/>
          <w:color w:val="000000"/>
          <w:sz w:val="24"/>
          <w:u w:val="single"/>
        </w:rPr>
        <w:t>,</w:t>
      </w:r>
      <w:r w:rsidRPr="00406C7A">
        <w:rPr>
          <w:rFonts w:asciiTheme="minorHAnsi" w:eastAsia="Times New Roman" w:hAnsiTheme="minorHAnsi"/>
          <w:color w:val="000000"/>
          <w:sz w:val="24"/>
        </w:rPr>
        <w:t xml:space="preserve"> followed closely by German giant Wacker Chemie with 21%. </w:t>
      </w:r>
      <w:r w:rsidRPr="00737BCE">
        <w:rPr>
          <w:rFonts w:asciiTheme="minorHAnsi" w:eastAsia="Times New Roman" w:hAnsiTheme="minorHAnsi"/>
          <w:color w:val="000000"/>
          <w:sz w:val="24"/>
          <w:highlight w:val="yellow"/>
          <w:u w:val="single"/>
        </w:rPr>
        <w:t>US-based</w:t>
      </w:r>
      <w:r w:rsidRPr="00406C7A">
        <w:rPr>
          <w:rFonts w:asciiTheme="minorHAnsi" w:eastAsia="Times New Roman" w:hAnsiTheme="minorHAnsi"/>
          <w:color w:val="000000"/>
          <w:sz w:val="24"/>
          <w:u w:val="single"/>
        </w:rPr>
        <w:t xml:space="preserve"> Hemlock Semiconductor </w:t>
      </w:r>
      <w:r w:rsidRPr="00737BCE">
        <w:rPr>
          <w:rFonts w:asciiTheme="minorHAnsi" w:eastAsia="Times New Roman" w:hAnsiTheme="minorHAnsi"/>
          <w:color w:val="000000"/>
          <w:sz w:val="24"/>
          <w:highlight w:val="yellow"/>
          <w:u w:val="single"/>
        </w:rPr>
        <w:t>Corporation</w:t>
      </w:r>
      <w:r w:rsidRPr="00406C7A">
        <w:rPr>
          <w:rFonts w:asciiTheme="minorHAnsi" w:eastAsia="Times New Roman" w:hAnsiTheme="minorHAnsi"/>
          <w:color w:val="000000"/>
          <w:sz w:val="24"/>
        </w:rPr>
        <w:t xml:space="preserve"> (</w:t>
      </w:r>
      <w:r w:rsidRPr="00014953">
        <w:rPr>
          <w:rFonts w:asciiTheme="minorHAnsi" w:eastAsia="Times New Roman" w:hAnsiTheme="minorHAnsi"/>
          <w:color w:val="003300"/>
          <w:sz w:val="24"/>
          <w:bdr w:val="none" w:sz="0" w:space="0" w:color="auto" w:frame="1"/>
        </w:rPr>
        <w:t>GLW</w:t>
      </w:r>
      <w:r w:rsidRPr="00406C7A">
        <w:rPr>
          <w:rFonts w:asciiTheme="minorHAnsi" w:eastAsia="Times New Roman" w:hAnsiTheme="minorHAnsi"/>
          <w:color w:val="000000"/>
          <w:sz w:val="24"/>
        </w:rPr>
        <w:t>)(</w:t>
      </w:r>
      <w:r w:rsidRPr="00014953">
        <w:rPr>
          <w:rFonts w:asciiTheme="minorHAnsi" w:eastAsia="Times New Roman" w:hAnsiTheme="minorHAnsi"/>
          <w:color w:val="003300"/>
          <w:sz w:val="24"/>
          <w:bdr w:val="none" w:sz="0" w:space="0" w:color="auto" w:frame="1"/>
        </w:rPr>
        <w:t>DOW</w:t>
      </w:r>
      <w:r w:rsidRPr="00406C7A">
        <w:rPr>
          <w:rFonts w:asciiTheme="minorHAnsi" w:eastAsia="Times New Roman" w:hAnsiTheme="minorHAnsi"/>
          <w:color w:val="000000"/>
          <w:sz w:val="24"/>
        </w:rPr>
        <w:t xml:space="preserve">) </w:t>
      </w:r>
      <w:r w:rsidRPr="00737BCE">
        <w:rPr>
          <w:rFonts w:asciiTheme="minorHAnsi" w:eastAsia="Times New Roman" w:hAnsiTheme="minorHAnsi"/>
          <w:color w:val="000000"/>
          <w:sz w:val="24"/>
          <w:highlight w:val="yellow"/>
          <w:u w:val="single"/>
        </w:rPr>
        <w:t>was third with a 14% share</w:t>
      </w:r>
      <w:r w:rsidRPr="00406C7A">
        <w:rPr>
          <w:rFonts w:asciiTheme="minorHAnsi" w:eastAsia="Times New Roman" w:hAnsiTheme="minorHAnsi"/>
          <w:color w:val="000000"/>
          <w:sz w:val="24"/>
          <w:u w:val="single"/>
        </w:rPr>
        <w:t>.</w:t>
      </w:r>
      <w:r>
        <w:rPr>
          <w:rFonts w:asciiTheme="minorHAnsi" w:eastAsia="Times New Roman" w:hAnsiTheme="minorHAnsi"/>
          <w:color w:val="000000"/>
          <w:sz w:val="24"/>
          <w:u w:val="single"/>
        </w:rPr>
        <w:t xml:space="preserve"> </w:t>
      </w:r>
      <w:r w:rsidRPr="00014953">
        <w:rPr>
          <w:rFonts w:asciiTheme="minorHAnsi" w:eastAsia="Times New Roman" w:hAnsiTheme="minorHAnsi"/>
          <w:bCs/>
          <w:color w:val="000000"/>
          <w:sz w:val="24"/>
          <w:bdr w:val="none" w:sz="0" w:space="0" w:color="auto" w:frame="1"/>
        </w:rPr>
        <w:t>High entry barriers</w:t>
      </w:r>
      <w:r w:rsidRPr="00014953">
        <w:rPr>
          <w:rFonts w:asciiTheme="minorHAnsi" w:eastAsia="Times New Roman" w:hAnsiTheme="minorHAnsi"/>
          <w:bCs/>
          <w:color w:val="000000"/>
          <w:sz w:val="24"/>
        </w:rPr>
        <w:t xml:space="preserve"> </w:t>
      </w:r>
      <w:proofErr w:type="gramStart"/>
      <w:r w:rsidRPr="00406C7A">
        <w:rPr>
          <w:rFonts w:asciiTheme="minorHAnsi" w:eastAsia="Times New Roman" w:hAnsiTheme="minorHAnsi"/>
          <w:color w:val="000000"/>
          <w:sz w:val="24"/>
        </w:rPr>
        <w:t>The</w:t>
      </w:r>
      <w:proofErr w:type="gramEnd"/>
      <w:r w:rsidRPr="00406C7A">
        <w:rPr>
          <w:rFonts w:asciiTheme="minorHAnsi" w:eastAsia="Times New Roman" w:hAnsiTheme="minorHAnsi"/>
          <w:color w:val="000000"/>
          <w:sz w:val="24"/>
        </w:rPr>
        <w:t xml:space="preserve"> reason for this concentration is a high level of barriers to entry. It takes $100 million dollars to build a polysilicon plant with an annual capacity of 1,000 tons. As well, </w:t>
      </w:r>
      <w:r w:rsidRPr="00737BCE">
        <w:rPr>
          <w:rFonts w:asciiTheme="minorHAnsi" w:eastAsia="Times New Roman" w:hAnsiTheme="minorHAnsi"/>
          <w:color w:val="000000"/>
          <w:sz w:val="24"/>
          <w:highlight w:val="yellow"/>
          <w:u w:val="single"/>
        </w:rPr>
        <w:t>customers have long-term contracts with existing suppliers</w:t>
      </w:r>
      <w:r w:rsidRPr="00406C7A">
        <w:rPr>
          <w:rFonts w:asciiTheme="minorHAnsi" w:eastAsia="Times New Roman" w:hAnsiTheme="minorHAnsi"/>
          <w:color w:val="000000"/>
          <w:sz w:val="24"/>
        </w:rPr>
        <w:t>, making it difficult for new players to win business.</w:t>
      </w:r>
      <w:r w:rsidRPr="00014953">
        <w:rPr>
          <w:rFonts w:asciiTheme="minorHAnsi" w:eastAsia="Times New Roman" w:hAnsiTheme="minorHAnsi"/>
          <w:color w:val="000000"/>
          <w:sz w:val="24"/>
        </w:rPr>
        <w:t xml:space="preserve"> </w:t>
      </w:r>
      <w:r w:rsidRPr="00737BCE">
        <w:rPr>
          <w:rFonts w:asciiTheme="minorHAnsi" w:eastAsia="Times New Roman" w:hAnsiTheme="minorHAnsi"/>
          <w:color w:val="000000"/>
          <w:sz w:val="24"/>
          <w:highlight w:val="yellow"/>
          <w:u w:val="single"/>
        </w:rPr>
        <w:t>Players</w:t>
      </w:r>
      <w:r w:rsidRPr="00406C7A">
        <w:rPr>
          <w:rFonts w:asciiTheme="minorHAnsi" w:eastAsia="Times New Roman" w:hAnsiTheme="minorHAnsi"/>
          <w:color w:val="000000"/>
          <w:sz w:val="24"/>
          <w:u w:val="single"/>
        </w:rPr>
        <w:t xml:space="preserve"> such as Wacker Chemie</w:t>
      </w:r>
      <w:r w:rsidRPr="00406C7A">
        <w:rPr>
          <w:rFonts w:asciiTheme="minorHAnsi" w:eastAsia="Times New Roman" w:hAnsiTheme="minorHAnsi"/>
          <w:color w:val="000000"/>
          <w:sz w:val="24"/>
        </w:rPr>
        <w:t>, which operate fully integrated chemical plants</w:t>
      </w:r>
      <w:r w:rsidRPr="00737BCE">
        <w:rPr>
          <w:rFonts w:asciiTheme="minorHAnsi" w:eastAsia="Times New Roman" w:hAnsiTheme="minorHAnsi"/>
          <w:color w:val="000000"/>
          <w:sz w:val="24"/>
          <w:highlight w:val="yellow"/>
        </w:rPr>
        <w:t xml:space="preserve">, </w:t>
      </w:r>
      <w:r w:rsidRPr="00737BCE">
        <w:rPr>
          <w:rFonts w:asciiTheme="minorHAnsi" w:eastAsia="Times New Roman" w:hAnsiTheme="minorHAnsi"/>
          <w:color w:val="000000"/>
          <w:sz w:val="24"/>
          <w:highlight w:val="yellow"/>
          <w:u w:val="single"/>
        </w:rPr>
        <w:t>have</w:t>
      </w:r>
      <w:r w:rsidRPr="00406C7A">
        <w:rPr>
          <w:rFonts w:asciiTheme="minorHAnsi" w:eastAsia="Times New Roman" w:hAnsiTheme="minorHAnsi"/>
          <w:color w:val="000000"/>
          <w:sz w:val="24"/>
          <w:u w:val="single"/>
        </w:rPr>
        <w:t xml:space="preserve"> the </w:t>
      </w:r>
      <w:r w:rsidRPr="00737BCE">
        <w:rPr>
          <w:rFonts w:asciiTheme="minorHAnsi" w:eastAsia="Times New Roman" w:hAnsiTheme="minorHAnsi"/>
          <w:color w:val="000000"/>
          <w:sz w:val="24"/>
          <w:highlight w:val="yellow"/>
          <w:u w:val="single"/>
        </w:rPr>
        <w:t>advantage over</w:t>
      </w:r>
      <w:r w:rsidRPr="00406C7A">
        <w:rPr>
          <w:rFonts w:asciiTheme="minorHAnsi" w:eastAsia="Times New Roman" w:hAnsiTheme="minorHAnsi"/>
          <w:color w:val="000000"/>
          <w:sz w:val="24"/>
          <w:u w:val="single"/>
        </w:rPr>
        <w:t xml:space="preserve"> pure-play </w:t>
      </w:r>
      <w:r w:rsidRPr="00737BCE">
        <w:rPr>
          <w:rFonts w:asciiTheme="minorHAnsi" w:eastAsia="Times New Roman" w:hAnsiTheme="minorHAnsi"/>
          <w:color w:val="000000"/>
          <w:sz w:val="24"/>
          <w:highlight w:val="yellow"/>
          <w:u w:val="single"/>
        </w:rPr>
        <w:t>polysilicon players because of</w:t>
      </w:r>
      <w:r w:rsidRPr="00406C7A">
        <w:rPr>
          <w:rFonts w:asciiTheme="minorHAnsi" w:eastAsia="Times New Roman" w:hAnsiTheme="minorHAnsi"/>
          <w:color w:val="000000"/>
          <w:sz w:val="24"/>
          <w:u w:val="single"/>
        </w:rPr>
        <w:t xml:space="preserve"> the </w:t>
      </w:r>
      <w:r w:rsidRPr="00737BCE">
        <w:rPr>
          <w:rFonts w:asciiTheme="minorHAnsi" w:eastAsia="Times New Roman" w:hAnsiTheme="minorHAnsi"/>
          <w:color w:val="000000"/>
          <w:sz w:val="24"/>
          <w:highlight w:val="yellow"/>
          <w:u w:val="single"/>
        </w:rPr>
        <w:t>synergies</w:t>
      </w:r>
      <w:r w:rsidRPr="00406C7A">
        <w:rPr>
          <w:rFonts w:asciiTheme="minorHAnsi" w:eastAsia="Times New Roman" w:hAnsiTheme="minorHAnsi"/>
          <w:color w:val="000000"/>
          <w:sz w:val="24"/>
          <w:u w:val="single"/>
        </w:rPr>
        <w:t xml:space="preserve"> that exist between polysilicon manufacturing and other chemical processes.</w:t>
      </w:r>
      <w:r w:rsidRPr="00406C7A">
        <w:rPr>
          <w:rFonts w:asciiTheme="minorHAnsi" w:eastAsia="Times New Roman" w:hAnsiTheme="minorHAnsi"/>
          <w:color w:val="000000"/>
          <w:sz w:val="24"/>
        </w:rPr>
        <w:t xml:space="preserve"> As a result, it’s challenging for new players to enter the industry.</w:t>
      </w:r>
      <w:r w:rsidRPr="00014953">
        <w:rPr>
          <w:rFonts w:asciiTheme="minorHAnsi" w:eastAsia="Times New Roman" w:hAnsiTheme="minorHAnsi"/>
          <w:color w:val="000000"/>
          <w:sz w:val="24"/>
        </w:rPr>
        <w:t xml:space="preserve"> </w:t>
      </w:r>
      <w:r w:rsidRPr="00406C7A">
        <w:rPr>
          <w:rFonts w:asciiTheme="minorHAnsi" w:eastAsia="Times New Roman" w:hAnsiTheme="minorHAnsi"/>
          <w:color w:val="000000"/>
          <w:sz w:val="24"/>
        </w:rPr>
        <w:t xml:space="preserve">Ingot and wafer manufacturers looking for backward integration into polysilicon could present some threat to existing players. But, at the </w:t>
      </w:r>
      <w:r w:rsidRPr="00737BCE">
        <w:rPr>
          <w:rFonts w:asciiTheme="minorHAnsi" w:eastAsia="Times New Roman" w:hAnsiTheme="minorHAnsi"/>
          <w:color w:val="000000"/>
          <w:sz w:val="24"/>
          <w:highlight w:val="yellow"/>
          <w:u w:val="single"/>
        </w:rPr>
        <w:t>current low price of polysilicon</w:t>
      </w:r>
      <w:r w:rsidRPr="00406C7A">
        <w:rPr>
          <w:rFonts w:asciiTheme="minorHAnsi" w:eastAsia="Times New Roman" w:hAnsiTheme="minorHAnsi"/>
          <w:color w:val="000000"/>
          <w:sz w:val="24"/>
        </w:rPr>
        <w:t xml:space="preserve">, the cost advantage of backward integration is diminished. In any case, existing </w:t>
      </w:r>
      <w:r w:rsidRPr="00737BCE">
        <w:rPr>
          <w:rFonts w:asciiTheme="minorHAnsi" w:eastAsia="Times New Roman" w:hAnsiTheme="minorHAnsi"/>
          <w:color w:val="000000"/>
          <w:sz w:val="24"/>
          <w:highlight w:val="yellow"/>
          <w:u w:val="single"/>
        </w:rPr>
        <w:t>players are adding a</w:t>
      </w:r>
      <w:r w:rsidRPr="00406C7A">
        <w:rPr>
          <w:rFonts w:asciiTheme="minorHAnsi" w:eastAsia="Times New Roman" w:hAnsiTheme="minorHAnsi"/>
          <w:color w:val="000000"/>
          <w:sz w:val="24"/>
          <w:u w:val="single"/>
        </w:rPr>
        <w:t xml:space="preserve"> </w:t>
      </w:r>
      <w:r w:rsidRPr="00406C7A">
        <w:rPr>
          <w:rFonts w:asciiTheme="minorHAnsi" w:eastAsia="Times New Roman" w:hAnsiTheme="minorHAnsi"/>
          <w:b/>
          <w:color w:val="000000"/>
          <w:sz w:val="24"/>
          <w:u w:val="single"/>
        </w:rPr>
        <w:t>combined 150,000 tons</w:t>
      </w:r>
      <w:r w:rsidRPr="00406C7A">
        <w:rPr>
          <w:rFonts w:asciiTheme="minorHAnsi" w:eastAsia="Times New Roman" w:hAnsiTheme="minorHAnsi"/>
          <w:color w:val="000000"/>
          <w:sz w:val="24"/>
          <w:u w:val="single"/>
        </w:rPr>
        <w:t xml:space="preserve"> of </w:t>
      </w:r>
      <w:r w:rsidRPr="00737BCE">
        <w:rPr>
          <w:rFonts w:asciiTheme="minorHAnsi" w:eastAsia="Times New Roman" w:hAnsiTheme="minorHAnsi"/>
          <w:color w:val="000000"/>
          <w:sz w:val="24"/>
          <w:highlight w:val="yellow"/>
          <w:u w:val="single"/>
        </w:rPr>
        <w:t>new capacity in</w:t>
      </w:r>
      <w:r w:rsidRPr="00406C7A">
        <w:rPr>
          <w:rFonts w:asciiTheme="minorHAnsi" w:eastAsia="Times New Roman" w:hAnsiTheme="minorHAnsi"/>
          <w:color w:val="000000"/>
          <w:sz w:val="24"/>
        </w:rPr>
        <w:t xml:space="preserve"> 2015 and </w:t>
      </w:r>
      <w:r w:rsidRPr="00737BCE">
        <w:rPr>
          <w:rFonts w:asciiTheme="minorHAnsi" w:eastAsia="Times New Roman" w:hAnsiTheme="minorHAnsi"/>
          <w:color w:val="000000"/>
          <w:sz w:val="24"/>
          <w:highlight w:val="yellow"/>
          <w:u w:val="single"/>
        </w:rPr>
        <w:t>2016</w:t>
      </w:r>
      <w:r w:rsidRPr="00406C7A">
        <w:rPr>
          <w:rFonts w:asciiTheme="minorHAnsi" w:eastAsia="Times New Roman" w:hAnsiTheme="minorHAnsi"/>
          <w:color w:val="000000"/>
          <w:sz w:val="24"/>
          <w:u w:val="single"/>
        </w:rPr>
        <w:t>,</w:t>
      </w:r>
      <w:r w:rsidRPr="00406C7A">
        <w:rPr>
          <w:rFonts w:asciiTheme="minorHAnsi" w:eastAsia="Times New Roman" w:hAnsiTheme="minorHAnsi"/>
          <w:color w:val="000000"/>
          <w:sz w:val="24"/>
        </w:rPr>
        <w:t xml:space="preserve"> making the pursuit of backward integration by ingot and wafer manufacturers that much less likely.</w:t>
      </w:r>
      <w:r w:rsidRPr="00014953">
        <w:rPr>
          <w:rFonts w:asciiTheme="minorHAnsi" w:eastAsia="Times New Roman" w:hAnsiTheme="minorHAnsi"/>
          <w:color w:val="000000"/>
          <w:sz w:val="24"/>
        </w:rPr>
        <w:t xml:space="preserve"> </w:t>
      </w:r>
      <w:r w:rsidRPr="00014953">
        <w:rPr>
          <w:rFonts w:asciiTheme="minorHAnsi" w:eastAsia="Times New Roman" w:hAnsiTheme="minorHAnsi"/>
          <w:bCs/>
          <w:color w:val="000000"/>
          <w:sz w:val="24"/>
          <w:bdr w:val="none" w:sz="0" w:space="0" w:color="auto" w:frame="1"/>
        </w:rPr>
        <w:t xml:space="preserve">Level of integration </w:t>
      </w:r>
      <w:r w:rsidRPr="00406C7A">
        <w:rPr>
          <w:rFonts w:asciiTheme="minorHAnsi" w:eastAsia="Times New Roman" w:hAnsiTheme="minorHAnsi"/>
          <w:color w:val="000000"/>
          <w:sz w:val="24"/>
        </w:rPr>
        <w:t>Though polysilicon is the most important component in solar cells, very few top polysilicon producers are integrated downstream into ingot and wafers, cells, or modules (</w:t>
      </w:r>
      <w:r w:rsidRPr="00014953">
        <w:rPr>
          <w:rFonts w:asciiTheme="minorHAnsi" w:eastAsia="Times New Roman" w:hAnsiTheme="minorHAnsi"/>
          <w:color w:val="003300"/>
          <w:sz w:val="24"/>
          <w:bdr w:val="none" w:sz="0" w:space="0" w:color="auto" w:frame="1"/>
        </w:rPr>
        <w:t>TAN</w:t>
      </w:r>
      <w:r w:rsidRPr="00406C7A">
        <w:rPr>
          <w:rFonts w:asciiTheme="minorHAnsi" w:eastAsia="Times New Roman" w:hAnsiTheme="minorHAnsi"/>
          <w:color w:val="000000"/>
          <w:sz w:val="24"/>
        </w:rPr>
        <w:t xml:space="preserve">). Only three of the top </w:t>
      </w:r>
      <w:proofErr w:type="gramStart"/>
      <w:r w:rsidRPr="00406C7A">
        <w:rPr>
          <w:rFonts w:asciiTheme="minorHAnsi" w:eastAsia="Times New Roman" w:hAnsiTheme="minorHAnsi"/>
          <w:color w:val="000000"/>
          <w:sz w:val="24"/>
        </w:rPr>
        <w:t>ten polysilicon</w:t>
      </w:r>
      <w:proofErr w:type="gramEnd"/>
      <w:r w:rsidRPr="00406C7A">
        <w:rPr>
          <w:rFonts w:asciiTheme="minorHAnsi" w:eastAsia="Times New Roman" w:hAnsiTheme="minorHAnsi"/>
          <w:color w:val="000000"/>
          <w:sz w:val="24"/>
        </w:rPr>
        <w:t xml:space="preserve"> producers figure among the top ten producers in the rest of the value chain. </w:t>
      </w:r>
      <w:r w:rsidRPr="00737BCE">
        <w:rPr>
          <w:rFonts w:asciiTheme="minorHAnsi" w:eastAsia="Times New Roman" w:hAnsiTheme="minorHAnsi"/>
          <w:color w:val="000000"/>
          <w:sz w:val="24"/>
          <w:highlight w:val="yellow"/>
          <w:u w:val="single"/>
        </w:rPr>
        <w:t>GCL Solar manufactures ingot and wafers</w:t>
      </w:r>
      <w:r w:rsidRPr="00406C7A">
        <w:rPr>
          <w:rFonts w:asciiTheme="minorHAnsi" w:eastAsia="Times New Roman" w:hAnsiTheme="minorHAnsi"/>
          <w:color w:val="000000"/>
          <w:sz w:val="24"/>
        </w:rPr>
        <w:t>, and LDK Solar and ReneSola (</w:t>
      </w:r>
      <w:r w:rsidRPr="00014953">
        <w:rPr>
          <w:rFonts w:asciiTheme="minorHAnsi" w:eastAsia="Times New Roman" w:hAnsiTheme="minorHAnsi"/>
          <w:color w:val="003300"/>
          <w:sz w:val="24"/>
          <w:bdr w:val="none" w:sz="0" w:space="0" w:color="auto" w:frame="1"/>
        </w:rPr>
        <w:t>SOL</w:t>
      </w:r>
      <w:r w:rsidRPr="00406C7A">
        <w:rPr>
          <w:rFonts w:asciiTheme="minorHAnsi" w:eastAsia="Times New Roman" w:hAnsiTheme="minorHAnsi"/>
          <w:color w:val="000000"/>
          <w:sz w:val="24"/>
        </w:rPr>
        <w:t>) are present across the board.</w:t>
      </w:r>
      <w:r w:rsidRPr="00014953">
        <w:rPr>
          <w:rFonts w:asciiTheme="minorHAnsi" w:eastAsia="Times New Roman" w:hAnsiTheme="minorHAnsi"/>
          <w:color w:val="000000"/>
          <w:sz w:val="24"/>
        </w:rPr>
        <w:t xml:space="preserve"> </w:t>
      </w:r>
      <w:r w:rsidRPr="00014953">
        <w:rPr>
          <w:rFonts w:asciiTheme="minorHAnsi" w:eastAsia="Times New Roman" w:hAnsiTheme="minorHAnsi"/>
          <w:bCs/>
          <w:color w:val="000000"/>
          <w:sz w:val="24"/>
          <w:bdr w:val="none" w:sz="0" w:space="0" w:color="auto" w:frame="1"/>
        </w:rPr>
        <w:t xml:space="preserve">Competition and substitutes </w:t>
      </w:r>
      <w:proofErr w:type="gramStart"/>
      <w:r w:rsidRPr="00406C7A">
        <w:rPr>
          <w:rFonts w:asciiTheme="minorHAnsi" w:eastAsia="Times New Roman" w:hAnsiTheme="minorHAnsi"/>
          <w:color w:val="000000"/>
          <w:sz w:val="24"/>
        </w:rPr>
        <w:t>Since</w:t>
      </w:r>
      <w:proofErr w:type="gramEnd"/>
      <w:r w:rsidRPr="00406C7A">
        <w:rPr>
          <w:rFonts w:asciiTheme="minorHAnsi" w:eastAsia="Times New Roman" w:hAnsiTheme="minorHAnsi"/>
          <w:color w:val="000000"/>
          <w:sz w:val="24"/>
        </w:rPr>
        <w:t xml:space="preserve"> </w:t>
      </w:r>
      <w:r w:rsidRPr="00737BCE">
        <w:rPr>
          <w:rFonts w:asciiTheme="minorHAnsi" w:eastAsia="Times New Roman" w:hAnsiTheme="minorHAnsi"/>
          <w:color w:val="000000"/>
          <w:sz w:val="24"/>
          <w:highlight w:val="yellow"/>
          <w:u w:val="single"/>
        </w:rPr>
        <w:t>polysilicon</w:t>
      </w:r>
      <w:r w:rsidRPr="00406C7A">
        <w:rPr>
          <w:rFonts w:asciiTheme="minorHAnsi" w:eastAsia="Times New Roman" w:hAnsiTheme="minorHAnsi"/>
          <w:color w:val="000000"/>
          <w:sz w:val="24"/>
          <w:u w:val="single"/>
        </w:rPr>
        <w:t xml:space="preserve"> is </w:t>
      </w:r>
      <w:r w:rsidRPr="00737BCE">
        <w:rPr>
          <w:rFonts w:asciiTheme="minorHAnsi" w:eastAsia="Times New Roman" w:hAnsiTheme="minorHAnsi"/>
          <w:color w:val="000000"/>
          <w:sz w:val="24"/>
          <w:highlight w:val="yellow"/>
          <w:u w:val="single"/>
        </w:rPr>
        <w:t>actively traded</w:t>
      </w:r>
      <w:r w:rsidRPr="00406C7A">
        <w:rPr>
          <w:rFonts w:asciiTheme="minorHAnsi" w:eastAsia="Times New Roman" w:hAnsiTheme="minorHAnsi"/>
          <w:color w:val="000000"/>
          <w:sz w:val="24"/>
          <w:u w:val="single"/>
        </w:rPr>
        <w:t xml:space="preserve"> on commodity exchanges</w:t>
      </w:r>
      <w:r w:rsidRPr="00406C7A">
        <w:rPr>
          <w:rFonts w:asciiTheme="minorHAnsi" w:eastAsia="Times New Roman" w:hAnsiTheme="minorHAnsi"/>
          <w:color w:val="000000"/>
          <w:sz w:val="24"/>
        </w:rPr>
        <w:t>, the competition among players is primarily based on price. The only substitute for crystalline PVs (photovoltaics) is the thin-film PVs manufactured by companies such as Hanergy and First Solar (</w:t>
      </w:r>
      <w:r w:rsidRPr="00014953">
        <w:rPr>
          <w:rFonts w:asciiTheme="minorHAnsi" w:eastAsia="Times New Roman" w:hAnsiTheme="minorHAnsi"/>
          <w:color w:val="003300"/>
          <w:sz w:val="24"/>
          <w:bdr w:val="none" w:sz="0" w:space="0" w:color="auto" w:frame="1"/>
        </w:rPr>
        <w:t>FSLR</w:t>
      </w:r>
      <w:r w:rsidRPr="00406C7A">
        <w:rPr>
          <w:rFonts w:asciiTheme="minorHAnsi" w:eastAsia="Times New Roman" w:hAnsiTheme="minorHAnsi"/>
          <w:color w:val="000000"/>
          <w:sz w:val="24"/>
        </w:rPr>
        <w:t>). However, thin-film PVs are less efficient. As well, they require more space to function. As a result, polysilicon-based PVs make up 90% of the market.</w:t>
      </w:r>
    </w:p>
    <w:p w:rsidR="007C776D" w:rsidRDefault="007C776D" w:rsidP="007C776D"/>
    <w:p w:rsidR="007C776D" w:rsidRDefault="007C776D" w:rsidP="007C776D"/>
    <w:p w:rsidR="007C776D" w:rsidRDefault="007C776D" w:rsidP="007C776D">
      <w:pPr>
        <w:pStyle w:val="Heading3"/>
      </w:pPr>
      <w:r>
        <w:lastRenderedPageBreak/>
        <w:t>Cybersecurity Impact</w:t>
      </w:r>
    </w:p>
    <w:p w:rsidR="007C776D" w:rsidRDefault="007C776D" w:rsidP="007C776D"/>
    <w:p w:rsidR="007C776D" w:rsidRDefault="007C776D" w:rsidP="007C776D">
      <w:pPr>
        <w:pStyle w:val="Heading4"/>
      </w:pPr>
      <w:r>
        <w:t>High tariffs are key to deter Chinese cyber attacks</w:t>
      </w:r>
    </w:p>
    <w:p w:rsidR="007C776D" w:rsidRPr="00F110D5" w:rsidRDefault="007C776D" w:rsidP="007C776D">
      <w:pPr>
        <w:spacing w:after="0" w:line="240" w:lineRule="auto"/>
        <w:rPr>
          <w:rFonts w:ascii="Times" w:hAnsi="Times"/>
        </w:rPr>
      </w:pPr>
      <w:r w:rsidRPr="00F110D5">
        <w:rPr>
          <w:rStyle w:val="Style13ptBold"/>
          <w:rFonts w:ascii="Times" w:hAnsi="Times"/>
        </w:rPr>
        <w:t>Cardwell 14</w:t>
      </w:r>
      <w:r w:rsidRPr="00F110D5">
        <w:rPr>
          <w:rFonts w:ascii="Times" w:hAnsi="Times"/>
        </w:rPr>
        <w:t xml:space="preserve"> (Staff writer at the New York Times)</w:t>
      </w:r>
    </w:p>
    <w:p w:rsidR="007C776D" w:rsidRPr="00F110D5" w:rsidRDefault="007C776D" w:rsidP="007C776D">
      <w:pPr>
        <w:spacing w:after="0" w:line="240" w:lineRule="auto"/>
        <w:rPr>
          <w:rFonts w:ascii="Times" w:hAnsi="Times"/>
        </w:rPr>
      </w:pPr>
      <w:r w:rsidRPr="00F110D5">
        <w:rPr>
          <w:rFonts w:ascii="Times" w:hAnsi="Times"/>
        </w:rPr>
        <w:t>(Diane, Solar Company Seeks Stiff U.S. Tariffs to Deter Chinese Spying, http://www.nytimes.com/2014/09/02/business/trade-duties-urged-as-new-deterrent-against-cybertheft.html</w:t>
      </w:r>
      <w:proofErr w:type="gramStart"/>
      <w:r w:rsidRPr="00F110D5">
        <w:rPr>
          <w:rFonts w:ascii="Times" w:hAnsi="Times"/>
        </w:rPr>
        <w:t>?_</w:t>
      </w:r>
      <w:proofErr w:type="gramEnd"/>
      <w:r w:rsidRPr="00F110D5">
        <w:rPr>
          <w:rFonts w:ascii="Times" w:hAnsi="Times"/>
        </w:rPr>
        <w:t>r=1)</w:t>
      </w:r>
    </w:p>
    <w:p w:rsidR="007C776D" w:rsidRPr="00F110D5" w:rsidRDefault="007C776D" w:rsidP="007C776D">
      <w:pPr>
        <w:spacing w:after="0" w:line="240" w:lineRule="auto"/>
        <w:rPr>
          <w:rFonts w:ascii="Times" w:hAnsi="Times"/>
        </w:rPr>
      </w:pPr>
    </w:p>
    <w:p w:rsidR="007C776D" w:rsidRPr="00F110D5" w:rsidRDefault="007C776D" w:rsidP="007C776D">
      <w:pPr>
        <w:spacing w:after="0" w:line="240" w:lineRule="auto"/>
        <w:rPr>
          <w:rFonts w:ascii="Times" w:hAnsi="Times"/>
        </w:rPr>
      </w:pPr>
      <w:r w:rsidRPr="00F110D5">
        <w:rPr>
          <w:rFonts w:ascii="Times" w:hAnsi="Times"/>
        </w:rPr>
        <w:t xml:space="preserve">In the daunting battle against corporate online espionage worldwide, one </w:t>
      </w:r>
      <w:r w:rsidRPr="0033560D">
        <w:rPr>
          <w:rStyle w:val="StyleUnderline"/>
        </w:rPr>
        <w:t>major solar company wants to deploy a powerful and novel weapon: higher tariffs</w:t>
      </w:r>
      <w:r w:rsidRPr="00F110D5">
        <w:rPr>
          <w:rFonts w:ascii="Times" w:hAnsi="Times"/>
        </w:rPr>
        <w:t>.</w:t>
      </w:r>
    </w:p>
    <w:p w:rsidR="007C776D" w:rsidRPr="00F110D5" w:rsidRDefault="007C776D" w:rsidP="007C776D">
      <w:pPr>
        <w:spacing w:after="0" w:line="240" w:lineRule="auto"/>
        <w:rPr>
          <w:rFonts w:ascii="Times" w:hAnsi="Times"/>
        </w:rPr>
      </w:pPr>
      <w:r w:rsidRPr="00F110D5">
        <w:rPr>
          <w:rFonts w:ascii="Times" w:hAnsi="Times"/>
        </w:rPr>
        <w:t>SolarWorld Americas, the largest manufacturer of solar panels in the United States, has asked the Commerce Department to investigate claims that Chinese military personnel broke into the company’s computers and stole documents important to its business and its long-running trade dispute with China.</w:t>
      </w:r>
    </w:p>
    <w:p w:rsidR="007C776D" w:rsidRPr="00F110D5" w:rsidRDefault="007C776D" w:rsidP="007C776D">
      <w:pPr>
        <w:spacing w:after="0" w:line="240" w:lineRule="auto"/>
        <w:rPr>
          <w:rFonts w:ascii="Times" w:hAnsi="Times"/>
        </w:rPr>
      </w:pPr>
      <w:r w:rsidRPr="00F110D5">
        <w:rPr>
          <w:rFonts w:ascii="Times" w:hAnsi="Times"/>
        </w:rPr>
        <w:t>The company’s request followed the Justice Department’s decision to prosecute five members of the People’s Liberation Army, accusing them in May of stealing online files from a group of American companies, most of which had engaged in trade disputes with China.</w:t>
      </w:r>
    </w:p>
    <w:p w:rsidR="007C776D" w:rsidRPr="00F110D5" w:rsidRDefault="007C776D" w:rsidP="007C776D">
      <w:pPr>
        <w:spacing w:after="0" w:line="240" w:lineRule="auto"/>
        <w:rPr>
          <w:rFonts w:ascii="Times" w:hAnsi="Times"/>
        </w:rPr>
      </w:pPr>
      <w:r w:rsidRPr="00F110D5">
        <w:rPr>
          <w:rFonts w:ascii="Times" w:hAnsi="Times"/>
        </w:rPr>
        <w:t xml:space="preserve">SolarWorld says the new prosecution underscores the sophisticated ways that </w:t>
      </w:r>
      <w:r w:rsidRPr="0033560D">
        <w:rPr>
          <w:rStyle w:val="StyleUnderline"/>
        </w:rPr>
        <w:t>Chinese companies are retaliating against trade obstacles, especially the use of cyberwarfare</w:t>
      </w:r>
      <w:r w:rsidRPr="00F110D5">
        <w:rPr>
          <w:rFonts w:ascii="Times" w:hAnsi="Times"/>
        </w:rPr>
        <w:t>.</w:t>
      </w:r>
    </w:p>
    <w:p w:rsidR="007C776D" w:rsidRPr="0033560D" w:rsidRDefault="007C776D" w:rsidP="007C776D">
      <w:pPr>
        <w:spacing w:after="0" w:line="240" w:lineRule="auto"/>
        <w:rPr>
          <w:rStyle w:val="StyleUnderline"/>
        </w:rPr>
      </w:pPr>
      <w:r w:rsidRPr="0033560D">
        <w:rPr>
          <w:rStyle w:val="StyleUnderline"/>
        </w:rPr>
        <w:t>As a deterrent</w:t>
      </w:r>
      <w:r w:rsidRPr="00F110D5">
        <w:rPr>
          <w:rFonts w:ascii="Times" w:hAnsi="Times"/>
        </w:rPr>
        <w:t xml:space="preserve">, the company is proposing that </w:t>
      </w:r>
      <w:r w:rsidRPr="0033560D">
        <w:rPr>
          <w:rStyle w:val="StyleUnderline"/>
        </w:rPr>
        <w:t>the administration should use tariffs to crack down on such retribution.</w:t>
      </w:r>
    </w:p>
    <w:p w:rsidR="007C776D" w:rsidRPr="00F110D5" w:rsidRDefault="007C776D" w:rsidP="007C776D">
      <w:pPr>
        <w:spacing w:after="0" w:line="240" w:lineRule="auto"/>
        <w:rPr>
          <w:rFonts w:ascii="Times" w:hAnsi="Times"/>
        </w:rPr>
      </w:pPr>
      <w:r w:rsidRPr="00F110D5">
        <w:rPr>
          <w:rFonts w:ascii="Times" w:hAnsi="Times"/>
        </w:rPr>
        <w:t>“</w:t>
      </w:r>
      <w:r w:rsidRPr="0033560D">
        <w:rPr>
          <w:rStyle w:val="StyleUnderline"/>
        </w:rPr>
        <w:t>We think it is critically important that the Commerce Department set a precedent here and take a strong stand that it will not tolerate cyberhacking</w:t>
      </w:r>
      <w:r w:rsidRPr="00F110D5">
        <w:rPr>
          <w:rFonts w:ascii="Times" w:hAnsi="Times"/>
        </w:rPr>
        <w:t xml:space="preserve"> of U.S. companies that file trade cases,” said Timothy C. Brightbill, a lawyer representing SolarWorld.</w:t>
      </w:r>
    </w:p>
    <w:p w:rsidR="007C776D" w:rsidRPr="00F110D5" w:rsidRDefault="007C776D" w:rsidP="007C776D">
      <w:pPr>
        <w:spacing w:after="0" w:line="240" w:lineRule="auto"/>
        <w:rPr>
          <w:rFonts w:ascii="Times" w:hAnsi="Times"/>
        </w:rPr>
      </w:pPr>
      <w:r w:rsidRPr="00F110D5">
        <w:rPr>
          <w:rFonts w:ascii="Times" w:hAnsi="Times"/>
        </w:rPr>
        <w:t>While acknowledging that the Justice Department is unlikely to compel the suspects to appear in a United States courtroom, he said the federal government could impose additional steep tariffs on imports of Chinese solar panels. “</w:t>
      </w:r>
      <w:r w:rsidRPr="0033560D">
        <w:rPr>
          <w:rStyle w:val="StyleUnderline"/>
        </w:rPr>
        <w:t>This is a way that the U.S. could actually make it hurt</w:t>
      </w:r>
      <w:r w:rsidRPr="00F110D5">
        <w:rPr>
          <w:rFonts w:ascii="Times" w:hAnsi="Times"/>
        </w:rPr>
        <w:t>,” Mr. Brightbill said.</w:t>
      </w:r>
    </w:p>
    <w:p w:rsidR="007C776D" w:rsidRDefault="007C776D" w:rsidP="007C776D"/>
    <w:p w:rsidR="007C776D" w:rsidRDefault="007C776D" w:rsidP="007C776D">
      <w:pPr>
        <w:pStyle w:val="Heading4"/>
      </w:pPr>
      <w:r>
        <w:t xml:space="preserve">That’s an existential risk </w:t>
      </w:r>
    </w:p>
    <w:p w:rsidR="007C776D" w:rsidRDefault="007C776D" w:rsidP="007C776D">
      <w:pPr>
        <w:rPr>
          <w:rStyle w:val="Style13ptBold"/>
        </w:rPr>
      </w:pPr>
      <w:r>
        <w:rPr>
          <w:rStyle w:val="Style13ptBold"/>
        </w:rPr>
        <w:t>Thamboo ‘14</w:t>
      </w:r>
    </w:p>
    <w:p w:rsidR="007C776D" w:rsidRPr="003F3FB3" w:rsidRDefault="007C776D" w:rsidP="007C776D">
      <w:r>
        <w:t>[</w:t>
      </w:r>
      <w:r w:rsidRPr="003F3FB3">
        <w:t xml:space="preserve">Visha, citing Richard Clarke, a former White House staffer in charge of counter-terrorism and cyber-security, “Cyber Security: The world’s greatest threat,” 11-25, </w:t>
      </w:r>
      <w:hyperlink r:id="rId8" w:history="1">
        <w:r w:rsidRPr="003F3FB3">
          <w:rPr>
            <w:rStyle w:val="Hyperlink"/>
          </w:rPr>
          <w:t>https://blogs.ubc.ca/vishathamboo/2014/11/25/cyber-security-the-worlds-greatest-threat/</w:t>
        </w:r>
      </w:hyperlink>
      <w:r>
        <w:t xml:space="preserve"> //GBS-JV]</w:t>
      </w:r>
    </w:p>
    <w:p w:rsidR="007C776D" w:rsidRPr="003F3FB3" w:rsidRDefault="007C776D" w:rsidP="007C776D">
      <w:pPr>
        <w:rPr>
          <w:rStyle w:val="StyleUnderline"/>
        </w:rPr>
      </w:pPr>
      <w:r w:rsidRPr="003F3FB3">
        <w:t xml:space="preserve">After land, sea, air and space, </w:t>
      </w:r>
      <w:r w:rsidRPr="00737BCE">
        <w:rPr>
          <w:rStyle w:val="StyleUnderline"/>
          <w:highlight w:val="yellow"/>
        </w:rPr>
        <w:t>warfare had entered the fifth domain: cyberspace</w:t>
      </w:r>
      <w:r w:rsidRPr="003F3FB3">
        <w:rPr>
          <w:rStyle w:val="StyleUnderline"/>
        </w:rPr>
        <w:t>. Cyberspace is</w:t>
      </w:r>
      <w:r w:rsidRPr="003F3FB3">
        <w:t xml:space="preserve"> arguably </w:t>
      </w:r>
      <w:r w:rsidRPr="00737BCE">
        <w:rPr>
          <w:rStyle w:val="StyleUnderline"/>
          <w:highlight w:val="yellow"/>
        </w:rPr>
        <w:t xml:space="preserve">the </w:t>
      </w:r>
      <w:r w:rsidRPr="00737BCE">
        <w:rPr>
          <w:rStyle w:val="Emphasis"/>
          <w:highlight w:val="yellow"/>
        </w:rPr>
        <w:t>most dangerous</w:t>
      </w:r>
      <w:r w:rsidRPr="00737BCE">
        <w:rPr>
          <w:rStyle w:val="StyleUnderline"/>
          <w:highlight w:val="yellow"/>
        </w:rPr>
        <w:t xml:space="preserve"> of all warfares</w:t>
      </w:r>
      <w:r w:rsidRPr="003F3FB3">
        <w:rPr>
          <w:rStyle w:val="StyleUnderline"/>
        </w:rPr>
        <w:t xml:space="preserve"> because of the amount of damage that can be done, whilst remaining completely immobile and anonymous. </w:t>
      </w:r>
      <w:r w:rsidRPr="003F3FB3">
        <w:t xml:space="preserve">In a new book </w:t>
      </w:r>
      <w:r w:rsidRPr="003F3FB3">
        <w:rPr>
          <w:rStyle w:val="StyleUnderline"/>
        </w:rPr>
        <w:t xml:space="preserve">Richard </w:t>
      </w:r>
      <w:r w:rsidRPr="00737BCE">
        <w:rPr>
          <w:rStyle w:val="StyleUnderline"/>
          <w:highlight w:val="yellow"/>
        </w:rPr>
        <w:t>Clarke</w:t>
      </w:r>
      <w:r w:rsidRPr="003F3FB3">
        <w:rPr>
          <w:rStyle w:val="StyleUnderline"/>
        </w:rPr>
        <w:t xml:space="preserve">, a former White House staffer in charge of counter-terrorism and cyber-security, </w:t>
      </w:r>
      <w:r w:rsidRPr="00737BCE">
        <w:rPr>
          <w:rStyle w:val="StyleUnderline"/>
          <w:highlight w:val="yellow"/>
        </w:rPr>
        <w:t xml:space="preserve">envisages a catastrophic breakdown within </w:t>
      </w:r>
      <w:r w:rsidRPr="00737BCE">
        <w:rPr>
          <w:rStyle w:val="Emphasis"/>
          <w:highlight w:val="yellow"/>
        </w:rPr>
        <w:t>15 minutes</w:t>
      </w:r>
      <w:r w:rsidRPr="00737BCE">
        <w:rPr>
          <w:rStyle w:val="StyleUnderline"/>
          <w:highlight w:val="yellow"/>
        </w:rPr>
        <w:t xml:space="preserve">. Computer bugs </w:t>
      </w:r>
      <w:r w:rsidRPr="00737BCE">
        <w:rPr>
          <w:rStyle w:val="Emphasis"/>
          <w:highlight w:val="yellow"/>
        </w:rPr>
        <w:t>bring down military</w:t>
      </w:r>
      <w:r w:rsidRPr="003F3FB3">
        <w:t xml:space="preserve"> e-mail </w:t>
      </w:r>
      <w:r w:rsidRPr="00737BCE">
        <w:rPr>
          <w:rStyle w:val="Emphasis"/>
          <w:highlight w:val="yellow"/>
        </w:rPr>
        <w:t>systems</w:t>
      </w:r>
      <w:r w:rsidRPr="003F3FB3">
        <w:rPr>
          <w:rStyle w:val="StyleUnderline"/>
        </w:rPr>
        <w:t xml:space="preserve">; oil refineries and </w:t>
      </w:r>
      <w:r w:rsidRPr="00737BCE">
        <w:rPr>
          <w:rStyle w:val="StyleUnderline"/>
          <w:highlight w:val="yellow"/>
        </w:rPr>
        <w:t>pipelines</w:t>
      </w:r>
      <w:r w:rsidRPr="003F3FB3">
        <w:rPr>
          <w:rStyle w:val="StyleUnderline"/>
        </w:rPr>
        <w:t xml:space="preserve"> </w:t>
      </w:r>
      <w:r w:rsidRPr="00737BCE">
        <w:rPr>
          <w:rStyle w:val="StyleUnderline"/>
          <w:highlight w:val="yellow"/>
        </w:rPr>
        <w:t>explode; air-traffic-control systems collapse</w:t>
      </w:r>
      <w:r w:rsidRPr="003F3FB3">
        <w:rPr>
          <w:rStyle w:val="StyleUnderline"/>
        </w:rPr>
        <w:t xml:space="preserve">; freight and metro trains derail; financial data are scrambled; </w:t>
      </w:r>
      <w:r w:rsidRPr="00737BCE">
        <w:rPr>
          <w:rStyle w:val="StyleUnderline"/>
          <w:highlight w:val="yellow"/>
        </w:rPr>
        <w:t>the</w:t>
      </w:r>
      <w:r w:rsidRPr="003F3FB3">
        <w:rPr>
          <w:rStyle w:val="StyleUnderline"/>
        </w:rPr>
        <w:t xml:space="preserve"> electrical </w:t>
      </w:r>
      <w:r w:rsidRPr="00737BCE">
        <w:rPr>
          <w:rStyle w:val="StyleUnderline"/>
          <w:highlight w:val="yellow"/>
        </w:rPr>
        <w:t>grid goes down</w:t>
      </w:r>
      <w:r w:rsidRPr="003F3FB3">
        <w:t xml:space="preserve"> in the eastern United States; </w:t>
      </w:r>
      <w:r w:rsidRPr="003F3FB3">
        <w:rPr>
          <w:rStyle w:val="StyleUnderline"/>
        </w:rPr>
        <w:t>orbiting satellites spin out of control. Society soon breaks down as food becomes scarce and money runs out</w:t>
      </w:r>
      <w:r w:rsidRPr="003F3FB3">
        <w:t xml:space="preserve">. Worst of all, the identity of the attacker may remain a mystery. Other dangers are coming: weakly governed swathes of Africa are being connected up to fibre-optic cables, potentially creating new havens for cyber-criminals and the spread of mobile internet will bring new means of attack. </w:t>
      </w:r>
      <w:r w:rsidRPr="003F3FB3">
        <w:rPr>
          <w:rStyle w:val="StyleUnderline"/>
        </w:rPr>
        <w:t xml:space="preserve">The </w:t>
      </w:r>
      <w:proofErr w:type="gramStart"/>
      <w:r w:rsidRPr="003F3FB3">
        <w:rPr>
          <w:rStyle w:val="StyleUnderline"/>
        </w:rPr>
        <w:t>internet</w:t>
      </w:r>
      <w:proofErr w:type="gramEnd"/>
      <w:r w:rsidRPr="003F3FB3">
        <w:rPr>
          <w:rStyle w:val="StyleUnderline"/>
        </w:rPr>
        <w:t xml:space="preserve"> was designed for convenience and reliability, not security. Yet in wiring together the globe, it has merged the garden and the </w:t>
      </w:r>
      <w:r w:rsidRPr="003F3FB3">
        <w:rPr>
          <w:rStyle w:val="StyleUnderline"/>
        </w:rPr>
        <w:lastRenderedPageBreak/>
        <w:t>wilderness. No passport is required in cyberspace. And although police are constrained by national borders, criminals roam freely. Enemy states are no longer on the other side of the ocean, but just behind the firewall</w:t>
      </w:r>
      <w:r w:rsidRPr="003F3FB3">
        <w:t xml:space="preserve">. The ill-intentioned can mask their identity and location, impersonate others and con their way into the buildings that hold the digitised wealth of the electronic age: money, personal data and intellectual property. </w:t>
      </w:r>
      <w:r w:rsidRPr="00737BCE">
        <w:rPr>
          <w:rStyle w:val="StyleUnderline"/>
          <w:highlight w:val="yellow"/>
        </w:rPr>
        <w:t>Deterrence in cyber-war</w:t>
      </w:r>
      <w:r w:rsidRPr="003F3FB3">
        <w:rPr>
          <w:rStyle w:val="StyleUnderline"/>
        </w:rPr>
        <w:t xml:space="preserve">fare </w:t>
      </w:r>
      <w:r w:rsidRPr="00737BCE">
        <w:rPr>
          <w:rStyle w:val="StyleUnderline"/>
          <w:highlight w:val="yellow"/>
        </w:rPr>
        <w:t>is more uncertain than</w:t>
      </w:r>
      <w:r w:rsidRPr="003F3FB3">
        <w:t xml:space="preserve">, say, </w:t>
      </w:r>
      <w:r w:rsidRPr="003F3FB3">
        <w:rPr>
          <w:rStyle w:val="StyleUnderline"/>
        </w:rPr>
        <w:t xml:space="preserve">in </w:t>
      </w:r>
      <w:r w:rsidRPr="00737BCE">
        <w:rPr>
          <w:rStyle w:val="StyleUnderline"/>
          <w:highlight w:val="yellow"/>
        </w:rPr>
        <w:t>nuclear strategy: there is no mutually assured destruction, the dividing line</w:t>
      </w:r>
      <w:r w:rsidRPr="003F3FB3">
        <w:rPr>
          <w:rStyle w:val="StyleUnderline"/>
        </w:rPr>
        <w:t xml:space="preserve"> between criminality and war </w:t>
      </w:r>
      <w:r w:rsidRPr="00737BCE">
        <w:rPr>
          <w:rStyle w:val="StyleUnderline"/>
          <w:highlight w:val="yellow"/>
        </w:rPr>
        <w:t>is blurred and identifying attacking computers</w:t>
      </w:r>
      <w:r w:rsidRPr="003F3FB3">
        <w:t xml:space="preserve">, let alone the fingers on the keyboards, </w:t>
      </w:r>
      <w:r w:rsidRPr="00737BCE">
        <w:rPr>
          <w:rStyle w:val="StyleUnderline"/>
          <w:highlight w:val="yellow"/>
        </w:rPr>
        <w:t>is difficult</w:t>
      </w:r>
      <w:r w:rsidRPr="003F3FB3">
        <w:t xml:space="preserve">. </w:t>
      </w:r>
      <w:r w:rsidRPr="003F3FB3">
        <w:rPr>
          <w:rStyle w:val="StyleUnderline"/>
        </w:rPr>
        <w:t>Retaliation need not be confined to cyberspace</w:t>
      </w:r>
      <w:r w:rsidRPr="003F3FB3">
        <w:t xml:space="preserve">; the one system that is certainly not linked to the public </w:t>
      </w:r>
      <w:proofErr w:type="gramStart"/>
      <w:r w:rsidRPr="003F3FB3">
        <w:t>internet</w:t>
      </w:r>
      <w:proofErr w:type="gramEnd"/>
      <w:r w:rsidRPr="003F3FB3">
        <w:t xml:space="preserve"> is America’s nuclear firing chain. </w:t>
      </w:r>
      <w:r w:rsidRPr="00737BCE">
        <w:rPr>
          <w:rStyle w:val="StyleUnderline"/>
          <w:highlight w:val="yellow"/>
        </w:rPr>
        <w:t>Although</w:t>
      </w:r>
      <w:r w:rsidRPr="003F3FB3">
        <w:rPr>
          <w:rStyle w:val="StyleUnderline"/>
        </w:rPr>
        <w:t xml:space="preserve"> for now, </w:t>
      </w:r>
      <w:r w:rsidRPr="00737BCE">
        <w:rPr>
          <w:rStyle w:val="StyleUnderline"/>
          <w:highlight w:val="yellow"/>
        </w:rPr>
        <w:t>cyber war</w:t>
      </w:r>
      <w:r w:rsidRPr="003F3FB3">
        <w:rPr>
          <w:rStyle w:val="StyleUnderline"/>
        </w:rPr>
        <w:t xml:space="preserve">fare </w:t>
      </w:r>
      <w:r w:rsidRPr="00737BCE">
        <w:rPr>
          <w:rStyle w:val="StyleUnderline"/>
          <w:highlight w:val="yellow"/>
        </w:rPr>
        <w:t xml:space="preserve">has not spiralled out of control, it is </w:t>
      </w:r>
      <w:r w:rsidRPr="00737BCE">
        <w:rPr>
          <w:rStyle w:val="Emphasis"/>
          <w:highlight w:val="yellow"/>
        </w:rPr>
        <w:t>only a matter of time</w:t>
      </w:r>
      <w:r w:rsidRPr="00737BCE">
        <w:rPr>
          <w:rStyle w:val="StyleUnderline"/>
          <w:highlight w:val="yellow"/>
        </w:rPr>
        <w:t>, before cyber</w:t>
      </w:r>
      <w:r w:rsidRPr="003F3FB3">
        <w:rPr>
          <w:rStyle w:val="StyleUnderline"/>
        </w:rPr>
        <w:t xml:space="preserve"> warfare </w:t>
      </w:r>
      <w:r w:rsidRPr="00737BCE">
        <w:rPr>
          <w:rStyle w:val="StyleUnderline"/>
          <w:highlight w:val="yellow"/>
        </w:rPr>
        <w:t xml:space="preserve">becomes the </w:t>
      </w:r>
      <w:r w:rsidRPr="00737BCE">
        <w:rPr>
          <w:rStyle w:val="Emphasis"/>
          <w:highlight w:val="yellow"/>
        </w:rPr>
        <w:t>most prominent</w:t>
      </w:r>
      <w:r w:rsidRPr="00737BCE">
        <w:rPr>
          <w:rStyle w:val="StyleUnderline"/>
          <w:highlight w:val="yellow"/>
        </w:rPr>
        <w:t xml:space="preserve"> type of attack, and the </w:t>
      </w:r>
      <w:r w:rsidRPr="00737BCE">
        <w:rPr>
          <w:rStyle w:val="Emphasis"/>
          <w:highlight w:val="yellow"/>
        </w:rPr>
        <w:t>most deadly</w:t>
      </w:r>
      <w:r w:rsidRPr="00737BCE">
        <w:rPr>
          <w:rStyle w:val="StyleUnderline"/>
          <w:highlight w:val="yellow"/>
        </w:rPr>
        <w:t xml:space="preserve"> because of its </w:t>
      </w:r>
      <w:r w:rsidRPr="00737BCE">
        <w:rPr>
          <w:rStyle w:val="Emphasis"/>
          <w:highlight w:val="yellow"/>
        </w:rPr>
        <w:t>scope and anonymity</w:t>
      </w:r>
      <w:r w:rsidRPr="003F3FB3">
        <w:rPr>
          <w:rStyle w:val="StyleUnderline"/>
        </w:rPr>
        <w:t>.</w:t>
      </w:r>
    </w:p>
    <w:p w:rsidR="007C776D" w:rsidRDefault="007C776D" w:rsidP="007C776D"/>
    <w:p w:rsidR="007C776D" w:rsidRDefault="007C776D" w:rsidP="007C776D"/>
    <w:p w:rsidR="007C776D" w:rsidRDefault="007C776D" w:rsidP="007C776D"/>
    <w:p w:rsidR="007C776D" w:rsidRDefault="007C776D" w:rsidP="007C776D">
      <w:pPr>
        <w:pStyle w:val="Heading3"/>
      </w:pPr>
      <w:r>
        <w:lastRenderedPageBreak/>
        <w:t>A2: Cybersecurity</w:t>
      </w:r>
    </w:p>
    <w:p w:rsidR="007C776D" w:rsidRDefault="007C776D" w:rsidP="007C776D"/>
    <w:p w:rsidR="007C776D" w:rsidRDefault="007C776D" w:rsidP="007C776D">
      <w:pPr>
        <w:pStyle w:val="Tags"/>
      </w:pPr>
      <w:r>
        <w:t xml:space="preserve">Their claims are intentionally over-hyped. </w:t>
      </w:r>
    </w:p>
    <w:p w:rsidR="007C776D" w:rsidRDefault="007C776D" w:rsidP="007C776D">
      <w:pPr>
        <w:pStyle w:val="Cites"/>
      </w:pPr>
      <w:r w:rsidRPr="00E742C3">
        <w:rPr>
          <w:rStyle w:val="AuthorDateChar"/>
        </w:rPr>
        <w:t xml:space="preserve">Weimann, Senior fellow at the United States Institute of Peace, ‘4 </w:t>
      </w:r>
      <w:r>
        <w:t xml:space="preserve">(Gabriel, </w:t>
      </w:r>
      <w:r w:rsidRPr="00E742C3">
        <w:t>professor of communication at the University of Haifa, Israel. He has written widely on modern terrorism, political</w:t>
      </w:r>
      <w:r>
        <w:t xml:space="preserve"> campaigns, and the mass media. “</w:t>
      </w:r>
      <w:r w:rsidRPr="00E742C3">
        <w:t>Cyberterrorism How Real Is the Threat?</w:t>
      </w:r>
      <w:r>
        <w:t xml:space="preserve">” </w:t>
      </w:r>
      <w:proofErr w:type="gramStart"/>
      <w:r>
        <w:t>Special Report 119, December.</w:t>
      </w:r>
      <w:proofErr w:type="gramEnd"/>
      <w:r>
        <w:t xml:space="preserve"> 2004, www.usip.org)</w:t>
      </w:r>
    </w:p>
    <w:p w:rsidR="007C776D" w:rsidRDefault="007C776D" w:rsidP="007C776D">
      <w:pPr>
        <w:pStyle w:val="Nothing"/>
      </w:pPr>
    </w:p>
    <w:p w:rsidR="007C776D" w:rsidRDefault="007C776D" w:rsidP="007C776D">
      <w:pPr>
        <w:pStyle w:val="Cards"/>
      </w:pPr>
      <w:r w:rsidRPr="005C4F3C">
        <w:rPr>
          <w:rStyle w:val="CardsFont12pt"/>
          <w:rFonts w:eastAsia="Calibri"/>
        </w:rPr>
        <w:t xml:space="preserve">It seems fair to say that the current threat posed by </w:t>
      </w:r>
      <w:r w:rsidRPr="00864E56">
        <w:rPr>
          <w:rStyle w:val="CardsHighlight"/>
        </w:rPr>
        <w:t>cyberterrorism has been exaggerated. No single instance of cyberterrorism has yet been recorded; U.S. defense</w:t>
      </w:r>
      <w:r w:rsidRPr="005C4F3C">
        <w:rPr>
          <w:rStyle w:val="CardsFont12pt"/>
          <w:rFonts w:eastAsia="Calibri"/>
        </w:rPr>
        <w:t xml:space="preserve"> and intelligence computer </w:t>
      </w:r>
      <w:r w:rsidRPr="00864E56">
        <w:rPr>
          <w:rStyle w:val="CardsHighlight"/>
        </w:rPr>
        <w:t>systems are air-gapped</w:t>
      </w:r>
      <w:r w:rsidRPr="005C4F3C">
        <w:rPr>
          <w:rStyle w:val="CardsFont12pt"/>
          <w:rFonts w:eastAsia="Calibri"/>
        </w:rPr>
        <w:t xml:space="preserve"> and thus isolated from the Internet</w:t>
      </w:r>
      <w:r>
        <w:t xml:space="preserve">; the systems run by </w:t>
      </w:r>
      <w:r w:rsidRPr="00864E56">
        <w:rPr>
          <w:rStyle w:val="CardsHighlight"/>
        </w:rPr>
        <w:t>private companies are</w:t>
      </w:r>
      <w:r w:rsidRPr="005C4F3C">
        <w:rPr>
          <w:rStyle w:val="CardsFont12pt"/>
          <w:rFonts w:eastAsia="Calibri"/>
        </w:rPr>
        <w:t xml:space="preserve"> </w:t>
      </w:r>
      <w:r>
        <w:t xml:space="preserve">more vulnerable to attack but also </w:t>
      </w:r>
      <w:r w:rsidRPr="005C4F3C">
        <w:rPr>
          <w:rStyle w:val="CardsFont12pt"/>
          <w:rFonts w:eastAsia="Calibri"/>
        </w:rPr>
        <w:t>more resilient than is often supposed</w:t>
      </w:r>
      <w:r>
        <w:t xml:space="preserve">; the vast majority of cyberattacks are launched by </w:t>
      </w:r>
      <w:r w:rsidRPr="00864E56">
        <w:rPr>
          <w:rStyle w:val="CardsHighlight"/>
        </w:rPr>
        <w:t>hackers with few,</w:t>
      </w:r>
      <w:r>
        <w:t xml:space="preserve"> if any, </w:t>
      </w:r>
      <w:r w:rsidRPr="00864E56">
        <w:rPr>
          <w:rStyle w:val="CardsHighlight"/>
        </w:rPr>
        <w:t>political goals and no desire</w:t>
      </w:r>
      <w:r w:rsidRPr="005C4F3C">
        <w:rPr>
          <w:rStyle w:val="CardsFont12pt"/>
          <w:rFonts w:eastAsia="Calibri"/>
        </w:rPr>
        <w:t xml:space="preserve"> to cause the mayhem and carnage of which terrorists dream</w:t>
      </w:r>
      <w:r>
        <w:t xml:space="preserve">. So, then, why has so much concern been expressed over a relatively minor threat? The reasons are many. First, as Denning has observed, "cyberterrorism and </w:t>
      </w:r>
      <w:r w:rsidRPr="005C4F3C">
        <w:rPr>
          <w:rStyle w:val="CardsFont12pt"/>
          <w:rFonts w:eastAsia="Calibri"/>
        </w:rPr>
        <w:t xml:space="preserve">cyberattacks are sexy right </w:t>
      </w:r>
      <w:proofErr w:type="gramStart"/>
      <w:r w:rsidRPr="005C4F3C">
        <w:rPr>
          <w:rStyle w:val="CardsFont12pt"/>
          <w:rFonts w:eastAsia="Calibri"/>
        </w:rPr>
        <w:t>now</w:t>
      </w:r>
      <w:r>
        <w:t>.</w:t>
      </w:r>
      <w:proofErr w:type="gramEnd"/>
      <w:r>
        <w:t xml:space="preserve"> . . . [Cyberterrorism is] novel, original, it captures people's imagination." Second, </w:t>
      </w:r>
      <w:r w:rsidRPr="00864E56">
        <w:rPr>
          <w:rStyle w:val="CardsHighlight"/>
        </w:rPr>
        <w:t>the mass media frequently fail to distinguish</w:t>
      </w:r>
      <w:r w:rsidRPr="005C4F3C">
        <w:rPr>
          <w:rStyle w:val="CardsFont12pt"/>
          <w:rFonts w:eastAsia="Calibri"/>
        </w:rPr>
        <w:t xml:space="preserve"> between </w:t>
      </w:r>
      <w:r w:rsidRPr="00864E56">
        <w:rPr>
          <w:rStyle w:val="CardsHighlight"/>
        </w:rPr>
        <w:t>hacking</w:t>
      </w:r>
      <w:r w:rsidRPr="005C4F3C">
        <w:rPr>
          <w:rStyle w:val="CardsFont12pt"/>
          <w:rFonts w:eastAsia="Calibri"/>
        </w:rPr>
        <w:t xml:space="preserve"> and cyberterrorism </w:t>
      </w:r>
      <w:r w:rsidRPr="00864E56">
        <w:rPr>
          <w:rStyle w:val="CardsHighlight"/>
        </w:rPr>
        <w:t>and exaggerate the threat</w:t>
      </w:r>
      <w:r>
        <w:t xml:space="preserve"> of the latter by reasoning from false analogies such as the following: "If a sixteen-year-old could do this, then what could a well-funded terrorist group do?" </w:t>
      </w:r>
      <w:r w:rsidRPr="005C4F3C">
        <w:rPr>
          <w:rStyle w:val="CardsFont12pt"/>
          <w:rFonts w:eastAsia="Calibri"/>
        </w:rPr>
        <w:t>Ignorance is a third factor</w:t>
      </w:r>
      <w:r>
        <w:t xml:space="preserve">. Green argues that cyberterrorism merges two spheres—terrorism and technology—that many people, including most </w:t>
      </w:r>
      <w:r w:rsidRPr="00864E56">
        <w:rPr>
          <w:rStyle w:val="CardsHighlight"/>
        </w:rPr>
        <w:t>lawmakers</w:t>
      </w:r>
      <w:r>
        <w:t xml:space="preserve"> and senior administration officials, </w:t>
      </w:r>
      <w:r w:rsidRPr="00864E56">
        <w:rPr>
          <w:rStyle w:val="CardsHighlight"/>
        </w:rPr>
        <w:t>do not fully understand and therefore tend to fear</w:t>
      </w:r>
      <w:r w:rsidRPr="005C4F3C">
        <w:rPr>
          <w:rStyle w:val="CardsFont12pt"/>
          <w:rFonts w:eastAsia="Calibri"/>
        </w:rPr>
        <w:t>.</w:t>
      </w:r>
      <w:r>
        <w:t xml:space="preserve"> Moreover, some groups are eager to exploit this ignorance. </w:t>
      </w:r>
      <w:r w:rsidRPr="005C4F3C">
        <w:rPr>
          <w:rStyle w:val="CardsFont12pt"/>
          <w:rFonts w:eastAsia="Calibri"/>
        </w:rPr>
        <w:t xml:space="preserve">Numerous </w:t>
      </w:r>
      <w:r w:rsidRPr="00864E56">
        <w:rPr>
          <w:rStyle w:val="CardsHighlight"/>
        </w:rPr>
        <w:t>technology companies</w:t>
      </w:r>
      <w:r w:rsidRPr="005C4F3C">
        <w:rPr>
          <w:rStyle w:val="CardsFont12pt"/>
          <w:rFonts w:eastAsia="Calibri"/>
        </w:rPr>
        <w:t xml:space="preserve">, still reeling from the collapse of the high-tech bubble, </w:t>
      </w:r>
      <w:r w:rsidRPr="00864E56">
        <w:rPr>
          <w:rStyle w:val="CardsHighlight"/>
        </w:rPr>
        <w:t xml:space="preserve">have sought to attract </w:t>
      </w:r>
      <w:r w:rsidRPr="005C4F3C">
        <w:rPr>
          <w:rStyle w:val="CardsFont12pt"/>
          <w:rFonts w:eastAsia="Calibri"/>
        </w:rPr>
        <w:t xml:space="preserve">federal research </w:t>
      </w:r>
      <w:r w:rsidRPr="00864E56">
        <w:rPr>
          <w:rStyle w:val="CardsHighlight"/>
        </w:rPr>
        <w:t>grants</w:t>
      </w:r>
      <w:r w:rsidRPr="005C4F3C">
        <w:rPr>
          <w:rStyle w:val="CardsFont12pt"/>
          <w:rFonts w:eastAsia="Calibri"/>
        </w:rPr>
        <w:t xml:space="preserve"> </w:t>
      </w:r>
      <w:r w:rsidRPr="00864E56">
        <w:rPr>
          <w:rStyle w:val="CardsFont12pt"/>
          <w:rFonts w:eastAsia="Calibri"/>
        </w:rPr>
        <w:t>by recasting themselves as innovators in computer security</w:t>
      </w:r>
      <w:r>
        <w:t xml:space="preserve"> and thus vital contributors to national security. </w:t>
      </w:r>
      <w:r w:rsidRPr="00864E56">
        <w:rPr>
          <w:rStyle w:val="CardsHighlight"/>
        </w:rPr>
        <w:t>Law enforcement and security consultants are</w:t>
      </w:r>
      <w:r w:rsidRPr="005C4F3C">
        <w:rPr>
          <w:rStyle w:val="CardsFont12pt"/>
          <w:rFonts w:eastAsia="Calibri"/>
        </w:rPr>
        <w:t xml:space="preserve"> likewise </w:t>
      </w:r>
      <w:r w:rsidRPr="00864E56">
        <w:rPr>
          <w:rStyle w:val="CardsHighlight"/>
        </w:rPr>
        <w:t>highly motivated to have us believe that the threat</w:t>
      </w:r>
      <w:r w:rsidRPr="005C4F3C">
        <w:rPr>
          <w:rStyle w:val="CardsFont12pt"/>
          <w:rFonts w:eastAsia="Calibri"/>
        </w:rPr>
        <w:t xml:space="preserve"> to our nation's security </w:t>
      </w:r>
      <w:r w:rsidRPr="00864E56">
        <w:rPr>
          <w:rStyle w:val="CardsHighlight"/>
        </w:rPr>
        <w:t>is severe.</w:t>
      </w:r>
      <w:r>
        <w:t xml:space="preserve"> A fourth reason is that some politicians, whether out of genuine conviction or out of a desire to stoke public anxiety about terrorism in order to advance their own agendas, have played the role of prophets of doom. </w:t>
      </w:r>
    </w:p>
    <w:p w:rsidR="007C776D" w:rsidRDefault="007C776D" w:rsidP="007C776D">
      <w:pPr>
        <w:pStyle w:val="Cards"/>
        <w:ind w:left="0"/>
      </w:pPr>
    </w:p>
    <w:p w:rsidR="007C776D" w:rsidRDefault="007C776D" w:rsidP="007C776D">
      <w:pPr>
        <w:pStyle w:val="Tags"/>
      </w:pPr>
      <w:r>
        <w:t xml:space="preserve">No impact to cyberattacks on the grid – Katrina proves. </w:t>
      </w:r>
    </w:p>
    <w:p w:rsidR="007C776D" w:rsidRDefault="007C776D" w:rsidP="007C776D">
      <w:pPr>
        <w:pStyle w:val="Nothing"/>
      </w:pPr>
      <w:r>
        <w:t xml:space="preserve">James Andrew </w:t>
      </w:r>
      <w:r>
        <w:rPr>
          <w:rStyle w:val="Style13ptBold"/>
        </w:rPr>
        <w:t>Lewis</w:t>
      </w:r>
      <w:r>
        <w:t xml:space="preserve"> – senior fellow and director of the Technology and Public Policy Program @ CSIS - March </w:t>
      </w:r>
      <w:r>
        <w:rPr>
          <w:rStyle w:val="Style13ptBold"/>
        </w:rPr>
        <w:t>2010</w:t>
      </w:r>
      <w:r>
        <w:t>, The Electrical Grid as a Target for Cyber Attack, http://csis.org/files/publication/100322_ElectricalGridAsATargetforCyberAttack.pdf</w:t>
      </w:r>
    </w:p>
    <w:p w:rsidR="007C776D" w:rsidRDefault="007C776D" w:rsidP="007C776D">
      <w:pPr>
        <w:pStyle w:val="Cards"/>
        <w:rPr>
          <w:rStyle w:val="StyleUnderline"/>
        </w:rPr>
      </w:pPr>
      <w:r>
        <w:t xml:space="preserve">This conclusion is different from the strategic consequences on a cyber attack on the power grid. </w:t>
      </w:r>
      <w:r w:rsidRPr="00737BCE">
        <w:rPr>
          <w:rStyle w:val="StyleUnderline"/>
          <w:highlight w:val="yellow"/>
        </w:rPr>
        <w:t>The U</w:t>
      </w:r>
      <w:r>
        <w:rPr>
          <w:rStyle w:val="StyleUnderline"/>
        </w:rPr>
        <w:t xml:space="preserve">nited </w:t>
      </w:r>
      <w:r w:rsidRPr="00737BCE">
        <w:rPr>
          <w:rStyle w:val="StyleUnderline"/>
          <w:highlight w:val="yellow"/>
        </w:rPr>
        <w:t>S</w:t>
      </w:r>
      <w:r>
        <w:rPr>
          <w:rStyle w:val="StyleUnderline"/>
        </w:rPr>
        <w:t xml:space="preserve">tates </w:t>
      </w:r>
      <w:r w:rsidRPr="00737BCE">
        <w:rPr>
          <w:rStyle w:val="StyleUnderline"/>
          <w:highlight w:val="yellow"/>
        </w:rPr>
        <w:t>routinely suffers blackouts</w:t>
      </w:r>
      <w:r>
        <w:rPr>
          <w:rStyle w:val="StyleUnderline"/>
        </w:rPr>
        <w:t xml:space="preserve">. </w:t>
      </w:r>
      <w:r w:rsidRPr="00737BCE">
        <w:rPr>
          <w:rStyle w:val="StyleUnderline"/>
          <w:highlight w:val="yellow"/>
        </w:rPr>
        <w:t>The nation does not collapse.</w:t>
      </w:r>
      <w:r>
        <w:rPr>
          <w:rStyle w:val="StyleUnderline"/>
        </w:rPr>
        <w:t xml:space="preserve"> In the short term, </w:t>
      </w:r>
      <w:r w:rsidRPr="00737BCE">
        <w:rPr>
          <w:rStyle w:val="StyleUnderline"/>
          <w:highlight w:val="yellow"/>
        </w:rPr>
        <w:t>military power and economic strength are not noticeably affected</w:t>
      </w:r>
      <w:r>
        <w:rPr>
          <w:rStyle w:val="StyleUnderline"/>
        </w:rPr>
        <w:t xml:space="preserve"> </w:t>
      </w:r>
      <w:r w:rsidRPr="00737BCE">
        <w:rPr>
          <w:rStyle w:val="StyleUnderline"/>
          <w:highlight w:val="yellow"/>
        </w:rPr>
        <w:t>- a good example for opponents</w:t>
      </w:r>
      <w:r>
        <w:rPr>
          <w:rStyle w:val="StyleUnderline"/>
        </w:rPr>
        <w:t xml:space="preserve"> to consider </w:t>
      </w:r>
      <w:r w:rsidRPr="00737BCE">
        <w:rPr>
          <w:rStyle w:val="StyleUnderline"/>
          <w:highlight w:val="yellow"/>
        </w:rPr>
        <w:t>is</w:t>
      </w:r>
      <w:r>
        <w:rPr>
          <w:rStyle w:val="StyleUnderline"/>
        </w:rPr>
        <w:t xml:space="preserve"> Hurricane </w:t>
      </w:r>
      <w:r w:rsidRPr="00737BCE">
        <w:rPr>
          <w:rStyle w:val="StyleUnderline"/>
          <w:highlight w:val="yellow"/>
        </w:rPr>
        <w:t>Katrina</w:t>
      </w:r>
      <w:r>
        <w:rPr>
          <w:rStyle w:val="StyleUnderline"/>
        </w:rPr>
        <w:t xml:space="preserve">, </w:t>
      </w:r>
      <w:r w:rsidRPr="00737BCE">
        <w:rPr>
          <w:rStyle w:val="StyleUnderline"/>
          <w:highlight w:val="yellow"/>
        </w:rPr>
        <w:t>which caused massive damage but did not degrade</w:t>
      </w:r>
      <w:r>
        <w:rPr>
          <w:rStyle w:val="StyleUnderline"/>
        </w:rPr>
        <w:t xml:space="preserve"> U.S. </w:t>
      </w:r>
      <w:r w:rsidRPr="00737BCE">
        <w:rPr>
          <w:rStyle w:val="StyleUnderline"/>
          <w:highlight w:val="yellow"/>
        </w:rPr>
        <w:t>military power</w:t>
      </w:r>
      <w:r>
        <w:rPr>
          <w:rStyle w:val="StyleUnderline"/>
        </w:rPr>
        <w:t xml:space="preserve"> in or even long-term economic performance</w:t>
      </w:r>
      <w:r>
        <w:t xml:space="preserve">. </w:t>
      </w:r>
      <w:r w:rsidRPr="00737BCE">
        <w:rPr>
          <w:rStyle w:val="StyleUnderline"/>
          <w:highlight w:val="yellow"/>
        </w:rPr>
        <w:t>Is there any cyber attack that could match the hurricane</w:t>
      </w:r>
      <w:r>
        <w:rPr>
          <w:rStyle w:val="StyleUnderline"/>
        </w:rPr>
        <w:t>?</w:t>
      </w:r>
    </w:p>
    <w:p w:rsidR="007C776D" w:rsidRDefault="007C776D" w:rsidP="007C776D">
      <w:pPr>
        <w:pStyle w:val="Cards"/>
      </w:pPr>
      <w:r w:rsidRPr="00737BCE">
        <w:rPr>
          <w:rStyle w:val="StyleUnderline"/>
          <w:highlight w:val="yellow"/>
        </w:rPr>
        <w:t>The U</w:t>
      </w:r>
      <w:r>
        <w:rPr>
          <w:rStyle w:val="StyleUnderline"/>
        </w:rPr>
        <w:t xml:space="preserve">nited </w:t>
      </w:r>
      <w:r w:rsidRPr="00737BCE">
        <w:rPr>
          <w:rStyle w:val="StyleUnderline"/>
          <w:highlight w:val="yellow"/>
        </w:rPr>
        <w:t>S</w:t>
      </w:r>
      <w:r>
        <w:rPr>
          <w:rStyle w:val="StyleUnderline"/>
        </w:rPr>
        <w:t xml:space="preserve">tates </w:t>
      </w:r>
      <w:r w:rsidRPr="00737BCE">
        <w:rPr>
          <w:rStyle w:val="StyleUnderline"/>
          <w:highlight w:val="yellow"/>
        </w:rPr>
        <w:t>is a very large collection of targets with many different pieces making up its electrical infrastructure</w:t>
      </w:r>
      <w:r>
        <w:rPr>
          <w:rStyle w:val="StyleUnderline"/>
        </w:rPr>
        <w:t xml:space="preserve">. While a single attack could interrupt service, </w:t>
      </w:r>
      <w:r w:rsidRPr="00737BCE">
        <w:rPr>
          <w:rStyle w:val="StyleUnderline"/>
          <w:highlight w:val="yellow"/>
        </w:rPr>
        <w:t>the</w:t>
      </w:r>
      <w:r>
        <w:rPr>
          <w:rStyle w:val="StyleUnderline"/>
        </w:rPr>
        <w:t xml:space="preserve"> large </w:t>
      </w:r>
      <w:r w:rsidRPr="00737BCE">
        <w:rPr>
          <w:rStyle w:val="StyleUnderline"/>
          <w:highlight w:val="yellow"/>
        </w:rPr>
        <w:t>size and complexity of the American economy make it</w:t>
      </w:r>
      <w:r>
        <w:rPr>
          <w:rStyle w:val="StyleUnderline"/>
        </w:rPr>
        <w:t xml:space="preserve"> more </w:t>
      </w:r>
      <w:r w:rsidRPr="00737BCE">
        <w:rPr>
          <w:rStyle w:val="StyleUnderline"/>
          <w:highlight w:val="yellow"/>
        </w:rPr>
        <w:t>resilient</w:t>
      </w:r>
      <w:r>
        <w:rPr>
          <w:rStyle w:val="StyleUnderline"/>
        </w:rPr>
        <w:t xml:space="preserve">. </w:t>
      </w:r>
      <w:r w:rsidRPr="00737BCE">
        <w:rPr>
          <w:rStyle w:val="StyleUnderline"/>
          <w:highlight w:val="yellow"/>
        </w:rPr>
        <w:t>Even without a Federal response plan,</w:t>
      </w:r>
      <w:r>
        <w:rPr>
          <w:rStyle w:val="StyleUnderline"/>
        </w:rPr>
        <w:t xml:space="preserve"> </w:t>
      </w:r>
      <w:r w:rsidRPr="00737BCE">
        <w:rPr>
          <w:rStyle w:val="StyleUnderline"/>
          <w:highlight w:val="yellow"/>
        </w:rPr>
        <w:t>the ability of electrical companies to work quickly together to restore service is impressive</w:t>
      </w:r>
      <w:r>
        <w:rPr>
          <w:rStyle w:val="StyleUnderline"/>
        </w:rPr>
        <w:t xml:space="preserve"> and </w:t>
      </w:r>
      <w:r w:rsidRPr="00737BCE">
        <w:rPr>
          <w:rStyle w:val="StyleUnderline"/>
          <w:highlight w:val="yellow"/>
        </w:rPr>
        <w:t xml:space="preserve">we should not underestimate the ingenuity of targets to recover much more rapidly </w:t>
      </w:r>
      <w:r w:rsidRPr="00737BCE">
        <w:rPr>
          <w:rStyle w:val="StyleUnderline"/>
          <w:highlight w:val="yellow"/>
        </w:rPr>
        <w:lastRenderedPageBreak/>
        <w:t>than expected</w:t>
      </w:r>
      <w:r>
        <w:rPr>
          <w:rStyle w:val="StyleUnderline"/>
        </w:rPr>
        <w:t>. This is a routine occurrence in aerial bombing:</w:t>
      </w:r>
      <w:r>
        <w:t xml:space="preserve"> </w:t>
      </w:r>
      <w:proofErr w:type="gramStart"/>
      <w:r>
        <w:t>impressive damage is quickly rectified by a determined opponent</w:t>
      </w:r>
      <w:proofErr w:type="gramEnd"/>
      <w:r>
        <w:t>.</w:t>
      </w:r>
    </w:p>
    <w:p w:rsidR="007C776D" w:rsidRPr="006B7453" w:rsidRDefault="007C776D" w:rsidP="007C776D">
      <w:pPr>
        <w:pStyle w:val="Nothing"/>
      </w:pPr>
    </w:p>
    <w:p w:rsidR="007C776D" w:rsidRDefault="007C776D" w:rsidP="007C776D"/>
    <w:p w:rsidR="007C776D" w:rsidRDefault="007C776D" w:rsidP="007C776D"/>
    <w:p w:rsidR="007C776D" w:rsidRPr="007C776D" w:rsidRDefault="007C776D" w:rsidP="007C776D"/>
    <w:p w:rsidR="007C776D" w:rsidRDefault="007C776D" w:rsidP="007C776D">
      <w:pPr>
        <w:pStyle w:val="Heading1"/>
      </w:pPr>
      <w:r w:rsidRPr="007C776D">
        <w:lastRenderedPageBreak/>
        <w:t>Neg</w:t>
      </w:r>
    </w:p>
    <w:p w:rsidR="007C776D" w:rsidRDefault="007C776D" w:rsidP="007C776D"/>
    <w:p w:rsidR="007C776D" w:rsidRPr="00F110D5" w:rsidRDefault="007C776D" w:rsidP="007C776D">
      <w:pPr>
        <w:pStyle w:val="Heading2"/>
        <w:spacing w:before="0" w:line="240" w:lineRule="auto"/>
      </w:pPr>
      <w:r>
        <w:lastRenderedPageBreak/>
        <w:t>Advantage CPs</w:t>
      </w:r>
    </w:p>
    <w:p w:rsidR="007C776D" w:rsidRDefault="007C776D" w:rsidP="007C776D">
      <w:pPr>
        <w:spacing w:after="0" w:line="240" w:lineRule="auto"/>
        <w:rPr>
          <w:rFonts w:ascii="Times" w:hAnsi="Times"/>
        </w:rPr>
      </w:pPr>
    </w:p>
    <w:p w:rsidR="007C776D" w:rsidRDefault="007C776D" w:rsidP="007C776D">
      <w:pPr>
        <w:pStyle w:val="Heading3"/>
        <w:spacing w:before="0" w:line="240" w:lineRule="auto"/>
      </w:pPr>
      <w:r>
        <w:lastRenderedPageBreak/>
        <w:t>1NC Technical Coop CP</w:t>
      </w:r>
    </w:p>
    <w:p w:rsidR="007C776D" w:rsidRDefault="007C776D" w:rsidP="007C776D">
      <w:pPr>
        <w:spacing w:after="0" w:line="240" w:lineRule="auto"/>
      </w:pPr>
    </w:p>
    <w:p w:rsidR="007C776D" w:rsidRPr="004F0E84" w:rsidRDefault="007C776D" w:rsidP="007C776D">
      <w:pPr>
        <w:pStyle w:val="Heading4"/>
        <w:spacing w:before="0" w:line="240" w:lineRule="auto"/>
      </w:pPr>
      <w:r>
        <w:t>The United States federal government should substantially increase its technical and scientific climate cooperation with the People’s Republic of China.</w:t>
      </w:r>
    </w:p>
    <w:p w:rsidR="007C776D" w:rsidRDefault="007C776D" w:rsidP="007C776D">
      <w:pPr>
        <w:spacing w:after="0" w:line="240" w:lineRule="auto"/>
      </w:pPr>
    </w:p>
    <w:p w:rsidR="007C776D" w:rsidRPr="00D96300" w:rsidRDefault="007C776D" w:rsidP="007C776D">
      <w:pPr>
        <w:pStyle w:val="Heading4"/>
        <w:spacing w:before="0" w:line="240" w:lineRule="auto"/>
      </w:pPr>
      <w:r>
        <w:t>This solves coop and unlike the plan it creates direct governmental and scientific linkages that last</w:t>
      </w:r>
    </w:p>
    <w:p w:rsidR="007C776D" w:rsidRPr="00F110D5" w:rsidRDefault="007C776D" w:rsidP="007C776D">
      <w:pPr>
        <w:spacing w:after="0" w:line="240" w:lineRule="auto"/>
        <w:rPr>
          <w:rFonts w:ascii="Times" w:hAnsi="Times"/>
        </w:rPr>
      </w:pPr>
      <w:r w:rsidRPr="00F110D5">
        <w:rPr>
          <w:rStyle w:val="Style13ptBold"/>
          <w:rFonts w:ascii="Times" w:hAnsi="Times"/>
        </w:rPr>
        <w:t>Forbes 14</w:t>
      </w:r>
      <w:r w:rsidRPr="00F110D5">
        <w:rPr>
          <w:rFonts w:ascii="Times" w:hAnsi="Times"/>
        </w:rPr>
        <w:t xml:space="preserve"> (Senior Associate in the Climate and Energy Program at the World Resources Institute)</w:t>
      </w:r>
    </w:p>
    <w:p w:rsidR="007C776D" w:rsidRPr="00F110D5" w:rsidRDefault="007C776D" w:rsidP="007C776D">
      <w:pPr>
        <w:spacing w:after="0" w:line="240" w:lineRule="auto"/>
        <w:rPr>
          <w:rFonts w:ascii="Times" w:hAnsi="Times"/>
        </w:rPr>
      </w:pPr>
      <w:r w:rsidRPr="00F110D5">
        <w:rPr>
          <w:rFonts w:ascii="Times" w:hAnsi="Times"/>
        </w:rPr>
        <w:t>(Sarah, April 25, 2014, How U.S.-China Cooperation Can Expand Clean Energy Development, http://www.wri.org/blog/2014/04/how-us-china-cooperation-can-expand-clean-energy-development)</w:t>
      </w:r>
    </w:p>
    <w:p w:rsidR="007C776D" w:rsidRPr="00F110D5" w:rsidRDefault="007C776D" w:rsidP="007C776D">
      <w:pPr>
        <w:spacing w:after="0" w:line="240" w:lineRule="auto"/>
        <w:rPr>
          <w:rFonts w:ascii="Times" w:hAnsi="Times"/>
        </w:rPr>
      </w:pPr>
    </w:p>
    <w:p w:rsidR="007C776D" w:rsidRPr="00F110D5" w:rsidRDefault="007C776D" w:rsidP="007C776D">
      <w:pPr>
        <w:spacing w:after="0" w:line="240" w:lineRule="auto"/>
        <w:rPr>
          <w:rFonts w:ascii="Times" w:hAnsi="Times"/>
        </w:rPr>
      </w:pPr>
    </w:p>
    <w:p w:rsidR="007C776D" w:rsidRPr="00F110D5" w:rsidRDefault="007C776D" w:rsidP="007C776D">
      <w:pPr>
        <w:spacing w:after="0" w:line="240" w:lineRule="auto"/>
        <w:rPr>
          <w:rFonts w:ascii="Times" w:hAnsi="Times"/>
        </w:rPr>
      </w:pPr>
      <w:r w:rsidRPr="00F110D5">
        <w:rPr>
          <w:rFonts w:ascii="Times" w:hAnsi="Times"/>
        </w:rPr>
        <w:t xml:space="preserve">At the researcher level, </w:t>
      </w:r>
      <w:r w:rsidRPr="00704091">
        <w:rPr>
          <w:rStyle w:val="StyleUnderline"/>
        </w:rPr>
        <w:t>collaboration between Chinese and U.S. scientists and engineers is especially useful, because it allows for data and ideas to be shared across groups</w:t>
      </w:r>
      <w:r w:rsidRPr="00F110D5">
        <w:rPr>
          <w:rFonts w:ascii="Times" w:hAnsi="Times"/>
        </w:rPr>
        <w:t xml:space="preserve"> of individuals with different areas of expertise, </w:t>
      </w:r>
      <w:r w:rsidRPr="00704091">
        <w:rPr>
          <w:rStyle w:val="StyleUnderline"/>
        </w:rPr>
        <w:t>and can lead to new discoveries</w:t>
      </w:r>
      <w:r w:rsidRPr="00F110D5">
        <w:rPr>
          <w:rFonts w:ascii="Times" w:hAnsi="Times"/>
        </w:rPr>
        <w:t>. As an example, researchers at Huaneng Energy, Lawrence Livermore National Laboratory, and Duke Energy have conducted carbon capture and storage (CCS) cost modeling on Duke’s Gibson Power Plant and Huaneng’s Shidonku plant. This collaboration among researchers has made it much easier to model the comparative advantages of CCS on the two power plants.</w:t>
      </w:r>
    </w:p>
    <w:p w:rsidR="007C776D" w:rsidRPr="00F110D5" w:rsidRDefault="007C776D" w:rsidP="007C776D">
      <w:pPr>
        <w:spacing w:after="0" w:line="240" w:lineRule="auto"/>
        <w:rPr>
          <w:rFonts w:ascii="Times" w:hAnsi="Times"/>
        </w:rPr>
      </w:pPr>
      <w:r w:rsidRPr="00F110D5">
        <w:rPr>
          <w:rFonts w:ascii="Times" w:hAnsi="Times"/>
        </w:rPr>
        <w:t>For U.S. and Chinese businesses, collaboration allows the spreading of risk. It can help move technologies forward by vastly expanding market opportunities and helping a technology move down the development chain in a much more efficient manner. The LP Amina example shows how a potentially beneficial technology can get stuck in the development process due to lack of opportunities in a particular country. Cooperation, however, allows these types of obstacles—such as lack of opportunities for demonstrations—to be overcome. As another example of business collaboration, U.S. and Chinese companies like Boeing, Honeywell, PetroChina, and Air China have been collaborating to develop biofuels for passenger jets. In 2011, this effort led to a successful Chinese test flight of a Boeing 747 using a 50 percent blend of traditional jet fuel and the new biofuel.</w:t>
      </w:r>
    </w:p>
    <w:p w:rsidR="007C776D" w:rsidRPr="00F110D5" w:rsidRDefault="007C776D" w:rsidP="007C776D">
      <w:pPr>
        <w:spacing w:after="0" w:line="240" w:lineRule="auto"/>
        <w:rPr>
          <w:rFonts w:ascii="Times" w:hAnsi="Times"/>
        </w:rPr>
      </w:pPr>
      <w:r w:rsidRPr="00F110D5">
        <w:rPr>
          <w:rFonts w:ascii="Times" w:hAnsi="Times"/>
        </w:rPr>
        <w:t>Finally, cooperation also occurs at the level of the U.S. and Chinese governments. This level of coordination is essential to large-scale deployment of clean energy technologies and in helping companies and researchers navigate the energy landscape. Along with the previously mentioned CERC, an example of government collaboration includes the U.S.-China Renewable Energy Partnership. This initiative helps map renewable energy deployments in each country, conducts an annual U.S.-China renewable energy forum, and fosters the sharing of best practices.</w:t>
      </w:r>
    </w:p>
    <w:p w:rsidR="007C776D" w:rsidRPr="00F110D5" w:rsidRDefault="007C776D" w:rsidP="007C776D">
      <w:pPr>
        <w:spacing w:after="0" w:line="240" w:lineRule="auto"/>
        <w:rPr>
          <w:rFonts w:ascii="Times" w:hAnsi="Times"/>
        </w:rPr>
      </w:pPr>
      <w:r w:rsidRPr="00F110D5">
        <w:rPr>
          <w:rFonts w:ascii="Times" w:hAnsi="Times"/>
        </w:rPr>
        <w:t>3 Ways to Bolster U.S.-China Collaboration on Clean Energy</w:t>
      </w:r>
    </w:p>
    <w:p w:rsidR="007C776D" w:rsidRPr="00704091" w:rsidRDefault="007C776D" w:rsidP="007C776D">
      <w:pPr>
        <w:spacing w:after="0" w:line="240" w:lineRule="auto"/>
        <w:rPr>
          <w:rStyle w:val="StyleUnderline"/>
        </w:rPr>
      </w:pPr>
      <w:r w:rsidRPr="00F110D5">
        <w:rPr>
          <w:rFonts w:ascii="Times" w:hAnsi="Times"/>
        </w:rPr>
        <w:t xml:space="preserve">These early initiatives are promising, and they already starting to yield some progress. </w:t>
      </w:r>
      <w:r w:rsidRPr="00704091">
        <w:rPr>
          <w:rStyle w:val="StyleUnderline"/>
        </w:rPr>
        <w:t>But truly scaling up clean energy in both nations</w:t>
      </w:r>
      <w:r w:rsidRPr="00F110D5">
        <w:rPr>
          <w:rFonts w:ascii="Times" w:hAnsi="Times"/>
        </w:rPr>
        <w:t xml:space="preserve"> at the level necessary to significantly reduce emissions </w:t>
      </w:r>
      <w:r w:rsidRPr="00704091">
        <w:rPr>
          <w:rStyle w:val="StyleUnderline"/>
        </w:rPr>
        <w:t>requires a greater, more sustained effort.</w:t>
      </w:r>
    </w:p>
    <w:p w:rsidR="007C776D" w:rsidRPr="00F110D5" w:rsidRDefault="007C776D" w:rsidP="007C776D">
      <w:pPr>
        <w:spacing w:after="0" w:line="240" w:lineRule="auto"/>
        <w:rPr>
          <w:rFonts w:ascii="Times" w:hAnsi="Times"/>
        </w:rPr>
      </w:pPr>
      <w:r w:rsidRPr="00F110D5">
        <w:rPr>
          <w:rFonts w:ascii="Times" w:hAnsi="Times"/>
        </w:rPr>
        <w:t>For one, researchers, businesses, and governments should collaborate rather than operate in their own, silo-ed initiatives. The U.S. and China have had some success in encouraging multi-level cooperation—such as through the CERC and the U.S.-China Renewable Energy Partnership—but more needs to be done.</w:t>
      </w:r>
    </w:p>
    <w:p w:rsidR="007C776D" w:rsidRPr="00F110D5" w:rsidRDefault="007C776D" w:rsidP="007C776D">
      <w:pPr>
        <w:spacing w:after="0" w:line="240" w:lineRule="auto"/>
        <w:rPr>
          <w:rFonts w:ascii="Times" w:hAnsi="Times"/>
        </w:rPr>
      </w:pPr>
      <w:r w:rsidRPr="00F110D5">
        <w:rPr>
          <w:rFonts w:ascii="Times" w:hAnsi="Times"/>
        </w:rPr>
        <w:t>Secondly, an important area of expansion is into the realm of environmental policy. Historically</w:t>
      </w:r>
      <w:r w:rsidRPr="00D96300">
        <w:rPr>
          <w:rStyle w:val="StyleUnderline"/>
        </w:rPr>
        <w:t>, U.S.-China collaboration has focused only on technology and not on the important interaction between technology and policy</w:t>
      </w:r>
      <w:r w:rsidRPr="00F110D5">
        <w:rPr>
          <w:rFonts w:ascii="Times" w:hAnsi="Times"/>
        </w:rPr>
        <w:t xml:space="preserve">. This approach fails to address the environmental impacts of technology deployment—an important process when mapping out a sustainable energy future. </w:t>
      </w:r>
      <w:r w:rsidRPr="00D96300">
        <w:rPr>
          <w:rStyle w:val="StyleUnderline"/>
        </w:rPr>
        <w:t>Future collaborative efforts should involve both technical and policy aspects of clean energy deployment</w:t>
      </w:r>
      <w:r w:rsidRPr="00F110D5">
        <w:rPr>
          <w:rFonts w:ascii="Times" w:hAnsi="Times"/>
        </w:rPr>
        <w:t xml:space="preserve">. </w:t>
      </w:r>
      <w:r w:rsidRPr="00D96300">
        <w:rPr>
          <w:rStyle w:val="StyleUnderline"/>
        </w:rPr>
        <w:t>One way to accomplish this would be for the United States and China to initiate a platform for multi-agency/ministry dialogue that is focused specifically on environmental policies needed for clean energy deployment</w:t>
      </w:r>
      <w:r w:rsidRPr="00F110D5">
        <w:rPr>
          <w:rFonts w:ascii="Times" w:hAnsi="Times"/>
        </w:rPr>
        <w:t>, such as national renewable energy plans.</w:t>
      </w:r>
    </w:p>
    <w:p w:rsidR="007C776D" w:rsidRPr="00F110D5" w:rsidRDefault="007C776D" w:rsidP="007C776D">
      <w:pPr>
        <w:spacing w:after="0" w:line="240" w:lineRule="auto"/>
        <w:rPr>
          <w:rFonts w:ascii="Times" w:hAnsi="Times"/>
        </w:rPr>
      </w:pPr>
      <w:r w:rsidRPr="00F110D5">
        <w:rPr>
          <w:rFonts w:ascii="Times" w:hAnsi="Times"/>
        </w:rPr>
        <w:lastRenderedPageBreak/>
        <w:t>Finally, U.S.-China clean energy collaboration needs to be more sustained and coordinated. The Climate Change Working Group (CCWG)—established by the United States and China in July of 2013 to—is designed explicitly to bring the relevant agencies and ministries together to pursue low-carbon development. However, its scope is currently limited to collaboration on just five issue areas. The CCWG, or some yet-to-be-established entity, needs the power to coordinate sustained, long-term clean energy cooperation between the two countries.</w:t>
      </w:r>
    </w:p>
    <w:p w:rsidR="007C776D" w:rsidRPr="00D96300" w:rsidRDefault="007C776D" w:rsidP="007C776D">
      <w:pPr>
        <w:spacing w:after="0" w:line="240" w:lineRule="auto"/>
        <w:rPr>
          <w:rStyle w:val="StyleUnderline"/>
        </w:rPr>
      </w:pPr>
      <w:r w:rsidRPr="00F110D5">
        <w:rPr>
          <w:rFonts w:ascii="Times" w:hAnsi="Times"/>
        </w:rPr>
        <w:t>In a world where companies and products are globally integrated, the benefits of U.S.-China cooperation on clean energy innovation extends beyond either country</w:t>
      </w:r>
      <w:r w:rsidRPr="00D96300">
        <w:rPr>
          <w:rStyle w:val="StyleUnderline"/>
        </w:rPr>
        <w:t xml:space="preserve">. By leveraging and combining the collective ingenuity of engineers and scientists, businesses, and governments in both the United States and China, we can help </w:t>
      </w:r>
      <w:r w:rsidRPr="00D96300">
        <w:rPr>
          <w:rStyle w:val="StyleUnderline"/>
          <w:b/>
        </w:rPr>
        <w:t>unlock a clean energy revolution</w:t>
      </w:r>
      <w:r w:rsidRPr="00D96300">
        <w:rPr>
          <w:rStyle w:val="StyleUnderline"/>
        </w:rPr>
        <w:t>.</w:t>
      </w:r>
    </w:p>
    <w:p w:rsidR="007C776D" w:rsidRDefault="007C776D" w:rsidP="007C776D">
      <w:pPr>
        <w:spacing w:after="0" w:line="240" w:lineRule="auto"/>
      </w:pPr>
    </w:p>
    <w:p w:rsidR="007C776D" w:rsidRDefault="007C776D" w:rsidP="007C776D">
      <w:pPr>
        <w:pStyle w:val="Heading3"/>
        <w:spacing w:before="0" w:line="240" w:lineRule="auto"/>
      </w:pPr>
      <w:r>
        <w:lastRenderedPageBreak/>
        <w:t>2NC Coop CP</w:t>
      </w:r>
    </w:p>
    <w:p w:rsidR="007C776D" w:rsidRPr="00422955" w:rsidRDefault="007C776D" w:rsidP="007C776D">
      <w:pPr>
        <w:spacing w:after="0" w:line="240" w:lineRule="auto"/>
      </w:pPr>
    </w:p>
    <w:p w:rsidR="007C776D" w:rsidRDefault="007C776D" w:rsidP="007C776D">
      <w:pPr>
        <w:pStyle w:val="Heading4"/>
        <w:spacing w:before="0" w:line="240" w:lineRule="auto"/>
      </w:pPr>
      <w:r>
        <w:t xml:space="preserve">Technical and business linkages solves climate cooperation – this </w:t>
      </w:r>
      <w:proofErr w:type="gramStart"/>
      <w:r>
        <w:t>ev</w:t>
      </w:r>
      <w:proofErr w:type="gramEnd"/>
      <w:r>
        <w:t xml:space="preserve"> details their internal links</w:t>
      </w:r>
    </w:p>
    <w:p w:rsidR="007C776D" w:rsidRDefault="007C776D" w:rsidP="007C776D">
      <w:pPr>
        <w:spacing w:after="0" w:line="240" w:lineRule="auto"/>
      </w:pPr>
      <w:r w:rsidRPr="00993E54">
        <w:rPr>
          <w:rStyle w:val="Style13ptBold"/>
        </w:rPr>
        <w:t>Hongyuan 11</w:t>
      </w:r>
      <w:r>
        <w:t xml:space="preserve"> (research fellow at Shanghai Institutes for International Studies. He is also an honorary fellow of Center for International Energy Strategy Studies, Renmin University of China, and an honorary fellow of the Centre for Asian Pacific Studies at Lingnan University in Hong Kong.)</w:t>
      </w:r>
    </w:p>
    <w:p w:rsidR="007C776D" w:rsidRPr="00993E54" w:rsidRDefault="007C776D" w:rsidP="007C776D">
      <w:pPr>
        <w:spacing w:after="0" w:line="240" w:lineRule="auto"/>
      </w:pPr>
      <w:r>
        <w:t xml:space="preserve">(Yu, China-US Climate Change Relations Should Move from Cooperation to Co-progress, </w:t>
      </w:r>
      <w:r w:rsidRPr="00993E54">
        <w:t>http://www.chinausfocus.com/energy-environment/china-us-climate-change-relations-should-move-from-cooperation-to-co-progress-2/</w:t>
      </w:r>
      <w:r>
        <w:t>)</w:t>
      </w:r>
    </w:p>
    <w:p w:rsidR="007C776D" w:rsidRDefault="007C776D" w:rsidP="007C776D">
      <w:pPr>
        <w:spacing w:after="0" w:line="240" w:lineRule="auto"/>
      </w:pPr>
    </w:p>
    <w:p w:rsidR="007C776D" w:rsidRDefault="007C776D" w:rsidP="007C776D">
      <w:pPr>
        <w:spacing w:after="0" w:line="240" w:lineRule="auto"/>
      </w:pPr>
      <w:r w:rsidRPr="00422955">
        <w:rPr>
          <w:rStyle w:val="StyleUnderline"/>
        </w:rPr>
        <w:t xml:space="preserve">China and the United States both face </w:t>
      </w:r>
      <w:r w:rsidRPr="00422955">
        <w:rPr>
          <w:rStyle w:val="StyleUnderline"/>
          <w:b/>
        </w:rPr>
        <w:t>unprecedented extensive business opportunities</w:t>
      </w:r>
      <w:r w:rsidRPr="00422955">
        <w:rPr>
          <w:rStyle w:val="StyleUnderline"/>
        </w:rPr>
        <w:t xml:space="preserve"> for win-win cooperation</w:t>
      </w:r>
      <w:r>
        <w:t xml:space="preserve">. The burgeoning new energy and low carbon business will create a carbon economy worth thousands of billions of dollars. In his 2011 State of the Union address, President Obama maintained clean energy issues as a high priority for his </w:t>
      </w:r>
      <w:proofErr w:type="gramStart"/>
      <w:r>
        <w:t>administration which</w:t>
      </w:r>
      <w:proofErr w:type="gramEnd"/>
      <w:r>
        <w:t xml:space="preserve"> has been associated with jobs, competitiveness and the future. China will spend $293 billion in clean and alternative energy investment before 2020, and the clean energy market will likely amount to $555 billion in 2020. In cooperation with China – the largest global market – the US can certainly achieve economic growth and enhanced competitiveness. Coal made up about 70% of China’s electricity generation over the past year. In the clean coal area, GE and the Chinese company Shenhua have signed a joint venture agreement on coal-gasification technology. Since 2006, China’s installed capacity of wind power has doubled over the past four consecutive years and brings extensive market business. In January 2011, American UPC Renewables and China Guodian signed an agreement on wind-power projects in China involving about $1 billion in investment. In 2010, China planned to start construction of more than 20 nuclear power generators, accounting for 40% of the world’s installations. During President Hu Jintao’s visit in 2011, Westinghouse Electric and China State Nuclear Power Technology Corp. worked together on AP1000 and AP1400 nuclear power plants.</w:t>
      </w:r>
    </w:p>
    <w:p w:rsidR="007C776D" w:rsidRDefault="007C776D" w:rsidP="007C776D">
      <w:pPr>
        <w:spacing w:after="0" w:line="240" w:lineRule="auto"/>
      </w:pPr>
      <w:r>
        <w:t xml:space="preserve">A low carbon society is both the US and China’s common and progressive vision, and requires both mutual support and concerted action. Clearly, the U.S. economy is built on a consumption-intensive fossil fuel energy infrastructure. China’s economy, however, is also dependent on exported services and goods with extensive energy consumption. U.S. Secretary of Energy Steven Chu stressed that China and the United States consume 15% and 25%, respectively, of global energy supplies, but that “the U.S. consumes about 8 times as much energy as China.” As the leading country in clean energy, </w:t>
      </w:r>
      <w:r w:rsidRPr="00422955">
        <w:rPr>
          <w:rStyle w:val="StyleUnderline"/>
        </w:rPr>
        <w:t>the US can share its expertise and experience with China, and help in the transformation</w:t>
      </w:r>
      <w:r>
        <w:t xml:space="preserve"> and relocation </w:t>
      </w:r>
      <w:r w:rsidRPr="00422955">
        <w:rPr>
          <w:rStyle w:val="StyleUnderline"/>
        </w:rPr>
        <w:t>of China’s energy structure</w:t>
      </w:r>
      <w:r>
        <w:t xml:space="preserve"> in the following areas: energy cutting-edge know-how, fossil fuel efficiency, developing renewable energy, and building carbon markets, technology innovation and green education. It also seems very likely that </w:t>
      </w:r>
      <w:r w:rsidRPr="00422955">
        <w:rPr>
          <w:rStyle w:val="StyleUnderline"/>
        </w:rPr>
        <w:t xml:space="preserve">bilateral regime projects </w:t>
      </w:r>
      <w:r w:rsidRPr="00422955">
        <w:rPr>
          <w:rStyle w:val="StyleUnderline"/>
          <w:b/>
        </w:rPr>
        <w:t>can institutionalize</w:t>
      </w:r>
      <w:r w:rsidRPr="00422955">
        <w:rPr>
          <w:rStyle w:val="StyleUnderline"/>
        </w:rPr>
        <w:t xml:space="preserve"> China-US </w:t>
      </w:r>
      <w:r w:rsidRPr="00422955">
        <w:t>Co-</w:t>
      </w:r>
      <w:r w:rsidRPr="00422955">
        <w:rPr>
          <w:rStyle w:val="StyleUnderline"/>
        </w:rPr>
        <w:t xml:space="preserve"> </w:t>
      </w:r>
      <w:r w:rsidRPr="00422955">
        <w:rPr>
          <w:rStyle w:val="StyleUnderline"/>
          <w:b/>
        </w:rPr>
        <w:t>progress</w:t>
      </w:r>
      <w:r>
        <w:t>, such as a Clean Energy Research Centre, Renewable Energy Partnership, Energy Cooperation Program, and the China-US Ten Year Framework on Energy and Environment Cooperation.</w:t>
      </w:r>
    </w:p>
    <w:p w:rsidR="007C776D" w:rsidRDefault="007C776D" w:rsidP="007C776D">
      <w:pPr>
        <w:spacing w:after="0" w:line="240" w:lineRule="auto"/>
      </w:pPr>
      <w:r>
        <w:t xml:space="preserve">By developing a co-progressive cooperation, </w:t>
      </w:r>
      <w:r w:rsidRPr="00422955">
        <w:rPr>
          <w:rStyle w:val="StyleUnderline"/>
        </w:rPr>
        <w:t xml:space="preserve">both countries will enjoy complementary business advantages, push domestic economic structure reform, and </w:t>
      </w:r>
      <w:r w:rsidRPr="00422955">
        <w:rPr>
          <w:rStyle w:val="StyleUnderline"/>
          <w:b/>
        </w:rPr>
        <w:t>achieve breakthroughs in climate negotiations</w:t>
      </w:r>
      <w:r w:rsidRPr="00422955">
        <w:rPr>
          <w:b/>
        </w:rPr>
        <w:t>.</w:t>
      </w:r>
      <w:r>
        <w:t xml:space="preserve"> Most important of all, both countries can evolve jointly into a low carbon society. Urgent tasks at the Durban Climate Change Conference, such as agreeing to the 2050 global mitigation reduction target and solidifying developed countries’ second commitment period in the Kyoto Protocol offer solutions to a more harmonious relationship between man and nature. Achieving these outcomes should be built on the cooperation and co-progress developed between China and the US. In the long run, clean energy, associated only with technological know-how, will help make the world independent of fossil fuel resources which have contributed to many geo-political wars and conflicts in human history. Global permanent peace can start from China-US co-progress on climate change and low carbon.</w:t>
      </w:r>
    </w:p>
    <w:p w:rsidR="007C776D" w:rsidRDefault="007C776D" w:rsidP="007C776D">
      <w:pPr>
        <w:spacing w:after="0" w:line="240" w:lineRule="auto"/>
      </w:pPr>
    </w:p>
    <w:p w:rsidR="007C776D" w:rsidRDefault="007C776D" w:rsidP="007C776D">
      <w:pPr>
        <w:pStyle w:val="Heading3"/>
        <w:spacing w:before="0" w:line="240" w:lineRule="auto"/>
      </w:pPr>
      <w:r>
        <w:lastRenderedPageBreak/>
        <w:t>1NC Steel CP</w:t>
      </w:r>
    </w:p>
    <w:p w:rsidR="007C776D" w:rsidRDefault="007C776D" w:rsidP="007C776D">
      <w:pPr>
        <w:spacing w:after="0" w:line="240" w:lineRule="auto"/>
      </w:pPr>
    </w:p>
    <w:p w:rsidR="007C776D" w:rsidRDefault="007C776D" w:rsidP="007C776D">
      <w:pPr>
        <w:pStyle w:val="Heading4"/>
        <w:spacing w:before="0" w:line="240" w:lineRule="auto"/>
      </w:pPr>
      <w:r>
        <w:t>The United States federal government should remove its anti-dumping duties on imports of Chinese steel and steel products.</w:t>
      </w:r>
    </w:p>
    <w:p w:rsidR="007C776D" w:rsidRPr="004F0E84" w:rsidRDefault="007C776D" w:rsidP="007C776D">
      <w:pPr>
        <w:spacing w:after="0" w:line="240" w:lineRule="auto"/>
      </w:pPr>
    </w:p>
    <w:p w:rsidR="007C776D" w:rsidRDefault="007C776D" w:rsidP="007C776D">
      <w:pPr>
        <w:pStyle w:val="Heading4"/>
        <w:spacing w:before="0" w:line="240" w:lineRule="auto"/>
      </w:pPr>
      <w:r>
        <w:t>Steel prevents coop and is largest factor escalating the trade war</w:t>
      </w:r>
    </w:p>
    <w:p w:rsidR="007C776D" w:rsidRDefault="007C776D" w:rsidP="007C776D">
      <w:pPr>
        <w:spacing w:after="0" w:line="240" w:lineRule="auto"/>
      </w:pPr>
      <w:r w:rsidRPr="00675CDA">
        <w:rPr>
          <w:rStyle w:val="Style13ptBold"/>
        </w:rPr>
        <w:t xml:space="preserve">Zero </w:t>
      </w:r>
      <w:proofErr w:type="gramStart"/>
      <w:r w:rsidRPr="00675CDA">
        <w:rPr>
          <w:rStyle w:val="Style13ptBold"/>
        </w:rPr>
        <w:t>Hedge</w:t>
      </w:r>
      <w:proofErr w:type="gramEnd"/>
      <w:r w:rsidRPr="00675CDA">
        <w:rPr>
          <w:rStyle w:val="Style13ptBold"/>
        </w:rPr>
        <w:t xml:space="preserve"> 5/19</w:t>
      </w:r>
      <w:r>
        <w:t xml:space="preserve"> (investment news service)</w:t>
      </w:r>
    </w:p>
    <w:p w:rsidR="007C776D" w:rsidRDefault="007C776D" w:rsidP="007C776D">
      <w:pPr>
        <w:spacing w:after="0" w:line="240" w:lineRule="auto"/>
      </w:pPr>
      <w:r>
        <w:t>(China Furious After US Launches Trade War "Nuke" With 522% Duty, May 19, 2016 11:42 PM</w:t>
      </w:r>
    </w:p>
    <w:p w:rsidR="007C776D" w:rsidRDefault="007C776D" w:rsidP="007C776D">
      <w:pPr>
        <w:spacing w:after="0" w:line="240" w:lineRule="auto"/>
      </w:pPr>
    </w:p>
    <w:p w:rsidR="007C776D" w:rsidRDefault="007C776D" w:rsidP="007C776D">
      <w:pPr>
        <w:spacing w:after="0" w:line="240" w:lineRule="auto"/>
      </w:pPr>
      <w:r>
        <w:t xml:space="preserve">The US was not left unscathed: we reported </w:t>
      </w:r>
      <w:r w:rsidRPr="00675CDA">
        <w:rPr>
          <w:rStyle w:val="StyleUnderline"/>
        </w:rPr>
        <w:t>in December</w:t>
      </w:r>
      <w:r>
        <w:t xml:space="preserve"> that "</w:t>
      </w:r>
      <w:r w:rsidRPr="00675CDA">
        <w:rPr>
          <w:rStyle w:val="StyleUnderline"/>
        </w:rPr>
        <w:t>The</w:t>
      </w:r>
      <w:r>
        <w:t xml:space="preserve"> Trade Wars Begin: </w:t>
      </w:r>
      <w:r w:rsidRPr="00675CDA">
        <w:rPr>
          <w:rStyle w:val="StyleUnderline"/>
        </w:rPr>
        <w:t xml:space="preserve">U.S. Imposes 256% Tariff On Chinese Steel Imports" and </w:t>
      </w:r>
      <w:r>
        <w:t xml:space="preserve">since then </w:t>
      </w:r>
      <w:r w:rsidRPr="00675CDA">
        <w:rPr>
          <w:rStyle w:val="StyleUnderline"/>
        </w:rPr>
        <w:t xml:space="preserve">things have </w:t>
      </w:r>
      <w:r w:rsidRPr="00675CDA">
        <w:rPr>
          <w:rStyle w:val="StyleUnderline"/>
          <w:b/>
        </w:rPr>
        <w:t>progressively turned worse</w:t>
      </w:r>
      <w:r w:rsidRPr="00675CDA">
        <w:rPr>
          <w:b/>
        </w:rPr>
        <w:t>,</w:t>
      </w:r>
      <w:r>
        <w:t xml:space="preserve"> finally culminating overnight with an outburst of anger from Chinese officials who, after attempting to flood not just the US but also the entire world with their commodity in general and steel in particular, exportshave criticized U.S. anti-dumping penalties imposed on Chinese steel amid mounting complaints Beijing is exporting at improperly low prices to clear a backlog at home.</w:t>
      </w:r>
    </w:p>
    <w:p w:rsidR="007C776D" w:rsidRDefault="007C776D" w:rsidP="007C776D">
      <w:pPr>
        <w:spacing w:after="0" w:line="240" w:lineRule="auto"/>
      </w:pPr>
      <w:r>
        <w:t>The numbers, however, do not lie and confirm that China is engaging in massive global commodity dumping.</w:t>
      </w:r>
    </w:p>
    <w:p w:rsidR="007C776D" w:rsidRPr="00675CDA" w:rsidRDefault="007C776D" w:rsidP="007C776D">
      <w:pPr>
        <w:spacing w:after="0" w:line="240" w:lineRule="auto"/>
      </w:pPr>
      <w:r>
        <w:t xml:space="preserve">In some regard, China has reason to be angry: </w:t>
      </w:r>
      <w:r w:rsidRPr="00675CDA">
        <w:rPr>
          <w:rStyle w:val="StyleUnderline"/>
        </w:rPr>
        <w:t xml:space="preserve">the US </w:t>
      </w:r>
      <w:r w:rsidRPr="00675CDA">
        <w:rPr>
          <w:rStyle w:val="StyleUnderline"/>
          <w:b/>
        </w:rPr>
        <w:t>unleashed what is nothing short of a nuclear bomb</w:t>
      </w:r>
      <w:r w:rsidRPr="00675CDA">
        <w:rPr>
          <w:rStyle w:val="StyleUnderline"/>
        </w:rPr>
        <w:t xml:space="preserve"> in its rapidly escalating trade war with China</w:t>
      </w:r>
      <w:r>
        <w:t xml:space="preserve">, </w:t>
      </w:r>
      <w:r w:rsidRPr="00675CDA">
        <w:rPr>
          <w:rStyle w:val="StyleUnderline"/>
        </w:rPr>
        <w:t xml:space="preserve">and recently imposed duties of 522% on cold-rolled steel </w:t>
      </w:r>
      <w:r>
        <w:t>used in automobiles and other manufacturing</w:t>
      </w:r>
      <w:proofErr w:type="gramStart"/>
      <w:r>
        <w:t>,  In</w:t>
      </w:r>
      <w:proofErr w:type="gramEnd"/>
      <w:r>
        <w:t xml:space="preserve"> doing so </w:t>
      </w:r>
      <w:r w:rsidRPr="00675CDA">
        <w:rPr>
          <w:rStyle w:val="StyleUnderline"/>
        </w:rPr>
        <w:t xml:space="preserve">it has rendered Chinese </w:t>
      </w:r>
      <w:r w:rsidRPr="00675CDA">
        <w:rPr>
          <w:rStyle w:val="StyleUnderline"/>
          <w:b/>
        </w:rPr>
        <w:t>exports to the US unsustainable</w:t>
      </w:r>
      <w:r>
        <w:t xml:space="preserve"> and will force even more excess Chinese production to remain landlocked within China's borders, making the domestic glut, and price collapse, that much worse.</w:t>
      </w:r>
    </w:p>
    <w:p w:rsidR="007C776D" w:rsidRDefault="007C776D" w:rsidP="007C776D">
      <w:pPr>
        <w:spacing w:after="0" w:line="240" w:lineRule="auto"/>
      </w:pPr>
    </w:p>
    <w:p w:rsidR="007C776D" w:rsidRDefault="007C776D" w:rsidP="007C776D">
      <w:pPr>
        <w:pStyle w:val="Heading3"/>
        <w:spacing w:before="0" w:line="240" w:lineRule="auto"/>
      </w:pPr>
      <w:r>
        <w:lastRenderedPageBreak/>
        <w:t>2NC Steel Solvency</w:t>
      </w:r>
    </w:p>
    <w:p w:rsidR="007C776D" w:rsidRDefault="007C776D" w:rsidP="007C776D">
      <w:pPr>
        <w:spacing w:after="0" w:line="240" w:lineRule="auto"/>
      </w:pPr>
    </w:p>
    <w:p w:rsidR="007C776D" w:rsidRDefault="007C776D" w:rsidP="007C776D">
      <w:pPr>
        <w:pStyle w:val="Heading4"/>
        <w:spacing w:before="0" w:line="240" w:lineRule="auto"/>
      </w:pPr>
      <w:r>
        <w:t>Steel is key</w:t>
      </w:r>
    </w:p>
    <w:p w:rsidR="007C776D" w:rsidRDefault="007C776D" w:rsidP="007C776D">
      <w:pPr>
        <w:spacing w:after="0" w:line="240" w:lineRule="auto"/>
      </w:pPr>
      <w:r w:rsidRPr="004319F9">
        <w:rPr>
          <w:rStyle w:val="Style13ptBold"/>
        </w:rPr>
        <w:t>Riley 5/18</w:t>
      </w:r>
      <w:r>
        <w:t xml:space="preserve"> (CNN correspondent)</w:t>
      </w:r>
    </w:p>
    <w:p w:rsidR="007C776D" w:rsidRDefault="007C776D" w:rsidP="007C776D">
      <w:pPr>
        <w:spacing w:after="0" w:line="240" w:lineRule="auto"/>
      </w:pPr>
      <w:r>
        <w:t xml:space="preserve">(Chalres, U.S. hikes duties on Chinese steel to more than 500%, May 18, 2016, </w:t>
      </w:r>
      <w:r w:rsidRPr="004319F9">
        <w:t>http://money.cnn.com/2016/05/18/news/us-steel-china-trade/</w:t>
      </w:r>
      <w:r>
        <w:t>)</w:t>
      </w:r>
    </w:p>
    <w:p w:rsidR="007C776D" w:rsidRDefault="007C776D" w:rsidP="007C776D">
      <w:pPr>
        <w:spacing w:after="0" w:line="240" w:lineRule="auto"/>
      </w:pPr>
    </w:p>
    <w:p w:rsidR="007C776D" w:rsidRDefault="007C776D" w:rsidP="007C776D">
      <w:pPr>
        <w:spacing w:after="0" w:line="240" w:lineRule="auto"/>
      </w:pPr>
      <w:r w:rsidRPr="00422955">
        <w:rPr>
          <w:rStyle w:val="StyleUnderline"/>
        </w:rPr>
        <w:t>A trade spat between the U.S. and China boiled over</w:t>
      </w:r>
      <w:r>
        <w:t xml:space="preserve"> on Wednesday, </w:t>
      </w:r>
      <w:r w:rsidRPr="00422955">
        <w:rPr>
          <w:rStyle w:val="StyleUnderline"/>
        </w:rPr>
        <w:t xml:space="preserve">with Beijing demanding the removal of a </w:t>
      </w:r>
      <w:r w:rsidRPr="00422955">
        <w:rPr>
          <w:rStyle w:val="StyleUnderline"/>
          <w:b/>
        </w:rPr>
        <w:t>new 500% duty</w:t>
      </w:r>
      <w:r>
        <w:t xml:space="preserve"> on some of its steel products.</w:t>
      </w:r>
    </w:p>
    <w:p w:rsidR="007C776D" w:rsidRDefault="007C776D" w:rsidP="007C776D">
      <w:pPr>
        <w:spacing w:after="0" w:line="240" w:lineRule="auto"/>
      </w:pPr>
      <w:r w:rsidRPr="00422955">
        <w:rPr>
          <w:rStyle w:val="StyleUnderline"/>
        </w:rPr>
        <w:t xml:space="preserve">The </w:t>
      </w:r>
      <w:r w:rsidRPr="00422955">
        <w:rPr>
          <w:rStyle w:val="StyleUnderline"/>
          <w:b/>
        </w:rPr>
        <w:t>escalation</w:t>
      </w:r>
      <w:r w:rsidRPr="00422955">
        <w:rPr>
          <w:rStyle w:val="StyleUnderline"/>
        </w:rPr>
        <w:t xml:space="preserve"> follows</w:t>
      </w:r>
      <w:r>
        <w:t xml:space="preserve"> a ruling by the U.S. Department of Commerce on Tuesday that dramatically increases duties on Chinese </w:t>
      </w:r>
      <w:r w:rsidRPr="00422955">
        <w:rPr>
          <w:rStyle w:val="StyleUnderline"/>
        </w:rPr>
        <w:t>cold-rolled steel</w:t>
      </w:r>
      <w:r>
        <w:t>, which is used to make appliances, cars and electric motors.</w:t>
      </w:r>
    </w:p>
    <w:p w:rsidR="007C776D" w:rsidRDefault="007C776D" w:rsidP="007C776D">
      <w:pPr>
        <w:spacing w:after="0" w:line="240" w:lineRule="auto"/>
      </w:pPr>
      <w:r>
        <w:t>"</w:t>
      </w:r>
      <w:r w:rsidRPr="00422955">
        <w:rPr>
          <w:rStyle w:val="StyleUnderline"/>
        </w:rPr>
        <w:t>China is extremely dissatisfied with this decision</w:t>
      </w:r>
      <w:r>
        <w:t>," the Ministry of Commerce said in a statement. "</w:t>
      </w:r>
      <w:r w:rsidRPr="00422955">
        <w:rPr>
          <w:rStyle w:val="StyleUnderline"/>
        </w:rPr>
        <w:t>China urges the U.S. to strictly abide by World Trade Organization guidelines</w:t>
      </w:r>
      <w:r>
        <w:t xml:space="preserve"> and correct its mistake as quickly as possible."</w:t>
      </w:r>
    </w:p>
    <w:p w:rsidR="007C776D" w:rsidRDefault="007C776D" w:rsidP="007C776D">
      <w:pPr>
        <w:spacing w:after="0" w:line="240" w:lineRule="auto"/>
      </w:pPr>
      <w:r w:rsidRPr="00422955">
        <w:rPr>
          <w:rStyle w:val="StyleUnderline"/>
        </w:rPr>
        <w:t xml:space="preserve">Trade tensions between the U.S. and China have risen considerably </w:t>
      </w:r>
      <w:r>
        <w:t xml:space="preserve">this year -- </w:t>
      </w:r>
      <w:r w:rsidRPr="00422955">
        <w:rPr>
          <w:rStyle w:val="StyleUnderline"/>
          <w:b/>
        </w:rPr>
        <w:t>especially over steel</w:t>
      </w:r>
      <w:r>
        <w:t>. Last month, U.S. Steel accused dozens of Chinese producers of breaking trade rules, and asked the U.S. International Trade Commission to investigate. China produces half of the world's steel, more than the U.S., European Union, Russia and Japan combined.</w:t>
      </w:r>
    </w:p>
    <w:p w:rsidR="007C776D" w:rsidRDefault="007C776D" w:rsidP="007C776D">
      <w:pPr>
        <w:spacing w:after="0" w:line="240" w:lineRule="auto"/>
      </w:pPr>
    </w:p>
    <w:p w:rsidR="007C776D" w:rsidRDefault="007C776D" w:rsidP="007C776D">
      <w:pPr>
        <w:pStyle w:val="Heading4"/>
        <w:spacing w:before="0" w:line="240" w:lineRule="auto"/>
      </w:pPr>
      <w:r>
        <w:t>And this is a key signal to China to resolve things through the WTO</w:t>
      </w:r>
    </w:p>
    <w:p w:rsidR="007C776D" w:rsidRDefault="007C776D" w:rsidP="007C776D">
      <w:pPr>
        <w:spacing w:after="0" w:line="240" w:lineRule="auto"/>
      </w:pPr>
      <w:r w:rsidRPr="004F0E84">
        <w:rPr>
          <w:rStyle w:val="Style13ptBold"/>
        </w:rPr>
        <w:t>Platts 6/28</w:t>
      </w:r>
      <w:r>
        <w:t xml:space="preserve"> (commodities information service)</w:t>
      </w:r>
    </w:p>
    <w:p w:rsidR="007C776D" w:rsidRDefault="007C776D" w:rsidP="007C776D">
      <w:pPr>
        <w:spacing w:after="0" w:line="240" w:lineRule="auto"/>
      </w:pPr>
      <w:r>
        <w:t xml:space="preserve">(China threatens using WTO to dispute US sheet steel duties, 28 Jun 2016, </w:t>
      </w:r>
      <w:r w:rsidRPr="004F0E84">
        <w:t>http://www.platts.com/latest-news/metals/pittsburgh/china-threatens-using-wto-to-dispute-us-sheet-21835950</w:t>
      </w:r>
      <w:r>
        <w:t>)</w:t>
      </w:r>
    </w:p>
    <w:p w:rsidR="007C776D" w:rsidRDefault="007C776D" w:rsidP="007C776D">
      <w:pPr>
        <w:spacing w:after="0" w:line="240" w:lineRule="auto"/>
      </w:pPr>
    </w:p>
    <w:p w:rsidR="007C776D" w:rsidRDefault="007C776D" w:rsidP="007C776D">
      <w:pPr>
        <w:spacing w:after="0" w:line="240" w:lineRule="auto"/>
      </w:pPr>
      <w:r w:rsidRPr="00422955">
        <w:rPr>
          <w:rStyle w:val="StyleUnderline"/>
        </w:rPr>
        <w:t>China</w:t>
      </w:r>
      <w:r>
        <w:t xml:space="preserve">'s Ministry of Commerce (Mofcom) said it </w:t>
      </w:r>
      <w:r w:rsidRPr="00422955">
        <w:rPr>
          <w:rStyle w:val="StyleUnderline"/>
        </w:rPr>
        <w:t>would take all measures including using World Trade Organization proceedings</w:t>
      </w:r>
      <w:r>
        <w:t xml:space="preserve"> to protect its export business, according to a translated statement on its website Tuesday, following a US move to impose duties on Chinese steel sheet.</w:t>
      </w:r>
    </w:p>
    <w:p w:rsidR="007C776D" w:rsidRDefault="007C776D" w:rsidP="007C776D">
      <w:pPr>
        <w:spacing w:after="0" w:line="240" w:lineRule="auto"/>
      </w:pPr>
      <w:r>
        <w:t>Mofcom has issued two statements in the last week about US International Trade Commission's findings that the US was injured by imports of cold-rolled coil and corrosion-resistant sheet and products from China and other countries.</w:t>
      </w:r>
    </w:p>
    <w:p w:rsidR="007C776D" w:rsidRDefault="007C776D" w:rsidP="007C776D">
      <w:pPr>
        <w:spacing w:after="0" w:line="240" w:lineRule="auto"/>
      </w:pPr>
      <w:r>
        <w:t>The ITC's decisions formalized antidumping duties of 209.97% and subsidy rates of 39.05-241.07% for Chinese corrosion-resistant sheet as well as 265.79% antidumping duties and 256.44% subsidy rates for Chinese cold-rolled coil.</w:t>
      </w:r>
    </w:p>
    <w:p w:rsidR="007C776D" w:rsidRDefault="007C776D" w:rsidP="007C776D">
      <w:pPr>
        <w:spacing w:after="0" w:line="240" w:lineRule="auto"/>
      </w:pPr>
      <w:r>
        <w:t>Mofcom said the frequent use of trade protection practices was not solving global financial problems.</w:t>
      </w:r>
    </w:p>
    <w:p w:rsidR="007C776D" w:rsidRDefault="007C776D" w:rsidP="007C776D">
      <w:pPr>
        <w:spacing w:after="0" w:line="240" w:lineRule="auto"/>
      </w:pPr>
      <w:r>
        <w:t>"Fiercer and fiercer trade protectionism can only aggravate frictions and conflicts, but help little to solve the problem," the ministry said in a statement that followed the ITC's ruling on CRC. "</w:t>
      </w:r>
      <w:r w:rsidRPr="00422955">
        <w:rPr>
          <w:rStyle w:val="StyleUnderline"/>
        </w:rPr>
        <w:t>The Chinese side urged the US to adhere to the WTO rules</w:t>
      </w:r>
      <w:r>
        <w:t xml:space="preserve">, to adopt the trade remedy measures prudently </w:t>
      </w:r>
      <w:r w:rsidRPr="00422955">
        <w:rPr>
          <w:rStyle w:val="StyleUnderline"/>
        </w:rPr>
        <w:t>and carefully and to play a positive role in promoting the US-China trade in steel products and in improving the overall trade environment."</w:t>
      </w:r>
    </w:p>
    <w:p w:rsidR="007C776D" w:rsidRDefault="007C776D" w:rsidP="007C776D"/>
    <w:p w:rsidR="007C776D" w:rsidRPr="007C776D" w:rsidRDefault="007C776D" w:rsidP="007C776D">
      <w:pPr>
        <w:pStyle w:val="Heading2"/>
      </w:pPr>
      <w:r>
        <w:lastRenderedPageBreak/>
        <w:t>Case</w:t>
      </w:r>
    </w:p>
    <w:p w:rsidR="007C776D" w:rsidRDefault="007C776D" w:rsidP="007C776D">
      <w:pPr>
        <w:pStyle w:val="Heading3"/>
      </w:pPr>
      <w:r>
        <w:lastRenderedPageBreak/>
        <w:t>Solar Competitive Now</w:t>
      </w:r>
    </w:p>
    <w:p w:rsidR="007C776D" w:rsidRPr="00182432" w:rsidRDefault="007C776D" w:rsidP="007C776D"/>
    <w:p w:rsidR="007C776D" w:rsidRDefault="007C776D" w:rsidP="007C776D">
      <w:pPr>
        <w:pStyle w:val="Heading4"/>
      </w:pPr>
      <w:r>
        <w:t xml:space="preserve">Solar energy is cheaper now than fossil fuels even without subsidies but developing countries still don’t change their energy source </w:t>
      </w:r>
    </w:p>
    <w:p w:rsidR="007C776D" w:rsidRPr="0078573E" w:rsidRDefault="007C776D" w:rsidP="007C776D">
      <w:pPr>
        <w:rPr>
          <w:rStyle w:val="Style13ptBold"/>
        </w:rPr>
      </w:pPr>
      <w:r>
        <w:rPr>
          <w:rStyle w:val="Style13ptBold"/>
        </w:rPr>
        <w:t xml:space="preserve">Puiu 16 </w:t>
      </w:r>
      <w:r w:rsidRPr="00305B38">
        <w:rPr>
          <w:rStyle w:val="Style13ptBold"/>
          <w:b w:val="0"/>
          <w:sz w:val="18"/>
          <w:szCs w:val="18"/>
        </w:rPr>
        <w:t xml:space="preserve">{Tibi Puiu- Analysist for ZME Science and </w:t>
      </w:r>
      <w:r>
        <w:rPr>
          <w:rStyle w:val="Style13ptBold"/>
          <w:b w:val="0"/>
          <w:sz w:val="18"/>
          <w:szCs w:val="18"/>
        </w:rPr>
        <w:t>journalist for</w:t>
      </w:r>
      <w:r w:rsidRPr="00305B38">
        <w:rPr>
          <w:rStyle w:val="Style13ptBold"/>
          <w:b w:val="0"/>
          <w:sz w:val="18"/>
          <w:szCs w:val="18"/>
        </w:rPr>
        <w:t xml:space="preserve"> all fields of science http://www.zmescience.com/author/tibipuiu/</w:t>
      </w:r>
    </w:p>
    <w:p w:rsidR="007C776D" w:rsidRDefault="007C776D" w:rsidP="007C776D">
      <w:pPr>
        <w:pStyle w:val="NormalWeb"/>
        <w:shd w:val="clear" w:color="auto" w:fill="FFFFFF"/>
        <w:spacing w:before="0" w:beforeAutospacing="0" w:after="225" w:afterAutospacing="0"/>
        <w:rPr>
          <w:rFonts w:asciiTheme="majorHAnsi" w:hAnsiTheme="majorHAnsi"/>
          <w:sz w:val="22"/>
          <w:szCs w:val="22"/>
        </w:rPr>
      </w:pPr>
      <w:r w:rsidRPr="0078573E">
        <w:rPr>
          <w:rFonts w:asciiTheme="majorHAnsi" w:hAnsiTheme="majorHAnsi"/>
          <w:sz w:val="22"/>
          <w:szCs w:val="22"/>
        </w:rPr>
        <w:t>Speaking to CNBC’s Bob Pisani, energy analyst Ramez Naam gave a brief overview of where the solar energy market stands today. Essentially, Naam reiterated what </w:t>
      </w:r>
      <w:hyperlink r:id="rId9" w:history="1">
        <w:r w:rsidRPr="0078573E">
          <w:rPr>
            <w:rFonts w:asciiTheme="majorHAnsi" w:hAnsiTheme="majorHAnsi"/>
            <w:sz w:val="22"/>
            <w:szCs w:val="22"/>
          </w:rPr>
          <w:t>ZME Science has been reporting</w:t>
        </w:r>
      </w:hyperlink>
      <w:r w:rsidRPr="0078573E">
        <w:rPr>
          <w:rFonts w:asciiTheme="majorHAnsi" w:hAnsiTheme="majorHAnsi"/>
          <w:sz w:val="22"/>
          <w:szCs w:val="22"/>
        </w:rPr>
        <w:t xml:space="preserve"> closely over the last few years: </w:t>
      </w:r>
      <w:r w:rsidRPr="0078573E">
        <w:rPr>
          <w:rFonts w:asciiTheme="majorHAnsi" w:hAnsiTheme="majorHAnsi"/>
          <w:b/>
          <w:sz w:val="22"/>
          <w:szCs w:val="22"/>
          <w:u w:val="single"/>
        </w:rPr>
        <w:t>solar energy</w:t>
      </w:r>
      <w:r w:rsidRPr="0078573E">
        <w:rPr>
          <w:rFonts w:asciiTheme="majorHAnsi" w:hAnsiTheme="majorHAnsi"/>
          <w:sz w:val="22"/>
          <w:szCs w:val="22"/>
        </w:rPr>
        <w:t xml:space="preserve"> </w:t>
      </w:r>
      <w:r w:rsidRPr="0078573E">
        <w:rPr>
          <w:rFonts w:asciiTheme="majorHAnsi" w:hAnsiTheme="majorHAnsi"/>
          <w:b/>
          <w:sz w:val="22"/>
          <w:szCs w:val="22"/>
          <w:u w:val="single"/>
        </w:rPr>
        <w:t>is</w:t>
      </w:r>
      <w:r w:rsidRPr="0078573E">
        <w:rPr>
          <w:rFonts w:asciiTheme="majorHAnsi" w:hAnsiTheme="majorHAnsi"/>
          <w:sz w:val="22"/>
          <w:szCs w:val="22"/>
        </w:rPr>
        <w:t xml:space="preserve"> getting cheaper by the minute to the point that it’s </w:t>
      </w:r>
      <w:r w:rsidRPr="0078573E">
        <w:rPr>
          <w:rFonts w:asciiTheme="majorHAnsi" w:hAnsiTheme="majorHAnsi"/>
          <w:b/>
          <w:sz w:val="22"/>
          <w:szCs w:val="22"/>
          <w:u w:val="single"/>
        </w:rPr>
        <w:t>now cheaper than fossil fuels even without subsidies</w:t>
      </w:r>
      <w:r w:rsidRPr="0078573E">
        <w:rPr>
          <w:rFonts w:asciiTheme="majorHAnsi" w:hAnsiTheme="majorHAnsi"/>
          <w:sz w:val="22"/>
          <w:szCs w:val="22"/>
        </w:rPr>
        <w:t xml:space="preserve"> in those sunny places like Nevada in the United States or Dubai in the United Arab Emirates. The tech is moving fast to other places which traditionally aren’t shined by so much sun, simply because businesses and residents would be foolish not to adopt it. Electricity enabled by fossil fuels trades at roughly 7-7.5 cents per kilowatt-hour, but just outside L.A. a new plant currently in the works is set to 3.6 cents per kilowatt-hour. Elsewhere, in Dubai, a bid worth a record-breaking US 2.99 cents per </w:t>
      </w:r>
      <w:proofErr w:type="gramStart"/>
      <w:r w:rsidRPr="0078573E">
        <w:rPr>
          <w:rFonts w:asciiTheme="majorHAnsi" w:hAnsiTheme="majorHAnsi"/>
          <w:sz w:val="22"/>
          <w:szCs w:val="22"/>
        </w:rPr>
        <w:t>kilowatt hour</w:t>
      </w:r>
      <w:proofErr w:type="gramEnd"/>
      <w:r w:rsidRPr="0078573E">
        <w:rPr>
          <w:rFonts w:asciiTheme="majorHAnsi" w:hAnsiTheme="majorHAnsi"/>
          <w:sz w:val="22"/>
          <w:szCs w:val="22"/>
        </w:rPr>
        <w:t> </w:t>
      </w:r>
      <w:hyperlink r:id="rId10" w:history="1">
        <w:r w:rsidRPr="0078573E">
          <w:rPr>
            <w:rFonts w:asciiTheme="majorHAnsi" w:hAnsiTheme="majorHAnsi"/>
            <w:sz w:val="22"/>
            <w:szCs w:val="22"/>
          </w:rPr>
          <w:t>was accepted</w:t>
        </w:r>
      </w:hyperlink>
      <w:r w:rsidRPr="0078573E">
        <w:rPr>
          <w:rFonts w:asciiTheme="majorHAnsi" w:hAnsiTheme="majorHAnsi"/>
          <w:sz w:val="22"/>
          <w:szCs w:val="22"/>
        </w:rPr>
        <w:t xml:space="preserve">. </w:t>
      </w:r>
      <w:r w:rsidRPr="0078573E">
        <w:rPr>
          <w:rFonts w:asciiTheme="majorHAnsi" w:hAnsiTheme="majorHAnsi"/>
          <w:b/>
          <w:sz w:val="22"/>
          <w:szCs w:val="22"/>
          <w:u w:val="single"/>
        </w:rPr>
        <w:t>Solar energy is already </w:t>
      </w:r>
      <w:hyperlink r:id="rId11" w:history="1">
        <w:r w:rsidRPr="0078573E">
          <w:rPr>
            <w:rFonts w:asciiTheme="majorHAnsi" w:hAnsiTheme="majorHAnsi"/>
            <w:b/>
            <w:sz w:val="22"/>
            <w:szCs w:val="22"/>
            <w:u w:val="single"/>
          </w:rPr>
          <w:t>cheaper than coal</w:t>
        </w:r>
      </w:hyperlink>
      <w:r w:rsidRPr="0078573E">
        <w:rPr>
          <w:rFonts w:asciiTheme="majorHAnsi" w:hAnsiTheme="majorHAnsi"/>
          <w:b/>
          <w:sz w:val="22"/>
          <w:szCs w:val="22"/>
          <w:u w:val="single"/>
        </w:rPr>
        <w:t> in</w:t>
      </w:r>
      <w:r w:rsidRPr="0078573E">
        <w:rPr>
          <w:rFonts w:asciiTheme="majorHAnsi" w:hAnsiTheme="majorHAnsi"/>
          <w:sz w:val="22"/>
          <w:szCs w:val="22"/>
        </w:rPr>
        <w:t xml:space="preserve"> the world’s second most populated country, </w:t>
      </w:r>
      <w:r w:rsidRPr="0078573E">
        <w:rPr>
          <w:rFonts w:asciiTheme="majorHAnsi" w:hAnsiTheme="majorHAnsi"/>
          <w:b/>
          <w:sz w:val="22"/>
          <w:szCs w:val="22"/>
          <w:u w:val="single"/>
        </w:rPr>
        <w:t>India</w:t>
      </w:r>
      <w:r w:rsidRPr="0078573E">
        <w:rPr>
          <w:rFonts w:asciiTheme="majorHAnsi" w:hAnsiTheme="majorHAnsi"/>
          <w:sz w:val="22"/>
          <w:szCs w:val="22"/>
        </w:rPr>
        <w:t>. All of these prices were made subsidies not included, unlike coal, gas or oil which amount to </w:t>
      </w:r>
      <w:hyperlink r:id="rId12" w:history="1">
        <w:r w:rsidRPr="0078573E">
          <w:rPr>
            <w:rFonts w:asciiTheme="majorHAnsi" w:hAnsiTheme="majorHAnsi"/>
            <w:sz w:val="22"/>
            <w:szCs w:val="22"/>
          </w:rPr>
          <w:t>$452 billion each year</w:t>
        </w:r>
      </w:hyperlink>
      <w:r w:rsidRPr="0078573E">
        <w:rPr>
          <w:rFonts w:asciiTheme="majorHAnsi" w:hAnsiTheme="majorHAnsi"/>
          <w:sz w:val="22"/>
          <w:szCs w:val="22"/>
        </w:rPr>
        <w:t xml:space="preserve"> across G20 states. Last December, Congress extended the federal investment tax </w:t>
      </w:r>
      <w:proofErr w:type="gramStart"/>
      <w:r w:rsidRPr="0078573E">
        <w:rPr>
          <w:rFonts w:asciiTheme="majorHAnsi" w:hAnsiTheme="majorHAnsi"/>
          <w:sz w:val="22"/>
          <w:szCs w:val="22"/>
        </w:rPr>
        <w:t>credit which</w:t>
      </w:r>
      <w:proofErr w:type="gramEnd"/>
      <w:r w:rsidRPr="0078573E">
        <w:rPr>
          <w:rFonts w:asciiTheme="majorHAnsi" w:hAnsiTheme="majorHAnsi"/>
          <w:sz w:val="22"/>
          <w:szCs w:val="22"/>
        </w:rPr>
        <w:t xml:space="preserve"> gives a tax credit of 30 percent of the value of solar projects. Under the new scheme, the 30 percent solar tax credit will extend through 2019 and then decline gradually to 10 percent in 2022. After 2022 the credit will be eliminated for residential solar installations and will continue at 10 percent for commercial ones. Meanwhile, fossil fuels will still be subsidized even though the tech is centuries old. Apparently, solar and wind deserve subsidies only for a couple of years until they’ve matured, which if fair in this context, but not in the larger one where fossil fuels still retain enormous subsidies. This is essentially a form of disloyal competition. Despite this setback, </w:t>
      </w:r>
      <w:r w:rsidRPr="0078573E">
        <w:rPr>
          <w:rFonts w:asciiTheme="majorHAnsi" w:hAnsiTheme="majorHAnsi"/>
          <w:b/>
          <w:sz w:val="22"/>
          <w:szCs w:val="22"/>
          <w:u w:val="single"/>
        </w:rPr>
        <w:t>solar energy contractors</w:t>
      </w:r>
      <w:r w:rsidRPr="0078573E">
        <w:rPr>
          <w:rFonts w:asciiTheme="majorHAnsi" w:hAnsiTheme="majorHAnsi"/>
          <w:sz w:val="22"/>
          <w:szCs w:val="22"/>
        </w:rPr>
        <w:t xml:space="preserve"> </w:t>
      </w:r>
      <w:r w:rsidRPr="0078573E">
        <w:rPr>
          <w:rFonts w:asciiTheme="majorHAnsi" w:hAnsiTheme="majorHAnsi"/>
          <w:b/>
          <w:sz w:val="22"/>
          <w:szCs w:val="22"/>
          <w:u w:val="single"/>
        </w:rPr>
        <w:t>are</w:t>
      </w:r>
      <w:r w:rsidRPr="0078573E">
        <w:rPr>
          <w:rFonts w:asciiTheme="majorHAnsi" w:hAnsiTheme="majorHAnsi"/>
          <w:sz w:val="22"/>
          <w:szCs w:val="22"/>
        </w:rPr>
        <w:t xml:space="preserve"> already </w:t>
      </w:r>
      <w:r w:rsidRPr="0078573E">
        <w:rPr>
          <w:rFonts w:asciiTheme="majorHAnsi" w:hAnsiTheme="majorHAnsi"/>
          <w:b/>
          <w:sz w:val="22"/>
          <w:szCs w:val="22"/>
          <w:u w:val="single"/>
        </w:rPr>
        <w:t>working</w:t>
      </w:r>
      <w:r w:rsidRPr="0078573E">
        <w:rPr>
          <w:rFonts w:asciiTheme="majorHAnsi" w:hAnsiTheme="majorHAnsi"/>
          <w:sz w:val="22"/>
          <w:szCs w:val="22"/>
        </w:rPr>
        <w:t xml:space="preserve"> hard </w:t>
      </w:r>
      <w:r w:rsidRPr="0078573E">
        <w:rPr>
          <w:rFonts w:asciiTheme="majorHAnsi" w:hAnsiTheme="majorHAnsi"/>
          <w:b/>
          <w:sz w:val="22"/>
          <w:szCs w:val="22"/>
          <w:u w:val="single"/>
        </w:rPr>
        <w:t>to push the</w:t>
      </w:r>
      <w:r w:rsidRPr="0078573E">
        <w:rPr>
          <w:rFonts w:asciiTheme="majorHAnsi" w:hAnsiTheme="majorHAnsi"/>
          <w:sz w:val="22"/>
          <w:szCs w:val="22"/>
        </w:rPr>
        <w:t xml:space="preserve"> solar energy kilowatt-hour </w:t>
      </w:r>
      <w:r w:rsidRPr="0078573E">
        <w:rPr>
          <w:rFonts w:asciiTheme="majorHAnsi" w:hAnsiTheme="majorHAnsi"/>
          <w:b/>
          <w:sz w:val="22"/>
          <w:szCs w:val="22"/>
          <w:u w:val="single"/>
        </w:rPr>
        <w:t>price</w:t>
      </w:r>
      <w:r w:rsidRPr="0078573E">
        <w:rPr>
          <w:rFonts w:asciiTheme="majorHAnsi" w:hAnsiTheme="majorHAnsi"/>
          <w:sz w:val="22"/>
          <w:szCs w:val="22"/>
        </w:rPr>
        <w:t xml:space="preserve"> tag down to the point where it’s least just </w:t>
      </w:r>
      <w:r w:rsidRPr="0078573E">
        <w:rPr>
          <w:rFonts w:asciiTheme="majorHAnsi" w:hAnsiTheme="majorHAnsi"/>
          <w:b/>
          <w:sz w:val="22"/>
          <w:szCs w:val="22"/>
          <w:u w:val="single"/>
        </w:rPr>
        <w:t>as cheap as fossil fuels</w:t>
      </w:r>
      <w:r w:rsidRPr="0078573E">
        <w:rPr>
          <w:rFonts w:asciiTheme="majorHAnsi" w:hAnsiTheme="majorHAnsi"/>
          <w:sz w:val="22"/>
          <w:szCs w:val="22"/>
        </w:rPr>
        <w:t xml:space="preserve"> post-2020 — tax credits or not. </w:t>
      </w:r>
    </w:p>
    <w:p w:rsidR="007C776D" w:rsidRDefault="007C776D" w:rsidP="007C776D">
      <w:pPr>
        <w:pStyle w:val="Heading4"/>
      </w:pPr>
      <w:r>
        <w:t xml:space="preserve">Solar energy is already competitive with fossil fuels </w:t>
      </w:r>
    </w:p>
    <w:p w:rsidR="007C776D" w:rsidRPr="009A657F" w:rsidRDefault="007C776D" w:rsidP="007C776D">
      <w:pPr>
        <w:rPr>
          <w:rStyle w:val="Style13ptBold"/>
          <w:b w:val="0"/>
        </w:rPr>
      </w:pPr>
      <w:r>
        <w:rPr>
          <w:rStyle w:val="Style13ptBold"/>
        </w:rPr>
        <w:t xml:space="preserve">Ochondra 16 </w:t>
      </w:r>
      <w:r w:rsidRPr="009A657F">
        <w:rPr>
          <w:rStyle w:val="Style13ptBold"/>
          <w:b w:val="0"/>
        </w:rPr>
        <w:t>{Riza T. Olchondra- analysist for The Inquirer Writes in the burisness sector of the Daily Inquirer http://business.inquirer.net/210934/solar-energy-competitive-vs-coal</w:t>
      </w:r>
      <w:r>
        <w:rPr>
          <w:rStyle w:val="Style13ptBold"/>
          <w:b w:val="0"/>
        </w:rPr>
        <w:t>}</w:t>
      </w:r>
    </w:p>
    <w:p w:rsidR="007C776D" w:rsidRPr="00A52676" w:rsidRDefault="007C776D" w:rsidP="007C776D">
      <w:pPr>
        <w:spacing w:after="210" w:line="240" w:lineRule="auto"/>
        <w:textAlignment w:val="baseline"/>
        <w:rPr>
          <w:rFonts w:asciiTheme="majorHAnsi" w:hAnsiTheme="majorHAnsi"/>
          <w:szCs w:val="22"/>
        </w:rPr>
      </w:pPr>
      <w:r w:rsidRPr="00A52676">
        <w:rPr>
          <w:rFonts w:asciiTheme="majorHAnsi" w:hAnsiTheme="majorHAnsi"/>
          <w:b/>
          <w:szCs w:val="22"/>
          <w:u w:val="single"/>
        </w:rPr>
        <w:t>The solar</w:t>
      </w:r>
      <w:r w:rsidRPr="00A52676">
        <w:rPr>
          <w:rFonts w:asciiTheme="majorHAnsi" w:hAnsiTheme="majorHAnsi"/>
          <w:szCs w:val="22"/>
        </w:rPr>
        <w:t xml:space="preserve"> power </w:t>
      </w:r>
      <w:r w:rsidRPr="00A52676">
        <w:rPr>
          <w:rFonts w:asciiTheme="majorHAnsi" w:hAnsiTheme="majorHAnsi"/>
          <w:b/>
          <w:szCs w:val="22"/>
          <w:u w:val="single"/>
        </w:rPr>
        <w:t>industry has built up enough capacity to compete with conventional energy</w:t>
      </w:r>
      <w:r w:rsidRPr="00A52676">
        <w:rPr>
          <w:rFonts w:asciiTheme="majorHAnsi" w:hAnsiTheme="majorHAnsi"/>
          <w:szCs w:val="22"/>
        </w:rPr>
        <w:t xml:space="preserve"> sources, </w:t>
      </w:r>
      <w:r w:rsidRPr="00A52676">
        <w:rPr>
          <w:rFonts w:asciiTheme="majorHAnsi" w:hAnsiTheme="majorHAnsi"/>
          <w:b/>
          <w:szCs w:val="22"/>
          <w:u w:val="single"/>
        </w:rPr>
        <w:t>including coal</w:t>
      </w:r>
      <w:r w:rsidRPr="00A52676">
        <w:rPr>
          <w:rFonts w:asciiTheme="majorHAnsi" w:hAnsiTheme="majorHAnsi"/>
          <w:szCs w:val="22"/>
        </w:rPr>
        <w:t>, experts said.</w:t>
      </w:r>
      <w:r>
        <w:rPr>
          <w:rFonts w:asciiTheme="majorHAnsi" w:hAnsiTheme="majorHAnsi"/>
          <w:szCs w:val="22"/>
        </w:rPr>
        <w:t xml:space="preserve"> </w:t>
      </w:r>
      <w:r w:rsidRPr="00A52676">
        <w:rPr>
          <w:rFonts w:asciiTheme="majorHAnsi" w:hAnsiTheme="majorHAnsi"/>
          <w:szCs w:val="22"/>
        </w:rPr>
        <w:t>Solar Philippines Power Project Holdings Inc. (Solar PH) CEO Leandro L. Leviste said that even if utilities (such as Manila Electric Co. and electricity cooperatives) in areas with solar farms would conduct competitive bidding now, solar power would be competitive even against coal, perceived to be the cheapest energy resource provider.</w:t>
      </w:r>
      <w:r>
        <w:rPr>
          <w:rFonts w:asciiTheme="majorHAnsi" w:hAnsiTheme="majorHAnsi"/>
          <w:szCs w:val="22"/>
        </w:rPr>
        <w:t xml:space="preserve"> </w:t>
      </w:r>
      <w:r w:rsidRPr="00A52676">
        <w:rPr>
          <w:rFonts w:asciiTheme="majorHAnsi" w:hAnsiTheme="majorHAnsi"/>
          <w:szCs w:val="22"/>
        </w:rPr>
        <w:t xml:space="preserve">Asked how solar power could compete under the Competitive Selection Process (CSP) being mandated by the government starting this year, Leviste said, “Solar power is competitive… I challenge the energy industry to bid out supply contracts and we can show that </w:t>
      </w:r>
      <w:r w:rsidRPr="00A52676">
        <w:rPr>
          <w:rFonts w:asciiTheme="majorHAnsi" w:hAnsiTheme="majorHAnsi"/>
          <w:b/>
          <w:szCs w:val="22"/>
          <w:u w:val="single"/>
        </w:rPr>
        <w:t>solar power can be supplied at</w:t>
      </w:r>
      <w:r w:rsidRPr="00A52676">
        <w:rPr>
          <w:rFonts w:asciiTheme="majorHAnsi" w:hAnsiTheme="majorHAnsi"/>
          <w:szCs w:val="22"/>
        </w:rPr>
        <w:t xml:space="preserve"> around P4 per kilowatt-hour (kWh), or about </w:t>
      </w:r>
      <w:r w:rsidRPr="00A52676">
        <w:rPr>
          <w:rFonts w:asciiTheme="majorHAnsi" w:hAnsiTheme="majorHAnsi"/>
          <w:b/>
          <w:szCs w:val="22"/>
          <w:u w:val="single"/>
        </w:rPr>
        <w:t>the same level as coal</w:t>
      </w:r>
      <w:r w:rsidRPr="00A52676">
        <w:rPr>
          <w:rFonts w:asciiTheme="majorHAnsi" w:hAnsiTheme="majorHAnsi"/>
          <w:szCs w:val="22"/>
        </w:rPr>
        <w:t>,” Leviste said.</w:t>
      </w:r>
      <w:r>
        <w:rPr>
          <w:rFonts w:asciiTheme="majorHAnsi" w:hAnsiTheme="majorHAnsi"/>
          <w:szCs w:val="22"/>
        </w:rPr>
        <w:t xml:space="preserve"> </w:t>
      </w:r>
      <w:r w:rsidRPr="00A52676">
        <w:rPr>
          <w:rFonts w:asciiTheme="majorHAnsi" w:hAnsiTheme="majorHAnsi"/>
          <w:szCs w:val="22"/>
        </w:rPr>
        <w:t xml:space="preserve">“The conventional wisdom is that solar is expensive and it will take decades more to be competitive. Yet last month, </w:t>
      </w:r>
      <w:r w:rsidRPr="00A52676">
        <w:rPr>
          <w:rFonts w:asciiTheme="majorHAnsi" w:hAnsiTheme="majorHAnsi"/>
          <w:b/>
          <w:szCs w:val="22"/>
          <w:u w:val="single"/>
        </w:rPr>
        <w:t>the world’s lowest prices for solar was set</w:t>
      </w:r>
      <w:r w:rsidRPr="00A52676">
        <w:rPr>
          <w:rFonts w:asciiTheme="majorHAnsi" w:hAnsiTheme="majorHAnsi"/>
          <w:szCs w:val="22"/>
        </w:rPr>
        <w:t xml:space="preserve"> in a bidding in Dubai at P1.345 (peso equivalent) per kWh. Other bids were P1.575 per kWh in Mexico and P1.741 per kWh in the US,” Leviste said.</w:t>
      </w:r>
      <w:r>
        <w:rPr>
          <w:rFonts w:asciiTheme="majorHAnsi" w:hAnsiTheme="majorHAnsi"/>
          <w:szCs w:val="22"/>
        </w:rPr>
        <w:t xml:space="preserve"> </w:t>
      </w:r>
      <w:r w:rsidRPr="00A52676">
        <w:rPr>
          <w:rFonts w:asciiTheme="majorHAnsi" w:hAnsiTheme="majorHAnsi"/>
          <w:szCs w:val="22"/>
        </w:rPr>
        <w:t xml:space="preserve">“These are the result of a 90-percent decrease in panel costs over the past decade, low interest rates and high levels of sunlight—making solar in those places significantly cheaper than fossil </w:t>
      </w:r>
      <w:r w:rsidRPr="00A52676">
        <w:rPr>
          <w:rFonts w:asciiTheme="majorHAnsi" w:hAnsiTheme="majorHAnsi"/>
          <w:szCs w:val="22"/>
        </w:rPr>
        <w:lastRenderedPageBreak/>
        <w:t>fuel in the Philippines, where coal averages at P4 per kWh, natural gas at P6 per kWh and diesel at P8 per kWh.</w:t>
      </w:r>
      <w:r>
        <w:rPr>
          <w:rFonts w:asciiTheme="majorHAnsi" w:hAnsiTheme="majorHAnsi"/>
          <w:szCs w:val="22"/>
        </w:rPr>
        <w:t xml:space="preserve"> </w:t>
      </w:r>
      <w:r w:rsidRPr="00A52676">
        <w:rPr>
          <w:rFonts w:asciiTheme="majorHAnsi" w:hAnsiTheme="majorHAnsi"/>
          <w:szCs w:val="22"/>
        </w:rPr>
        <w:t>Yet those economies have even less sunlight than the Philippines, Leviste said.</w:t>
      </w:r>
      <w:r>
        <w:rPr>
          <w:rFonts w:asciiTheme="majorHAnsi" w:hAnsiTheme="majorHAnsi"/>
          <w:szCs w:val="22"/>
        </w:rPr>
        <w:t xml:space="preserve"> </w:t>
      </w:r>
      <w:r w:rsidRPr="00A52676">
        <w:rPr>
          <w:rFonts w:asciiTheme="majorHAnsi" w:hAnsiTheme="majorHAnsi"/>
          <w:szCs w:val="22"/>
        </w:rPr>
        <w:t xml:space="preserve">Citing a study by Deutsche Bank, Leviste said the Philippines </w:t>
      </w:r>
      <w:proofErr w:type="gramStart"/>
      <w:r w:rsidRPr="00A52676">
        <w:rPr>
          <w:rFonts w:asciiTheme="majorHAnsi" w:hAnsiTheme="majorHAnsi"/>
          <w:szCs w:val="22"/>
        </w:rPr>
        <w:t>was</w:t>
      </w:r>
      <w:proofErr w:type="gramEnd"/>
      <w:r w:rsidRPr="00A52676">
        <w:rPr>
          <w:rFonts w:asciiTheme="majorHAnsi" w:hAnsiTheme="majorHAnsi"/>
          <w:szCs w:val="22"/>
        </w:rPr>
        <w:t xml:space="preserve"> seen globally as one of the most promising markets for solar power projects.</w:t>
      </w:r>
      <w:r>
        <w:rPr>
          <w:rFonts w:asciiTheme="majorHAnsi" w:hAnsiTheme="majorHAnsi"/>
          <w:szCs w:val="22"/>
        </w:rPr>
        <w:t xml:space="preserve"> </w:t>
      </w:r>
      <w:r w:rsidRPr="00A52676">
        <w:rPr>
          <w:rFonts w:asciiTheme="majorHAnsi" w:hAnsiTheme="majorHAnsi"/>
          <w:szCs w:val="22"/>
        </w:rPr>
        <w:t xml:space="preserve">The local solar market has gained economies of scale, Leviste said. The Philippines had a total 4 megawatts (MW) of solar power in 2013, but installed capacity was estimated to have reached 900 MW by mid-2016. He said there was enough scale that his company could offer its solar-rooftop client SM Malls a fixed rate of power </w:t>
      </w:r>
      <w:proofErr w:type="gramStart"/>
      <w:r w:rsidRPr="00A52676">
        <w:rPr>
          <w:rFonts w:asciiTheme="majorHAnsi" w:hAnsiTheme="majorHAnsi"/>
          <w:szCs w:val="22"/>
        </w:rPr>
        <w:t>supply</w:t>
      </w:r>
      <w:proofErr w:type="gramEnd"/>
      <w:r w:rsidRPr="00A52676">
        <w:rPr>
          <w:rFonts w:asciiTheme="majorHAnsi" w:hAnsiTheme="majorHAnsi"/>
          <w:szCs w:val="22"/>
        </w:rPr>
        <w:t xml:space="preserve"> that is 30 percent cheaper than the commercial rate of Meralco.</w:t>
      </w:r>
      <w:r>
        <w:rPr>
          <w:rFonts w:asciiTheme="majorHAnsi" w:hAnsiTheme="majorHAnsi"/>
          <w:szCs w:val="22"/>
        </w:rPr>
        <w:t xml:space="preserve"> </w:t>
      </w:r>
      <w:r w:rsidRPr="00A52676">
        <w:rPr>
          <w:rFonts w:asciiTheme="majorHAnsi" w:hAnsiTheme="majorHAnsi"/>
          <w:szCs w:val="22"/>
        </w:rPr>
        <w:t>Solar PH client SM City North has one of the world’s largest mall rooftop solar power installations with a capacity of 1.5MW (inaugurated in 2014). The installation is listed in the Philippines’ Wholesale Electricity Spot Market.</w:t>
      </w:r>
      <w:r>
        <w:rPr>
          <w:rFonts w:asciiTheme="majorHAnsi" w:hAnsiTheme="majorHAnsi"/>
          <w:szCs w:val="22"/>
        </w:rPr>
        <w:t xml:space="preserve"> </w:t>
      </w:r>
      <w:r w:rsidRPr="00A52676">
        <w:rPr>
          <w:rFonts w:asciiTheme="majorHAnsi" w:hAnsiTheme="majorHAnsi"/>
          <w:b/>
          <w:szCs w:val="22"/>
          <w:u w:val="single"/>
        </w:rPr>
        <w:t>The power sector has already taken big steps toward more competition</w:t>
      </w:r>
      <w:r w:rsidRPr="00A52676">
        <w:rPr>
          <w:rFonts w:asciiTheme="majorHAnsi" w:hAnsiTheme="majorHAnsi"/>
          <w:szCs w:val="22"/>
        </w:rPr>
        <w:t>, particularly with the implementation of the CSP, according to the Energy Regulatory Commission (ERC).</w:t>
      </w:r>
      <w:r>
        <w:rPr>
          <w:rFonts w:asciiTheme="majorHAnsi" w:hAnsiTheme="majorHAnsi"/>
          <w:szCs w:val="22"/>
        </w:rPr>
        <w:t xml:space="preserve"> </w:t>
      </w:r>
      <w:r w:rsidRPr="00A52676">
        <w:rPr>
          <w:rFonts w:asciiTheme="majorHAnsi" w:hAnsiTheme="majorHAnsi"/>
          <w:szCs w:val="22"/>
        </w:rPr>
        <w:t xml:space="preserve">The CSP requires all distribution utilities to conduct an open and competitive process in selecting the power generating company from </w:t>
      </w:r>
      <w:proofErr w:type="gramStart"/>
      <w:r w:rsidRPr="00A52676">
        <w:rPr>
          <w:rFonts w:asciiTheme="majorHAnsi" w:hAnsiTheme="majorHAnsi"/>
          <w:szCs w:val="22"/>
        </w:rPr>
        <w:t>whom</w:t>
      </w:r>
      <w:proofErr w:type="gramEnd"/>
      <w:r w:rsidRPr="00A52676">
        <w:rPr>
          <w:rFonts w:asciiTheme="majorHAnsi" w:hAnsiTheme="majorHAnsi"/>
          <w:szCs w:val="22"/>
        </w:rPr>
        <w:t xml:space="preserve"> they are to purchase their supply for the captive markets.</w:t>
      </w:r>
      <w:r>
        <w:rPr>
          <w:rFonts w:asciiTheme="majorHAnsi" w:hAnsiTheme="majorHAnsi"/>
          <w:szCs w:val="22"/>
        </w:rPr>
        <w:t xml:space="preserve"> </w:t>
      </w:r>
    </w:p>
    <w:p w:rsidR="007C776D" w:rsidRDefault="007C776D" w:rsidP="007C776D">
      <w:pPr>
        <w:pStyle w:val="NormalWeb"/>
        <w:shd w:val="clear" w:color="auto" w:fill="FFFFFF"/>
        <w:spacing w:before="0" w:beforeAutospacing="0" w:after="225" w:afterAutospacing="0"/>
        <w:rPr>
          <w:rFonts w:asciiTheme="majorHAnsi" w:hAnsiTheme="majorHAnsi"/>
          <w:sz w:val="22"/>
          <w:szCs w:val="22"/>
        </w:rPr>
      </w:pPr>
      <w:r w:rsidRPr="00A52676">
        <w:rPr>
          <w:rFonts w:eastAsia="Times New Roman"/>
          <w:color w:val="000000"/>
          <w:sz w:val="27"/>
          <w:szCs w:val="27"/>
          <w:bdr w:val="none" w:sz="0" w:space="0" w:color="auto" w:frame="1"/>
        </w:rPr>
        <w:br/>
      </w:r>
    </w:p>
    <w:p w:rsidR="007C776D" w:rsidRDefault="007C776D" w:rsidP="007C776D">
      <w:pPr>
        <w:pStyle w:val="Heading4"/>
      </w:pPr>
      <w:r>
        <w:t xml:space="preserve">Innovation decreases the price of solar energy </w:t>
      </w:r>
    </w:p>
    <w:p w:rsidR="007C776D" w:rsidRPr="0078573E" w:rsidRDefault="007C776D" w:rsidP="007C776D">
      <w:pPr>
        <w:spacing w:line="240" w:lineRule="auto"/>
        <w:rPr>
          <w:rFonts w:ascii="Times" w:eastAsia="Times New Roman" w:hAnsi="Times"/>
          <w:szCs w:val="20"/>
        </w:rPr>
      </w:pPr>
      <w:r>
        <w:rPr>
          <w:rStyle w:val="Style13ptBold"/>
        </w:rPr>
        <w:t xml:space="preserve">Register 14 </w:t>
      </w:r>
      <w:r w:rsidRPr="0078573E">
        <w:rPr>
          <w:rStyle w:val="Style13ptBold"/>
          <w:rFonts w:asciiTheme="majorHAnsi" w:hAnsiTheme="majorHAnsi"/>
          <w:sz w:val="18"/>
          <w:szCs w:val="18"/>
        </w:rPr>
        <w:t xml:space="preserve">[Chip Register Forbes </w:t>
      </w:r>
      <w:r w:rsidRPr="0078573E">
        <w:rPr>
          <w:rFonts w:asciiTheme="majorHAnsi" w:eastAsia="Times New Roman" w:hAnsiTheme="majorHAnsi"/>
          <w:sz w:val="18"/>
          <w:szCs w:val="18"/>
          <w:shd w:val="clear" w:color="auto" w:fill="FFFFFF"/>
        </w:rPr>
        <w:t>CEO of Sapient Consulting, part of Publicis.Sapient and a member of Publicis Groupe’s P12 “Executive Committee”. He is responsible for the overall leadership of Sapient Consulting, which offers deep industry expertise to steward clients through the evolution of their business models in an increasingly digitally enabled world. Prior to joining Sapient in 2007, he built and managed trading groups for large merchants traders globally including Louis Dreyfus, Essent Energy, and Weyerhaeuser. Named one of the top 25 consultants in the world, he’s also spent ten years developing trading capabilities for investment banks including UBS and CIBC.</w:t>
      </w:r>
      <w:r w:rsidRPr="0078573E">
        <w:t xml:space="preserve"> </w:t>
      </w:r>
      <w:r w:rsidRPr="0078573E">
        <w:rPr>
          <w:rFonts w:asciiTheme="majorHAnsi" w:eastAsia="Times New Roman" w:hAnsiTheme="majorHAnsi"/>
          <w:sz w:val="18"/>
          <w:szCs w:val="18"/>
          <w:shd w:val="clear" w:color="auto" w:fill="FFFFFF"/>
        </w:rPr>
        <w:t>http://www.forbes.com/sites/chipregister1/#468f3c2a67fa</w:t>
      </w:r>
      <w:r>
        <w:rPr>
          <w:rFonts w:asciiTheme="majorHAnsi" w:eastAsia="Times New Roman" w:hAnsiTheme="majorHAnsi"/>
          <w:sz w:val="18"/>
          <w:szCs w:val="18"/>
          <w:shd w:val="clear" w:color="auto" w:fill="FFFFFF"/>
        </w:rPr>
        <w:t>]</w:t>
      </w:r>
    </w:p>
    <w:p w:rsidR="007C776D" w:rsidRDefault="007C776D" w:rsidP="007C776D">
      <w:pPr>
        <w:shd w:val="clear" w:color="auto" w:fill="FFFFFF"/>
        <w:spacing w:before="240" w:after="240" w:line="240" w:lineRule="auto"/>
        <w:textAlignment w:val="baseline"/>
        <w:rPr>
          <w:rFonts w:asciiTheme="majorHAnsi" w:hAnsiTheme="majorHAnsi"/>
          <w:szCs w:val="22"/>
        </w:rPr>
      </w:pPr>
      <w:r w:rsidRPr="0078573E">
        <w:rPr>
          <w:rFonts w:asciiTheme="majorHAnsi" w:hAnsiTheme="majorHAnsi"/>
          <w:szCs w:val="22"/>
        </w:rPr>
        <w:t xml:space="preserve">At the same time and even more profoundly, however, </w:t>
      </w:r>
      <w:r w:rsidRPr="0078573E">
        <w:rPr>
          <w:rFonts w:asciiTheme="majorHAnsi" w:hAnsiTheme="majorHAnsi"/>
          <w:b/>
          <w:szCs w:val="22"/>
          <w:u w:val="single"/>
        </w:rPr>
        <w:t>advances made in photovoltaic (PV) cells</w:t>
      </w:r>
      <w:r w:rsidRPr="0078573E">
        <w:rPr>
          <w:rFonts w:asciiTheme="majorHAnsi" w:hAnsiTheme="majorHAnsi"/>
          <w:szCs w:val="22"/>
        </w:rPr>
        <w:t xml:space="preserve">, combined with an explosion in solar panel manufacturing in China, helped </w:t>
      </w:r>
      <w:r w:rsidRPr="0078573E">
        <w:rPr>
          <w:rFonts w:asciiTheme="majorHAnsi" w:hAnsiTheme="majorHAnsi"/>
          <w:b/>
          <w:szCs w:val="22"/>
          <w:u w:val="single"/>
        </w:rPr>
        <w:t>send solar prices down</w:t>
      </w:r>
      <w:r w:rsidRPr="0078573E">
        <w:rPr>
          <w:rFonts w:asciiTheme="majorHAnsi" w:hAnsiTheme="majorHAnsi"/>
          <w:szCs w:val="22"/>
        </w:rPr>
        <w:t xml:space="preserve"> far faster </w:t>
      </w:r>
      <w:r w:rsidRPr="0078573E">
        <w:rPr>
          <w:rFonts w:asciiTheme="majorHAnsi" w:hAnsiTheme="majorHAnsi"/>
          <w:b/>
          <w:szCs w:val="22"/>
          <w:u w:val="single"/>
        </w:rPr>
        <w:t>than fossil fuels</w:t>
      </w:r>
      <w:r w:rsidRPr="0078573E">
        <w:rPr>
          <w:rFonts w:asciiTheme="majorHAnsi" w:hAnsiTheme="majorHAnsi"/>
          <w:szCs w:val="22"/>
        </w:rPr>
        <w:t xml:space="preserve">. The average solar panel now costs around 75% less than it did just five years ago </w:t>
      </w:r>
      <w:r w:rsidRPr="0078573E">
        <w:rPr>
          <w:rFonts w:asciiTheme="majorHAnsi" w:hAnsiTheme="majorHAnsi"/>
          <w:b/>
          <w:szCs w:val="22"/>
          <w:u w:val="single"/>
        </w:rPr>
        <w:t>and continues</w:t>
      </w:r>
      <w:r w:rsidRPr="0078573E">
        <w:rPr>
          <w:rFonts w:asciiTheme="majorHAnsi" w:hAnsiTheme="majorHAnsi"/>
          <w:szCs w:val="22"/>
        </w:rPr>
        <w:t xml:space="preserve"> to fall </w:t>
      </w:r>
      <w:r w:rsidRPr="0078573E">
        <w:rPr>
          <w:rFonts w:asciiTheme="majorHAnsi" w:hAnsiTheme="majorHAnsi"/>
          <w:b/>
          <w:szCs w:val="22"/>
          <w:u w:val="single"/>
        </w:rPr>
        <w:t>despite the</w:t>
      </w:r>
      <w:r w:rsidRPr="0078573E">
        <w:rPr>
          <w:rFonts w:asciiTheme="majorHAnsi" w:hAnsiTheme="majorHAnsi"/>
          <w:szCs w:val="22"/>
        </w:rPr>
        <w:t xml:space="preserve"> total </w:t>
      </w:r>
      <w:r w:rsidRPr="0078573E">
        <w:rPr>
          <w:rFonts w:asciiTheme="majorHAnsi" w:hAnsiTheme="majorHAnsi"/>
          <w:b/>
          <w:szCs w:val="22"/>
          <w:u w:val="single"/>
        </w:rPr>
        <w:t>decimation of</w:t>
      </w:r>
      <w:r w:rsidRPr="0078573E">
        <w:rPr>
          <w:rFonts w:asciiTheme="majorHAnsi" w:hAnsiTheme="majorHAnsi"/>
          <w:szCs w:val="22"/>
        </w:rPr>
        <w:t xml:space="preserve"> the heavily </w:t>
      </w:r>
      <w:r w:rsidRPr="0078573E">
        <w:rPr>
          <w:rFonts w:asciiTheme="majorHAnsi" w:hAnsiTheme="majorHAnsi"/>
          <w:b/>
          <w:szCs w:val="22"/>
          <w:u w:val="single"/>
        </w:rPr>
        <w:t>subsidized US solar</w:t>
      </w:r>
      <w:r w:rsidRPr="0078573E">
        <w:rPr>
          <w:rFonts w:asciiTheme="majorHAnsi" w:hAnsiTheme="majorHAnsi"/>
          <w:szCs w:val="22"/>
        </w:rPr>
        <w:t xml:space="preserve"> manufacturing </w:t>
      </w:r>
      <w:r w:rsidRPr="0078573E">
        <w:rPr>
          <w:rFonts w:asciiTheme="majorHAnsi" w:hAnsiTheme="majorHAnsi"/>
          <w:b/>
          <w:szCs w:val="22"/>
          <w:u w:val="single"/>
        </w:rPr>
        <w:t>industry</w:t>
      </w:r>
      <w:r w:rsidRPr="0078573E">
        <w:rPr>
          <w:rFonts w:asciiTheme="majorHAnsi" w:hAnsiTheme="majorHAnsi"/>
          <w:szCs w:val="22"/>
        </w:rPr>
        <w:t>.</w:t>
      </w:r>
      <w:r>
        <w:rPr>
          <w:rFonts w:asciiTheme="majorHAnsi" w:hAnsiTheme="majorHAnsi"/>
          <w:szCs w:val="22"/>
        </w:rPr>
        <w:t xml:space="preserve"> </w:t>
      </w:r>
      <w:r w:rsidRPr="0078573E">
        <w:rPr>
          <w:rFonts w:asciiTheme="majorHAnsi" w:hAnsiTheme="majorHAnsi"/>
          <w:szCs w:val="22"/>
        </w:rPr>
        <w:t>And the interesting thing here is that the more solar that is put in, the faster prices drop. </w:t>
      </w:r>
      <w:hyperlink r:id="rId13" w:history="1">
        <w:r w:rsidRPr="0078573E">
          <w:rPr>
            <w:rFonts w:asciiTheme="majorHAnsi" w:hAnsiTheme="majorHAnsi"/>
            <w:szCs w:val="22"/>
            <w:bdr w:val="none" w:sz="0" w:space="0" w:color="auto" w:frame="1"/>
          </w:rPr>
          <w:t>Citibank estimates</w:t>
        </w:r>
      </w:hyperlink>
      <w:r w:rsidRPr="0078573E">
        <w:rPr>
          <w:rFonts w:asciiTheme="majorHAnsi" w:hAnsiTheme="majorHAnsi"/>
          <w:szCs w:val="22"/>
        </w:rPr>
        <w:t> that the price of an average solar panel falls by 30% whenever installed solar capacity doubles in a given area. As such, by 2020, they believe solar will be ‘cutting it’ (successfully competing with fossil fuels on an unsubsidized basis) in most parts of the world, if it hasn’t done so already.</w:t>
      </w:r>
      <w:r>
        <w:rPr>
          <w:rFonts w:asciiTheme="majorHAnsi" w:hAnsiTheme="majorHAnsi"/>
          <w:szCs w:val="22"/>
        </w:rPr>
        <w:t xml:space="preserve"> </w:t>
      </w:r>
      <w:r w:rsidRPr="0078573E">
        <w:rPr>
          <w:rFonts w:asciiTheme="majorHAnsi" w:hAnsiTheme="majorHAnsi"/>
          <w:szCs w:val="22"/>
        </w:rPr>
        <w:t>Global spot prices for solar modules, which are the large panels used in power generation, dropped to an all-time low in the second quarter of the year at </w:t>
      </w:r>
      <w:hyperlink r:id="rId14" w:history="1">
        <w:r w:rsidRPr="0078573E">
          <w:rPr>
            <w:rFonts w:asciiTheme="majorHAnsi" w:hAnsiTheme="majorHAnsi"/>
            <w:szCs w:val="22"/>
            <w:bdr w:val="none" w:sz="0" w:space="0" w:color="auto" w:frame="1"/>
          </w:rPr>
          <w:t>around 63 cents per watt, according to research from GreenTech Media</w:t>
        </w:r>
      </w:hyperlink>
      <w:r w:rsidRPr="0078573E">
        <w:rPr>
          <w:rFonts w:asciiTheme="majorHAnsi" w:hAnsiTheme="majorHAnsi"/>
          <w:szCs w:val="22"/>
        </w:rPr>
        <w:t xml:space="preserve">. </w:t>
      </w:r>
      <w:r w:rsidRPr="0078573E">
        <w:rPr>
          <w:rFonts w:asciiTheme="majorHAnsi" w:hAnsiTheme="majorHAnsi"/>
          <w:b/>
          <w:szCs w:val="22"/>
          <w:u w:val="single"/>
        </w:rPr>
        <w:t>The drop in the price of PV polysilicon</w:t>
      </w:r>
      <w:r w:rsidRPr="0078573E">
        <w:rPr>
          <w:rFonts w:asciiTheme="majorHAnsi" w:hAnsiTheme="majorHAnsi"/>
          <w:szCs w:val="22"/>
        </w:rPr>
        <w:t xml:space="preserve">, which represents the first step in creating solar panels, </w:t>
      </w:r>
      <w:r w:rsidRPr="0078573E">
        <w:rPr>
          <w:rFonts w:asciiTheme="majorHAnsi" w:hAnsiTheme="majorHAnsi"/>
          <w:b/>
          <w:szCs w:val="22"/>
          <w:u w:val="single"/>
        </w:rPr>
        <w:t>is a big factor</w:t>
      </w:r>
      <w:r w:rsidRPr="0078573E">
        <w:rPr>
          <w:rFonts w:asciiTheme="majorHAnsi" w:hAnsiTheme="majorHAnsi"/>
          <w:szCs w:val="22"/>
        </w:rPr>
        <w:t xml:space="preserve"> here. </w:t>
      </w:r>
      <w:r w:rsidRPr="0078573E">
        <w:rPr>
          <w:rFonts w:asciiTheme="majorHAnsi" w:hAnsiTheme="majorHAnsi"/>
          <w:b/>
          <w:szCs w:val="22"/>
          <w:u w:val="single"/>
        </w:rPr>
        <w:t>The rapid proliferation of third-generation solar technolog</w:t>
      </w:r>
      <w:r w:rsidRPr="0078573E">
        <w:rPr>
          <w:rFonts w:asciiTheme="majorHAnsi" w:hAnsiTheme="majorHAnsi"/>
          <w:szCs w:val="22"/>
        </w:rPr>
        <w:t xml:space="preserve">y utilizing fluidized bed reactor (FBR) technology is a major upgrade to the second-generation Siemens process and has increased manufacturing efficiency. The FBR process </w:t>
      </w:r>
      <w:r w:rsidRPr="0078573E">
        <w:rPr>
          <w:rFonts w:asciiTheme="majorHAnsi" w:hAnsiTheme="majorHAnsi"/>
          <w:b/>
          <w:szCs w:val="22"/>
          <w:u w:val="single"/>
        </w:rPr>
        <w:t>wastes fewer resources and takes a tenth of the energy to produce polysilicon</w:t>
      </w:r>
      <w:r w:rsidRPr="0078573E">
        <w:rPr>
          <w:rFonts w:asciiTheme="majorHAnsi" w:hAnsiTheme="majorHAnsi"/>
          <w:szCs w:val="22"/>
        </w:rPr>
        <w:t xml:space="preserve"> than that of second-generation techniques. As such, this shortens the fill time in the manufacturing of polysilicon, </w:t>
      </w:r>
      <w:r w:rsidRPr="0078573E">
        <w:rPr>
          <w:rFonts w:asciiTheme="majorHAnsi" w:hAnsiTheme="majorHAnsi"/>
          <w:b/>
          <w:szCs w:val="22"/>
          <w:u w:val="single"/>
        </w:rPr>
        <w:t>allowing</w:t>
      </w:r>
      <w:r w:rsidRPr="0078573E">
        <w:rPr>
          <w:rFonts w:asciiTheme="majorHAnsi" w:hAnsiTheme="majorHAnsi"/>
          <w:szCs w:val="22"/>
        </w:rPr>
        <w:t xml:space="preserve"> producers to pump out solar </w:t>
      </w:r>
      <w:r w:rsidRPr="0078573E">
        <w:rPr>
          <w:rFonts w:asciiTheme="majorHAnsi" w:hAnsiTheme="majorHAnsi"/>
          <w:b/>
          <w:szCs w:val="22"/>
          <w:u w:val="single"/>
        </w:rPr>
        <w:t>panels</w:t>
      </w:r>
      <w:r w:rsidRPr="0078573E">
        <w:rPr>
          <w:rFonts w:asciiTheme="majorHAnsi" w:hAnsiTheme="majorHAnsi"/>
          <w:szCs w:val="22"/>
        </w:rPr>
        <w:t xml:space="preserve"> </w:t>
      </w:r>
      <w:r w:rsidRPr="0078573E">
        <w:rPr>
          <w:rFonts w:asciiTheme="majorHAnsi" w:hAnsiTheme="majorHAnsi"/>
          <w:b/>
          <w:szCs w:val="22"/>
          <w:u w:val="single"/>
        </w:rPr>
        <w:t>cheaper</w:t>
      </w:r>
      <w:r w:rsidRPr="0078573E">
        <w:rPr>
          <w:rFonts w:asciiTheme="majorHAnsi" w:hAnsiTheme="majorHAnsi"/>
          <w:szCs w:val="22"/>
        </w:rPr>
        <w:t xml:space="preserve"> and at a faster clip.</w:t>
      </w:r>
    </w:p>
    <w:p w:rsidR="007C776D" w:rsidRDefault="007C776D" w:rsidP="007C776D">
      <w:pPr>
        <w:pStyle w:val="Heading3"/>
      </w:pPr>
      <w:r>
        <w:lastRenderedPageBreak/>
        <w:t>Solar Fails</w:t>
      </w:r>
    </w:p>
    <w:p w:rsidR="007C776D" w:rsidRPr="00182432" w:rsidRDefault="007C776D" w:rsidP="007C776D"/>
    <w:p w:rsidR="007C776D" w:rsidRDefault="007C776D" w:rsidP="007C776D">
      <w:pPr>
        <w:pStyle w:val="Heading4"/>
      </w:pPr>
      <w:r>
        <w:t xml:space="preserve">Proliferating solar energy is too expensive and inefficient </w:t>
      </w:r>
    </w:p>
    <w:p w:rsidR="007C776D" w:rsidRPr="00305B38" w:rsidRDefault="007C776D" w:rsidP="007C776D">
      <w:pPr>
        <w:rPr>
          <w:rFonts w:asciiTheme="majorHAnsi" w:eastAsia="Times New Roman" w:hAnsiTheme="majorHAnsi"/>
          <w:sz w:val="18"/>
          <w:szCs w:val="18"/>
        </w:rPr>
      </w:pPr>
      <w:r>
        <w:rPr>
          <w:rStyle w:val="Style13ptBold"/>
        </w:rPr>
        <w:t>Lomborg 16 [</w:t>
      </w:r>
      <w:hyperlink r:id="rId15" w:history="1">
        <w:r w:rsidRPr="00305B38">
          <w:rPr>
            <w:rStyle w:val="Style13ptBold"/>
            <w:sz w:val="18"/>
            <w:szCs w:val="18"/>
          </w:rPr>
          <w:t>Bjørn Lomborg</w:t>
        </w:r>
      </w:hyperlink>
      <w:r w:rsidRPr="00305B38">
        <w:rPr>
          <w:rStyle w:val="Style13ptBold"/>
          <w:sz w:val="18"/>
          <w:szCs w:val="18"/>
        </w:rPr>
        <w:t xml:space="preserve"> </w:t>
      </w:r>
      <w:r w:rsidRPr="00305B38">
        <w:rPr>
          <w:rFonts w:cs="Arial"/>
          <w:sz w:val="18"/>
          <w:szCs w:val="18"/>
        </w:rPr>
        <w:t>President, Copenhagen Consensus Center The Huffington Post</w:t>
      </w:r>
      <w:r>
        <w:rPr>
          <w:rFonts w:cs="Arial"/>
          <w:sz w:val="18"/>
          <w:szCs w:val="18"/>
        </w:rPr>
        <w:t xml:space="preserve"> </w:t>
      </w:r>
      <w:r w:rsidRPr="00305B38">
        <w:rPr>
          <w:rFonts w:asciiTheme="majorHAnsi" w:eastAsia="Times New Roman" w:hAnsiTheme="majorHAnsi" w:cs="Arial"/>
          <w:color w:val="222222"/>
          <w:sz w:val="18"/>
          <w:szCs w:val="18"/>
          <w:shd w:val="clear" w:color="auto" w:fill="FFFFFF"/>
        </w:rPr>
        <w:t>Bjørn Lomborg is a Danish author and adjunct professor at the Copenhagen Business School as well as President of the Copenhagen Consensus Center. He is former director of the Danish government's Environmental Assessment Institute in Copenhagen.</w:t>
      </w:r>
      <w:r>
        <w:rPr>
          <w:rFonts w:asciiTheme="majorHAnsi" w:eastAsia="Times New Roman" w:hAnsiTheme="majorHAnsi" w:cs="Arial"/>
          <w:color w:val="222222"/>
          <w:sz w:val="18"/>
          <w:szCs w:val="18"/>
          <w:shd w:val="clear" w:color="auto" w:fill="FFFFFF"/>
        </w:rPr>
        <w:t xml:space="preserve"> </w:t>
      </w:r>
      <w:r w:rsidRPr="00305B38">
        <w:rPr>
          <w:rFonts w:cs="Arial"/>
          <w:sz w:val="18"/>
          <w:szCs w:val="18"/>
        </w:rPr>
        <w:t>http://www.huffingtonpost.com/author/bjorn-lomborg</w:t>
      </w:r>
      <w:r>
        <w:rPr>
          <w:rFonts w:cs="Arial"/>
          <w:sz w:val="18"/>
          <w:szCs w:val="18"/>
        </w:rPr>
        <w:t>]</w:t>
      </w:r>
    </w:p>
    <w:p w:rsidR="007C776D" w:rsidRDefault="007C776D" w:rsidP="007C776D">
      <w:pPr>
        <w:spacing w:after="300" w:line="240" w:lineRule="auto"/>
        <w:rPr>
          <w:szCs w:val="22"/>
        </w:rPr>
      </w:pPr>
      <w:r w:rsidRPr="00305B38">
        <w:rPr>
          <w:szCs w:val="22"/>
        </w:rPr>
        <w:t>We constantly hear how solar and wind energy is already cheaper than fossil fuels. A few months ago, Bloomberg Business </w:t>
      </w:r>
      <w:r w:rsidRPr="00305B38">
        <w:rPr>
          <w:szCs w:val="22"/>
        </w:rPr>
        <w:fldChar w:fldCharType="begin"/>
      </w:r>
      <w:r w:rsidRPr="00305B38">
        <w:rPr>
          <w:szCs w:val="22"/>
        </w:rPr>
        <w:instrText xml:space="preserve"> HYPERLINK "http://www.bloomberg.com/news/articles/2015-10-06/solar-wind-reach-a-big-renewables-turning-point-bnef" \t "_hplink" </w:instrText>
      </w:r>
      <w:r w:rsidRPr="00305B38">
        <w:rPr>
          <w:szCs w:val="22"/>
        </w:rPr>
      </w:r>
      <w:r w:rsidRPr="00305B38">
        <w:rPr>
          <w:szCs w:val="22"/>
        </w:rPr>
        <w:fldChar w:fldCharType="separate"/>
      </w:r>
      <w:proofErr w:type="gramStart"/>
      <w:r w:rsidRPr="00305B38">
        <w:rPr>
          <w:szCs w:val="22"/>
        </w:rPr>
        <w:t>declared that</w:t>
      </w:r>
      <w:proofErr w:type="gramEnd"/>
      <w:r w:rsidRPr="00305B38">
        <w:rPr>
          <w:szCs w:val="22"/>
        </w:rPr>
        <w:fldChar w:fldCharType="end"/>
      </w:r>
      <w:r w:rsidRPr="00305B38">
        <w:rPr>
          <w:szCs w:val="22"/>
        </w:rPr>
        <w:t xml:space="preserve"> “wind power is now the cheapest electricity to produce in both Germany and the U.K., even without government subsidies.” If renewable energy is cheaper than dirty fossil fuels, </w:t>
      </w:r>
      <w:r w:rsidRPr="00305B38">
        <w:rPr>
          <w:b/>
          <w:szCs w:val="22"/>
          <w:u w:val="single"/>
        </w:rPr>
        <w:t>why isn’t everyone adopting them</w:t>
      </w:r>
      <w:r w:rsidRPr="00305B38">
        <w:rPr>
          <w:szCs w:val="22"/>
        </w:rPr>
        <w:t xml:space="preserve">? Are we so irrationally addicted to polluting energy sources that we won’t even embrace cheaper and cleaner alternatives? Well, as you might have guessed, </w:t>
      </w:r>
      <w:r w:rsidRPr="00305B38">
        <w:rPr>
          <w:b/>
          <w:szCs w:val="22"/>
          <w:u w:val="single"/>
        </w:rPr>
        <w:t>it turns out that wind and solar energy isn’t cheaper than fossil fuels in the real world</w:t>
      </w:r>
      <w:r w:rsidRPr="00305B38">
        <w:rPr>
          <w:szCs w:val="22"/>
        </w:rPr>
        <w:t xml:space="preserve">. </w:t>
      </w:r>
      <w:proofErr w:type="gramStart"/>
      <w:r w:rsidRPr="00305B38">
        <w:rPr>
          <w:szCs w:val="22"/>
        </w:rPr>
        <w:t>Quite the opposite.</w:t>
      </w:r>
      <w:proofErr w:type="gramEnd"/>
      <w:r w:rsidRPr="00305B38">
        <w:rPr>
          <w:szCs w:val="22"/>
        </w:rPr>
        <w:t xml:space="preserve"> A </w:t>
      </w:r>
      <w:r w:rsidRPr="00305B38">
        <w:rPr>
          <w:szCs w:val="22"/>
        </w:rPr>
        <w:fldChar w:fldCharType="begin"/>
      </w:r>
      <w:r w:rsidRPr="00305B38">
        <w:rPr>
          <w:szCs w:val="22"/>
        </w:rPr>
        <w:instrText xml:space="preserve"> HYPERLINK "http://www.independent.co.uk/news/uk/home-news/britains-renewable-energy-industry-is-about-to-fall-off-a-cliff-says-new-research-a6818186.html" \t "_hplink" </w:instrText>
      </w:r>
      <w:r w:rsidRPr="00305B38">
        <w:rPr>
          <w:szCs w:val="22"/>
        </w:rPr>
      </w:r>
      <w:r w:rsidRPr="00305B38">
        <w:rPr>
          <w:szCs w:val="22"/>
        </w:rPr>
        <w:fldChar w:fldCharType="separate"/>
      </w:r>
      <w:r w:rsidRPr="00305B38">
        <w:rPr>
          <w:szCs w:val="22"/>
        </w:rPr>
        <w:t>new report</w:t>
      </w:r>
      <w:r w:rsidRPr="00305B38">
        <w:rPr>
          <w:szCs w:val="22"/>
        </w:rPr>
        <w:fldChar w:fldCharType="end"/>
      </w:r>
      <w:r w:rsidRPr="00305B38">
        <w:rPr>
          <w:szCs w:val="22"/>
        </w:rPr>
        <w:t xml:space="preserve"> from the same Bloomberg now warns that if subsidies are phased out by 2020 in the U.K, the renewable industry will dry up and drop off a cliff. But if </w:t>
      </w:r>
      <w:proofErr w:type="gramStart"/>
      <w:r w:rsidRPr="00305B38">
        <w:rPr>
          <w:szCs w:val="22"/>
        </w:rPr>
        <w:t>they’re</w:t>
      </w:r>
      <w:proofErr w:type="gramEnd"/>
      <w:r w:rsidRPr="00305B38">
        <w:rPr>
          <w:szCs w:val="22"/>
        </w:rPr>
        <w:t xml:space="preserve"> already cheaper now, why on earth would it matter if we stop paying even more for wind after 2020? With formidable doublespeak, Greenpeace tries to square this circle by saying that renewables are both competitive and need subsidies for many years after 2020: “Wind and solar energy are at the point of becoming really competitive with fossil fuels, but failure to support them for another few years will result in huge losses of potential jobs.” That is a claim we’ve heard many times since the 1970s - just a few more years of subsidies, and we’ll be off. In 1976 </w:t>
      </w:r>
      <w:r w:rsidRPr="00305B38">
        <w:rPr>
          <w:szCs w:val="22"/>
        </w:rPr>
        <w:fldChar w:fldCharType="begin"/>
      </w:r>
      <w:r w:rsidRPr="00305B38">
        <w:rPr>
          <w:szCs w:val="22"/>
        </w:rPr>
        <w:instrText xml:space="preserve"> HYPERLINK "https://www.foreignaffairs.com/articles/united-states/1976-10-01/energy-strategy-road-not-taken" \t "_hplink" </w:instrText>
      </w:r>
      <w:r w:rsidRPr="00305B38">
        <w:rPr>
          <w:szCs w:val="22"/>
        </w:rPr>
      </w:r>
      <w:r w:rsidRPr="00305B38">
        <w:rPr>
          <w:szCs w:val="22"/>
        </w:rPr>
        <w:fldChar w:fldCharType="separate"/>
      </w:r>
      <w:r w:rsidRPr="00305B38">
        <w:rPr>
          <w:szCs w:val="22"/>
        </w:rPr>
        <w:t>Lovins told us</w:t>
      </w:r>
      <w:r w:rsidRPr="00305B38">
        <w:rPr>
          <w:szCs w:val="22"/>
        </w:rPr>
        <w:fldChar w:fldCharType="end"/>
      </w:r>
      <w:proofErr w:type="gramStart"/>
      <w:r w:rsidRPr="00305B38">
        <w:rPr>
          <w:szCs w:val="22"/>
        </w:rPr>
        <w:t> that</w:t>
      </w:r>
      <w:proofErr w:type="gramEnd"/>
      <w:r w:rsidRPr="00305B38">
        <w:rPr>
          <w:szCs w:val="22"/>
        </w:rPr>
        <w:t xml:space="preserve"> “a largely or wholly solar economy can be constructed in the United States with straightforward soft technologies that are now demonstrated and now economic or nearly economic.” And it still isn’t. Truth is</w:t>
      </w:r>
      <w:proofErr w:type="gramStart"/>
      <w:r w:rsidRPr="00305B38">
        <w:rPr>
          <w:szCs w:val="22"/>
        </w:rPr>
        <w:t>,</w:t>
      </w:r>
      <w:proofErr w:type="gramEnd"/>
      <w:r w:rsidRPr="00305B38">
        <w:rPr>
          <w:szCs w:val="22"/>
        </w:rPr>
        <w:t xml:space="preserve"> wind and </w:t>
      </w:r>
      <w:r w:rsidRPr="00305B38">
        <w:rPr>
          <w:b/>
          <w:szCs w:val="22"/>
          <w:u w:val="single"/>
        </w:rPr>
        <w:t>solar PV will be trivial contributions to global energ</w:t>
      </w:r>
      <w:r w:rsidRPr="00305B38">
        <w:rPr>
          <w:szCs w:val="22"/>
        </w:rPr>
        <w:t xml:space="preserve">y for the next quarter century. The International Energy Agency estimates that today just about 0.5 per cent of global energy comes from solar and wind (see graphic below). Even in </w:t>
      </w:r>
      <w:r w:rsidRPr="00305B38">
        <w:rPr>
          <w:b/>
          <w:szCs w:val="22"/>
          <w:u w:val="single"/>
        </w:rPr>
        <w:t>2040</w:t>
      </w:r>
      <w:r w:rsidRPr="00305B38">
        <w:rPr>
          <w:szCs w:val="22"/>
        </w:rPr>
        <w:t xml:space="preserve">, even </w:t>
      </w:r>
      <w:r w:rsidRPr="00305B38">
        <w:rPr>
          <w:b/>
          <w:szCs w:val="22"/>
          <w:u w:val="single"/>
        </w:rPr>
        <w:t>if everyone does everything they’ve promised at the </w:t>
      </w:r>
      <w:r w:rsidRPr="00305B38">
        <w:rPr>
          <w:b/>
          <w:szCs w:val="22"/>
          <w:u w:val="single"/>
        </w:rPr>
        <w:fldChar w:fldCharType="begin"/>
      </w:r>
      <w:r w:rsidRPr="00305B38">
        <w:rPr>
          <w:b/>
          <w:szCs w:val="22"/>
          <w:u w:val="single"/>
        </w:rPr>
        <w:instrText xml:space="preserve"> HYPERLINK "https://www.linkedin.com/pulse/we-have-treaty-what-cost-bjorn-lomborg" \t "_hplink" </w:instrText>
      </w:r>
      <w:r w:rsidRPr="00305B38">
        <w:rPr>
          <w:b/>
          <w:szCs w:val="22"/>
          <w:u w:val="single"/>
        </w:rPr>
      </w:r>
      <w:r w:rsidRPr="00305B38">
        <w:rPr>
          <w:b/>
          <w:szCs w:val="22"/>
          <w:u w:val="single"/>
        </w:rPr>
        <w:fldChar w:fldCharType="separate"/>
      </w:r>
      <w:r w:rsidRPr="00305B38">
        <w:rPr>
          <w:b/>
          <w:szCs w:val="22"/>
          <w:u w:val="single"/>
        </w:rPr>
        <w:t>Paris climate summit</w:t>
      </w:r>
      <w:r w:rsidRPr="00305B38">
        <w:rPr>
          <w:b/>
          <w:szCs w:val="22"/>
          <w:u w:val="single"/>
        </w:rPr>
        <w:fldChar w:fldCharType="end"/>
      </w:r>
      <w:r w:rsidRPr="00305B38">
        <w:rPr>
          <w:b/>
          <w:szCs w:val="22"/>
          <w:u w:val="single"/>
        </w:rPr>
        <w:t>, the world will get just 2.4% of its energy from solar</w:t>
      </w:r>
      <w:r w:rsidRPr="00305B38">
        <w:rPr>
          <w:szCs w:val="22"/>
        </w:rPr>
        <w:t xml:space="preserve"> </w:t>
      </w:r>
      <w:r w:rsidRPr="00305B38">
        <w:rPr>
          <w:b/>
          <w:szCs w:val="22"/>
          <w:u w:val="single"/>
        </w:rPr>
        <w:t>and wind. Still, </w:t>
      </w:r>
      <w:r w:rsidRPr="00305B38">
        <w:rPr>
          <w:b/>
          <w:szCs w:val="22"/>
          <w:u w:val="single"/>
        </w:rPr>
        <w:fldChar w:fldCharType="begin"/>
      </w:r>
      <w:r w:rsidRPr="00305B38">
        <w:rPr>
          <w:b/>
          <w:szCs w:val="22"/>
          <w:u w:val="single"/>
        </w:rPr>
        <w:instrText xml:space="preserve"> HYPERLINK "https://twitter.com/bjornlomborg/status/664185198515482624" \t "_hplink" </w:instrText>
      </w:r>
      <w:r w:rsidRPr="00305B38">
        <w:rPr>
          <w:b/>
          <w:szCs w:val="22"/>
          <w:u w:val="single"/>
        </w:rPr>
      </w:r>
      <w:r w:rsidRPr="00305B38">
        <w:rPr>
          <w:b/>
          <w:szCs w:val="22"/>
          <w:u w:val="single"/>
        </w:rPr>
        <w:fldChar w:fldCharType="separate"/>
      </w:r>
      <w:r w:rsidRPr="00305B38">
        <w:rPr>
          <w:b/>
          <w:szCs w:val="22"/>
          <w:u w:val="single"/>
        </w:rPr>
        <w:t>it will cost a fortune</w:t>
      </w:r>
      <w:r w:rsidRPr="00305B38">
        <w:rPr>
          <w:b/>
          <w:szCs w:val="22"/>
          <w:u w:val="single"/>
        </w:rPr>
        <w:fldChar w:fldCharType="end"/>
      </w:r>
      <w:r w:rsidRPr="00305B38">
        <w:rPr>
          <w:szCs w:val="22"/>
        </w:rPr>
        <w:t xml:space="preserve">. This year the world will spend about $106 billion on subsidies for solar and wind, and even by 2040 it will not be cheaper than fossil fuels - we will still have to pay $84 billion in subsidies annually. </w:t>
      </w:r>
    </w:p>
    <w:p w:rsidR="007C776D" w:rsidRDefault="007C776D" w:rsidP="007C776D">
      <w:pPr>
        <w:pStyle w:val="Heading3"/>
      </w:pPr>
      <w:r>
        <w:lastRenderedPageBreak/>
        <w:t>Solar Can’t Compete</w:t>
      </w:r>
    </w:p>
    <w:p w:rsidR="007C776D" w:rsidRPr="00182432" w:rsidRDefault="007C776D" w:rsidP="007C776D"/>
    <w:p w:rsidR="007C776D" w:rsidRDefault="007C776D" w:rsidP="007C776D">
      <w:pPr>
        <w:pStyle w:val="Heading4"/>
      </w:pPr>
      <w:r>
        <w:t>Developing countries are subsidizing fossil fuels and artificially driving costs down- nothing a BIT treaty can do to stop this (Neg)</w:t>
      </w:r>
    </w:p>
    <w:p w:rsidR="007C776D" w:rsidRPr="00766D36" w:rsidRDefault="007C776D" w:rsidP="007C776D">
      <w:pPr>
        <w:rPr>
          <w:rFonts w:ascii="Times" w:eastAsia="Times New Roman" w:hAnsi="Times"/>
          <w:szCs w:val="20"/>
        </w:rPr>
      </w:pPr>
      <w:r>
        <w:rPr>
          <w:rStyle w:val="Style13ptBold"/>
        </w:rPr>
        <w:t xml:space="preserve">Institute for Energy Research 14 </w:t>
      </w:r>
      <w:r w:rsidRPr="00766D36">
        <w:rPr>
          <w:rFonts w:eastAsia="Times New Roman" w:cs="Arial"/>
          <w:szCs w:val="20"/>
          <w:shd w:val="clear" w:color="auto" w:fill="FFFFFF"/>
        </w:rPr>
        <w:t>The Institute for Energy Research, is a Washington, D.C.-based non-profit organization that conducts research and analysis on the functions, operations, and government regulation of global energy markets http://instituteforenergyresearch.org/analysis/developing-countries-subsidize-fossil-fuel-use-artificially-lower-prices-2/</w:t>
      </w:r>
    </w:p>
    <w:p w:rsidR="007C776D" w:rsidRPr="00766D36" w:rsidRDefault="007C776D" w:rsidP="007C776D">
      <w:pPr>
        <w:shd w:val="clear" w:color="auto" w:fill="F2F5FA"/>
        <w:spacing w:before="100" w:beforeAutospacing="1" w:after="100" w:afterAutospacing="1" w:line="240" w:lineRule="auto"/>
        <w:rPr>
          <w:szCs w:val="22"/>
        </w:rPr>
      </w:pPr>
      <w:r w:rsidRPr="00766D36">
        <w:rPr>
          <w:szCs w:val="22"/>
        </w:rPr>
        <w:t xml:space="preserve">The International Energy Agency (IEA) annually estimates global </w:t>
      </w:r>
      <w:r w:rsidRPr="00766D36">
        <w:rPr>
          <w:b/>
          <w:szCs w:val="22"/>
          <w:u w:val="single"/>
        </w:rPr>
        <w:t>fossil-fuel consumption subsidies</w:t>
      </w:r>
      <w:r w:rsidRPr="00766D36">
        <w:rPr>
          <w:szCs w:val="22"/>
        </w:rPr>
        <w:t xml:space="preserve"> </w:t>
      </w:r>
      <w:r w:rsidRPr="00766D36">
        <w:rPr>
          <w:b/>
          <w:szCs w:val="22"/>
          <w:u w:val="single"/>
        </w:rPr>
        <w:t>that</w:t>
      </w:r>
      <w:r w:rsidRPr="00766D36">
        <w:rPr>
          <w:szCs w:val="22"/>
        </w:rPr>
        <w:t xml:space="preserve"> measure what many </w:t>
      </w:r>
      <w:r w:rsidRPr="00766D36">
        <w:rPr>
          <w:b/>
          <w:szCs w:val="22"/>
          <w:u w:val="single"/>
        </w:rPr>
        <w:t>developing countries spend</w:t>
      </w:r>
      <w:r w:rsidRPr="00766D36">
        <w:rPr>
          <w:szCs w:val="22"/>
        </w:rPr>
        <w:t xml:space="preserve"> to </w:t>
      </w:r>
      <w:r w:rsidRPr="00766D36">
        <w:rPr>
          <w:b/>
          <w:szCs w:val="22"/>
          <w:u w:val="single"/>
        </w:rPr>
        <w:t>provide below-market cost fuel</w:t>
      </w:r>
      <w:r w:rsidRPr="00766D36">
        <w:rPr>
          <w:szCs w:val="22"/>
        </w:rPr>
        <w:t xml:space="preserve"> to their citizens. In 2013, IEA found that fossil fuel consumption subsidies totaled </w:t>
      </w:r>
      <w:hyperlink r:id="rId16" w:history="1">
        <w:r w:rsidRPr="00766D36">
          <w:rPr>
            <w:szCs w:val="22"/>
          </w:rPr>
          <w:t>$548 billion</w:t>
        </w:r>
      </w:hyperlink>
      <w:r w:rsidRPr="00766D36">
        <w:rPr>
          <w:szCs w:val="22"/>
        </w:rPr>
        <w:t>, 4 percent lower ($25 billion less) than in 2012.</w:t>
      </w:r>
      <w:bookmarkStart w:id="1" w:name="_ftnref1"/>
      <w:r w:rsidRPr="00766D36">
        <w:rPr>
          <w:szCs w:val="22"/>
        </w:rPr>
        <w:fldChar w:fldCharType="begin"/>
      </w:r>
      <w:r w:rsidRPr="00766D36">
        <w:rPr>
          <w:szCs w:val="22"/>
        </w:rPr>
        <w:instrText xml:space="preserve"> HYPERLINK "http://instituteforenergyresearch.org/analysis/developing-countries-subsidize-fossil-fuel-use-artificially-lower-prices-2/" \l "_ftn1" </w:instrText>
      </w:r>
      <w:r w:rsidRPr="00766D36">
        <w:rPr>
          <w:szCs w:val="22"/>
        </w:rPr>
      </w:r>
      <w:r w:rsidRPr="00766D36">
        <w:rPr>
          <w:szCs w:val="22"/>
        </w:rPr>
        <w:fldChar w:fldCharType="separate"/>
      </w:r>
      <w:r w:rsidRPr="00766D36">
        <w:rPr>
          <w:szCs w:val="22"/>
        </w:rPr>
        <w:t>[1]</w:t>
      </w:r>
      <w:r w:rsidRPr="00766D36">
        <w:rPr>
          <w:szCs w:val="22"/>
        </w:rPr>
        <w:fldChar w:fldCharType="end"/>
      </w:r>
      <w:bookmarkEnd w:id="1"/>
      <w:r w:rsidRPr="00766D36">
        <w:rPr>
          <w:szCs w:val="22"/>
        </w:rPr>
        <w:fldChar w:fldCharType="begin"/>
      </w:r>
      <w:r w:rsidRPr="00766D36">
        <w:rPr>
          <w:szCs w:val="22"/>
        </w:rPr>
        <w:instrText xml:space="preserve"> HYPERLINK "http://instituteforenergyresearch.org/analysis/developing-countries-subsidize-fossil-fuel-use-artificially-lower-prices/" \l "_edn1" </w:instrText>
      </w:r>
      <w:r w:rsidRPr="00766D36">
        <w:rPr>
          <w:szCs w:val="22"/>
        </w:rPr>
      </w:r>
      <w:r w:rsidRPr="00766D36">
        <w:rPr>
          <w:szCs w:val="22"/>
        </w:rPr>
        <w:fldChar w:fldCharType="separate"/>
      </w:r>
      <w:r w:rsidRPr="00766D36">
        <w:rPr>
          <w:szCs w:val="22"/>
        </w:rPr>
        <w:t>[</w:t>
      </w:r>
      <w:proofErr w:type="gramStart"/>
      <w:r w:rsidRPr="00766D36">
        <w:rPr>
          <w:szCs w:val="22"/>
        </w:rPr>
        <w:t>i</w:t>
      </w:r>
      <w:proofErr w:type="gramEnd"/>
      <w:r w:rsidRPr="00766D36">
        <w:rPr>
          <w:szCs w:val="22"/>
        </w:rPr>
        <w:t>]</w:t>
      </w:r>
      <w:r w:rsidRPr="00766D36">
        <w:rPr>
          <w:szCs w:val="22"/>
        </w:rPr>
        <w:fldChar w:fldCharType="end"/>
      </w:r>
      <w:r w:rsidRPr="00766D36">
        <w:rPr>
          <w:szCs w:val="22"/>
        </w:rPr>
        <w:t xml:space="preserve"> According to IEA, this decrease is due to lower international energy prices. Oil </w:t>
      </w:r>
      <w:r w:rsidRPr="00766D36">
        <w:rPr>
          <w:b/>
          <w:szCs w:val="22"/>
          <w:u w:val="single"/>
        </w:rPr>
        <w:t>subsidies make up over half</w:t>
      </w:r>
      <w:r w:rsidRPr="00766D36">
        <w:rPr>
          <w:szCs w:val="22"/>
        </w:rPr>
        <w:t xml:space="preserve"> of the total </w:t>
      </w:r>
      <w:r w:rsidRPr="00766D36">
        <w:rPr>
          <w:b/>
          <w:szCs w:val="22"/>
          <w:u w:val="single"/>
        </w:rPr>
        <w:t>fossil fuel consumption</w:t>
      </w:r>
      <w:r w:rsidRPr="00766D36">
        <w:rPr>
          <w:szCs w:val="22"/>
        </w:rPr>
        <w:t xml:space="preserve"> subsidies, while electricity makes up 24 percent, natural gas 22 percent and coal less than 1 percent. According to the IEA, the United States does not have any consumption subsidies for oil, coal, or natural gas.</w:t>
      </w:r>
      <w:r>
        <w:rPr>
          <w:szCs w:val="22"/>
        </w:rPr>
        <w:t xml:space="preserve"> </w:t>
      </w:r>
      <w:r w:rsidRPr="00766D36">
        <w:rPr>
          <w:szCs w:val="22"/>
        </w:rPr>
        <w:t xml:space="preserve">The IEA is a creation of the Organization for Economic Cooperation and Development (OECD), which </w:t>
      </w:r>
      <w:proofErr w:type="gramStart"/>
      <w:r w:rsidRPr="00766D36">
        <w:rPr>
          <w:szCs w:val="22"/>
        </w:rPr>
        <w:t>represents</w:t>
      </w:r>
      <w:proofErr w:type="gramEnd"/>
      <w:r w:rsidRPr="00766D36">
        <w:rPr>
          <w:szCs w:val="22"/>
        </w:rPr>
        <w:t xml:space="preserve"> the </w:t>
      </w:r>
      <w:hyperlink r:id="rId17" w:history="1">
        <w:r w:rsidRPr="00766D36">
          <w:rPr>
            <w:szCs w:val="22"/>
          </w:rPr>
          <w:t>developed nations of the world</w:t>
        </w:r>
      </w:hyperlink>
      <w:r w:rsidRPr="00766D36">
        <w:rPr>
          <w:szCs w:val="22"/>
        </w:rPr>
        <w:t xml:space="preserve">. IEA’s subsidy study found that </w:t>
      </w:r>
      <w:r w:rsidRPr="00766D36">
        <w:rPr>
          <w:b/>
          <w:szCs w:val="22"/>
          <w:u w:val="single"/>
        </w:rPr>
        <w:t>many developing countries artificially lower energy prices to their citizens, paying the difference from their government resources</w:t>
      </w:r>
      <w:r w:rsidRPr="00766D36">
        <w:rPr>
          <w:szCs w:val="22"/>
        </w:rPr>
        <w:t>.</w:t>
      </w:r>
      <w:hyperlink r:id="rId18" w:anchor="_edn2" w:history="1">
        <w:r w:rsidRPr="00766D36">
          <w:rPr>
            <w:szCs w:val="22"/>
          </w:rPr>
          <w:t>[ii]</w:t>
        </w:r>
      </w:hyperlink>
      <w:r w:rsidRPr="00766D36">
        <w:rPr>
          <w:szCs w:val="22"/>
        </w:rPr>
        <w:t xml:space="preserve"> These wealth transfers are differentiable from subsidies that are intended to support uneconomic energy sources such as wind and solar technologies toward commercialization. In contrast, the United States and other developed countries offer support to energy production in the form of tax credits, loan guarantees or use mandates, which are not included in IEA’s fossil fuel consumption subsidy calculations since they are directed towards production rather than consumption of the fuel. According to the IEA, </w:t>
      </w:r>
      <w:r w:rsidRPr="00766D36">
        <w:rPr>
          <w:b/>
          <w:szCs w:val="22"/>
          <w:u w:val="single"/>
        </w:rPr>
        <w:t>global fossil fuel consumption subsidies are over 4 times higher</w:t>
      </w:r>
      <w:r w:rsidRPr="00766D36">
        <w:rPr>
          <w:szCs w:val="22"/>
        </w:rPr>
        <w:t xml:space="preserve"> than global renewable subsidies.</w:t>
      </w:r>
      <w:hyperlink r:id="rId19" w:anchor="_edn4" w:history="1">
        <w:r w:rsidRPr="00766D36">
          <w:rPr>
            <w:szCs w:val="22"/>
          </w:rPr>
          <w:t>[iii]</w:t>
        </w:r>
      </w:hyperlink>
      <w:proofErr w:type="gramStart"/>
      <w:r w:rsidRPr="00766D36">
        <w:rPr>
          <w:szCs w:val="22"/>
        </w:rPr>
        <w:t>  IEA’s</w:t>
      </w:r>
      <w:proofErr w:type="gramEnd"/>
      <w:r w:rsidRPr="00766D36">
        <w:rPr>
          <w:szCs w:val="22"/>
        </w:rPr>
        <w:t xml:space="preserve"> estimate for global renewable subsidies (biofuels and renewable electricity) in 2013 is </w:t>
      </w:r>
      <w:hyperlink r:id="rId20" w:history="1">
        <w:r w:rsidRPr="00766D36">
          <w:rPr>
            <w:szCs w:val="22"/>
          </w:rPr>
          <w:t>$120 billion</w:t>
        </w:r>
      </w:hyperlink>
      <w:r w:rsidRPr="00766D36">
        <w:rPr>
          <w:szCs w:val="22"/>
        </w:rPr>
        <w:t>, higher than the $100 billion they reached in 2012. In contrast to fossil fuel consumption subsidies, renewable fuel subsidies often take the form of tax credits for investment or production, or premiums over market prices to cover the higher production costs compared to traditional fuels.</w:t>
      </w:r>
    </w:p>
    <w:p w:rsidR="007C776D" w:rsidRPr="00386E12" w:rsidRDefault="007C776D" w:rsidP="007C776D">
      <w:pPr>
        <w:pStyle w:val="Heading2"/>
      </w:pPr>
      <w:r>
        <w:lastRenderedPageBreak/>
        <w:t>Ocean Acidification Ans</w:t>
      </w:r>
    </w:p>
    <w:p w:rsidR="007C776D" w:rsidRDefault="007C776D" w:rsidP="007C776D"/>
    <w:p w:rsidR="007C776D" w:rsidRDefault="007C776D" w:rsidP="007C776D">
      <w:pPr>
        <w:pStyle w:val="Heading3"/>
      </w:pPr>
      <w:r>
        <w:lastRenderedPageBreak/>
        <w:t>No Impact</w:t>
      </w:r>
    </w:p>
    <w:p w:rsidR="007C776D" w:rsidRDefault="007C776D" w:rsidP="007C776D"/>
    <w:p w:rsidR="007C776D" w:rsidRDefault="007C776D" w:rsidP="007C776D">
      <w:pPr>
        <w:pStyle w:val="Heading4"/>
      </w:pPr>
      <w:r>
        <w:t>Marine organisms can adapt and acclimate to ocean acidification and temperature rises – macroalgae resilience in a coral reef proves</w:t>
      </w:r>
    </w:p>
    <w:p w:rsidR="007C776D" w:rsidRDefault="007C776D" w:rsidP="007C776D">
      <w:r w:rsidRPr="000B600C">
        <w:rPr>
          <w:rStyle w:val="Style13ptBold"/>
        </w:rPr>
        <w:t>Scherner et al. 16</w:t>
      </w:r>
      <w:r>
        <w:t xml:space="preserve"> [Fernando (Federal Rural University of Pernambuco, Department of Biology), Cristiano Macedo Pereira (Institute Coral Vivo in Brazil), Gustavo Duarte (Institute Coral Vivo and Federal University of Rio de Janeiro), Paulo Antunes Horta (Institute Coral Vivo and Federal University of Santa Catarina), Clovis Barreira e Castro (Institute Coral Vivo and Federal University of Rio de Janeiro), Joseph Bonomi Barufi </w:t>
      </w:r>
      <w:proofErr w:type="gramStart"/>
      <w:r>
        <w:t>( Federal</w:t>
      </w:r>
      <w:proofErr w:type="gramEnd"/>
      <w:r>
        <w:t xml:space="preserve"> University of Santa Catarina), Sonia Maria Pereira Barreto, (Federal Rural University of Pernambuco Department of Biology), “Effects of Ocean Acidification and Temperature Increases on the Photosynthesis of Tropical Reef Calcified Macroalgae,” PLOS, 5/9/16, </w:t>
      </w:r>
      <w:hyperlink r:id="rId21" w:history="1">
        <w:r w:rsidRPr="00615ECC">
          <w:rPr>
            <w:rStyle w:val="Hyperlink"/>
          </w:rPr>
          <w:t>http://journals.plos.org/plosone/article?id=10.1371/journal.pone.0154844</w:t>
        </w:r>
      </w:hyperlink>
      <w:r>
        <w:t>, Accessed 6/29/16]//CZ</w:t>
      </w:r>
    </w:p>
    <w:p w:rsidR="007C776D" w:rsidRDefault="007C776D" w:rsidP="007C776D">
      <w:pPr>
        <w:rPr>
          <w:rStyle w:val="StyleUnderline"/>
        </w:rPr>
      </w:pPr>
      <w:r>
        <w:t xml:space="preserve">Climate change is a global phenomenon that is considered an important threat to marine ecosystems. </w:t>
      </w:r>
      <w:r w:rsidRPr="00877CC9">
        <w:t>Ocean acidification</w:t>
      </w:r>
      <w:r>
        <w:t xml:space="preserve"> and increased seawater temperatures are among the consequences of this phenomenon. The comprehension of </w:t>
      </w:r>
      <w:r w:rsidRPr="00877CC9">
        <w:rPr>
          <w:rStyle w:val="StyleUnderline"/>
        </w:rPr>
        <w:t>the effects of these alterations on marine organisms, in particular on calcified macroalgae, is still modest despite its great importance. There are evidences that macroalgae inhabiting highly variable environments are relatively resilient to such changes</w:t>
      </w:r>
      <w:r>
        <w:t xml:space="preserve">. Thus, </w:t>
      </w:r>
      <w:r w:rsidRPr="00877CC9">
        <w:rPr>
          <w:rStyle w:val="StyleUnderline"/>
        </w:rPr>
        <w:t xml:space="preserve">the aim of this study was to evaluate </w:t>
      </w:r>
      <w:r>
        <w:t xml:space="preserve">experimentally </w:t>
      </w:r>
      <w:r w:rsidRPr="00877CC9">
        <w:rPr>
          <w:rStyle w:val="StyleUnderline"/>
        </w:rPr>
        <w:t>the effects of CO2-driven ocean acidification and temperature rises on the photosynthesis of calcified macroalgae inhabiting</w:t>
      </w:r>
      <w:r>
        <w:t xml:space="preserve"> the intertidal region, a highly variable environment. The experiments were performed in </w:t>
      </w:r>
      <w:r w:rsidRPr="00877CC9">
        <w:rPr>
          <w:rStyle w:val="StyleUnderline"/>
        </w:rPr>
        <w:t>a reef mesocosm in a tropical region</w:t>
      </w:r>
      <w:r>
        <w:t xml:space="preserve"> on the Brazilian coast, </w:t>
      </w:r>
      <w:r w:rsidRPr="00877CC9">
        <w:rPr>
          <w:rStyle w:val="StyleUnderline"/>
        </w:rPr>
        <w:t>using three species of</w:t>
      </w:r>
      <w:r>
        <w:t xml:space="preserve"> frondose calcifying </w:t>
      </w:r>
      <w:r w:rsidRPr="00877CC9">
        <w:rPr>
          <w:rStyle w:val="StyleUnderline"/>
        </w:rPr>
        <w:t>macroalgae</w:t>
      </w:r>
      <w:r>
        <w:t xml:space="preserve"> (Halimeda cuneata, Padina gymnospora, and Tricleocarpa cylindrica) </w:t>
      </w:r>
      <w:r w:rsidRPr="00877CC9">
        <w:rPr>
          <w:rStyle w:val="StyleUnderline"/>
        </w:rPr>
        <w:t xml:space="preserve">and </w:t>
      </w:r>
      <w:r>
        <w:t xml:space="preserve">crustose </w:t>
      </w:r>
      <w:r w:rsidRPr="00877CC9">
        <w:rPr>
          <w:rStyle w:val="StyleUnderline"/>
        </w:rPr>
        <w:t>coralline algae. The acidification experiment consisted of three</w:t>
      </w:r>
      <w:r>
        <w:t xml:space="preserve"> treatments with </w:t>
      </w:r>
      <w:r w:rsidRPr="00877CC9">
        <w:rPr>
          <w:rStyle w:val="StyleUnderline"/>
        </w:rPr>
        <w:t>pH levels below those occurring in the region (-0.3, -0.6, -0.9). For the temperature experiment, three temperature levels above those occurring naturally in the region (+1, +2, +4°C) were determined.</w:t>
      </w:r>
      <w:r>
        <w:t xml:space="preserve"> The results of the acidification experiment indicate an increase on the optimum quantum yield by T. cylindrica and a decline of this parameter by coralline algae, although both only occurred at the extreme acidification treatment (-0.9). The energy dissipation mechanisms of these algae were also altered at this extreme condition. Significant effects of the temperature experiment were limited to an enhancement of the photosynthetic performance by H. cuneata although only at a modest temperature increase (+1°C). In general, </w:t>
      </w:r>
      <w:r w:rsidRPr="00877CC9">
        <w:rPr>
          <w:rStyle w:val="StyleUnderline"/>
        </w:rPr>
        <w:t>the results indicate a possible photosynthetic adaptation and/or acclimation of the studied macroalgae to the expected future ocean acidification and temperature rises</w:t>
      </w:r>
      <w:r>
        <w:t xml:space="preserve">, as separate factors. </w:t>
      </w:r>
      <w:r w:rsidRPr="00877CC9">
        <w:rPr>
          <w:rStyle w:val="StyleUnderline"/>
        </w:rPr>
        <w:t>Such relative resilience may be a result of the highly variable environment they inhabit.</w:t>
      </w:r>
    </w:p>
    <w:p w:rsidR="007C776D" w:rsidRPr="00AF0D1F" w:rsidRDefault="007C776D" w:rsidP="007C776D">
      <w:pPr>
        <w:pStyle w:val="Heading4"/>
        <w:rPr>
          <w:rStyle w:val="StyleUnderline"/>
          <w:sz w:val="26"/>
          <w:u w:val="none"/>
        </w:rPr>
      </w:pPr>
      <w:r w:rsidRPr="00AF0D1F">
        <w:rPr>
          <w:rStyle w:val="StyleUnderline"/>
          <w:sz w:val="26"/>
          <w:u w:val="none"/>
        </w:rPr>
        <w:t>Increasing ocean acidification causes positive responses from species due to genetic diversity– rise in photosynthetic efficiency in coccoliths proves</w:t>
      </w:r>
    </w:p>
    <w:p w:rsidR="007C776D" w:rsidRPr="0044371E" w:rsidRDefault="007C776D" w:rsidP="007C776D">
      <w:pPr>
        <w:rPr>
          <w:rStyle w:val="StyleUnderline"/>
          <w:u w:val="none"/>
        </w:rPr>
      </w:pPr>
      <w:r w:rsidRPr="00433F9A">
        <w:rPr>
          <w:rStyle w:val="Style13ptBold"/>
        </w:rPr>
        <w:t>CO2 Science 15</w:t>
      </w:r>
      <w:r>
        <w:rPr>
          <w:rStyle w:val="StyleUnderline"/>
          <w:u w:val="none"/>
        </w:rPr>
        <w:t xml:space="preserve"> [Non-profit public charity dedicated to discovering and disseminating scientific information pertaining to the effects of atmospheric CO2 enrichment on climate and the biosphere, run by Craig Idso (published many peer-reviewed books, co-editor of the Nongovernmental International Panel on Climate Change), Sherwood Idso (author or co-author of over 500 scientific publications, many on the effect of CO2 on the environment), Keith Idso (Ph.D. in Botany at Arizona State University), “Ocean Acidification (Effects on Marine Plants: Phytoplankton -- Coccolithophores) – </w:t>
      </w:r>
      <w:r>
        <w:rPr>
          <w:rStyle w:val="StyleUnderline"/>
          <w:u w:val="none"/>
        </w:rPr>
        <w:lastRenderedPageBreak/>
        <w:t xml:space="preserve">Summary,”  CO2 Science, 8/26/15, </w:t>
      </w:r>
      <w:hyperlink r:id="rId22" w:history="1">
        <w:r w:rsidRPr="00615ECC">
          <w:rPr>
            <w:rStyle w:val="Hyperlink"/>
          </w:rPr>
          <w:t>http://www.co2science.org/subject/o/summaries/acidificationcocco.php</w:t>
        </w:r>
      </w:hyperlink>
      <w:r>
        <w:rPr>
          <w:rStyle w:val="StyleUnderline"/>
          <w:u w:val="none"/>
        </w:rPr>
        <w:t>, Accessed 6/29/16]//CZ</w:t>
      </w:r>
    </w:p>
    <w:p w:rsidR="007C776D" w:rsidRDefault="007C776D" w:rsidP="007C776D">
      <w:pPr>
        <w:rPr>
          <w:rStyle w:val="StyleUnderline"/>
          <w:u w:val="none"/>
        </w:rPr>
      </w:pPr>
      <w:r w:rsidRPr="00B051C3">
        <w:rPr>
          <w:rStyle w:val="StyleUnderline"/>
          <w:u w:val="none"/>
        </w:rPr>
        <w:t xml:space="preserve">To determine if such was also the case in the real world, the seven </w:t>
      </w:r>
      <w:r w:rsidRPr="00B051C3">
        <w:rPr>
          <w:rStyle w:val="StyleUnderline"/>
        </w:rPr>
        <w:t>scientists studied coccolith morphologies in</w:t>
      </w:r>
      <w:r w:rsidRPr="00B051C3">
        <w:rPr>
          <w:rStyle w:val="StyleUnderline"/>
          <w:u w:val="none"/>
        </w:rPr>
        <w:t xml:space="preserve"> six </w:t>
      </w:r>
      <w:r w:rsidRPr="00B051C3">
        <w:rPr>
          <w:rStyle w:val="StyleUnderline"/>
        </w:rPr>
        <w:t>sediment cores extracted along a range of latitudes in the Atlantic Ocean</w:t>
      </w:r>
      <w:r w:rsidRPr="00B051C3">
        <w:rPr>
          <w:rStyle w:val="StyleUnderline"/>
          <w:u w:val="none"/>
        </w:rPr>
        <w:t xml:space="preserve">. As they described it, this work indicated that changes in coccolith morphology similar to those "occurring in response to the abrupt CO2 perturbations applied in our experimental treatments are not mirrored in the sedimentary record," which </w:t>
      </w:r>
      <w:r w:rsidRPr="00B051C3">
        <w:rPr>
          <w:rStyle w:val="StyleUnderline"/>
        </w:rPr>
        <w:t>finding indicates</w:t>
      </w:r>
      <w:r w:rsidRPr="00B051C3">
        <w:rPr>
          <w:rStyle w:val="StyleUnderline"/>
          <w:u w:val="none"/>
        </w:rPr>
        <w:t xml:space="preserve">, as they suggested, </w:t>
      </w:r>
      <w:r w:rsidRPr="00B051C3">
        <w:rPr>
          <w:rStyle w:val="StyleUnderline"/>
        </w:rPr>
        <w:t>that "in the natural environment C. leptoporus has adjusted to the 80 ppm CO2 and 180 ppm CO2 difference between present, preindustrial and glacial times, respectively</w:t>
      </w:r>
      <w:r w:rsidRPr="00B051C3">
        <w:rPr>
          <w:rStyle w:val="StyleUnderline"/>
          <w:u w:val="none"/>
        </w:rPr>
        <w:t>."</w:t>
      </w:r>
      <w:r>
        <w:rPr>
          <w:rStyle w:val="StyleUnderline"/>
          <w:u w:val="none"/>
        </w:rPr>
        <w:t xml:space="preserve"> </w:t>
      </w:r>
      <w:r w:rsidRPr="00B051C3">
        <w:rPr>
          <w:rStyle w:val="StyleUnderline"/>
          <w:u w:val="none"/>
        </w:rPr>
        <w:t>In further discussing these observations, the team of researchers from Germany and the United Kingdom said that "it is reasonable to assume that C. leptoporus has adapted its calcification mechanism to the change in carbonate chemistry having occurred since the last glacial maximum," suggesting as a possible explanation for this phenomenon that "</w:t>
      </w:r>
      <w:r w:rsidRPr="00B051C3">
        <w:rPr>
          <w:rStyle w:val="StyleUnderline"/>
        </w:rPr>
        <w:t>the population is genetically diverse, containing strains with diverse physiological and genetic traits</w:t>
      </w:r>
      <w:r w:rsidRPr="00B051C3">
        <w:rPr>
          <w:rStyle w:val="StyleUnderline"/>
          <w:u w:val="none"/>
        </w:rPr>
        <w:t xml:space="preserve">, as already demonstrated for E. huxleyi (Brand, 1981, 1982, 1984; Conte et al., 1998; Medlin et al., 1996; Paasche, 2002; Stolte et al., 2000)." And they also stated that this adaptive ability "is not likely to be confined to C. leptoporus but can be assumed to play a role in other coccolithophore species as well," which led them to conclude that such </w:t>
      </w:r>
      <w:r w:rsidRPr="00B051C3">
        <w:rPr>
          <w:rStyle w:val="StyleUnderline"/>
        </w:rPr>
        <w:t>populations "may be able to evolve so that the optimal CO2 level for calcification of the species tracks the environmental value</w:t>
      </w:r>
      <w:r w:rsidRPr="00B051C3">
        <w:rPr>
          <w:rStyle w:val="StyleUnderline"/>
          <w:u w:val="none"/>
        </w:rPr>
        <w:t xml:space="preserve">." With respect to the future, therefore, Langer et al. ended their paper on an extremely positive note, </w:t>
      </w:r>
      <w:proofErr w:type="gramStart"/>
      <w:r w:rsidRPr="00B051C3">
        <w:rPr>
          <w:rStyle w:val="StyleUnderline"/>
          <w:u w:val="none"/>
        </w:rPr>
        <w:t>stating that</w:t>
      </w:r>
      <w:proofErr w:type="gramEnd"/>
      <w:r w:rsidRPr="00B051C3">
        <w:rPr>
          <w:rStyle w:val="StyleUnderline"/>
          <w:u w:val="none"/>
        </w:rPr>
        <w:t xml:space="preserve"> "</w:t>
      </w:r>
      <w:r w:rsidRPr="00B051C3">
        <w:rPr>
          <w:rStyle w:val="StyleUnderline"/>
        </w:rPr>
        <w:t>genetic diversity, both between and within species, may allow calcifying organisms to prevail in a high CO2 ocean."</w:t>
      </w:r>
      <w:r>
        <w:rPr>
          <w:rStyle w:val="StyleUnderline"/>
          <w:u w:val="none"/>
        </w:rPr>
        <w:t xml:space="preserve"> </w:t>
      </w:r>
      <w:r w:rsidRPr="00B051C3">
        <w:rPr>
          <w:rStyle w:val="StyleUnderline"/>
          <w:u w:val="none"/>
        </w:rPr>
        <w:t xml:space="preserve">Working with the same sediment core, Halloran et al. (2008) analyzed the size distribution of CaCO3 particles in the less-than-10-µm sediment fraction over the past quarter-century. </w:t>
      </w:r>
      <w:r w:rsidRPr="00B051C3">
        <w:rPr>
          <w:rStyle w:val="StyleUnderline"/>
        </w:rPr>
        <w:t>This work revealed</w:t>
      </w:r>
      <w:r w:rsidRPr="00B051C3">
        <w:rPr>
          <w:rStyle w:val="StyleUnderline"/>
          <w:u w:val="none"/>
        </w:rPr>
        <w:t xml:space="preserve">, as they described it, </w:t>
      </w:r>
      <w:r w:rsidRPr="00B051C3">
        <w:rPr>
          <w:rStyle w:val="StyleUnderline"/>
        </w:rPr>
        <w:t>a history of "changing particle volume since the late 20th century consistent with an increase in the mass of coccoliths</w:t>
      </w:r>
      <w:r w:rsidRPr="00B051C3">
        <w:rPr>
          <w:rStyle w:val="StyleUnderline"/>
          <w:u w:val="none"/>
        </w:rPr>
        <w:t xml:space="preserve"> produced by the larger coccolithophore species," </w:t>
      </w:r>
      <w:r w:rsidRPr="00B051C3">
        <w:rPr>
          <w:rStyle w:val="StyleUnderline"/>
        </w:rPr>
        <w:t>leading them to conclude that "in the real ocean the larger coccolithophore species increase their calcification in response to anthropogenic CO2 relea</w:t>
      </w:r>
      <w:r w:rsidRPr="00B051C3">
        <w:rPr>
          <w:rStyle w:val="StyleUnderline"/>
          <w:u w:val="none"/>
        </w:rPr>
        <w:t xml:space="preserve">se." In addition, the four researchers stated that this </w:t>
      </w:r>
      <w:r w:rsidRPr="00B051C3">
        <w:rPr>
          <w:rStyle w:val="StyleUnderline"/>
        </w:rPr>
        <w:t xml:space="preserve">positive calcification response "could be attributed to </w:t>
      </w:r>
      <w:r w:rsidRPr="00B051C3">
        <w:rPr>
          <w:rStyle w:val="StyleUnderline"/>
          <w:u w:val="none"/>
        </w:rPr>
        <w:t xml:space="preserve">an alleviation of CO2 limitation in species that partly rely </w:t>
      </w:r>
      <w:r w:rsidRPr="00B051C3">
        <w:rPr>
          <w:rStyle w:val="StyleUnderline"/>
        </w:rPr>
        <w:t>on the diffusive supply of dissolved carbon dioxide for photosynthesis, as demonstrated by a rise in photosynthetic efficiency with increasing carbon dioxide</w:t>
      </w:r>
      <w:r w:rsidRPr="00B051C3">
        <w:rPr>
          <w:rStyle w:val="StyleUnderline"/>
          <w:u w:val="none"/>
        </w:rPr>
        <w:t xml:space="preserve"> in cultures of E. huxleyi (Rost et al., 2003)."</w:t>
      </w:r>
    </w:p>
    <w:p w:rsidR="007C776D" w:rsidRPr="008A6901" w:rsidRDefault="007C776D" w:rsidP="007C776D">
      <w:pPr>
        <w:pStyle w:val="Heading4"/>
      </w:pPr>
      <w:r w:rsidRPr="008A6901">
        <w:t>Marine species adapt to be more resilient to ocean acidification through maternal provisioning and epigenetic inheritance</w:t>
      </w:r>
    </w:p>
    <w:p w:rsidR="007C776D" w:rsidRDefault="007C776D" w:rsidP="007C776D">
      <w:pPr>
        <w:rPr>
          <w:rStyle w:val="StyleUnderline"/>
          <w:u w:val="none"/>
        </w:rPr>
      </w:pPr>
      <w:r w:rsidRPr="008A6901">
        <w:rPr>
          <w:rStyle w:val="Style13ptBold"/>
        </w:rPr>
        <w:t>Parker et al. 15</w:t>
      </w:r>
      <w:r>
        <w:rPr>
          <w:rStyle w:val="StyleUnderline"/>
          <w:u w:val="none"/>
        </w:rPr>
        <w:t xml:space="preserve"> [Laura (School of Biological Sciences at the Centre for the Ecological Impacts for Coastal Cities), Wayne O’Connor (NSW Department of Primary Industries, Port Stephens Fisheries Centre), David Raftos (Department of Biological Sciences, Macquarie University), Hans-Otto Pörtner (Alfred Wegener Institute for Polar and Marine Research in the Hermann von Helmholtz Association of National Research </w:t>
      </w:r>
      <w:proofErr w:type="gramStart"/>
      <w:r>
        <w:rPr>
          <w:rStyle w:val="StyleUnderline"/>
          <w:u w:val="none"/>
        </w:rPr>
        <w:t>Centres )</w:t>
      </w:r>
      <w:proofErr w:type="gramEnd"/>
      <w:r>
        <w:rPr>
          <w:rStyle w:val="StyleUnderline"/>
          <w:u w:val="none"/>
        </w:rPr>
        <w:t xml:space="preserve">, Pauline Ross (School of Science and Health, University of Western Sydney), </w:t>
      </w:r>
      <w:r>
        <w:rPr>
          <w:rStyle w:val="StyleUnderline"/>
          <w:u w:val="none"/>
        </w:rPr>
        <w:lastRenderedPageBreak/>
        <w:t xml:space="preserve">“Persistence of Positive Carryover Effects in the Oyster, Saccostrea glomerata, following Transgenerational Exposure to Ocean Acidification,” PLOS, 6/6/15, </w:t>
      </w:r>
      <w:hyperlink r:id="rId23" w:history="1">
        <w:r w:rsidRPr="00615ECC">
          <w:rPr>
            <w:rStyle w:val="Hyperlink"/>
          </w:rPr>
          <w:t>http://journals.plos.org/plosone/article?id=10.1371/journal.pone.0132276</w:t>
        </w:r>
      </w:hyperlink>
      <w:r>
        <w:rPr>
          <w:rStyle w:val="StyleUnderline"/>
          <w:u w:val="none"/>
        </w:rPr>
        <w:t>, Accessed 6/29/16]//CZ</w:t>
      </w:r>
    </w:p>
    <w:p w:rsidR="007C776D" w:rsidRPr="00B051C3" w:rsidRDefault="007C776D" w:rsidP="007C776D">
      <w:pPr>
        <w:rPr>
          <w:rStyle w:val="StyleUnderline"/>
          <w:u w:val="none"/>
        </w:rPr>
      </w:pPr>
      <w:r>
        <w:rPr>
          <w:rStyle w:val="StyleUnderline"/>
          <w:u w:val="none"/>
        </w:rPr>
        <w:t xml:space="preserve">The results of recent factorial breeding experiments suggest that </w:t>
      </w:r>
      <w:r w:rsidRPr="00CB5DCE">
        <w:rPr>
          <w:rStyle w:val="StyleUnderline"/>
        </w:rPr>
        <w:t>increased maternal provisioning, whereby mothers invest more energy per egg/ offspring</w:t>
      </w:r>
      <w:r>
        <w:rPr>
          <w:rStyle w:val="StyleUnderline"/>
          <w:u w:val="none"/>
        </w:rPr>
        <w:t xml:space="preserve"> [53,54,55], </w:t>
      </w:r>
      <w:r w:rsidRPr="00CB5DCE">
        <w:rPr>
          <w:rStyle w:val="StyleUnderline"/>
        </w:rPr>
        <w:t>may be one of the mechanisms i</w:t>
      </w:r>
      <w:r>
        <w:rPr>
          <w:rStyle w:val="StyleUnderline"/>
          <w:u w:val="none"/>
        </w:rPr>
        <w:t xml:space="preserve">mmediately </w:t>
      </w:r>
      <w:r w:rsidRPr="00CB5DCE">
        <w:rPr>
          <w:rStyle w:val="StyleUnderline"/>
        </w:rPr>
        <w:t>available to marine invertebrates species to safeguard their larvae against the impacts of elevated CO2</w:t>
      </w:r>
      <w:r>
        <w:rPr>
          <w:rStyle w:val="StyleUnderline"/>
          <w:u w:val="none"/>
        </w:rPr>
        <w:t xml:space="preserve"> [8–9]. For example, </w:t>
      </w:r>
      <w:r w:rsidRPr="00CB5DCE">
        <w:rPr>
          <w:rStyle w:val="StyleUnderline"/>
        </w:rPr>
        <w:t xml:space="preserve">maternal differences in larval size of the sea urchin </w:t>
      </w:r>
      <w:r>
        <w:rPr>
          <w:rStyle w:val="StyleUnderline"/>
          <w:u w:val="none"/>
        </w:rPr>
        <w:t xml:space="preserve">Strongylocentrotus franciscanus </w:t>
      </w:r>
      <w:r w:rsidRPr="00CB5DCE">
        <w:rPr>
          <w:rStyle w:val="StyleUnderline"/>
        </w:rPr>
        <w:t>and the mussel</w:t>
      </w:r>
      <w:r>
        <w:rPr>
          <w:rStyle w:val="StyleUnderline"/>
          <w:u w:val="none"/>
        </w:rPr>
        <w:t xml:space="preserve"> Mytilus </w:t>
      </w:r>
      <w:r w:rsidRPr="00CB5DCE">
        <w:rPr>
          <w:rStyle w:val="StyleUnderline"/>
        </w:rPr>
        <w:t>trossulus were shown to directly influence the response of larvae to elevated CO2, with larger sized larvae being more resilient</w:t>
      </w:r>
      <w:r>
        <w:rPr>
          <w:rStyle w:val="StyleUnderline"/>
          <w:u w:val="none"/>
        </w:rPr>
        <w:t xml:space="preserve"> [8]. In our previous transgenerational experiment, maternal provisioning was identified as </w:t>
      </w:r>
      <w:proofErr w:type="gramStart"/>
      <w:r>
        <w:rPr>
          <w:rStyle w:val="StyleUnderline"/>
          <w:u w:val="none"/>
        </w:rPr>
        <w:t>a possible mechanisms</w:t>
      </w:r>
      <w:proofErr w:type="gramEnd"/>
      <w:r>
        <w:rPr>
          <w:rStyle w:val="StyleUnderline"/>
          <w:u w:val="none"/>
        </w:rPr>
        <w:t xml:space="preserve"> that caused increased resilience of larvae of S. glomerata. This was suggested</w:t>
      </w:r>
      <w:r w:rsidRPr="00CB5DCE">
        <w:t xml:space="preserve"> </w:t>
      </w:r>
      <w:proofErr w:type="gramStart"/>
      <w:r>
        <w:rPr>
          <w:rStyle w:val="StyleUnderline"/>
          <w:u w:val="none"/>
        </w:rPr>
        <w:t xml:space="preserve">as </w:t>
      </w:r>
      <w:r w:rsidRPr="00CB5DCE">
        <w:rPr>
          <w:rStyle w:val="StyleUnderline"/>
        </w:rPr>
        <w:t>larvae from parents pre-exposed to elevated CO2 were larger in size at the beginning of larval development when compared to larvae from parents with no pre-exposure to elevated CO2</w:t>
      </w:r>
      <w:proofErr w:type="gramEnd"/>
      <w:r w:rsidRPr="00CB5DCE">
        <w:rPr>
          <w:rStyle w:val="StyleUnderline"/>
        </w:rPr>
        <w:t xml:space="preserve"> </w:t>
      </w:r>
      <w:r>
        <w:rPr>
          <w:rStyle w:val="StyleUnderline"/>
          <w:u w:val="none"/>
        </w:rPr>
        <w:t xml:space="preserve">[5]. While maternal provisioning may indeed be a partial mechanism of resilience for S. glomerata, it does not explain why the F1-transgen adults in this study had a better capacity to regulate extracellular pH. In addition, the F2-transgen larvae were smaller in size at the beginning of larval development (1 d post-fertilization) yet still outperformed the F2-control larvae in all parameters measured in this study (growth, development rate, abnormality) at both ambient and elevated CO2. This brings us to the conclusion that epigenetic and/or genetic adaptive responses may also have been involved. </w:t>
      </w:r>
      <w:r w:rsidRPr="00CB5DCE">
        <w:rPr>
          <w:rStyle w:val="StyleUnderline"/>
        </w:rPr>
        <w:t>Epigenetic inheritance was identified as a mechanism for acclimation</w:t>
      </w:r>
      <w:r>
        <w:rPr>
          <w:rStyle w:val="StyleUnderline"/>
          <w:u w:val="none"/>
        </w:rPr>
        <w:t xml:space="preserve"> following transgenerational exposure </w:t>
      </w:r>
      <w:r w:rsidRPr="00CB5DCE">
        <w:rPr>
          <w:rStyle w:val="StyleUnderline"/>
        </w:rPr>
        <w:t>of the anemonefish,</w:t>
      </w:r>
      <w:r>
        <w:rPr>
          <w:rStyle w:val="StyleUnderline"/>
          <w:u w:val="none"/>
        </w:rPr>
        <w:t xml:space="preserve"> Amphiprion melanopus [10] </w:t>
      </w:r>
      <w:r w:rsidRPr="00CB5DCE">
        <w:rPr>
          <w:rStyle w:val="StyleUnderline"/>
        </w:rPr>
        <w:t>and sea urchin</w:t>
      </w:r>
      <w:r>
        <w:rPr>
          <w:rStyle w:val="StyleUnderline"/>
          <w:u w:val="none"/>
        </w:rPr>
        <w:t xml:space="preserve">, Strongylocentrotus droebachiensis [13] </w:t>
      </w:r>
      <w:r w:rsidRPr="00CB5DCE">
        <w:rPr>
          <w:rStyle w:val="StyleUnderline"/>
        </w:rPr>
        <w:t>to elevated CO2</w:t>
      </w:r>
      <w:r>
        <w:rPr>
          <w:rStyle w:val="StyleUnderline"/>
          <w:u w:val="none"/>
        </w:rPr>
        <w:t xml:space="preserve">. In both species, </w:t>
      </w:r>
      <w:r w:rsidRPr="00CB5DCE">
        <w:rPr>
          <w:rStyle w:val="StyleUnderline"/>
        </w:rPr>
        <w:t>pre-exposure of adults to elevated CO2 resulted in offspring that were not negatively affected by elevated CO2</w:t>
      </w:r>
      <w:r>
        <w:rPr>
          <w:rStyle w:val="StyleUnderline"/>
          <w:u w:val="none"/>
        </w:rPr>
        <w:t xml:space="preserve">. Analysis of hatching (A. melanopus) and egg size (S. droebachiensis) revealed no significant difference between adult treatments, indicating that increases in maternal provisioning did not occur [10,13]. The authors instead suggested the occurrence of </w:t>
      </w:r>
      <w:r w:rsidRPr="00CB5DCE">
        <w:rPr>
          <w:rStyle w:val="StyleUnderline"/>
        </w:rPr>
        <w:t>transgenerational epigenetic inheritance, where a beneficial change in gene expression in adults during exposure to elevated CO2 was passed to their offspring, improving offspring performance at elevated CO2</w:t>
      </w:r>
      <w:r>
        <w:rPr>
          <w:rStyle w:val="StyleUnderline"/>
          <w:u w:val="none"/>
        </w:rPr>
        <w:t xml:space="preserve"> [10]. In this study, persistent </w:t>
      </w:r>
      <w:r w:rsidRPr="00CB5DCE">
        <w:rPr>
          <w:rStyle w:val="StyleUnderline"/>
        </w:rPr>
        <w:t>epigenetic changes in gene expression</w:t>
      </w:r>
      <w:r>
        <w:rPr>
          <w:rStyle w:val="StyleUnderline"/>
          <w:u w:val="none"/>
        </w:rPr>
        <w:t xml:space="preserve">, for example changes </w:t>
      </w:r>
      <w:r w:rsidRPr="00CB5DCE">
        <w:rPr>
          <w:rStyle w:val="StyleUnderline"/>
        </w:rPr>
        <w:t xml:space="preserve">in the expression of </w:t>
      </w:r>
      <w:r>
        <w:rPr>
          <w:rStyle w:val="StyleUnderline"/>
          <w:u w:val="none"/>
        </w:rPr>
        <w:t xml:space="preserve">key </w:t>
      </w:r>
      <w:r w:rsidRPr="00CB5DCE">
        <w:rPr>
          <w:rStyle w:val="StyleUnderline"/>
        </w:rPr>
        <w:t>enzymes involved in acid-base regulation</w:t>
      </w:r>
      <w:r>
        <w:rPr>
          <w:rStyle w:val="StyleUnderline"/>
          <w:u w:val="none"/>
        </w:rPr>
        <w:t xml:space="preserve"> (e.g. Na+-K+-ATPase), </w:t>
      </w:r>
      <w:r w:rsidRPr="00CB5DCE">
        <w:rPr>
          <w:rStyle w:val="StyleUnderline"/>
        </w:rPr>
        <w:t>may have occurred</w:t>
      </w:r>
      <w:r>
        <w:rPr>
          <w:rStyle w:val="StyleUnderline"/>
          <w:u w:val="none"/>
        </w:rPr>
        <w:t xml:space="preserve">. These epigenetic changes may have originated during adult reproductive conditioning (transgenerational epigenetic inheritance) or F1 larval development and persisted to improve the performance of the F1 adults and F2 larvae and juvenile spat. Studies on other organisms have shown that the early life-history stages are critical developmental windows for lasting epigenetic changes during exposure to environmental factors. For example, in humans, maternal diet during pregnancy can lead to epigenetic changes in the embryo [56–58]. Further, in fish, environmental temperature during larval development can influence gender [59]. In the oyster, Crassostrea gigas, DNA methylation, a major mode of epigenetic change, has been suggested as a pivotal mechanism allowing them to </w:t>
      </w:r>
      <w:r>
        <w:rPr>
          <w:rStyle w:val="StyleUnderline"/>
          <w:u w:val="none"/>
        </w:rPr>
        <w:lastRenderedPageBreak/>
        <w:t>survive in changing environments [60], however, the persistence of epigenetic change in oysters over multiple generations is yet to be demonstrated [61].</w:t>
      </w:r>
    </w:p>
    <w:p w:rsidR="007C776D" w:rsidRDefault="007C776D" w:rsidP="007C776D"/>
    <w:p w:rsidR="007C776D" w:rsidRDefault="007C776D" w:rsidP="007C776D">
      <w:pPr>
        <w:pStyle w:val="Heading4"/>
        <w:rPr>
          <w:rStyle w:val="StyleUnderline"/>
        </w:rPr>
      </w:pPr>
      <w:r>
        <w:t xml:space="preserve">No impact to </w:t>
      </w:r>
      <w:r w:rsidRPr="00CE634A">
        <w:t>acidification</w:t>
      </w:r>
      <w:r>
        <w:t xml:space="preserve"> – empirics, adaptation, and seawater buffers</w:t>
      </w:r>
    </w:p>
    <w:p w:rsidR="007C776D" w:rsidRPr="006F6133" w:rsidRDefault="007C776D" w:rsidP="007C776D">
      <w:pPr>
        <w:rPr>
          <w:rStyle w:val="Style13ptBold"/>
        </w:rPr>
      </w:pPr>
      <w:r w:rsidRPr="006F6133">
        <w:rPr>
          <w:rStyle w:val="Style13ptBold"/>
        </w:rPr>
        <w:t>Delingpole 4/30</w:t>
      </w:r>
    </w:p>
    <w:p w:rsidR="007C776D" w:rsidRDefault="007C776D" w:rsidP="007C776D">
      <w:r>
        <w:t xml:space="preserve">(James, executive editor of Breitbart London, awarded the Charles Douglas-Home Memorial Trust Award and the Bastiat Prize, 4.30.16, “Ocean acidification: yet another wobbly pillar of climate alarmism,” The Spectator, </w:t>
      </w:r>
      <w:hyperlink r:id="rId24" w:history="1">
        <w:r w:rsidRPr="008B470A">
          <w:rPr>
            <w:rStyle w:val="Hyperlink"/>
          </w:rPr>
          <w:t>http://www.spectator.co.uk/2016/04/ocean-acidification-yet-another-wobbly-pillar-of-climate-alarmism/</w:t>
        </w:r>
      </w:hyperlink>
      <w:r>
        <w:t xml:space="preserve">, Accessed: </w:t>
      </w:r>
      <w:proofErr w:type="gramStart"/>
      <w:r>
        <w:t>6.30.16)</w:t>
      </w:r>
      <w:proofErr w:type="gramEnd"/>
      <w:r>
        <w:t>VW</w:t>
      </w:r>
    </w:p>
    <w:p w:rsidR="007C776D" w:rsidRPr="006F6133" w:rsidRDefault="007C776D" w:rsidP="007C776D">
      <w:pPr>
        <w:rPr>
          <w:u w:val="single"/>
        </w:rPr>
      </w:pPr>
      <w:r w:rsidRPr="00737BCE">
        <w:rPr>
          <w:rStyle w:val="StyleUnderline"/>
          <w:highlight w:val="yellow"/>
        </w:rPr>
        <w:t>Even if the oceans were ‘acidifying’, though</w:t>
      </w:r>
      <w:r w:rsidRPr="006F6133">
        <w:rPr>
          <w:rStyle w:val="StyleUnderline"/>
        </w:rPr>
        <w:t xml:space="preserve">, </w:t>
      </w:r>
      <w:r w:rsidRPr="00737BCE">
        <w:rPr>
          <w:rStyle w:val="StyleUnderline"/>
          <w:highlight w:val="yellow"/>
        </w:rPr>
        <w:t>it wouldn’t be a disaster</w:t>
      </w:r>
      <w:r w:rsidRPr="006F6133">
        <w:rPr>
          <w:rStyle w:val="StyleUnderline"/>
        </w:rPr>
        <w:t xml:space="preserve"> for a number of reasons — as recently outlined in a paper by Patrick Moore for the Frontier Centre for Public Policy. </w:t>
      </w:r>
      <w:r w:rsidRPr="00737BCE">
        <w:rPr>
          <w:rStyle w:val="StyleUnderline"/>
          <w:highlight w:val="yellow"/>
        </w:rPr>
        <w:t>First, marine species that calcify have survived through millions of years when CO2 was at much higher levels</w:t>
      </w:r>
      <w:r w:rsidRPr="006F6133">
        <w:rPr>
          <w:rStyle w:val="StyleUnderline"/>
        </w:rPr>
        <w:t xml:space="preserve">; </w:t>
      </w:r>
      <w:r w:rsidRPr="00737BCE">
        <w:rPr>
          <w:rStyle w:val="StyleUnderline"/>
          <w:highlight w:val="yellow"/>
        </w:rPr>
        <w:t>second, they are more than capable of adapting — even in the short term — to environmental change</w:t>
      </w:r>
      <w:r w:rsidRPr="006F6133">
        <w:rPr>
          <w:rStyle w:val="StyleUnderline"/>
        </w:rPr>
        <w:t xml:space="preserve">; </w:t>
      </w:r>
      <w:r w:rsidRPr="00737BCE">
        <w:rPr>
          <w:rStyle w:val="StyleUnderline"/>
          <w:highlight w:val="yellow"/>
        </w:rPr>
        <w:t>third, seawater has a large buffering capacity which prevents dramatic shifts in pH</w:t>
      </w:r>
      <w:r w:rsidRPr="006F6133">
        <w:rPr>
          <w:rStyle w:val="StyleUnderline"/>
        </w:rPr>
        <w:t xml:space="preserve">; </w:t>
      </w:r>
      <w:r w:rsidRPr="00737BCE">
        <w:rPr>
          <w:rStyle w:val="StyleUnderline"/>
          <w:highlight w:val="yellow"/>
        </w:rPr>
        <w:t>fourth, if oceans do become warmer</w:t>
      </w:r>
      <w:r w:rsidRPr="006F6133">
        <w:rPr>
          <w:rStyle w:val="StyleUnderline"/>
        </w:rPr>
        <w:t xml:space="preserve"> due to ‘climate change’, </w:t>
      </w:r>
      <w:r w:rsidRPr="00737BCE">
        <w:rPr>
          <w:rStyle w:val="StyleUnderline"/>
          <w:highlight w:val="yellow"/>
        </w:rPr>
        <w:t>the effect will be</w:t>
      </w:r>
      <w:r w:rsidRPr="006F6133">
        <w:rPr>
          <w:rStyle w:val="StyleUnderline"/>
        </w:rPr>
        <w:t xml:space="preserve"> for them </w:t>
      </w:r>
      <w:r w:rsidRPr="00737BCE">
        <w:rPr>
          <w:rStyle w:val="StyleUnderline"/>
          <w:highlight w:val="yellow"/>
        </w:rPr>
        <w:t>to ‘outgas’ CO2, not absorb more of it</w:t>
      </w:r>
      <w:r w:rsidRPr="006F6133">
        <w:rPr>
          <w:rStyle w:val="StyleUnderline"/>
        </w:rPr>
        <w:t>.</w:t>
      </w:r>
      <w:r>
        <w:rPr>
          <w:rStyle w:val="StyleUnderline"/>
        </w:rPr>
        <w:t xml:space="preserve"> </w:t>
      </w:r>
      <w:r w:rsidRPr="00737BCE">
        <w:rPr>
          <w:rStyle w:val="StyleUnderline"/>
          <w:highlight w:val="yellow"/>
        </w:rPr>
        <w:t>Finally</w:t>
      </w:r>
      <w:r w:rsidRPr="006F6133">
        <w:rPr>
          <w:rStyle w:val="StyleUnderline"/>
        </w:rPr>
        <w:t xml:space="preserve">, and perhaps most damningly, Moore quotes a killer analysis conducted by Craig Idso of all the </w:t>
      </w:r>
      <w:proofErr w:type="gramStart"/>
      <w:r w:rsidRPr="006F6133">
        <w:rPr>
          <w:rStyle w:val="StyleUnderline"/>
        </w:rPr>
        <w:t>studies which</w:t>
      </w:r>
      <w:proofErr w:type="gramEnd"/>
      <w:r w:rsidRPr="006F6133">
        <w:rPr>
          <w:rStyle w:val="StyleUnderline"/>
        </w:rPr>
        <w:t xml:space="preserve"> have been done on the effects of reduced pH levels on marine life. </w:t>
      </w:r>
      <w:r w:rsidRPr="00737BCE">
        <w:rPr>
          <w:rStyle w:val="StyleUnderline"/>
          <w:highlight w:val="yellow"/>
        </w:rPr>
        <w:t>The impact on calcification, metabolism, growth, fertility and survival of calcifying marine species when pH is lower</w:t>
      </w:r>
      <w:r w:rsidRPr="006F6133">
        <w:rPr>
          <w:rStyle w:val="StyleUnderline"/>
        </w:rPr>
        <w:t xml:space="preserve">ed up to 0.3 units (beyond what is considered a plausible reduction this century) </w:t>
      </w:r>
      <w:r w:rsidRPr="00737BCE">
        <w:rPr>
          <w:rStyle w:val="StyleUnderline"/>
          <w:highlight w:val="yellow"/>
        </w:rPr>
        <w:t>is beneficial</w:t>
      </w:r>
      <w:r w:rsidRPr="006F6133">
        <w:rPr>
          <w:rStyle w:val="StyleUnderline"/>
        </w:rPr>
        <w:t xml:space="preserve">, not damaging. </w:t>
      </w:r>
      <w:r w:rsidRPr="00737BCE">
        <w:rPr>
          <w:rStyle w:val="Emphasis"/>
          <w:highlight w:val="yellow"/>
        </w:rPr>
        <w:t>Marine life has nothing whatsoever to fear from ocean acidification</w:t>
      </w:r>
      <w:r w:rsidRPr="00737BCE">
        <w:rPr>
          <w:rStyle w:val="StyleUnderline"/>
          <w:highlight w:val="yellow"/>
        </w:rPr>
        <w:t>.</w:t>
      </w:r>
    </w:p>
    <w:p w:rsidR="007C776D" w:rsidRPr="00386E12" w:rsidRDefault="007C776D" w:rsidP="007C776D"/>
    <w:p w:rsidR="007C776D" w:rsidRPr="001B18F0" w:rsidRDefault="007C776D" w:rsidP="007C776D">
      <w:pPr>
        <w:pStyle w:val="Heading4"/>
      </w:pPr>
      <w:r>
        <w:t>Ocean acidification doesn’t kill biodiversity because of short-term acclimation and long-term adaptation, studies prove</w:t>
      </w:r>
    </w:p>
    <w:p w:rsidR="007C776D" w:rsidRPr="008632C1" w:rsidRDefault="007C776D" w:rsidP="007C776D">
      <w:pPr>
        <w:rPr>
          <w:rStyle w:val="Style13ptBold"/>
        </w:rPr>
      </w:pPr>
      <w:r>
        <w:rPr>
          <w:rStyle w:val="Style13ptBold"/>
        </w:rPr>
        <w:t>Sunday et al 13</w:t>
      </w:r>
    </w:p>
    <w:p w:rsidR="007C776D" w:rsidRDefault="007C776D" w:rsidP="007C776D">
      <w:r>
        <w:t xml:space="preserve">(Jennifer M. Sunday, Department of biological Sciences, Biodiversity Research Centre, Piero Calosi, Marine Biology and Ecology Research Centre, School of Marine Science and Engineering, Sam Dupont, Department of Biological and Environmental Sciences, Philip L. Munday, ARC Centre of Excellence for Coral Reef Studies, School of Marine and Tropical Biology, Jonathon H. Stillman, Romberg Tiburon Center and Department of Biology, Department of Integrative Biology, and Thorsten B.H. Reusch, GEOMAR Helmholtz Centre for Ocean Research Kiel, Evolutionary Ecology of Marine Fishes, “Evolution in an Acidifying Ocean,” December 2013, ResearchGate, </w:t>
      </w:r>
      <w:hyperlink r:id="rId25" w:history="1">
        <w:r w:rsidRPr="008B470A">
          <w:rPr>
            <w:rStyle w:val="Hyperlink"/>
          </w:rPr>
          <w:t>https://www.researchgate.net/publication/259393084_Evolution_in_an_acidifying_ocean</w:t>
        </w:r>
      </w:hyperlink>
      <w:r>
        <w:t>, Accessed; 6.30.16)VW</w:t>
      </w:r>
    </w:p>
    <w:p w:rsidR="007C776D" w:rsidRPr="003B4537" w:rsidRDefault="007C776D" w:rsidP="007C776D">
      <w:pPr>
        <w:rPr>
          <w:rStyle w:val="StyleUnderline"/>
        </w:rPr>
      </w:pPr>
      <w:r w:rsidRPr="00737BCE">
        <w:rPr>
          <w:rStyle w:val="StyleUnderline"/>
          <w:highlight w:val="yellow"/>
        </w:rPr>
        <w:t>Ocean acidification poses a</w:t>
      </w:r>
      <w:r>
        <w:rPr>
          <w:rStyle w:val="StyleUnderline"/>
        </w:rPr>
        <w:t xml:space="preserve"> global </w:t>
      </w:r>
      <w:r w:rsidRPr="00737BCE">
        <w:rPr>
          <w:rStyle w:val="StyleUnderline"/>
          <w:highlight w:val="yellow"/>
        </w:rPr>
        <w:t>threat</w:t>
      </w:r>
      <w:r>
        <w:rPr>
          <w:rStyle w:val="StyleUnderline"/>
        </w:rPr>
        <w:t xml:space="preserve"> to biodiversity, </w:t>
      </w:r>
      <w:r w:rsidRPr="00737BCE">
        <w:rPr>
          <w:rStyle w:val="StyleUnderline"/>
          <w:highlight w:val="yellow"/>
        </w:rPr>
        <w:t>yet species</w:t>
      </w:r>
      <w:r>
        <w:rPr>
          <w:rStyle w:val="StyleUnderline"/>
        </w:rPr>
        <w:t xml:space="preserve"> might </w:t>
      </w:r>
      <w:r w:rsidRPr="00737BCE">
        <w:rPr>
          <w:rStyle w:val="StyleUnderline"/>
          <w:highlight w:val="yellow"/>
        </w:rPr>
        <w:t>have the capacity to adapt</w:t>
      </w:r>
      <w:r w:rsidRPr="004A5700">
        <w:rPr>
          <w:sz w:val="16"/>
        </w:rPr>
        <w:t xml:space="preserve"> through evolutionary change. Here we summarize tools available to determine species’ capacity for evolutionary adaptation to future ocean change and review the progress made to date with respect to ocean acidification. We focus on two key approaches: measuring standing genetic variation within populations and experimental evolution. We highlight benefits and challenges of each approach and recommend future research directions for understanding the modulating role of evolution in a changing ocean. Bringing evolution into the forecast of an acidified ocean </w:t>
      </w:r>
      <w:proofErr w:type="gramStart"/>
      <w:r w:rsidRPr="004A5700">
        <w:rPr>
          <w:sz w:val="16"/>
        </w:rPr>
        <w:t>The</w:t>
      </w:r>
      <w:proofErr w:type="gramEnd"/>
      <w:r w:rsidRPr="004A5700">
        <w:rPr>
          <w:sz w:val="16"/>
        </w:rPr>
        <w:t xml:space="preserve"> ocean environment is changing rapidly, with surface waters changing in temperature and acidity at geologically unprecedented rates [1]. Projecting the fate of marine biodiversity requires not only understanding how these changes will affect populations, but also how </w:t>
      </w:r>
      <w:r w:rsidRPr="00737BCE">
        <w:rPr>
          <w:rStyle w:val="StyleUnderline"/>
          <w:highlight w:val="yellow"/>
        </w:rPr>
        <w:t xml:space="preserve">populations will respond via </w:t>
      </w:r>
      <w:r w:rsidRPr="00737BCE">
        <w:rPr>
          <w:rStyle w:val="StyleUnderline"/>
          <w:highlight w:val="yellow"/>
        </w:rPr>
        <w:lastRenderedPageBreak/>
        <w:t>acclimation and adaptive evolution</w:t>
      </w:r>
      <w:r w:rsidRPr="004A5700">
        <w:rPr>
          <w:sz w:val="16"/>
        </w:rPr>
        <w:t xml:space="preserve"> (Box 1). A global research effort is underway to understand the potential impacts of global change on species’ physiology and overall fitness and to consider the broader impacts for biodiversity, ecosystem function, and ecosystem services, including food security [2]. </w:t>
      </w:r>
      <w:r>
        <w:rPr>
          <w:rStyle w:val="StyleUnderline"/>
        </w:rPr>
        <w:t xml:space="preserve">Yet </w:t>
      </w:r>
      <w:r w:rsidRPr="00737BCE">
        <w:rPr>
          <w:rStyle w:val="StyleUnderline"/>
          <w:highlight w:val="yellow"/>
        </w:rPr>
        <w:t>most experiments assess phenotypic responses in relatively short-term</w:t>
      </w:r>
      <w:r>
        <w:rPr>
          <w:rStyle w:val="StyleUnderline"/>
        </w:rPr>
        <w:t xml:space="preserve">, single-generation, </w:t>
      </w:r>
      <w:r w:rsidRPr="00737BCE">
        <w:rPr>
          <w:rStyle w:val="StyleUnderline"/>
          <w:highlight w:val="yellow"/>
        </w:rPr>
        <w:t xml:space="preserve">experiments under future ocean conditions projected to occur within 100–200 years, and fall short of considering the potential for evolutionary </w:t>
      </w:r>
      <w:proofErr w:type="gramStart"/>
      <w:r w:rsidRPr="00737BCE">
        <w:rPr>
          <w:rStyle w:val="StyleUnderline"/>
          <w:highlight w:val="yellow"/>
        </w:rPr>
        <w:t>adaptation</w:t>
      </w:r>
      <w:r w:rsidRPr="004A5700">
        <w:rPr>
          <w:sz w:val="16"/>
        </w:rPr>
        <w:t>[</w:t>
      </w:r>
      <w:proofErr w:type="gramEnd"/>
      <w:r w:rsidRPr="004A5700">
        <w:rPr>
          <w:sz w:val="16"/>
        </w:rPr>
        <w:t xml:space="preserve">3]. Ocean acidification – the increase in partial pressure of CO2 </w:t>
      </w:r>
      <w:proofErr w:type="gramStart"/>
      <w:r w:rsidRPr="004A5700">
        <w:rPr>
          <w:sz w:val="16"/>
        </w:rPr>
        <w:t>( pCO2</w:t>
      </w:r>
      <w:proofErr w:type="gramEnd"/>
      <w:r w:rsidRPr="004A5700">
        <w:rPr>
          <w:sz w:val="16"/>
        </w:rPr>
        <w:t xml:space="preserve">) and reduction in pH associated with uptake of fossil fuel-derived CO2 from the atmosphere – profoundly alters the inorganic conditions of the oceans. Although increased pCO2 can enhance photosynthesis and growth of photoautotrophic organisms, ocean acidification is a stressor for many organisms (i.e., decreases fitness, reviewed in [4]). Because spatial gradients in pCO2 are relatively low and unstructured relative to the temporal change predicted [5], species are less likely to find refuge through migration (as has been observed across thermal gradients [6]). </w:t>
      </w:r>
      <w:r w:rsidRPr="00737BCE">
        <w:rPr>
          <w:rStyle w:val="StyleUnderline"/>
          <w:highlight w:val="yellow"/>
        </w:rPr>
        <w:t>Evolutionary adaptation</w:t>
      </w:r>
      <w:r>
        <w:rPr>
          <w:rStyle w:val="StyleUnderline"/>
        </w:rPr>
        <w:t xml:space="preserve"> </w:t>
      </w:r>
      <w:r w:rsidRPr="00737BCE">
        <w:rPr>
          <w:rStyle w:val="StyleUnderline"/>
          <w:highlight w:val="yellow"/>
        </w:rPr>
        <w:t>could</w:t>
      </w:r>
      <w:r>
        <w:rPr>
          <w:rStyle w:val="StyleUnderline"/>
        </w:rPr>
        <w:t xml:space="preserve"> hence </w:t>
      </w:r>
      <w:r w:rsidRPr="00737BCE">
        <w:rPr>
          <w:rStyle w:val="StyleUnderline"/>
          <w:highlight w:val="yellow"/>
        </w:rPr>
        <w:t>be a</w:t>
      </w:r>
      <w:r>
        <w:rPr>
          <w:rStyle w:val="StyleUnderline"/>
        </w:rPr>
        <w:t xml:space="preserve"> particularly </w:t>
      </w:r>
      <w:r w:rsidRPr="00737BCE">
        <w:rPr>
          <w:rStyle w:val="StyleUnderline"/>
          <w:highlight w:val="yellow"/>
        </w:rPr>
        <w:t xml:space="preserve">important response </w:t>
      </w:r>
      <w:r w:rsidRPr="003B4537">
        <w:rPr>
          <w:rStyle w:val="StyleUnderline"/>
        </w:rPr>
        <w:t>to this widespread change</w:t>
      </w:r>
      <w:r>
        <w:rPr>
          <w:rStyle w:val="StyleUnderline"/>
        </w:rPr>
        <w:t xml:space="preserve">. </w:t>
      </w:r>
      <w:r w:rsidRPr="004A5700">
        <w:rPr>
          <w:sz w:val="16"/>
        </w:rPr>
        <w:t xml:space="preserve">Although the possibility for evolutionary adaptation to ocean acidification is increasingly recognized [7–9], the field is at a nascent stage. Here we summarize approaches that can be used to address the potential for evolutionary adaptation in order to guide future work with an evolutionary focus. Although we use ocean acidification as a case study, the methods reviewed are equally applicable to other aspects of ocean change and we highlight the utility of considering multiple drivers simultaneously (see [10] and [11] for reviews that focus on broader aspects of ocean change). </w:t>
      </w:r>
      <w:r w:rsidRPr="00737BCE">
        <w:rPr>
          <w:rStyle w:val="StyleUnderline"/>
          <w:highlight w:val="yellow"/>
        </w:rPr>
        <w:t>We</w:t>
      </w:r>
      <w:r>
        <w:rPr>
          <w:rStyle w:val="StyleUnderline"/>
        </w:rPr>
        <w:t xml:space="preserve"> first review two key methodologies for assessing the potential for future adaptation: </w:t>
      </w:r>
      <w:r w:rsidRPr="00737BCE">
        <w:rPr>
          <w:rStyle w:val="StyleUnderline"/>
          <w:highlight w:val="yellow"/>
        </w:rPr>
        <w:t>measur</w:t>
      </w:r>
      <w:r>
        <w:rPr>
          <w:rStyle w:val="StyleUnderline"/>
        </w:rPr>
        <w:t xml:space="preserve">ing </w:t>
      </w:r>
      <w:r w:rsidRPr="00737BCE">
        <w:rPr>
          <w:rStyle w:val="StyleUnderline"/>
          <w:highlight w:val="yellow"/>
        </w:rPr>
        <w:t>standing genetic variation in climate-sensitive traits and conduct</w:t>
      </w:r>
      <w:r>
        <w:rPr>
          <w:rStyle w:val="StyleUnderline"/>
        </w:rPr>
        <w:t xml:space="preserve">ing </w:t>
      </w:r>
      <w:r w:rsidRPr="00737BCE">
        <w:rPr>
          <w:rStyle w:val="StyleUnderline"/>
          <w:highlight w:val="yellow"/>
        </w:rPr>
        <w:t>evolution experiments in real time</w:t>
      </w:r>
      <w:r>
        <w:rPr>
          <w:rStyle w:val="StyleUnderline"/>
        </w:rPr>
        <w:t>. We next consider how past adaptation can be inferred from comparisons across space and time</w:t>
      </w:r>
      <w:r w:rsidRPr="004A5700">
        <w:rPr>
          <w:sz w:val="16"/>
        </w:rPr>
        <w:t xml:space="preserve">. We discuss the limitations of these methodologies, consider how these data will be useful for understanding the fate of marine biodiversity and the potential emergent changes in ecosystem function, and highlight the most promising paths toward that understanding. Measuring standing genetic diversity in response traits </w:t>
      </w:r>
      <w:r w:rsidRPr="00737BCE">
        <w:rPr>
          <w:rStyle w:val="StyleUnderline"/>
          <w:highlight w:val="yellow"/>
        </w:rPr>
        <w:t>Using quantitative genetics Present-day populations might harbour phenotypic variation in responses to ocean acidification</w:t>
      </w:r>
      <w:r w:rsidRPr="004A5700">
        <w:rPr>
          <w:sz w:val="16"/>
        </w:rPr>
        <w:t xml:space="preserve">. The extentto which this variation has a heritable, genetic basis can indicate Review 0169-5347/$ – see front matter 2013 Elsevier Ltd. All rights reserved. http://dx.doi.org/10.1016/j.tree.2013.11.001 Corresponding author: Sunday, J.M. (sunday@zoology.ubc.ca). Keywords: ocean acidification; climate change; evolutionary potential; adaptation; quantitative genetics; experimental evolution. </w:t>
      </w:r>
      <w:proofErr w:type="gramStart"/>
      <w:r w:rsidRPr="004A5700">
        <w:rPr>
          <w:sz w:val="16"/>
        </w:rPr>
        <w:t>TREE-1772; No.</w:t>
      </w:r>
      <w:proofErr w:type="gramEnd"/>
      <w:r w:rsidRPr="004A5700">
        <w:rPr>
          <w:sz w:val="16"/>
        </w:rPr>
        <w:t xml:space="preserve"> </w:t>
      </w:r>
      <w:proofErr w:type="gramStart"/>
      <w:r w:rsidRPr="004A5700">
        <w:rPr>
          <w:sz w:val="16"/>
        </w:rPr>
        <w:t>of</w:t>
      </w:r>
      <w:proofErr w:type="gramEnd"/>
      <w:r w:rsidRPr="004A5700">
        <w:rPr>
          <w:sz w:val="16"/>
        </w:rPr>
        <w:t xml:space="preserve"> Pages 9 Trends in Ecology &amp; Evolution xx (2013) 1–9 1 the potential for an evolutionary response [12]. </w:t>
      </w:r>
      <w:r>
        <w:rPr>
          <w:rStyle w:val="StyleUnderline"/>
        </w:rPr>
        <w:t>Quantitative genetics approaches use comparisons among relatives with known genetic relatedness to partition observed phenotypic variance into their environmental and genetic components</w:t>
      </w:r>
      <w:r w:rsidRPr="004A5700">
        <w:rPr>
          <w:sz w:val="16"/>
        </w:rPr>
        <w:t xml:space="preserve"> [13]. The advantage of these methods is that </w:t>
      </w:r>
      <w:r>
        <w:rPr>
          <w:rStyle w:val="StyleUnderline"/>
        </w:rPr>
        <w:t>they can be applied to a range of organisms without requiring prior molecular genetic information and they can focus directly on fitness traits with no need to identify the specific genes involved</w:t>
      </w:r>
      <w:r w:rsidRPr="004A5700">
        <w:rPr>
          <w:sz w:val="16"/>
        </w:rPr>
        <w:t xml:space="preserve">. </w:t>
      </w:r>
      <w:r>
        <w:rPr>
          <w:rStyle w:val="StyleUnderline"/>
        </w:rPr>
        <w:t>Quantitative genetics</w:t>
      </w:r>
      <w:r w:rsidRPr="004A5700">
        <w:rPr>
          <w:sz w:val="16"/>
        </w:rPr>
        <w:t xml:space="preserve"> approaches have been used in a handful of ocean acidification studies. These </w:t>
      </w:r>
      <w:r>
        <w:rPr>
          <w:rStyle w:val="StyleUnderline"/>
        </w:rPr>
        <w:t>focus either on variation in acidification-sensitive phenotypes in the elevated pCO2 condition or on variation in reaction norms of phenotypes across present and future ocean conditions</w:t>
      </w:r>
      <w:r w:rsidRPr="004A5700">
        <w:rPr>
          <w:sz w:val="16"/>
        </w:rPr>
        <w:t xml:space="preserve"> (identifying a genotype-by-environment interaction, see Figure 1A). The use of clonal organisms provides the simplest study design. Because all variation within cloned individuals is assumed to be environmental, heritability Box 1. </w:t>
      </w:r>
      <w:proofErr w:type="gramStart"/>
      <w:r w:rsidRPr="004A5700">
        <w:rPr>
          <w:sz w:val="16"/>
        </w:rPr>
        <w:t>Acclimation or adaptation?</w:t>
      </w:r>
      <w:proofErr w:type="gramEnd"/>
      <w:r w:rsidRPr="004A5700">
        <w:rPr>
          <w:sz w:val="16"/>
        </w:rPr>
        <w:t xml:space="preserve"> </w:t>
      </w:r>
      <w:r w:rsidRPr="00737BCE">
        <w:rPr>
          <w:rStyle w:val="StyleUnderline"/>
          <w:highlight w:val="yellow"/>
        </w:rPr>
        <w:t>Organisms</w:t>
      </w:r>
      <w:r>
        <w:rPr>
          <w:rStyle w:val="StyleUnderline"/>
        </w:rPr>
        <w:t xml:space="preserve"> might be </w:t>
      </w:r>
      <w:r w:rsidRPr="00737BCE">
        <w:rPr>
          <w:rStyle w:val="StyleUnderline"/>
          <w:highlight w:val="yellow"/>
        </w:rPr>
        <w:t>able to maintain their performance in a future acidified ocean through acclimation or adaptation</w:t>
      </w:r>
      <w:r>
        <w:rPr>
          <w:rStyle w:val="StyleUnderline"/>
        </w:rPr>
        <w:t xml:space="preserve">. </w:t>
      </w:r>
      <w:r w:rsidRPr="00737BCE">
        <w:rPr>
          <w:rStyle w:val="StyleUnderline"/>
          <w:highlight w:val="yellow"/>
        </w:rPr>
        <w:t>Acclimation</w:t>
      </w:r>
      <w:r>
        <w:rPr>
          <w:rStyle w:val="StyleUnderline"/>
        </w:rPr>
        <w:t xml:space="preserve"> (here meaning both natural acclimatization and laboratory-based acclimation sensu [71]) </w:t>
      </w:r>
      <w:r w:rsidRPr="00737BCE">
        <w:rPr>
          <w:rStyle w:val="StyleUnderline"/>
          <w:highlight w:val="yellow"/>
        </w:rPr>
        <w:t>involves phenotypically plastic responses in physiology</w:t>
      </w:r>
      <w:r>
        <w:rPr>
          <w:rStyle w:val="StyleUnderline"/>
        </w:rPr>
        <w:t xml:space="preserve">, morphology, or behaviour that can help maintain fitness in a new environment. By contrast, </w:t>
      </w:r>
      <w:r w:rsidRPr="00737BCE">
        <w:rPr>
          <w:rStyle w:val="StyleUnderline"/>
          <w:highlight w:val="yellow"/>
        </w:rPr>
        <w:t xml:space="preserve">adaptation involves selection on genetic variation </w:t>
      </w:r>
      <w:r w:rsidRPr="004A5700">
        <w:rPr>
          <w:rStyle w:val="StyleUnderline"/>
        </w:rPr>
        <w:t>t</w:t>
      </w:r>
      <w:r>
        <w:rPr>
          <w:rStyle w:val="StyleUnderline"/>
        </w:rPr>
        <w:t xml:space="preserve">hat shifts the average phenotype toward the fitness peak. </w:t>
      </w:r>
      <w:r w:rsidRPr="004A5700">
        <w:rPr>
          <w:sz w:val="16"/>
        </w:rPr>
        <w:t xml:space="preserve">Under acclimation, we might observe no difference in a trait response of interest between environments because of plasticity in underlying processes, called ‘phenotypic buffering’ [72,73]. For example, an organism might maintain a similar growth rate in acidified conditions compared with current-day controls because of plasticity in metabolic processes that support growth (Figure I). Acclimation is categorized into three types: reversible, developmental, and transgenerational (Figure IB). Reversible acclimation occurs over days to months, often within a life stage [71], such as physiological adjustment to seasonal change [74]. Developmental acclimation occurs when exposure to a novel environment early in life enhances performance in that environment later in life [75]. Transgenerational acclimation occurs when the environment experienced by parents influences the performance of offspring in the same environment through nutritional, somatic, cytoplasmic, or epigenetic transfer between </w:t>
      </w:r>
      <w:r w:rsidRPr="004A5700">
        <w:rPr>
          <w:sz w:val="16"/>
        </w:rPr>
        <w:lastRenderedPageBreak/>
        <w:t xml:space="preserve">generations [76]. This can prime offspring for improved performance in a stressful environment [77] (Figure IC). Consequently, it might take two generations for the full extent of environmental acclimation to be expressed. </w:t>
      </w:r>
      <w:r>
        <w:rPr>
          <w:rStyle w:val="StyleUnderline"/>
        </w:rPr>
        <w:t>All forms of acclimation can interact with genetic adaptation. Ac</w:t>
      </w:r>
      <w:r w:rsidRPr="00737BCE">
        <w:rPr>
          <w:rStyle w:val="StyleUnderline"/>
          <w:highlight w:val="yellow"/>
        </w:rPr>
        <w:t xml:space="preserve">climation can buffer populations against immediate </w:t>
      </w:r>
      <w:r w:rsidRPr="004A5700">
        <w:rPr>
          <w:rStyle w:val="StyleUnderline"/>
        </w:rPr>
        <w:t xml:space="preserve">impacts of </w:t>
      </w:r>
      <w:r w:rsidRPr="00737BCE">
        <w:rPr>
          <w:rStyle w:val="StyleUnderline"/>
          <w:highlight w:val="yellow"/>
        </w:rPr>
        <w:t>ocean acidification and provide time for adaptation</w:t>
      </w:r>
      <w:r w:rsidRPr="004A5700">
        <w:rPr>
          <w:rStyle w:val="StyleUnderline"/>
        </w:rPr>
        <w:t xml:space="preserve"> to catch up</w:t>
      </w:r>
      <w:r>
        <w:rPr>
          <w:rStyle w:val="StyleUnderline"/>
        </w:rPr>
        <w:t xml:space="preserve"> [20], which could be especially important for organisms with long generation times</w:t>
      </w:r>
      <w:r w:rsidRPr="004A5700">
        <w:rPr>
          <w:sz w:val="16"/>
        </w:rPr>
        <w:t xml:space="preserve">. However, acclimation could also retard genetic adaptation by shifting the mean phenotype closer to the fitness peak, weakening the selection gradient, without changing allelic frequencies. Acclimation can also come at a cost. For example, maintenance of ion balance in acidified conditions can divert energy from other activities [78,79]. Such a cost can influence adaptive responses in an environment-specific manner (e.g., energetic costs might not matter if food availability is high). Finally, </w:t>
      </w:r>
      <w:r w:rsidRPr="00737BCE">
        <w:rPr>
          <w:rStyle w:val="StyleUnderline"/>
          <w:highlight w:val="yellow"/>
        </w:rPr>
        <w:t>acclimation might enhance genetic adaptation</w:t>
      </w:r>
      <w:r w:rsidRPr="004A5700">
        <w:rPr>
          <w:sz w:val="16"/>
        </w:rPr>
        <w:t xml:space="preserve"> if the new phenotype is favourably selected (genetic assimilation [80]), although the occurrence of this process remains highly uncertain. </w:t>
      </w:r>
      <w:r w:rsidRPr="00737BCE">
        <w:rPr>
          <w:rStyle w:val="Emphasis"/>
          <w:highlight w:val="yellow"/>
        </w:rPr>
        <w:t>Both acclimation and adaptation can help organisms persist in the face of environmental change and</w:t>
      </w:r>
      <w:r w:rsidRPr="004A5700">
        <w:rPr>
          <w:sz w:val="16"/>
        </w:rPr>
        <w:t xml:space="preserve"> understanding the links between these processes will be critical for predicting evolutionary responses to </w:t>
      </w:r>
      <w:r w:rsidRPr="004A5700">
        <w:rPr>
          <w:rStyle w:val="Emphasis"/>
        </w:rPr>
        <w:t xml:space="preserve">ocean </w:t>
      </w:r>
      <w:r w:rsidRPr="00737BCE">
        <w:rPr>
          <w:rStyle w:val="Emphasis"/>
          <w:highlight w:val="yellow"/>
        </w:rPr>
        <w:t>acidification</w:t>
      </w:r>
      <w:r w:rsidRPr="004A5700">
        <w:rPr>
          <w:sz w:val="16"/>
        </w:rPr>
        <w:t xml:space="preserve">. 8.0 8.2 8.4 8.6 8.8 9.0 9.2 9.4 low low mod high low high mod high Parent environment: Offspring environment: Reversible Transgeneraonal Developmental Trait value Phenotypic buffering Selecon in a populaon Mean trait value Observed funconal phenotype Underlying mechanism Gene expression level, morphological change, energy allocaon pCO2 pCO2 pCO pCO2 pCO2 pCO Frequency of pCO2- tolerant individuals pCO2 (A) Offspring length (mm) (C) (B) TRENDS in Ecology &amp; Evolution Figure I. (A) Two processes by which a functional phenotype might be similar across partial pressure of CO2 ( pCO2) treatments despite underlying mechanistic changes. Left: if phenotypic plasticity exists, we might observe no change in a functional phenotype of interest despite underlying changes in gene expression, morphological change, or energy allocation. Right: in experiments using populations of individuals, mortality selection removing pCO2-intolerant phenotypes at high pCO2 treatments can lead to no mean functional trait response despite underlying changes in phenotypic frequencies (e.g., [26]). (B) Three categories of acclimation. (C) The effect of parental environment on standard length of juvenile anemonefish exposed to low, medium, and high pCO2 [77]. The negative effect of pCO2 on offspring length was erased when both parents and offspring were reared at higher pCO2 levels, showing transgenerational acclimation. Review Trends in Ecology &amp; Evolution xxx xxxx, Vol. xxx, No. </w:t>
      </w:r>
      <w:proofErr w:type="gramStart"/>
      <w:r w:rsidRPr="004A5700">
        <w:rPr>
          <w:sz w:val="16"/>
        </w:rPr>
        <w:t>x</w:t>
      </w:r>
      <w:proofErr w:type="gramEnd"/>
      <w:r w:rsidRPr="004A5700">
        <w:rPr>
          <w:sz w:val="16"/>
        </w:rPr>
        <w:t xml:space="preserve"> TREE-1772; No. </w:t>
      </w:r>
      <w:proofErr w:type="gramStart"/>
      <w:r w:rsidRPr="004A5700">
        <w:rPr>
          <w:sz w:val="16"/>
        </w:rPr>
        <w:t>of</w:t>
      </w:r>
      <w:proofErr w:type="gramEnd"/>
      <w:r w:rsidRPr="004A5700">
        <w:rPr>
          <w:sz w:val="16"/>
        </w:rPr>
        <w:t xml:space="preserve"> Pages 9 2 in the broad sense (H2 , see below) can be estimated by partitioning variance within and between clones [13]. In the bryozoan Celleporella hyalina, the response of colony growth rate, reproductive investment, and colony condition to elevated pCO2 and temperature differed across clones, demonstrating that heritable variation exists in fitnessrelated traits influenced by ocean acidification, ocean warming, and their interaction [14]. </w:t>
      </w:r>
      <w:r w:rsidRPr="00737BCE">
        <w:rPr>
          <w:rStyle w:val="StyleUnderline"/>
          <w:highlight w:val="yellow"/>
        </w:rPr>
        <w:t>Clonal strains of the coccolithophore Emiliania huxleyi</w:t>
      </w:r>
      <w:r>
        <w:rPr>
          <w:rStyle w:val="StyleUnderline"/>
        </w:rPr>
        <w:t xml:space="preserve"> [15] collected from different regions and grown in a common environment differed in their growth rate and carbon content responses to elevated </w:t>
      </w:r>
      <w:proofErr w:type="gramStart"/>
      <w:r>
        <w:rPr>
          <w:rStyle w:val="StyleUnderline"/>
        </w:rPr>
        <w:t>pCO2</w:t>
      </w:r>
      <w:r w:rsidRPr="004A5700">
        <w:rPr>
          <w:sz w:val="16"/>
        </w:rPr>
        <w:t>.Likewise</w:t>
      </w:r>
      <w:proofErr w:type="gramEnd"/>
      <w:r w:rsidRPr="004A5700">
        <w:rPr>
          <w:sz w:val="16"/>
        </w:rPr>
        <w:t xml:space="preserve">, fitness, photosynthesis, carbon content, and size responses differed among isolated ecotypes of the picoplankton Ostreococcus tauri [16]. </w:t>
      </w:r>
      <w:r>
        <w:rPr>
          <w:rStyle w:val="StyleUnderline"/>
        </w:rPr>
        <w:t xml:space="preserve">These clonal studies </w:t>
      </w:r>
      <w:r w:rsidRPr="00737BCE">
        <w:rPr>
          <w:rStyle w:val="StyleUnderline"/>
          <w:highlight w:val="yellow"/>
        </w:rPr>
        <w:t>demonstrate</w:t>
      </w:r>
      <w:r>
        <w:rPr>
          <w:rStyle w:val="StyleUnderline"/>
        </w:rPr>
        <w:t xml:space="preserve"> the existence of </w:t>
      </w:r>
      <w:r w:rsidRPr="00737BCE">
        <w:rPr>
          <w:rStyle w:val="StyleUnderline"/>
          <w:highlight w:val="yellow"/>
        </w:rPr>
        <w:t>heritability for pCO2-related traits</w:t>
      </w:r>
      <w:r w:rsidRPr="004A5700">
        <w:rPr>
          <w:sz w:val="16"/>
        </w:rPr>
        <w:t xml:space="preserve">, but only in the broad sense, meaning they include heritable plastic, epigenetic, or genetic components of variation in pCO2 responses. Nevertheless </w:t>
      </w:r>
      <w:r>
        <w:rPr>
          <w:rStyle w:val="StyleUnderline"/>
        </w:rPr>
        <w:t xml:space="preserve">they suggest that </w:t>
      </w:r>
      <w:r w:rsidRPr="00737BCE">
        <w:rPr>
          <w:rStyle w:val="StyleUnderline"/>
          <w:highlight w:val="yellow"/>
        </w:rPr>
        <w:t>lineages with</w:t>
      </w:r>
      <w:r>
        <w:rPr>
          <w:rStyle w:val="StyleUnderline"/>
        </w:rPr>
        <w:t xml:space="preserve"> less adverse responses (or greater </w:t>
      </w:r>
      <w:r w:rsidRPr="00737BCE">
        <w:rPr>
          <w:rStyle w:val="StyleUnderline"/>
          <w:highlight w:val="yellow"/>
        </w:rPr>
        <w:t>positive responses) will increase in frequency</w:t>
      </w:r>
      <w:r w:rsidRPr="00737BCE">
        <w:rPr>
          <w:sz w:val="16"/>
          <w:highlight w:val="yellow"/>
        </w:rPr>
        <w:t>,</w:t>
      </w:r>
      <w:r w:rsidRPr="004A5700">
        <w:rPr>
          <w:sz w:val="16"/>
        </w:rPr>
        <w:t xml:space="preserve"> at least in the short term [16]. In non-clonal organisms, single-generation breeding designs and parent–offspring comparisons can be used to estimate additive genetic variance (</w:t>
      </w:r>
      <w:proofErr w:type="gramStart"/>
      <w:r w:rsidRPr="004A5700">
        <w:rPr>
          <w:sz w:val="16"/>
        </w:rPr>
        <w:t>h2 )</w:t>
      </w:r>
      <w:proofErr w:type="gramEnd"/>
      <w:r w:rsidRPr="004A5700">
        <w:rPr>
          <w:sz w:val="16"/>
        </w:rPr>
        <w:t xml:space="preserve">, the variance component that can readily respond to selection (variance due to heritable, genetic variation that is additive in nature) [13]. Factorial breeding designs are particularly useful for broadcast-spawning species in which both male and female gametes can be isolated (Figure 1) and allow additive genetic variance, maternal effects, and narrowsense heritability (i.e., the proportion of phenotypic variance that is additive genetic, denoted </w:t>
      </w:r>
      <w:proofErr w:type="gramStart"/>
      <w:r w:rsidRPr="004A5700">
        <w:rPr>
          <w:sz w:val="16"/>
        </w:rPr>
        <w:t>h2 )</w:t>
      </w:r>
      <w:proofErr w:type="gramEnd"/>
      <w:r w:rsidRPr="004A5700">
        <w:rPr>
          <w:sz w:val="16"/>
        </w:rPr>
        <w:t xml:space="preserve"> to be estimated [13]. Using factorial breeding designs, the size of early pluteus larvae in sea urchins at elevated pCO2 was shown to have high heritability in Strongylocentrotus purpuratus (h2 = 0.5 [17]), but lower heritability in Strongylocentrotus franciscanus (h2 = 0.09 [18]). Interestingly, there were similar levels of additive genetic variation for larval length in these two studies (350 and 248 mm, respectively), indicating that differences in the heritability estimates were possibly driven by differences in phenotypic variance, a feature that can differ according to experimental conditions [17]. By contrast, in larvae of the mussel Mytilus trossulus, there was additive genetic variance for larval size atlow pCO2, but none detected at high pCO2 and hence a diminishing scope for an evolutionary response [18]. Although the sea urchin Centrostephanus rodgersii did not show significant genetic variation for gastrulation success with varying pCO2 treatments, there was genetic variation at varying temperatures and a significant genetic correlation between the two responses, indicating a potential for correlated responses to selection imposed by the two stressors [19] (Box 2). In all of these examples, much of the observed variation was attributed to maternal effects at high- and low-pCO2 conditions, indicating differences in maternal provisioning that are expected at early embryonic stages. Control pCO2 Future pCO2 Mean fitness by sire (A) (B) Test for adaptaon Correlated response Ancestral populaon Populaon size Replicaon Selecon environment Control environment n generaons of experimental evoluon Assay experiment 1 Assay experiment 2...m Fitness Correlated response Test for adaptaon TRENDS in Ecology &amp; Evolution Figure 1. (A) Illustration of a factorial fertilization cross with a blocked design to estimate standing genetic variation using nine dams and sires. Inset shows idealized data showing mean responses by individual sire. Phenotypic variation in experimental partial pressure of CO2 </w:t>
      </w:r>
      <w:proofErr w:type="gramStart"/>
      <w:r w:rsidRPr="004A5700">
        <w:rPr>
          <w:sz w:val="16"/>
        </w:rPr>
        <w:t>( pCO2</w:t>
      </w:r>
      <w:proofErr w:type="gramEnd"/>
      <w:r w:rsidRPr="004A5700">
        <w:rPr>
          <w:sz w:val="16"/>
        </w:rPr>
        <w:t xml:space="preserve">) conditions (height of points in grey box) or variation in phenotype reaction norms between control and experimental pCO2 conditions </w:t>
      </w:r>
      <w:r w:rsidRPr="004A5700">
        <w:rPr>
          <w:sz w:val="16"/>
        </w:rPr>
        <w:lastRenderedPageBreak/>
        <w:t xml:space="preserve">(slope of response curves in inset) can be attributed to sire effects, dam effects, sire dam interaction effects, and culture effects. Using the sire model [13], additive genetic variation is derived from the sire effects and maternal effects are derived from the difference between sire and dam effects. (B) Important elements of an experimental evolution experiment. Critical steps are the choice of the ancestral or base population with its initial genetic diversity, the number and population size of the independently evolving population replicates, the number of generations of experimental evolution, and the choice of the selection treatment, always compared with a laboratory selection control. The critical test for adaptation is conducted via a reciprocal assay experiment in which selection and control treatments are exposed to both conditions after appropriate acclimation. The full-factorial assay experiments have to be repeated over the course of the experiment. The hypothetical bar diagram indicates the evolutionary adaptation of the adapted populations as well as a decline of fitness due to trade-offs when exposing adapted lines back to the ancestral conditions. Review Trends in Ecology &amp; Evolution xxx xxxx, Vol. xxx, No. </w:t>
      </w:r>
      <w:proofErr w:type="gramStart"/>
      <w:r w:rsidRPr="004A5700">
        <w:rPr>
          <w:sz w:val="16"/>
        </w:rPr>
        <w:t>x</w:t>
      </w:r>
      <w:proofErr w:type="gramEnd"/>
      <w:r w:rsidRPr="004A5700">
        <w:rPr>
          <w:sz w:val="16"/>
        </w:rPr>
        <w:t xml:space="preserve"> TREE-1772; No. </w:t>
      </w:r>
      <w:proofErr w:type="gramStart"/>
      <w:r w:rsidRPr="004A5700">
        <w:rPr>
          <w:sz w:val="16"/>
        </w:rPr>
        <w:t>of</w:t>
      </w:r>
      <w:proofErr w:type="gramEnd"/>
      <w:r w:rsidRPr="004A5700">
        <w:rPr>
          <w:sz w:val="16"/>
        </w:rPr>
        <w:t xml:space="preserve"> Pages 9 3 Although these studies demonstrate the advantage of using breeding designs to estimate heritable variation, they each focused on growth during early development, the fitness consequences of which are difficult to ascertain. Estimating evolutionary potential requires knowledge of genetic variance as well as the strength of selection toward a fitness optimum [20]. Future work must focus on survival, reproduction, or other ecologically important traits affecting population growth to improve the utility of quantitative genetics studies, so that selection responses can be better estimated. Using genomics to identify pCO2-responsive loci Recent advances in next-generation DNA sequencing have made it possible and cost-effective to develop genome-scale data that can be useful toward identifying standing genetic variation at multiple loci responsive to pCO2 change. Transcriptomics profiles have been useful for identifying genes that vary in gene expression levels in future ocean environments, indicating a plastic response at a cellular level (e.g., [21,22]). </w:t>
      </w:r>
      <w:r>
        <w:rPr>
          <w:rStyle w:val="StyleUnderline"/>
        </w:rPr>
        <w:t xml:space="preserve">However, to show a </w:t>
      </w:r>
      <w:r w:rsidRPr="00737BCE">
        <w:rPr>
          <w:rStyle w:val="StyleUnderline"/>
          <w:highlight w:val="yellow"/>
        </w:rPr>
        <w:t>potential for evolutionary adaptation</w:t>
      </w:r>
      <w:r>
        <w:rPr>
          <w:rStyle w:val="StyleUnderline"/>
        </w:rPr>
        <w:t xml:space="preserve">, heritable variation in expression level responses or allelic variation in the coding genes themselves must be demonstrated [23]. Once such loci are identified, it will be critical to relate genetic variation directly to fitness [24,25]. This </w:t>
      </w:r>
      <w:r w:rsidRPr="00737BCE">
        <w:rPr>
          <w:rStyle w:val="StyleUnderline"/>
          <w:highlight w:val="yellow"/>
        </w:rPr>
        <w:t>was</w:t>
      </w:r>
      <w:r>
        <w:rPr>
          <w:rStyle w:val="StyleUnderline"/>
        </w:rPr>
        <w:t xml:space="preserve"> recently </w:t>
      </w:r>
      <w:r w:rsidRPr="00737BCE">
        <w:rPr>
          <w:rStyle w:val="StyleUnderline"/>
          <w:highlight w:val="yellow"/>
        </w:rPr>
        <w:t>achieved</w:t>
      </w:r>
      <w:r>
        <w:rPr>
          <w:rStyle w:val="StyleUnderline"/>
        </w:rPr>
        <w:t xml:space="preserve"> in a study of S. purpuratus urchin larvae in which allele frequencies changed differentially over 7 days in a high- versus low-pCO2 regime, </w:t>
      </w:r>
      <w:r w:rsidRPr="00737BCE">
        <w:rPr>
          <w:rStyle w:val="StyleUnderline"/>
          <w:highlight w:val="yellow"/>
        </w:rPr>
        <w:t>suggesting allele-specific survival</w:t>
      </w:r>
      <w:r w:rsidRPr="004A5700">
        <w:rPr>
          <w:sz w:val="16"/>
        </w:rPr>
        <w:t xml:space="preserve"> [26]. The changes in the high-pCO2 treatment occurred at loci of known functional protein classes. Furthermore, among those genes related to biomineralization, lipid metabolism, and ion homeostasis, surviving alleles had greater-than-expected differences at amino acid-changing nucleotide sites compared with the original pool, supporting the interpretation that selection acted on functional proteins. These underlying allelic changes occurred despite little change in development and morphology between the high and low treatments, suggesting that the underlying population genetic change was responsible for the population resilience observed (Box 1). Although sequencing projects remain simplest in model organisms with existing genomic data (Box 3), recent bioinformatics advances are facilitating the use of nextgeneration sequencing in non-model organisms, opening use of this technology for a broader scope of organisms [27]. Box 2. Correlated traits and fitness trade-offs Genetic correlations among traits might increase [81] or decrease [82,83] the rate of adaptive evolution, depending on whether they are positively or negatively correlated with respect to the fitness landscape (Figure IIA</w:t>
      </w:r>
      <w:proofErr w:type="gramStart"/>
      <w:r w:rsidRPr="004A5700">
        <w:rPr>
          <w:sz w:val="16"/>
        </w:rPr>
        <w:t>,B</w:t>
      </w:r>
      <w:proofErr w:type="gramEnd"/>
      <w:r w:rsidRPr="004A5700">
        <w:rPr>
          <w:sz w:val="16"/>
        </w:rPr>
        <w:t xml:space="preserve">). The basis for such correlations can be genetic pleiotropy (single genes conferring multiple traits) or linkage disequilibrium (non-random association of alleles at different loci) [84,85], such that selection on one trait will elicit a response in another in the direction of the correlation (e.g., [86]). If the correlation exists because of gene linkage, it can be broken up by recombination [87]. In the Sydney rock oyster, ten years of artificial selection for faster growth and disease resistance inadvertently resulted in increased resilience to pCO2 stress [88]. </w:t>
      </w:r>
      <w:r w:rsidRPr="00737BCE">
        <w:rPr>
          <w:rStyle w:val="StyleUnderline"/>
          <w:highlight w:val="yellow"/>
        </w:rPr>
        <w:t>This suggests a positive genetic correlation between</w:t>
      </w:r>
      <w:r>
        <w:rPr>
          <w:rStyle w:val="StyleUnderline"/>
        </w:rPr>
        <w:t xml:space="preserve"> growth or disease </w:t>
      </w:r>
      <w:r w:rsidRPr="00737BCE">
        <w:rPr>
          <w:rStyle w:val="StyleUnderline"/>
          <w:highlight w:val="yellow"/>
        </w:rPr>
        <w:t>resistance</w:t>
      </w:r>
      <w:r>
        <w:rPr>
          <w:rStyle w:val="StyleUnderline"/>
        </w:rPr>
        <w:t xml:space="preserve"> under ambient conditions and growth rate responses </w:t>
      </w:r>
      <w:r w:rsidRPr="00737BCE">
        <w:rPr>
          <w:rStyle w:val="StyleUnderline"/>
          <w:highlight w:val="yellow"/>
        </w:rPr>
        <w:t>to pCO2</w:t>
      </w:r>
      <w:r>
        <w:rPr>
          <w:rStyle w:val="StyleUnderline"/>
        </w:rPr>
        <w:t xml:space="preserve"> [</w:t>
      </w:r>
      <w:r w:rsidRPr="004A5700">
        <w:rPr>
          <w:sz w:val="16"/>
        </w:rPr>
        <w:t xml:space="preserve">88]. Likewise, in developing sea urchin larvae, genotypes that performed well in high temperatures also performed well at low pH [89], which should accelerate the rate of evolution (Figure IIB). The adaptive landscape itself might lead to unexpected responses to selection because of fitness trade-offs. For example, greater survival under ocean acidification might occur at a cost to reproductive output, to performance of other life-history stages, or to fitness when multiple drivers are considered (e.g., warming, anoxia, predation, competition; Figure IIC). Recent evidence showing that pCO2 resilience in calcifiers comes at a metabolic cost [19,90] suggests energy allocation trade-offs between pCO2 resilience and other energetically maintained fitness traits. Many taxa (but not all) also show negative synergistic responses to acidification and warming (reviewed in [50,51]). This suggests a common, nonlinear physiological mechanism linking an organism’s response to either an environmental driver, such as mutual effects on aerobic scope [85,91], or a previous fitness trade-off in tolerating both variables, such that few individuals have cotolerance [92]. There is also evidence that greater resilience to pCO2 comes at a competitive cost. In two species of marine microalga, slow-growing strains had greater resilience to pCO2 than fast-growing strains [93], suggesting that selection for fast growth, and hence competitive ability in phytoplankton, might counter selection for pCO2 resilience (Figure IIC). Where possible, understanding the physiological mechanisms of pCO2 responses will help in anticipating genetic correlations and fitness trade-offs. + </w:t>
      </w:r>
      <w:proofErr w:type="gramStart"/>
      <w:r w:rsidRPr="004A5700">
        <w:rPr>
          <w:sz w:val="16"/>
        </w:rPr>
        <w:t>pCO2</w:t>
      </w:r>
      <w:proofErr w:type="gramEnd"/>
      <w:r w:rsidRPr="004A5700">
        <w:rPr>
          <w:sz w:val="16"/>
        </w:rPr>
        <w:t xml:space="preserve"> tolerance Temperature tolerance + pCO2 tolerance Temperature tolerance pCO2 tolerance + Compeve ability (A) (B) (C) TRENDS in Ecology &amp; Evolution Figure II. </w:t>
      </w:r>
      <w:proofErr w:type="gramStart"/>
      <w:r w:rsidRPr="004A5700">
        <w:rPr>
          <w:sz w:val="16"/>
        </w:rPr>
        <w:t>Genetic variance and fitness landscapes across two phenotypic dimensions.</w:t>
      </w:r>
      <w:proofErr w:type="gramEnd"/>
      <w:r w:rsidRPr="004A5700">
        <w:rPr>
          <w:sz w:val="16"/>
        </w:rPr>
        <w:t xml:space="preserve"> Coloured lines show isopleths in the fitness landscape leading up to a local maximum (+), black dots and grey regions show mean and variation in 2D phenotype before selection, arrows show direction of selection, and broken lines show direction of maximal genetic variance. A positive genetic correlation between two traits [e.g., partial pressure of CO2 </w:t>
      </w:r>
      <w:proofErr w:type="gramStart"/>
      <w:r w:rsidRPr="004A5700">
        <w:rPr>
          <w:sz w:val="16"/>
        </w:rPr>
        <w:t>( pCO2</w:t>
      </w:r>
      <w:proofErr w:type="gramEnd"/>
      <w:r w:rsidRPr="004A5700">
        <w:rPr>
          <w:sz w:val="16"/>
        </w:rPr>
        <w:t xml:space="preserve">) tolerance and temperature tolerance] will accelerate adaptive evolution (A), whereas a negative genetic correlation will slow adaptive evolution (B). Even without genetic correlations, fitness trade-offs, such as between pCO2 tolerance and competitive ability, can constrain evolution along a maximal fitness ridge (C). Review Trends in Ecology &amp; Evolution xxx xxxx, Vol. xxx, No. </w:t>
      </w:r>
      <w:proofErr w:type="gramStart"/>
      <w:r w:rsidRPr="004A5700">
        <w:rPr>
          <w:sz w:val="16"/>
        </w:rPr>
        <w:t>x</w:t>
      </w:r>
      <w:proofErr w:type="gramEnd"/>
      <w:r w:rsidRPr="004A5700">
        <w:rPr>
          <w:sz w:val="16"/>
        </w:rPr>
        <w:t xml:space="preserve"> TREE-1772; No. </w:t>
      </w:r>
      <w:proofErr w:type="gramStart"/>
      <w:r w:rsidRPr="004A5700">
        <w:rPr>
          <w:sz w:val="16"/>
        </w:rPr>
        <w:t>of</w:t>
      </w:r>
      <w:proofErr w:type="gramEnd"/>
      <w:r w:rsidRPr="004A5700">
        <w:rPr>
          <w:sz w:val="16"/>
        </w:rPr>
        <w:t xml:space="preserve"> Pages 9 4 Experimental evolution Experimental evolution has only recently been used to study processes of adaptation to ocean acidification. Two basic </w:t>
      </w:r>
      <w:r w:rsidRPr="004A5700">
        <w:rPr>
          <w:sz w:val="16"/>
        </w:rPr>
        <w:lastRenderedPageBreak/>
        <w:t>designs can be distinguished. In experimental natural selection, the experimenter alters the environment and selection occurs by a mixture of mortality and fecundity selection of genotypes during the multigeneration experiment (Figure 1). In artificial selection, individuals with specific trait values such as large body size or heat-shock tolerance are selected by the experimenter to found the next generation [28]. Artificial selection is informative for unravelling trait correlations and fundamental limits to adaptive evolution [29]. Important considerations for both designs are the diversity in the starting population and the effective population size during the experiment, particularly in experiments with metazoa, to avoid genetic drift overriding selection [8]. The salient test for adaptation always needs to include control populations for unwanted laboratory selection, which (after appropriate acclimation time to the stressor) are compared with populations that evolved under the novel condition. Owing to their short generation time, marine unicellular plankton were the first targets for experimental evolution in ocean acidification research [8]. Important findings are that, in two species of phytoplankton (coccolithophores, Haptophyta) exposed to elevated pCO2 for hundreds of asexual generations, adverse ocean acidification effects declined. In a non-calcifying strain of Gephyrocapsa oceanica [30], growth rates, particulate organic carbon content, and photosynthesis rate increased due to adaptation after approximately 670 generations, and in E. huxleyi growth and calcification rates were partly restored after approximately 500 asexual generations [31]. In each of these experiments, the initial population comprised only a single genotype, highlighting the role of de novo mutations in large plankton populations. In the E. huxleyi case, the genetic basis of the observed phenotypic change was found to differ among replicate populations [32]. When starting cultures contained a mix of several E. huxleyi genotypes, rapid and consistent genotypic sorting specific to pCO2 treatment was observed [31]. In another long-term experiment with E. huxleyi (703 generations), particulate inorganic carbon and calcification rate increased after 214 generations with elevated pCO2 and temperature [22], which was in contrast to the response of the same E. huxleyi strain in a short-term study (seven generations [33]), indicating a change in response probably due to adaptation. In contrast to the experiments with coccolithophores, no phenotypic changes were observed in a diatom species in an experimental evolution experiment simulating endof the-century pCO2 values [34]. This might be due to either the relatively short duration (only 100 generations) or the selection regime, in which increased pCO2 created a more benign growth condition for the non-calcifying diatom, relaxing the need for physiological concentration of carbon molecules. Hence carbon concentration mechanisms appeared to degenerate in the high-pCO2 regime, a response that only becomes visible when adapted lineages are back-exposed to ambient conditions [35]. Adaptive responses might also affect community composition in mixed assemblages. This was recently explored in assemblages of dinoflagellates [36] and diatoms [37], where, after 1 year of isolated conditioning in elevated pCO2 (dinoflagellates, 48–126 generations) or elevated pCO2 and temperature (diatoms, 169–229 generations)</w:t>
      </w:r>
      <w:proofErr w:type="gramStart"/>
      <w:r w:rsidRPr="004A5700">
        <w:rPr>
          <w:sz w:val="16"/>
        </w:rPr>
        <w:t>,the</w:t>
      </w:r>
      <w:proofErr w:type="gramEnd"/>
      <w:r w:rsidRPr="004A5700">
        <w:rPr>
          <w:sz w:val="16"/>
        </w:rPr>
        <w:t xml:space="preserve"> relative dominance of species did not change in a manner specific to their conditioning environment (although for dinoflagellates, assemblage composition changed over time, apparantly in response to culture conditions). These studies represent important forays in focus from single species’ performance to community composition and may be particularly interesting if applied to communities with calcifying taxa. </w:t>
      </w:r>
      <w:r w:rsidRPr="00737BCE">
        <w:rPr>
          <w:rStyle w:val="StyleUnderline"/>
          <w:highlight w:val="yellow"/>
        </w:rPr>
        <w:t>Experimental evolution</w:t>
      </w:r>
      <w:r>
        <w:rPr>
          <w:rStyle w:val="StyleUnderline"/>
        </w:rPr>
        <w:t xml:space="preserve"> offers great potential for </w:t>
      </w:r>
      <w:r w:rsidRPr="00737BCE">
        <w:rPr>
          <w:rStyle w:val="StyleUnderline"/>
          <w:highlight w:val="yellow"/>
        </w:rPr>
        <w:t>address</w:t>
      </w:r>
      <w:r>
        <w:rPr>
          <w:rStyle w:val="StyleUnderline"/>
        </w:rPr>
        <w:t xml:space="preserve">ing </w:t>
      </w:r>
      <w:r w:rsidRPr="00737BCE">
        <w:rPr>
          <w:rStyle w:val="StyleUnderline"/>
          <w:highlight w:val="yellow"/>
        </w:rPr>
        <w:t>adaptation in species with short generation times</w:t>
      </w:r>
      <w:r>
        <w:rPr>
          <w:rStyle w:val="StyleUnderline"/>
        </w:rPr>
        <w:t xml:space="preserve"> and is currently underused in marine metazoans [8]. Because experimental natural selection directly favours individuals with high Darwinian fitness, the need to mechanistically associate pCO2-sensitive traits with survival and reproduction is alleviated</w:t>
      </w:r>
      <w:r w:rsidRPr="004A5700">
        <w:rPr>
          <w:sz w:val="16"/>
        </w:rPr>
        <w:t xml:space="preserve">. In addition, evolutionary constraints (Box 4) are directly evident from experimental results and pleiotropic effects (Box 2) can be experimentally tested [32]. Experimental challenges in assessing adaptive potential </w:t>
      </w:r>
      <w:proofErr w:type="gramStart"/>
      <w:r w:rsidRPr="004A5700">
        <w:rPr>
          <w:sz w:val="16"/>
        </w:rPr>
        <w:t>Although</w:t>
      </w:r>
      <w:proofErr w:type="gramEnd"/>
      <w:r w:rsidRPr="004A5700">
        <w:rPr>
          <w:sz w:val="16"/>
        </w:rPr>
        <w:t xml:space="preserve"> these experimental approaches have demonstrated the potential for evolution in principle, there are several complexities that confound the predictive ability of laboratory results. We summarize four surmountable challenges for future work. Box 3. Utility of model organisms Due to the inherent challenges of assessing evolutionary potential, we have neither the time nor the resources to study every species with the required level of detail, and many species are not amenable for evolutionary experiments. One strategy is to use established model organisms (e.g., the sea urchin Strongylocentrotus purpuratus, the polychaete worm Platynereis dumerilii, and the coccolithophore Emiliania huxleyi) to prove concepts and dissect underlying evolutionary mechanisms behind responses to ocean acidification. For example, the developmental biology model sea urchin species S. purpuratus has been used to demonstrate the key role of existing genetic diversity in population responses to ocean acidification [17,26]. Drawing generalizable inferences from model organisms, however, is not without limitations. Model organisms are often selected for their utility in mechanistic physiological or cellular studies, not their ecological relevance. As such, they tend to have high accessibility, small body size, and easy culturing for use in experimental laboratory research. The transferability of stress-response findings using these species might be limited because they are potentially more resilient to environmental changes, leading to underestimation of the more general impacts of a stressor. Because the impact of ocean acidification appears to be highly taxon specific, even in closely related species [51], care should be taken when extrapolating responses from one species to another. Democratization of new technologies, including genomics, has allowed the emergence of new model organisms and transfer of technology to non-model species. This is of great interest for evolutionary ocean change research because it is now possible to use genomics methods previously limited to model organisms [70]. Research should now include a wide range of species with various life-history strategies, habitats, physiology, and evolutionary potential. Review Trends in Ecology &amp; Evolution xxx xxxx, Vol. xxx, No. </w:t>
      </w:r>
      <w:proofErr w:type="gramStart"/>
      <w:r w:rsidRPr="004A5700">
        <w:rPr>
          <w:sz w:val="16"/>
        </w:rPr>
        <w:t>x</w:t>
      </w:r>
      <w:proofErr w:type="gramEnd"/>
      <w:r w:rsidRPr="004A5700">
        <w:rPr>
          <w:sz w:val="16"/>
        </w:rPr>
        <w:t xml:space="preserve"> TREE-1772; No. </w:t>
      </w:r>
      <w:proofErr w:type="gramStart"/>
      <w:r w:rsidRPr="004A5700">
        <w:rPr>
          <w:sz w:val="16"/>
        </w:rPr>
        <w:t>of</w:t>
      </w:r>
      <w:proofErr w:type="gramEnd"/>
      <w:r w:rsidRPr="004A5700">
        <w:rPr>
          <w:sz w:val="16"/>
        </w:rPr>
        <w:t xml:space="preserve"> Pages 9 5 First, ocean acidification does not exist in isolation of other changing abiotic parameters and we are only beginning to understand the role of pCO2 in modulating how organisms simultaneously respond and potentially evolve to changes in other key drivers such as temperature or oxidative stress [7,14,19,38–40]. Genetic correlations and evolutionary trade-offs between environmental drivers can greatly modify how evolution proceeds (Box 2); thus multiple drivers need to be investigated. Second, species interactions within ecosystems can be affected by changing abiotic drivers and such indirect effects are likely to play a key role in many ecosystems [9]. For example, copepods, which are key players in the marine ecosystem and a major food source for fish, seem resilient to ocean acidification but can be indirectly impacted by the negative effects observed on the quality of the phytoplankton on which they feed [41]. By contrast, marine bivalves can thrive in high-pCO2 environments when abundant food is available to offset the increased metabolic costs associated with ocean </w:t>
      </w:r>
      <w:r w:rsidRPr="004A5700">
        <w:rPr>
          <w:sz w:val="16"/>
        </w:rPr>
        <w:lastRenderedPageBreak/>
        <w:t xml:space="preserve">acidification [19]. Thus the selective landscape differs when species interactions are included. In situ changes in community composition across spatial or temporal gradients are to likely yield important insight into pCO2-mediated species interactions (see below), as well as experimental evolution studies that explicitly consider community composition in mesocosms (e.g., [36,37]). Third, many marine species have complex life histories and each life stage can respond differently to selection pressures or live in a different selective environment (e.g., pelagic larvae, benthic adults) [42,43]. Exposure at one lifehistory stage can also affect phenotypes at another through phenotypic carry-over effects [44] (Box 1). For example, sea urchin larvae exposed to elevated pCO2 </w:t>
      </w:r>
      <w:proofErr w:type="gramStart"/>
      <w:r w:rsidRPr="004A5700">
        <w:rPr>
          <w:sz w:val="16"/>
        </w:rPr>
        <w:t>sea water</w:t>
      </w:r>
      <w:proofErr w:type="gramEnd"/>
      <w:r w:rsidRPr="004A5700">
        <w:rPr>
          <w:sz w:val="16"/>
        </w:rPr>
        <w:t xml:space="preserve"> produce juveniles that are ten times more sensitive to ocean acidifi- cation than those produced from non-exposed larvae [45]. Whereas experimental evolution integrates selection across entire lifespans of experimental organisms, assessments of standing genetic variationtend to focus ononly one life stage at a </w:t>
      </w:r>
      <w:proofErr w:type="gramStart"/>
      <w:r w:rsidRPr="004A5700">
        <w:rPr>
          <w:sz w:val="16"/>
        </w:rPr>
        <w:t>time.Longer</w:t>
      </w:r>
      <w:proofErr w:type="gramEnd"/>
      <w:r w:rsidRPr="004A5700">
        <w:rPr>
          <w:sz w:val="16"/>
        </w:rPr>
        <w:t xml:space="preserve"> experimental durations are thus needed to integrate responses over a larger proportion of an organisms’ lifespan or (ideally) across generations. Fourth, experiments on ocean acidification have traditionally been approached as a comparison between present-day and near-future average conditions, without taking into account short-term pCO2 variability or gradual change. Yettemporal variability can be high within specific locations [46] and mean ‘future scenarios’ can be within the range of variability presently experienced by populations [47], with variability itself expected to increase [48]. Two experimental approaches can help to improve this: (i) imposing variable conditions around a present-day and future pCO2 mean; and (ii) changing the selection condition during experimental evolution as a rate and not abruptly, which may change the rate of adaptation [49]. These complexities are by no means trivial. Yet already studies of multiple environmental drivers and their interactions have become more prominent in non-evolutionary research [50,51]. Improving our understanding of the mechanisms that underlie how pCO2 affects species performance and their responses to other variables will allow research on evolutionary potential that is more targeted to the most salient aspects of ocean change. We might also turn to comparative studies in natural settings, where these complexities are left intact (see below). Evidence of evolution in nature Comparing phenotypes of species, populations, or strains living along spatial or temporal environmental gradients can inform our understanding of how adaptation has occurred in the past. We explore first spatial, then temporal, approaches for understanding adaptation to ocean acidifi- cation. Although stable spatial gradients in pCO2 and pH are less evident or available than spatial gradients in temperature, examples do exist along bathymetrical gradients [52], around natural underwater CO2 vents [53,54], along fjords [19], and along coastal upwelling zones [55]. However, these tend to occur on relatively small spatial scales with </w:t>
      </w:r>
      <w:proofErr w:type="gramStart"/>
      <w:r w:rsidRPr="004A5700">
        <w:rPr>
          <w:sz w:val="16"/>
        </w:rPr>
        <w:t>often high</w:t>
      </w:r>
      <w:proofErr w:type="gramEnd"/>
      <w:r w:rsidRPr="004A5700">
        <w:rPr>
          <w:sz w:val="16"/>
        </w:rPr>
        <w:t xml:space="preserve"> temporal variability of pCO2, so local adaptation may be limited by continuous input of genetic material from the surrounding ambient-pCO2 environment. Box 4. Constraints on adaptive evolution Adaptive evolution can be restricted by rate-limiting or fundamental evolutionary constraints. Rate-limiting constraints can slow the rate of adaptive evolution and fundamental constraints can prevent key innovations because they are simply not available within a realistic timeframe. </w:t>
      </w:r>
      <w:proofErr w:type="gramStart"/>
      <w:r>
        <w:rPr>
          <w:rStyle w:val="StyleUnderline"/>
        </w:rPr>
        <w:t>Rates of adaptive evolution can be influenced by the amount of genetic variation in a population, the extent and frequency of recombination, the rate of genetic drift, the strength of selection, and the genetic architecture of a trait</w:t>
      </w:r>
      <w:proofErr w:type="gramEnd"/>
      <w:r>
        <w:rPr>
          <w:rStyle w:val="StyleUnderline"/>
        </w:rPr>
        <w:t xml:space="preserve">. </w:t>
      </w:r>
      <w:r w:rsidRPr="00737BCE">
        <w:rPr>
          <w:rStyle w:val="StyleUnderline"/>
          <w:highlight w:val="yellow"/>
        </w:rPr>
        <w:t>Many marine populations</w:t>
      </w:r>
      <w:r>
        <w:rPr>
          <w:rStyle w:val="StyleUnderline"/>
        </w:rPr>
        <w:t xml:space="preserve"> </w:t>
      </w:r>
      <w:r w:rsidRPr="00737BCE">
        <w:rPr>
          <w:rStyle w:val="StyleUnderline"/>
          <w:highlight w:val="yellow"/>
        </w:rPr>
        <w:t>display</w:t>
      </w:r>
      <w:r>
        <w:rPr>
          <w:rStyle w:val="StyleUnderline"/>
        </w:rPr>
        <w:t xml:space="preserve"> large census sizes, which are likely to translate into </w:t>
      </w:r>
      <w:r w:rsidRPr="00737BCE">
        <w:rPr>
          <w:rStyle w:val="StyleUnderline"/>
          <w:highlight w:val="yellow"/>
        </w:rPr>
        <w:t>large effective population sizes</w:t>
      </w:r>
      <w:r>
        <w:rPr>
          <w:rStyle w:val="StyleUnderline"/>
        </w:rPr>
        <w:t xml:space="preserve"> (Ne) [94] </w:t>
      </w:r>
      <w:r w:rsidRPr="00737BCE">
        <w:rPr>
          <w:rStyle w:val="StyleUnderline"/>
          <w:highlight w:val="yellow"/>
        </w:rPr>
        <w:t>and thus a high rate of new mutations and a predominance of selection</w:t>
      </w:r>
      <w:r>
        <w:rPr>
          <w:rStyle w:val="StyleUnderline"/>
        </w:rPr>
        <w:t xml:space="preserve"> over genetic drift. </w:t>
      </w:r>
      <w:r w:rsidRPr="00737BCE">
        <w:rPr>
          <w:rStyle w:val="StyleUnderline"/>
          <w:highlight w:val="yellow"/>
        </w:rPr>
        <w:t>This suggests a high potential for rapid evolutionary responses</w:t>
      </w:r>
      <w:r w:rsidRPr="00737BCE">
        <w:rPr>
          <w:sz w:val="16"/>
          <w:highlight w:val="yellow"/>
        </w:rPr>
        <w:t>.</w:t>
      </w:r>
      <w:r w:rsidRPr="004A5700">
        <w:rPr>
          <w:sz w:val="16"/>
        </w:rPr>
        <w:t xml:space="preserve"> However, Ne tends to decline with body size among unicellular, invertebrate, and vertebrate taxa [69] and further declines with geographic substructuring of marine populations [95]. Sexual reproduction increases the population-level variance available to selection and joins separate beneficial mutations within the same genotype via recombination [96]. By contrast, in asexual microbial populations mutations have to occur sequentially, although the same taxa tend to have very large population sizes and hence represent enormous mutational targets [8]. Stronger selection increases the rate of adaptive evolution and can be conceptualized as the rate of fitness decline from a phenotypic optimum. Although </w:t>
      </w:r>
      <w:proofErr w:type="gramStart"/>
      <w:r w:rsidRPr="004A5700">
        <w:rPr>
          <w:sz w:val="16"/>
        </w:rPr>
        <w:t>the fitness optimum can be influenced by a changing environment</w:t>
      </w:r>
      <w:proofErr w:type="gramEnd"/>
      <w:r w:rsidRPr="004A5700">
        <w:rPr>
          <w:sz w:val="16"/>
        </w:rPr>
        <w:t xml:space="preserve">, so can phenotypes, via phenotypic plasticity; hence both are important for estimating the strength of selection in a changing environment [20]. The multidimensional fitness landscape and genetic correlations between traits under selection can also influence the rate of adaptation (Box 2). </w:t>
      </w:r>
      <w:proofErr w:type="gramStart"/>
      <w:r w:rsidRPr="004A5700">
        <w:rPr>
          <w:sz w:val="16"/>
        </w:rPr>
        <w:t>Fundamental constraints on adaptive evolution are suggested by the fossil record</w:t>
      </w:r>
      <w:proofErr w:type="gramEnd"/>
      <w:r w:rsidRPr="004A5700">
        <w:rPr>
          <w:sz w:val="16"/>
        </w:rPr>
        <w:t xml:space="preserve">. For example, four of five coral mass extinctions from the geological record were governed at least partly by ocean acidification periods [97]. At contemporary time scales, stasis in evolution experiments can indicate the presence of fundamental constraints on global change-associated selection [98]. Extreme environments might also shed light on the presence of fundamental evolutionary constraints. For example, the calcifying deep-sea bivalves Bathymodiolus spp. thrive in the vicinity of hot vents at pH values of 6 [99], suggesting that predicted ocean acidification levels are not beyond the capacity of some mytilid bivalves. By contrast, </w:t>
      </w:r>
      <w:proofErr w:type="gramStart"/>
      <w:r w:rsidRPr="004A5700">
        <w:rPr>
          <w:sz w:val="16"/>
        </w:rPr>
        <w:t>although limpets (Patella spp.) can calcify below pH 7.0 [100], their shells are not protected by a protein shield (periostracum) as in mussels</w:t>
      </w:r>
      <w:proofErr w:type="gramEnd"/>
      <w:r w:rsidRPr="004A5700">
        <w:rPr>
          <w:sz w:val="16"/>
        </w:rPr>
        <w:t xml:space="preserve">; thus their shells will dissolve in these environments. Review Trends in Ecology &amp; Evolution xxx xxxx, Vol. xxx, No. </w:t>
      </w:r>
      <w:proofErr w:type="gramStart"/>
      <w:r w:rsidRPr="004A5700">
        <w:rPr>
          <w:sz w:val="16"/>
        </w:rPr>
        <w:t>x</w:t>
      </w:r>
      <w:proofErr w:type="gramEnd"/>
      <w:r w:rsidRPr="004A5700">
        <w:rPr>
          <w:sz w:val="16"/>
        </w:rPr>
        <w:t xml:space="preserve"> TREE-1772; No. </w:t>
      </w:r>
      <w:proofErr w:type="gramStart"/>
      <w:r w:rsidRPr="004A5700">
        <w:rPr>
          <w:sz w:val="16"/>
        </w:rPr>
        <w:t>of</w:t>
      </w:r>
      <w:proofErr w:type="gramEnd"/>
      <w:r w:rsidRPr="004A5700">
        <w:rPr>
          <w:sz w:val="16"/>
        </w:rPr>
        <w:t xml:space="preserve"> Pages 9 6 The critical test for local adaptation is to show sitespecific variation in responses to pCO2 when individuals are raised in a common environment and to show that this variation is locally adaptive and heritable [56]. For example, spatial variation in pCO2 responses was detected in S. purpuratus sea urchins collected from regions of California with different amounts of pCO2-rich upwelling water approximately 700 km apart [17]. A factorial breeding design showed lower sensitivity to high pCO2 among larvae sired by urchins from northern California, where pCO2-rich upwelling is stronger and more persistent, compared with larvae sired by urchins from southern California. A less direct approach is to show population genetic variation associated with different responses to pCO2. For example, an increase in mass of a coccolithophore along a pH gradient off the coast of Chile was coincident with a change in frequency in two mitochondrial haplotypes across a few hundred kilometres of </w:t>
      </w:r>
      <w:proofErr w:type="gramStart"/>
      <w:r w:rsidRPr="004A5700">
        <w:rPr>
          <w:sz w:val="16"/>
        </w:rPr>
        <w:t>open ocean</w:t>
      </w:r>
      <w:proofErr w:type="gramEnd"/>
      <w:r w:rsidRPr="004A5700">
        <w:rPr>
          <w:sz w:val="16"/>
        </w:rPr>
        <w:t xml:space="preserve"> [57]. Likewise, strong genetic structure in the polychaete Platynereis dumerilii across a pCO2 gradient formed by natural CO2 vents in Ischia, Italy was associated with greater metabolic rates and smaller body sizes in individuals from within the CO2 vent that were robust to single-generation acclimation (using reciprocal transplants) [53]. However, given the amount of genetic divergence, it remains to be determined whether rapid local adaptation </w:t>
      </w:r>
      <w:r w:rsidRPr="004A5700">
        <w:rPr>
          <w:sz w:val="16"/>
        </w:rPr>
        <w:lastRenderedPageBreak/>
        <w:t xml:space="preserve">occurred in situ or the two lineages represent cryptic species (one being a high pCO2 specialist) separated from a common ancestor before colonizing the vents. Furthermore, multigenerational studies or breeding designs are required to attribute these patterns to genetic adaptation as opposed to developmental or trans-generational acclimation (Box 1). Once demonstrated, using local adaptation for predicting evolution into the future assumes that space can be substituted for time (the synchronic approach sensu [58]). This approach assumes that other environmental drivers (e.g., temperature, salinity) covary across space as they would across time [59] and that the evolutionary divergence time between samples along the gradient mimics the rate of environmental change into the future. Although these assumptions are limiting, </w:t>
      </w:r>
      <w:r w:rsidRPr="003B4537">
        <w:rPr>
          <w:rStyle w:val="StyleUnderline"/>
        </w:rPr>
        <w:t xml:space="preserve">the space-for-time approach can at least demonstrate the potential for evolution in complex natural environments. </w:t>
      </w:r>
      <w:r w:rsidRPr="00737BCE">
        <w:rPr>
          <w:rStyle w:val="StyleUnderline"/>
          <w:highlight w:val="yellow"/>
        </w:rPr>
        <w:t>Comparison of phenotypes across time coincident with changing environmental pCO</w:t>
      </w:r>
      <w:r w:rsidRPr="003B4537">
        <w:rPr>
          <w:rStyle w:val="StyleUnderline"/>
        </w:rPr>
        <w:t xml:space="preserve">2 conditions can more </w:t>
      </w:r>
      <w:r w:rsidRPr="00737BCE">
        <w:rPr>
          <w:rStyle w:val="StyleUnderline"/>
          <w:highlight w:val="yellow"/>
        </w:rPr>
        <w:t>directly demonstrate adaptation</w:t>
      </w:r>
      <w:r w:rsidRPr="004A5700">
        <w:rPr>
          <w:sz w:val="16"/>
        </w:rPr>
        <w:t xml:space="preserve"> (the allochronic approach [58]). For example, morphological change in preserved specimens of coccolithophores has been associated with historical changes in pCO2 [57,60,61]. However, demonstrating that phenotypic change (or a </w:t>
      </w:r>
      <w:proofErr w:type="gramStart"/>
      <w:r w:rsidRPr="004A5700">
        <w:rPr>
          <w:sz w:val="16"/>
        </w:rPr>
        <w:t>lackthereof)isa</w:t>
      </w:r>
      <w:proofErr w:type="gramEnd"/>
      <w:r w:rsidRPr="004A5700">
        <w:rPr>
          <w:sz w:val="16"/>
        </w:rPr>
        <w:t xml:space="preserve"> result ofadaptation is problematic. A potentially viable approach that has not yet been applied to ocean acidification is to trace genetic change over time in pCO2-sensitive loci. This might potentially be done by storing or resurrecting dormant propagules (e.g., of diatoms [62]) from historical times and comparing their performance in a common garden [63]. Projecting evolutionary outcomes </w:t>
      </w:r>
      <w:proofErr w:type="gramStart"/>
      <w:r w:rsidRPr="004A5700">
        <w:rPr>
          <w:sz w:val="16"/>
        </w:rPr>
        <w:t>The</w:t>
      </w:r>
      <w:proofErr w:type="gramEnd"/>
      <w:r w:rsidRPr="004A5700">
        <w:rPr>
          <w:sz w:val="16"/>
        </w:rPr>
        <w:t xml:space="preserve"> work done to date has shown that evolutionary adaptation to ocean acidification is possible in principle. In most studies where it has been investigated, standing genetic variation in pCO2-sensitive traits has been observed. Likewise, </w:t>
      </w:r>
      <w:r w:rsidRPr="00737BCE">
        <w:rPr>
          <w:rStyle w:val="Emphasis"/>
          <w:highlight w:val="yellow"/>
        </w:rPr>
        <w:t>in all experimental evolution studies in which pCO2 was a stressor</w:t>
      </w:r>
      <w:proofErr w:type="gramStart"/>
      <w:r w:rsidRPr="00737BCE">
        <w:rPr>
          <w:rStyle w:val="Emphasis"/>
          <w:highlight w:val="yellow"/>
        </w:rPr>
        <w:t>,there</w:t>
      </w:r>
      <w:proofErr w:type="gramEnd"/>
      <w:r w:rsidRPr="00737BCE">
        <w:rPr>
          <w:rStyle w:val="Emphasis"/>
          <w:highlight w:val="yellow"/>
        </w:rPr>
        <w:t xml:space="preserve"> was an adaptive response.</w:t>
      </w:r>
      <w:r w:rsidRPr="004A5700">
        <w:rPr>
          <w:sz w:val="16"/>
        </w:rPr>
        <w:t xml:space="preserve"> The critical question therefore must move beyond whether adaptation can occur in principle, toward whether evolution can occur rapidly enough to maintain populations and their ecosystem services and how future communities will be assembled. For organisms with generation times too long for experimental evolution, several modelling approaches are available to estimate the rate of adaptation and risk of extinction within a changing environment [20,64–66]. Although models vary in complexity, they minimally require knowledge of both genetic variation and the strength of selection on a key trait. Despite this, most studies of genetic variation to date use traits (such as growth rate) with unknown effects on survival and reproduction. Kelly et al. [17] used a model developed by Lande and Shannon [66] to project evolutionary changes in larval size and associated declines in population growth rates in S. purpuratus, based on experimentally estimated genetic variance of larval size at high pCO2. Although the strength of selection on this trait was unknown, the authors explored a small range of selection strengths using the assumption that strength of selection would be negatively correlated with genetic variance (because selection erodes genetic variance) with a product &lt;1 [66]. However, this assumption might be tenuous for novel stressors like ocean acidi- fication and remains to be demonstrated. Selection strength on pCO2-sensitive phenotypes has been recently empirically measured in larval fish by observing pCO2- impacted larval fish in the wild [67]. We strongly recommend that studies of genetic variation focus on traits with either more straightforward or measurable relationships to Darwinian fitness [20]. </w:t>
      </w:r>
      <w:r w:rsidRPr="00737BCE">
        <w:rPr>
          <w:rStyle w:val="StyleUnderline"/>
          <w:highlight w:val="yellow"/>
        </w:rPr>
        <w:t xml:space="preserve">Concluding </w:t>
      </w:r>
      <w:r w:rsidRPr="004A5700">
        <w:rPr>
          <w:rStyle w:val="StyleUnderline"/>
        </w:rPr>
        <w:t>remarks</w:t>
      </w:r>
      <w:r w:rsidRPr="004A5700">
        <w:rPr>
          <w:sz w:val="16"/>
        </w:rPr>
        <w:t xml:space="preserve">: where to focus efforts </w:t>
      </w:r>
      <w:proofErr w:type="gramStart"/>
      <w:r w:rsidRPr="004A5700">
        <w:rPr>
          <w:sz w:val="16"/>
        </w:rPr>
        <w:t>Because</w:t>
      </w:r>
      <w:proofErr w:type="gramEnd"/>
      <w:r w:rsidRPr="004A5700">
        <w:rPr>
          <w:sz w:val="16"/>
        </w:rPr>
        <w:t xml:space="preserve"> evolutionary potential cannot be assessed in all species, future work must strategically concentrate efforts toward taxa and systems from which we can glean the most critical or generalizable information. One approach is to focus on species related to societal or ecosystem services, in anticipation that these case studies will be most useful to modellers and managers. For example, coccolithophores play a disproportionately large role in the marine carbon cycle, so evolution in their responses to pCO2 represents change in a major ecosystem service that can feed back and alter the process of ocean acidification itself [68]. Another approach is to correlate evolutionary capacity with parameters of ecology, physiology, or taxonomy. Different taxonomic or functional groups of species are likely to have different evolutionary responses based on characteristics of population size and recombination rates. For example, </w:t>
      </w:r>
      <w:r w:rsidRPr="00737BCE">
        <w:rPr>
          <w:rStyle w:val="StyleUnderline"/>
          <w:highlight w:val="yellow"/>
        </w:rPr>
        <w:t>phytoplankton</w:t>
      </w:r>
      <w:r w:rsidRPr="003B4537">
        <w:rPr>
          <w:rStyle w:val="StyleUnderline"/>
        </w:rPr>
        <w:t xml:space="preserve"> with lar</w:t>
      </w:r>
      <w:r w:rsidRPr="004A5700">
        <w:rPr>
          <w:rStyle w:val="StyleUnderline"/>
        </w:rPr>
        <w:t>g</w:t>
      </w:r>
      <w:r w:rsidRPr="003B4537">
        <w:rPr>
          <w:rStyle w:val="StyleUnderline"/>
        </w:rPr>
        <w:t xml:space="preserve">e population sizes and fast turnover rates are likely to </w:t>
      </w:r>
      <w:r w:rsidRPr="00737BCE">
        <w:rPr>
          <w:rStyle w:val="StyleUnderline"/>
          <w:highlight w:val="yellow"/>
        </w:rPr>
        <w:t>adapt quickly</w:t>
      </w:r>
      <w:r w:rsidRPr="003B4537">
        <w:rPr>
          <w:rStyle w:val="StyleUnderline"/>
        </w:rPr>
        <w:t xml:space="preserve">, and experimental evolution has </w:t>
      </w:r>
      <w:r w:rsidRPr="004A5700">
        <w:rPr>
          <w:rStyle w:val="StyleUnderline"/>
        </w:rPr>
        <w:t xml:space="preserve">already demonstrated their ability to adapt quickly via de novo mutations [31]. By contrast, </w:t>
      </w:r>
      <w:r w:rsidRPr="00737BCE">
        <w:rPr>
          <w:rStyle w:val="StyleUnderline"/>
          <w:highlight w:val="yellow"/>
        </w:rPr>
        <w:t>in larger organisms</w:t>
      </w:r>
      <w:r w:rsidRPr="003B4537">
        <w:rPr>
          <w:rStyle w:val="StyleUnderline"/>
        </w:rPr>
        <w:t xml:space="preserve"> with smaller effective population sizes and with genomes that can harbour more degenerative or conditionally neutral variation [69], </w:t>
      </w:r>
      <w:r w:rsidRPr="00737BCE">
        <w:rPr>
          <w:rStyle w:val="StyleUnderline"/>
          <w:highlight w:val="yellow"/>
        </w:rPr>
        <w:t>adaptation from standing genetic variation will</w:t>
      </w:r>
      <w:r w:rsidRPr="003B4537">
        <w:rPr>
          <w:rStyle w:val="StyleUnderline"/>
        </w:rPr>
        <w:t xml:space="preserve"> probably </w:t>
      </w:r>
      <w:r w:rsidRPr="00737BCE">
        <w:rPr>
          <w:rStyle w:val="StyleUnderline"/>
          <w:highlight w:val="yellow"/>
        </w:rPr>
        <w:t>be</w:t>
      </w:r>
      <w:r w:rsidRPr="003B4537">
        <w:rPr>
          <w:rStyle w:val="StyleUnderline"/>
        </w:rPr>
        <w:t xml:space="preserve"> more </w:t>
      </w:r>
      <w:r w:rsidRPr="00737BCE">
        <w:rPr>
          <w:rStyle w:val="StyleUnderline"/>
          <w:highlight w:val="yellow"/>
        </w:rPr>
        <w:t>commonplace</w:t>
      </w:r>
      <w:r w:rsidRPr="004A5700">
        <w:rPr>
          <w:sz w:val="16"/>
        </w:rPr>
        <w:t xml:space="preserve"> [70]. Review Trends in Ecology &amp; Evolution xxx xxxx, Vol. xxx, No. </w:t>
      </w:r>
      <w:proofErr w:type="gramStart"/>
      <w:r w:rsidRPr="004A5700">
        <w:rPr>
          <w:sz w:val="16"/>
        </w:rPr>
        <w:t>x</w:t>
      </w:r>
      <w:proofErr w:type="gramEnd"/>
      <w:r w:rsidRPr="004A5700">
        <w:rPr>
          <w:sz w:val="16"/>
        </w:rPr>
        <w:t xml:space="preserve"> TREE-1772; No. </w:t>
      </w:r>
      <w:proofErr w:type="gramStart"/>
      <w:r w:rsidRPr="004A5700">
        <w:rPr>
          <w:sz w:val="16"/>
        </w:rPr>
        <w:t>of</w:t>
      </w:r>
      <w:proofErr w:type="gramEnd"/>
      <w:r w:rsidRPr="004A5700">
        <w:rPr>
          <w:sz w:val="16"/>
        </w:rPr>
        <w:t xml:space="preserve"> Pages 9 7 </w:t>
      </w:r>
      <w:r w:rsidRPr="003B4537">
        <w:rPr>
          <w:rStyle w:val="StyleUnderline"/>
        </w:rPr>
        <w:t xml:space="preserve">Meanwhile, </w:t>
      </w:r>
      <w:r w:rsidRPr="00737BCE">
        <w:rPr>
          <w:rStyle w:val="StyleUnderline"/>
          <w:highlight w:val="yellow"/>
        </w:rPr>
        <w:t>species</w:t>
      </w:r>
      <w:r w:rsidRPr="004A5700">
        <w:rPr>
          <w:sz w:val="16"/>
        </w:rPr>
        <w:t xml:space="preserve"> in environments historically</w:t>
      </w:r>
      <w:r w:rsidRPr="00737BCE">
        <w:rPr>
          <w:sz w:val="16"/>
          <w:highlight w:val="yellow"/>
        </w:rPr>
        <w:t xml:space="preserve"> </w:t>
      </w:r>
      <w:r w:rsidRPr="00737BCE">
        <w:rPr>
          <w:rStyle w:val="StyleUnderline"/>
          <w:highlight w:val="yellow"/>
        </w:rPr>
        <w:t>exposed to unpredictable changes of pCO2</w:t>
      </w:r>
      <w:r w:rsidRPr="003B4537">
        <w:rPr>
          <w:rStyle w:val="StyleUnderline"/>
        </w:rPr>
        <w:t xml:space="preserve"> might </w:t>
      </w:r>
      <w:r w:rsidRPr="00737BCE">
        <w:rPr>
          <w:rStyle w:val="StyleUnderline"/>
          <w:highlight w:val="yellow"/>
        </w:rPr>
        <w:t>have</w:t>
      </w:r>
      <w:r w:rsidRPr="003B4537">
        <w:rPr>
          <w:rStyle w:val="StyleUnderline"/>
        </w:rPr>
        <w:t xml:space="preserve"> </w:t>
      </w:r>
      <w:r w:rsidRPr="004A5700">
        <w:rPr>
          <w:sz w:val="16"/>
        </w:rPr>
        <w:t>greater standing variation and</w:t>
      </w:r>
      <w:r w:rsidRPr="003B4537">
        <w:rPr>
          <w:rStyle w:val="StyleUnderline"/>
        </w:rPr>
        <w:t xml:space="preserve"> </w:t>
      </w:r>
      <w:r w:rsidRPr="00737BCE">
        <w:rPr>
          <w:rStyle w:val="StyleUnderline"/>
          <w:highlight w:val="yellow"/>
        </w:rPr>
        <w:t>adaptability</w:t>
      </w:r>
      <w:r w:rsidRPr="003B4537">
        <w:rPr>
          <w:rStyle w:val="StyleUnderline"/>
        </w:rPr>
        <w:t xml:space="preserve"> </w:t>
      </w:r>
      <w:r w:rsidRPr="004A5700">
        <w:rPr>
          <w:sz w:val="16"/>
        </w:rPr>
        <w:t>than those living in a more predictable pCO2 regime.</w:t>
      </w:r>
      <w:r w:rsidRPr="003B4537">
        <w:rPr>
          <w:rStyle w:val="StyleUnderline"/>
        </w:rPr>
        <w:t xml:space="preserve"> Toward this goal, signatures of </w:t>
      </w:r>
      <w:r w:rsidRPr="00737BCE">
        <w:rPr>
          <w:rStyle w:val="StyleUnderline"/>
          <w:highlight w:val="yellow"/>
        </w:rPr>
        <w:t>local adaptation as well as</w:t>
      </w:r>
      <w:r w:rsidRPr="003B4537">
        <w:rPr>
          <w:rStyle w:val="StyleUnderline"/>
        </w:rPr>
        <w:t xml:space="preserve"> estimates of future </w:t>
      </w:r>
      <w:r w:rsidRPr="00737BCE">
        <w:rPr>
          <w:rStyle w:val="StyleUnderline"/>
          <w:highlight w:val="yellow"/>
        </w:rPr>
        <w:t>evolutionary potential can be useful</w:t>
      </w:r>
      <w:r w:rsidRPr="003B4537">
        <w:rPr>
          <w:rStyle w:val="StyleUnderline"/>
        </w:rPr>
        <w:t>.</w:t>
      </w:r>
    </w:p>
    <w:p w:rsidR="007C776D" w:rsidRDefault="007C776D" w:rsidP="007C776D">
      <w:pPr>
        <w:pStyle w:val="Heading3"/>
      </w:pPr>
      <w:r>
        <w:lastRenderedPageBreak/>
        <w:t xml:space="preserve">Acidification False </w:t>
      </w:r>
    </w:p>
    <w:p w:rsidR="007C776D" w:rsidRPr="00386E12" w:rsidRDefault="007C776D" w:rsidP="007C776D"/>
    <w:p w:rsidR="007C776D" w:rsidRDefault="007C776D" w:rsidP="007C776D">
      <w:pPr>
        <w:pStyle w:val="Heading4"/>
      </w:pPr>
      <w:r>
        <w:t>No acidification – previous studies were hyped and inaccurate</w:t>
      </w:r>
    </w:p>
    <w:p w:rsidR="007C776D" w:rsidRPr="006F6133" w:rsidRDefault="007C776D" w:rsidP="007C776D">
      <w:pPr>
        <w:rPr>
          <w:rStyle w:val="Style13ptBold"/>
        </w:rPr>
      </w:pPr>
      <w:r w:rsidRPr="006F6133">
        <w:rPr>
          <w:rStyle w:val="Style13ptBold"/>
        </w:rPr>
        <w:t>Delingpole 4/30</w:t>
      </w:r>
    </w:p>
    <w:p w:rsidR="007C776D" w:rsidRDefault="007C776D" w:rsidP="007C776D">
      <w:r>
        <w:t xml:space="preserve">(James, executive editor of Breitbart London, awarded the Charles Douglas-Home Memorial Trust Award and the Bastiat Prize, 4.30.16, “Ocean acidification: yet another wobbly pillar of climate alarmism,” The Spectator, </w:t>
      </w:r>
      <w:hyperlink r:id="rId26" w:history="1">
        <w:r w:rsidRPr="008B470A">
          <w:rPr>
            <w:rStyle w:val="Hyperlink"/>
          </w:rPr>
          <w:t>http://www.spectator.co.uk/2016/04/ocean-acidification-yet-another-wobbly-pillar-of-climate-alarmism/</w:t>
        </w:r>
      </w:hyperlink>
      <w:r>
        <w:t xml:space="preserve">, Accessed: </w:t>
      </w:r>
      <w:proofErr w:type="gramStart"/>
      <w:r>
        <w:t>6.30.16)</w:t>
      </w:r>
      <w:proofErr w:type="gramEnd"/>
      <w:r>
        <w:t>VW</w:t>
      </w:r>
    </w:p>
    <w:p w:rsidR="007C776D" w:rsidRDefault="007C776D" w:rsidP="007C776D">
      <w:pPr>
        <w:rPr>
          <w:rStyle w:val="StyleUnderline"/>
        </w:rPr>
      </w:pPr>
      <w:r w:rsidRPr="006F6133">
        <w:rPr>
          <w:sz w:val="16"/>
        </w:rPr>
        <w:t>Or so runs the scaremongering theory. The reality may be rather more prosaic</w:t>
      </w:r>
      <w:r w:rsidRPr="006F6133">
        <w:rPr>
          <w:rStyle w:val="StyleUnderline"/>
        </w:rPr>
        <w:t xml:space="preserve">. </w:t>
      </w:r>
      <w:r w:rsidRPr="00737BCE">
        <w:rPr>
          <w:rStyle w:val="StyleUnderline"/>
          <w:highlight w:val="yellow"/>
        </w:rPr>
        <w:t>Ocean acidification</w:t>
      </w:r>
      <w:r w:rsidRPr="006F6133">
        <w:rPr>
          <w:rStyle w:val="StyleUnderline"/>
        </w:rPr>
        <w:t xml:space="preserve"> — the evidence increasingly suggests — </w:t>
      </w:r>
      <w:r w:rsidRPr="00737BCE">
        <w:rPr>
          <w:rStyle w:val="StyleUnderline"/>
          <w:highlight w:val="yellow"/>
        </w:rPr>
        <w:t>is</w:t>
      </w:r>
      <w:r w:rsidRPr="006F6133">
        <w:rPr>
          <w:rStyle w:val="StyleUnderline"/>
        </w:rPr>
        <w:t xml:space="preserve"> a trivial, </w:t>
      </w:r>
      <w:r w:rsidRPr="00737BCE">
        <w:rPr>
          <w:rStyle w:val="StyleUnderline"/>
          <w:highlight w:val="yellow"/>
        </w:rPr>
        <w:t>misleadingly named, and</w:t>
      </w:r>
      <w:r w:rsidRPr="006F6133">
        <w:rPr>
          <w:rStyle w:val="StyleUnderline"/>
        </w:rPr>
        <w:t xml:space="preserve"> not remotely worrying </w:t>
      </w:r>
      <w:proofErr w:type="gramStart"/>
      <w:r w:rsidRPr="006F6133">
        <w:rPr>
          <w:rStyle w:val="StyleUnderline"/>
        </w:rPr>
        <w:t>phenomenon which</w:t>
      </w:r>
      <w:proofErr w:type="gramEnd"/>
      <w:r w:rsidRPr="006F6133">
        <w:rPr>
          <w:rStyle w:val="StyleUnderline"/>
        </w:rPr>
        <w:t xml:space="preserve"> has been </w:t>
      </w:r>
      <w:r w:rsidRPr="00737BCE">
        <w:rPr>
          <w:rStyle w:val="StyleUnderline"/>
          <w:highlight w:val="yellow"/>
        </w:rPr>
        <w:t>hyped up</w:t>
      </w:r>
      <w:r w:rsidRPr="006F6133">
        <w:rPr>
          <w:rStyle w:val="StyleUnderline"/>
        </w:rPr>
        <w:t xml:space="preserve"> beyond all measure </w:t>
      </w:r>
      <w:r w:rsidRPr="00737BCE">
        <w:rPr>
          <w:rStyle w:val="StyleUnderline"/>
          <w:highlight w:val="yellow"/>
        </w:rPr>
        <w:t>for political</w:t>
      </w:r>
      <w:r w:rsidRPr="006F6133">
        <w:rPr>
          <w:rStyle w:val="StyleUnderline"/>
        </w:rPr>
        <w:t xml:space="preserve">, ideological and financial </w:t>
      </w:r>
      <w:r w:rsidRPr="00737BCE">
        <w:rPr>
          <w:rStyle w:val="StyleUnderline"/>
          <w:highlight w:val="yellow"/>
        </w:rPr>
        <w:t>reasons</w:t>
      </w:r>
      <w:r w:rsidRPr="006F6133">
        <w:rPr>
          <w:rStyle w:val="StyleUnderline"/>
        </w:rPr>
        <w:t>.</w:t>
      </w:r>
      <w:r>
        <w:rPr>
          <w:rStyle w:val="StyleUnderline"/>
        </w:rPr>
        <w:t xml:space="preserve"> </w:t>
      </w:r>
      <w:r w:rsidRPr="006F6133">
        <w:rPr>
          <w:sz w:val="16"/>
        </w:rPr>
        <w:t xml:space="preserve">Some of us have suspected this for some time. </w:t>
      </w:r>
      <w:r w:rsidRPr="00737BCE">
        <w:rPr>
          <w:rStyle w:val="StyleUnderline"/>
          <w:highlight w:val="yellow"/>
        </w:rPr>
        <w:t>According to</w:t>
      </w:r>
      <w:r w:rsidRPr="006F6133">
        <w:rPr>
          <w:rStyle w:val="StyleUnderline"/>
        </w:rPr>
        <w:t xml:space="preserve"> Patrick Moore, </w:t>
      </w:r>
      <w:r w:rsidRPr="00737BCE">
        <w:rPr>
          <w:rStyle w:val="StyleUnderline"/>
          <w:highlight w:val="yellow"/>
        </w:rPr>
        <w:t>a co-founder of Greenpeace</w:t>
      </w:r>
      <w:r w:rsidRPr="006F6133">
        <w:rPr>
          <w:rStyle w:val="StyleUnderline"/>
        </w:rPr>
        <w:t xml:space="preserve">, long one of </w:t>
      </w:r>
      <w:r w:rsidRPr="00737BCE">
        <w:rPr>
          <w:rStyle w:val="StyleUnderline"/>
          <w:highlight w:val="yellow"/>
        </w:rPr>
        <w:t>ocean acidification</w:t>
      </w:r>
      <w:r w:rsidRPr="006F6133">
        <w:rPr>
          <w:rStyle w:val="StyleUnderline"/>
        </w:rPr>
        <w:t xml:space="preserve"> theory’s fiercest critics, the term </w:t>
      </w:r>
      <w:r w:rsidRPr="00737BCE">
        <w:rPr>
          <w:rStyle w:val="StyleUnderline"/>
          <w:highlight w:val="yellow"/>
        </w:rPr>
        <w:t>is</w:t>
      </w:r>
      <w:r w:rsidRPr="006F6133">
        <w:rPr>
          <w:rStyle w:val="StyleUnderline"/>
        </w:rPr>
        <w:t xml:space="preserve"> ‘just short of </w:t>
      </w:r>
      <w:r w:rsidRPr="00737BCE">
        <w:rPr>
          <w:rStyle w:val="StyleUnderline"/>
          <w:highlight w:val="yellow"/>
        </w:rPr>
        <w:t xml:space="preserve">propaganda’. </w:t>
      </w:r>
      <w:r w:rsidRPr="0040604A">
        <w:rPr>
          <w:rStyle w:val="StyleUnderline"/>
        </w:rPr>
        <w:t>The pH of the world’s oceans ranges between 7.5 and 8.3 — well above the acid zone (which starts below ‘neutral’ pH7) — so more correctly it should be stated that the seas are becoming slightly less alkaline.</w:t>
      </w:r>
      <w:r w:rsidRPr="006F6133">
        <w:rPr>
          <w:rStyle w:val="StyleUnderline"/>
        </w:rPr>
        <w:t xml:space="preserve"> </w:t>
      </w:r>
      <w:r w:rsidRPr="00737BCE">
        <w:rPr>
          <w:rStyle w:val="StyleUnderline"/>
          <w:highlight w:val="yellow"/>
        </w:rPr>
        <w:t>‘Acid’ was chosen</w:t>
      </w:r>
      <w:r w:rsidRPr="006F6133">
        <w:rPr>
          <w:rStyle w:val="StyleUnderline"/>
        </w:rPr>
        <w:t xml:space="preserve">, Moore believes, </w:t>
      </w:r>
      <w:r w:rsidRPr="00737BCE">
        <w:rPr>
          <w:rStyle w:val="StyleUnderline"/>
          <w:highlight w:val="yellow"/>
        </w:rPr>
        <w:t>because it has ‘strong negative connotations</w:t>
      </w:r>
      <w:r w:rsidRPr="006F6133">
        <w:rPr>
          <w:rStyle w:val="StyleUnderline"/>
        </w:rPr>
        <w:t xml:space="preserve"> for most people’.</w:t>
      </w:r>
      <w:r>
        <w:rPr>
          <w:rStyle w:val="StyleUnderline"/>
        </w:rPr>
        <w:t xml:space="preserve"> </w:t>
      </w:r>
      <w:r w:rsidRPr="006F6133">
        <w:rPr>
          <w:sz w:val="16"/>
        </w:rPr>
        <w:t xml:space="preserve">Matt Ridley, too, has been scathing on the topic. In The Rational Optimist he wrote, ‘Ocean acidification looks suspiciously like a back-up plan by the environmental pressure groups in case the climate fails to warm.’ I agree. That’s why I like to call it the alarmists’ Siegfried Line — their last redoubt should it prove, as looks increasingly to be the case, that the man-made global warming theory is a busted flush. To the alarmist camp, of course, this is yet further evidence that ‘deniers’ are heartless, anti-scientific conspiracy theorists </w:t>
      </w:r>
      <w:proofErr w:type="gramStart"/>
      <w:r w:rsidRPr="006F6133">
        <w:rPr>
          <w:sz w:val="16"/>
        </w:rPr>
        <w:t>who</w:t>
      </w:r>
      <w:proofErr w:type="gramEnd"/>
      <w:r w:rsidRPr="006F6133">
        <w:rPr>
          <w:sz w:val="16"/>
        </w:rPr>
        <w:t xml:space="preserve"> don’t read peer-reviewed papers and couldn’t give a toss if the world’s marine life is dissolved in a pool of acid due to man’s selfishness and greed. Unfortunately for the doom-mongers, we sceptics have just received some heavy fire-support from a neutral authority. </w:t>
      </w:r>
      <w:r w:rsidRPr="006F6133">
        <w:rPr>
          <w:rStyle w:val="StyleUnderline"/>
        </w:rPr>
        <w:t xml:space="preserve">Howard </w:t>
      </w:r>
      <w:r w:rsidRPr="00737BCE">
        <w:rPr>
          <w:rStyle w:val="StyleUnderline"/>
          <w:highlight w:val="yellow"/>
        </w:rPr>
        <w:t>Browman, a marine scientist for 35 years, has published a review in the ICES Journal of Marine Science</w:t>
      </w:r>
      <w:r w:rsidRPr="006F6133">
        <w:rPr>
          <w:sz w:val="16"/>
        </w:rPr>
        <w:t xml:space="preserve"> of all the papers published on the subject. His verdict could hardly be more damning. </w:t>
      </w:r>
      <w:r w:rsidRPr="00737BCE">
        <w:rPr>
          <w:rStyle w:val="StyleUnderline"/>
          <w:highlight w:val="yellow"/>
        </w:rPr>
        <w:t>The methodology used by</w:t>
      </w:r>
      <w:r w:rsidRPr="006F6133">
        <w:rPr>
          <w:rStyle w:val="StyleUnderline"/>
        </w:rPr>
        <w:t xml:space="preserve"> the </w:t>
      </w:r>
      <w:r w:rsidRPr="00737BCE">
        <w:rPr>
          <w:rStyle w:val="StyleUnderline"/>
          <w:highlight w:val="yellow"/>
        </w:rPr>
        <w:t>studies</w:t>
      </w:r>
      <w:r w:rsidRPr="006F6133">
        <w:rPr>
          <w:rStyle w:val="StyleUnderline"/>
        </w:rPr>
        <w:t xml:space="preserve"> </w:t>
      </w:r>
      <w:r w:rsidRPr="00737BCE">
        <w:rPr>
          <w:rStyle w:val="StyleUnderline"/>
          <w:highlight w:val="yellow"/>
        </w:rPr>
        <w:t>was</w:t>
      </w:r>
      <w:r w:rsidRPr="006F6133">
        <w:rPr>
          <w:rStyle w:val="StyleUnderline"/>
        </w:rPr>
        <w:t xml:space="preserve"> often </w:t>
      </w:r>
      <w:r w:rsidRPr="00737BCE">
        <w:rPr>
          <w:rStyle w:val="StyleUnderline"/>
          <w:highlight w:val="yellow"/>
        </w:rPr>
        <w:t>flawed</w:t>
      </w:r>
      <w:r w:rsidRPr="006F6133">
        <w:rPr>
          <w:sz w:val="16"/>
        </w:rPr>
        <w:t xml:space="preserve">; contrary studies suggesting that ocean acidification wasn’t a threat had sometimes had difficulty finding a publisher. </w:t>
      </w:r>
      <w:r w:rsidRPr="00737BCE">
        <w:rPr>
          <w:rStyle w:val="StyleUnderline"/>
          <w:highlight w:val="yellow"/>
        </w:rPr>
        <w:t>There was</w:t>
      </w:r>
      <w:r w:rsidRPr="006F6133">
        <w:rPr>
          <w:rStyle w:val="StyleUnderline"/>
        </w:rPr>
        <w:t xml:space="preserve">, he said, </w:t>
      </w:r>
      <w:proofErr w:type="gramStart"/>
      <w:r w:rsidRPr="00737BCE">
        <w:rPr>
          <w:rStyle w:val="StyleUnderline"/>
          <w:highlight w:val="yellow"/>
        </w:rPr>
        <w:t>an ‘inherent</w:t>
      </w:r>
      <w:proofErr w:type="gramEnd"/>
      <w:r w:rsidRPr="00737BCE">
        <w:rPr>
          <w:rStyle w:val="StyleUnderline"/>
          <w:highlight w:val="yellow"/>
        </w:rPr>
        <w:t xml:space="preserve"> bias’ in scientific journals</w:t>
      </w:r>
      <w:r w:rsidRPr="006F6133">
        <w:rPr>
          <w:rStyle w:val="StyleUnderline"/>
        </w:rPr>
        <w:t xml:space="preserve"> which predisposed them </w:t>
      </w:r>
      <w:r w:rsidRPr="00737BCE">
        <w:rPr>
          <w:rStyle w:val="StyleUnderline"/>
          <w:highlight w:val="yellow"/>
        </w:rPr>
        <w:t>to publish ‘doom and gloom stories’</w:t>
      </w:r>
      <w:r w:rsidRPr="00737BCE">
        <w:rPr>
          <w:sz w:val="16"/>
          <w:highlight w:val="yellow"/>
        </w:rPr>
        <w:t>.</w:t>
      </w:r>
      <w:r w:rsidRPr="006F6133">
        <w:rPr>
          <w:sz w:val="16"/>
        </w:rPr>
        <w:t xml:space="preserve"> </w:t>
      </w:r>
      <w:r w:rsidRPr="006F6133">
        <w:rPr>
          <w:rStyle w:val="StyleUnderline"/>
        </w:rPr>
        <w:t xml:space="preserve">Ocean acidification theory appears to have been fatally flawed almost from the start. </w:t>
      </w:r>
      <w:r w:rsidRPr="00737BCE">
        <w:rPr>
          <w:rStyle w:val="StyleUnderline"/>
          <w:highlight w:val="yellow"/>
        </w:rPr>
        <w:t>In 2004, two NOAA scientists</w:t>
      </w:r>
      <w:r w:rsidRPr="006F6133">
        <w:rPr>
          <w:rStyle w:val="StyleUnderline"/>
        </w:rPr>
        <w:t xml:space="preserve">, Richard Feely and Christopher Sabine, </w:t>
      </w:r>
      <w:r w:rsidRPr="00737BCE">
        <w:rPr>
          <w:rStyle w:val="StyleUnderline"/>
          <w:highlight w:val="yellow"/>
        </w:rPr>
        <w:t>produced a chart showing</w:t>
      </w:r>
      <w:r w:rsidRPr="006F6133">
        <w:rPr>
          <w:rStyle w:val="StyleUnderline"/>
        </w:rPr>
        <w:t xml:space="preserve"> a strong corr</w:t>
      </w:r>
      <w:r w:rsidRPr="00737BCE">
        <w:rPr>
          <w:rStyle w:val="StyleUnderline"/>
          <w:highlight w:val="yellow"/>
        </w:rPr>
        <w:t>elation between rising</w:t>
      </w:r>
      <w:r w:rsidRPr="006F6133">
        <w:rPr>
          <w:rStyle w:val="StyleUnderline"/>
        </w:rPr>
        <w:t xml:space="preserve"> atmospheric </w:t>
      </w:r>
      <w:r w:rsidRPr="00737BCE">
        <w:rPr>
          <w:rStyle w:val="StyleUnderline"/>
          <w:highlight w:val="yellow"/>
        </w:rPr>
        <w:t>CO2 levels and</w:t>
      </w:r>
      <w:r w:rsidRPr="006F6133">
        <w:rPr>
          <w:rStyle w:val="StyleUnderline"/>
        </w:rPr>
        <w:t xml:space="preserve"> </w:t>
      </w:r>
      <w:r w:rsidRPr="00737BCE">
        <w:rPr>
          <w:rStyle w:val="StyleUnderline"/>
          <w:highlight w:val="yellow"/>
        </w:rPr>
        <w:t>falling</w:t>
      </w:r>
      <w:r w:rsidRPr="006F6133">
        <w:rPr>
          <w:rStyle w:val="StyleUnderline"/>
        </w:rPr>
        <w:t xml:space="preserve"> </w:t>
      </w:r>
      <w:r w:rsidRPr="00737BCE">
        <w:rPr>
          <w:rStyle w:val="StyleUnderline"/>
          <w:highlight w:val="yellow"/>
        </w:rPr>
        <w:t>oceanic pH levels</w:t>
      </w:r>
      <w:r w:rsidRPr="006F6133">
        <w:rPr>
          <w:rStyle w:val="StyleUnderline"/>
        </w:rPr>
        <w:t xml:space="preserve">. </w:t>
      </w:r>
      <w:r w:rsidRPr="00737BCE">
        <w:rPr>
          <w:rStyle w:val="StyleUnderline"/>
          <w:highlight w:val="yellow"/>
        </w:rPr>
        <w:t>But</w:t>
      </w:r>
      <w:r w:rsidRPr="006F6133">
        <w:rPr>
          <w:rStyle w:val="StyleUnderline"/>
        </w:rPr>
        <w:t xml:space="preserve"> then, just over a year ago, Mike Wallace, </w:t>
      </w:r>
      <w:r w:rsidRPr="00737BCE">
        <w:rPr>
          <w:rStyle w:val="StyleUnderline"/>
          <w:highlight w:val="yellow"/>
        </w:rPr>
        <w:t>a hydrologist</w:t>
      </w:r>
      <w:r w:rsidRPr="006F6133">
        <w:rPr>
          <w:rStyle w:val="StyleUnderline"/>
        </w:rPr>
        <w:t xml:space="preserve"> with 30 years’ experience, </w:t>
      </w:r>
      <w:r w:rsidRPr="00737BCE">
        <w:rPr>
          <w:rStyle w:val="StyleUnderline"/>
          <w:highlight w:val="yellow"/>
        </w:rPr>
        <w:t>noticed</w:t>
      </w:r>
      <w:r w:rsidRPr="006F6133">
        <w:rPr>
          <w:rStyle w:val="StyleUnderline"/>
        </w:rPr>
        <w:t xml:space="preserve"> while researching his PhD that </w:t>
      </w:r>
      <w:r w:rsidRPr="00737BCE">
        <w:rPr>
          <w:rStyle w:val="StyleUnderline"/>
          <w:highlight w:val="yellow"/>
        </w:rPr>
        <w:t>they had omitted</w:t>
      </w:r>
      <w:r w:rsidRPr="006F6133">
        <w:rPr>
          <w:rStyle w:val="StyleUnderline"/>
        </w:rPr>
        <w:t xml:space="preserve"> some </w:t>
      </w:r>
      <w:r w:rsidRPr="00737BCE">
        <w:rPr>
          <w:rStyle w:val="StyleUnderline"/>
          <w:highlight w:val="yellow"/>
        </w:rPr>
        <w:t>key information</w:t>
      </w:r>
      <w:r w:rsidRPr="006F6133">
        <w:rPr>
          <w:rStyle w:val="StyleUnderline"/>
        </w:rPr>
        <w:t>. Their chart only started in 1988 but, as Wallace knew, there were records dating back to at least 100 years before. So why had they ignored the real-world evidence in favour of computer-modelled projections?</w:t>
      </w:r>
      <w:r>
        <w:rPr>
          <w:rStyle w:val="StyleUnderline"/>
        </w:rPr>
        <w:t xml:space="preserve"> </w:t>
      </w:r>
      <w:r w:rsidRPr="00737BCE">
        <w:rPr>
          <w:rStyle w:val="StyleUnderline"/>
          <w:highlight w:val="yellow"/>
        </w:rPr>
        <w:t>When Wallace plotted a chart of his own, incorporating all</w:t>
      </w:r>
      <w:r w:rsidRPr="006F6133">
        <w:rPr>
          <w:rStyle w:val="StyleUnderline"/>
        </w:rPr>
        <w:t xml:space="preserve"> the </w:t>
      </w:r>
      <w:r w:rsidRPr="00737BCE">
        <w:rPr>
          <w:rStyle w:val="StyleUnderline"/>
          <w:highlight w:val="yellow"/>
        </w:rPr>
        <w:t>available data</w:t>
      </w:r>
      <w:r w:rsidRPr="006F6133">
        <w:rPr>
          <w:rStyle w:val="StyleUnderline"/>
        </w:rPr>
        <w:t xml:space="preserve">, covering the period </w:t>
      </w:r>
      <w:r w:rsidRPr="00737BCE">
        <w:rPr>
          <w:rStyle w:val="StyleUnderline"/>
          <w:highlight w:val="yellow"/>
        </w:rPr>
        <w:t>from 1910 to the present</w:t>
      </w:r>
      <w:r w:rsidRPr="006F6133">
        <w:rPr>
          <w:rStyle w:val="StyleUnderline"/>
        </w:rPr>
        <w:t xml:space="preserve">, his results were surprising: </w:t>
      </w:r>
      <w:r w:rsidRPr="00737BCE">
        <w:rPr>
          <w:rStyle w:val="StyleUnderline"/>
          <w:highlight w:val="yellow"/>
        </w:rPr>
        <w:t>there has been no reduction in oceanic pH levels in the last -century.</w:t>
      </w:r>
      <w:r>
        <w:rPr>
          <w:rStyle w:val="StyleUnderline"/>
        </w:rPr>
        <w:t xml:space="preserve"> </w:t>
      </w:r>
    </w:p>
    <w:p w:rsidR="007C776D" w:rsidRDefault="007C776D" w:rsidP="007C776D">
      <w:pPr>
        <w:rPr>
          <w:rStyle w:val="StyleUnderline"/>
        </w:rPr>
      </w:pPr>
    </w:p>
    <w:p w:rsidR="007C776D" w:rsidRDefault="007C776D" w:rsidP="007C776D"/>
    <w:p w:rsidR="007C776D" w:rsidRDefault="007C776D" w:rsidP="007C776D">
      <w:pPr>
        <w:pStyle w:val="Heading4"/>
      </w:pPr>
      <w:r>
        <w:t>Acidification is just fearmongering for profit – studies show no pH reduction and reduction would be beneficial</w:t>
      </w:r>
    </w:p>
    <w:p w:rsidR="007C776D" w:rsidRPr="00927112" w:rsidRDefault="007C776D" w:rsidP="007C776D">
      <w:pPr>
        <w:rPr>
          <w:rStyle w:val="Style13ptBold"/>
        </w:rPr>
      </w:pPr>
      <w:r>
        <w:rPr>
          <w:rStyle w:val="Style13ptBold"/>
        </w:rPr>
        <w:t>Spiller 5/15</w:t>
      </w:r>
    </w:p>
    <w:p w:rsidR="007C776D" w:rsidRDefault="007C776D" w:rsidP="007C776D">
      <w:r>
        <w:lastRenderedPageBreak/>
        <w:t xml:space="preserve">(Peter, 5.15.16, “Acidification as Propaganda,” </w:t>
      </w:r>
      <w:hyperlink r:id="rId27" w:history="1">
        <w:r w:rsidRPr="008B470A">
          <w:rPr>
            <w:rStyle w:val="Hyperlink"/>
          </w:rPr>
          <w:t>http://staugustine.com/opinions/2016-05-15/letter-acidification-propaganda#</w:t>
        </w:r>
      </w:hyperlink>
      <w:r>
        <w:t xml:space="preserve">, Accessed: </w:t>
      </w:r>
      <w:proofErr w:type="gramStart"/>
      <w:r>
        <w:t>6.30.16)</w:t>
      </w:r>
      <w:proofErr w:type="gramEnd"/>
      <w:r>
        <w:t>VW</w:t>
      </w:r>
    </w:p>
    <w:p w:rsidR="007C776D" w:rsidRDefault="007C776D" w:rsidP="007C776D">
      <w:r>
        <w:t>Your Associated Press article by Seth Bornstein, “</w:t>
      </w:r>
      <w:r w:rsidRPr="00737BCE">
        <w:rPr>
          <w:rStyle w:val="StyleUnderline"/>
          <w:highlight w:val="yellow"/>
        </w:rPr>
        <w:t>Acidic seawater</w:t>
      </w:r>
      <w:r>
        <w:t xml:space="preserve"> dissolving Keys reef” on May 4 </w:t>
      </w:r>
      <w:r w:rsidRPr="00737BCE">
        <w:rPr>
          <w:rStyle w:val="StyleUnderline"/>
          <w:highlight w:val="yellow"/>
        </w:rPr>
        <w:t>was an</w:t>
      </w:r>
      <w:r w:rsidRPr="00927112">
        <w:rPr>
          <w:rStyle w:val="StyleUnderline"/>
        </w:rPr>
        <w:t xml:space="preserve"> instructive </w:t>
      </w:r>
      <w:r w:rsidRPr="00737BCE">
        <w:rPr>
          <w:rStyle w:val="StyleUnderline"/>
          <w:highlight w:val="yellow"/>
        </w:rPr>
        <w:t>example how the green lobby</w:t>
      </w:r>
      <w:r>
        <w:t xml:space="preserve">, and their minions, </w:t>
      </w:r>
      <w:r w:rsidRPr="00737BCE">
        <w:rPr>
          <w:rStyle w:val="StyleUnderline"/>
          <w:highlight w:val="yellow"/>
        </w:rPr>
        <w:t>twist facts to cause alarm</w:t>
      </w:r>
      <w:r>
        <w:t xml:space="preserve">. The article’s split image photo of the Carysfort Reef, 1996 (abundant coral) versus 2016 (barren sea bottom) with headline, “Acid ... dissolving Keys reef” is intended to fool inattentive readers into thinking the article will give evidence that acidic seawater caused the dramatic loss of coral on Carysfort Reef. Author Bornstein knows better. Hidden in the middle of the article he writes, “So far the effect is subtle, not noticeable to the eye, and can only be detected by intricate chemical tests.” Most observers think a main cause of Carysfort Reef’s decline is septic tank leakages from densely populated Islamorada Key putting too much nitrogen into the water. Now the water is cleaner, and surprise, surprise, a </w:t>
      </w:r>
      <w:proofErr w:type="gramStart"/>
      <w:r>
        <w:t>coral replanting</w:t>
      </w:r>
      <w:proofErr w:type="gramEnd"/>
      <w:r>
        <w:t xml:space="preserve"> project, the largest ever attempted, is happening! Patrick Moore, co-founder of Greenpeace, says </w:t>
      </w:r>
      <w:r w:rsidRPr="00927112">
        <w:rPr>
          <w:rStyle w:val="StyleUnderline"/>
        </w:rPr>
        <w:t xml:space="preserve">the term </w:t>
      </w:r>
      <w:r w:rsidRPr="00737BCE">
        <w:rPr>
          <w:rStyle w:val="StyleUnderline"/>
          <w:highlight w:val="yellow"/>
        </w:rPr>
        <w:t>ocean acidification is</w:t>
      </w:r>
      <w:r w:rsidRPr="00927112">
        <w:rPr>
          <w:rStyle w:val="StyleUnderline"/>
        </w:rPr>
        <w:t xml:space="preserve"> “just short of </w:t>
      </w:r>
      <w:r w:rsidRPr="00737BCE">
        <w:rPr>
          <w:rStyle w:val="StyleUnderline"/>
          <w:highlight w:val="yellow"/>
        </w:rPr>
        <w:t>propaganda</w:t>
      </w:r>
      <w:r w:rsidRPr="00927112">
        <w:rPr>
          <w:rStyle w:val="StyleUnderline"/>
        </w:rPr>
        <w:t xml:space="preserve">.” </w:t>
      </w:r>
      <w:r w:rsidRPr="00737BCE">
        <w:rPr>
          <w:rStyle w:val="StyleUnderline"/>
          <w:highlight w:val="yellow"/>
        </w:rPr>
        <w:t>Our world’s oceans are alkaline</w:t>
      </w:r>
      <w:r w:rsidRPr="00927112">
        <w:rPr>
          <w:rStyle w:val="StyleUnderline"/>
        </w:rPr>
        <w:t xml:space="preserve"> (mildly caustic), </w:t>
      </w:r>
      <w:r w:rsidRPr="00737BCE">
        <w:rPr>
          <w:rStyle w:val="StyleUnderline"/>
          <w:highlight w:val="yellow"/>
        </w:rPr>
        <w:t>not acidic</w:t>
      </w:r>
      <w:r w:rsidRPr="00927112">
        <w:rPr>
          <w:rStyle w:val="StyleUnderline"/>
        </w:rPr>
        <w:t>, between pH7.5 and pH8.3 (pH7.0 is neutral, lower than that is acid).</w:t>
      </w:r>
      <w:r>
        <w:t xml:space="preserve"> If Bornstein’s headline claim had been that our seas had become “less caustic,” who would give a hoot? Where’s the alarm factor? “Ocean acidification” was dreamed up about 15 years ago when the lack of actual global warming caused the global warming profiteers to search for a new scary notion. </w:t>
      </w:r>
      <w:r w:rsidRPr="00737BCE">
        <w:rPr>
          <w:rStyle w:val="StyleUnderline"/>
          <w:highlight w:val="yellow"/>
        </w:rPr>
        <w:t xml:space="preserve">Hydrologist Michael Wallace analyzed global ocean pH levels from 1910 to today and authoritatively showed no reduction </w:t>
      </w:r>
      <w:r w:rsidRPr="00927112">
        <w:rPr>
          <w:rStyle w:val="StyleUnderline"/>
        </w:rPr>
        <w:t xml:space="preserve">at all </w:t>
      </w:r>
      <w:r w:rsidRPr="00737BCE">
        <w:rPr>
          <w:rStyle w:val="StyleUnderline"/>
          <w:highlight w:val="yellow"/>
        </w:rPr>
        <w:t>of ocean pH levels for over 100 years</w:t>
      </w:r>
      <w:r w:rsidRPr="00737BCE">
        <w:rPr>
          <w:highlight w:val="yellow"/>
        </w:rPr>
        <w:t>.</w:t>
      </w:r>
      <w:r>
        <w:t xml:space="preserve"> </w:t>
      </w:r>
      <w:r w:rsidRPr="00927112">
        <w:rPr>
          <w:rStyle w:val="StyleUnderline"/>
        </w:rPr>
        <w:t xml:space="preserve">Craig </w:t>
      </w:r>
      <w:r w:rsidRPr="00737BCE">
        <w:rPr>
          <w:rStyle w:val="StyleUnderline"/>
          <w:highlight w:val="yellow"/>
        </w:rPr>
        <w:t>Idso analyzed all published studies of reduced pH levels</w:t>
      </w:r>
      <w:r w:rsidRPr="00927112">
        <w:rPr>
          <w:rStyle w:val="StyleUnderline"/>
        </w:rPr>
        <w:t xml:space="preserve"> on marine life.</w:t>
      </w:r>
      <w:r>
        <w:rPr>
          <w:rStyle w:val="StyleUnderline"/>
        </w:rPr>
        <w:t xml:space="preserve"> </w:t>
      </w:r>
      <w:r w:rsidRPr="00737BCE">
        <w:rPr>
          <w:rStyle w:val="StyleUnderline"/>
          <w:highlight w:val="yellow"/>
        </w:rPr>
        <w:t xml:space="preserve">He summarized that </w:t>
      </w:r>
      <w:r w:rsidRPr="00737BCE">
        <w:rPr>
          <w:rStyle w:val="Emphasis"/>
          <w:highlight w:val="yellow"/>
        </w:rPr>
        <w:t>even if pH were theoretically lowered by pH0.3 (beyond plausible), it would be unambiguously beneficial</w:t>
      </w:r>
      <w:r>
        <w:t xml:space="preserve">. Perhaps it’s like atmospheric CO2: increased concentrations are powerfully beneficial to plant productivity, including food crop yield? </w:t>
      </w:r>
      <w:r w:rsidRPr="00737BCE">
        <w:rPr>
          <w:rStyle w:val="StyleUnderline"/>
          <w:highlight w:val="yellow"/>
        </w:rPr>
        <w:t xml:space="preserve">Why </w:t>
      </w:r>
      <w:proofErr w:type="gramStart"/>
      <w:r w:rsidRPr="00737BCE">
        <w:rPr>
          <w:rStyle w:val="StyleUnderline"/>
          <w:highlight w:val="yellow"/>
        </w:rPr>
        <w:t>this scare</w:t>
      </w:r>
      <w:proofErr w:type="gramEnd"/>
      <w:r w:rsidRPr="00737BCE">
        <w:rPr>
          <w:rStyle w:val="StyleUnderline"/>
          <w:highlight w:val="yellow"/>
        </w:rPr>
        <w:t xml:space="preserve"> mongering</w:t>
      </w:r>
      <w:r w:rsidRPr="00927112">
        <w:rPr>
          <w:rStyle w:val="StyleUnderline"/>
        </w:rPr>
        <w:t xml:space="preserve">? According to the Climate Change Business Journal, </w:t>
      </w:r>
      <w:r w:rsidRPr="00737BCE">
        <w:rPr>
          <w:rStyle w:val="StyleUnderline"/>
          <w:highlight w:val="yellow"/>
        </w:rPr>
        <w:t>the global decarbonization business is now over $1.5 trillion</w:t>
      </w:r>
      <w:r w:rsidRPr="00737BCE">
        <w:rPr>
          <w:highlight w:val="yellow"/>
        </w:rPr>
        <w:t>.</w:t>
      </w:r>
      <w:r>
        <w:t xml:space="preserve"> </w:t>
      </w:r>
      <w:r w:rsidRPr="00927112">
        <w:rPr>
          <w:rStyle w:val="StyleUnderline"/>
        </w:rPr>
        <w:t>Most of these green, profit-generating schemes are gradually losing political rationale as anthropogenic CO2 is revealed to be no more than a made-up chimera</w:t>
      </w:r>
      <w:r>
        <w:t>.</w:t>
      </w:r>
    </w:p>
    <w:p w:rsidR="007C776D" w:rsidRDefault="007C776D" w:rsidP="007C776D"/>
    <w:p w:rsidR="007C776D" w:rsidRDefault="007C776D" w:rsidP="007C776D">
      <w:pPr>
        <w:pStyle w:val="Heading3"/>
      </w:pPr>
      <w:r>
        <w:lastRenderedPageBreak/>
        <w:t>Alt Causes</w:t>
      </w:r>
    </w:p>
    <w:p w:rsidR="007C776D" w:rsidRPr="00386E12" w:rsidRDefault="007C776D" w:rsidP="007C776D"/>
    <w:p w:rsidR="007C776D" w:rsidRPr="00386E12" w:rsidRDefault="007C776D" w:rsidP="007C776D">
      <w:pPr>
        <w:pStyle w:val="Heading4"/>
      </w:pPr>
      <w:r w:rsidRPr="00386E12">
        <w:t xml:space="preserve">The biggest </w:t>
      </w:r>
      <w:proofErr w:type="gramStart"/>
      <w:r w:rsidRPr="00386E12">
        <w:t>threats to coral reefs is</w:t>
      </w:r>
      <w:proofErr w:type="gramEnd"/>
      <w:r w:rsidRPr="00386E12">
        <w:t xml:space="preserve"> not bleaching but market forces like overfishing.</w:t>
      </w:r>
    </w:p>
    <w:p w:rsidR="007C776D" w:rsidRPr="002235B6" w:rsidRDefault="007C776D" w:rsidP="007C776D">
      <w:pPr>
        <w:rPr>
          <w:rStyle w:val="Style13ptBold"/>
          <w:b w:val="0"/>
          <w:sz w:val="22"/>
        </w:rPr>
      </w:pPr>
      <w:r>
        <w:rPr>
          <w:rStyle w:val="Style13ptBold"/>
        </w:rPr>
        <w:t xml:space="preserve">Linnane 6/16 </w:t>
      </w:r>
      <w:r w:rsidRPr="00386E12">
        <w:t xml:space="preserve">(Ciara Linnane, MarketWatch's investing- and corporate-news editor, “Coral reefs’ biggest threat is not what you think”, </w:t>
      </w:r>
      <w:hyperlink r:id="rId28" w:history="1">
        <w:r w:rsidRPr="00386E12">
          <w:t>http://www.marketwatch.com/story/coral-reefs-biggest-threat-is-not-what-you-think-2016-06-15</w:t>
        </w:r>
      </w:hyperlink>
      <w:r w:rsidRPr="00386E12">
        <w:t>, 6/16/2016) CJun</w:t>
      </w:r>
    </w:p>
    <w:p w:rsidR="007C776D" w:rsidRDefault="007C776D" w:rsidP="007C776D">
      <w:pPr>
        <w:rPr>
          <w:rStyle w:val="Emphasis"/>
        </w:rPr>
      </w:pPr>
      <w:r w:rsidRPr="001B69C9">
        <w:rPr>
          <w:rStyle w:val="Emphasis"/>
        </w:rPr>
        <w:t xml:space="preserve">Coral </w:t>
      </w:r>
      <w:r w:rsidRPr="00737BCE">
        <w:rPr>
          <w:rStyle w:val="Emphasis"/>
          <w:highlight w:val="yellow"/>
        </w:rPr>
        <w:t>bleaching is not the main culprit</w:t>
      </w:r>
      <w:r w:rsidRPr="001B69C9">
        <w:rPr>
          <w:rStyle w:val="Emphasis"/>
        </w:rPr>
        <w:t xml:space="preserve"> behind the damage currently being suffered by coral reefs</w:t>
      </w:r>
      <w:r w:rsidRPr="00B54DE9">
        <w:rPr>
          <w:sz w:val="14"/>
        </w:rPr>
        <w:t xml:space="preserve"> around the world, according to a new study. </w:t>
      </w:r>
      <w:r w:rsidRPr="00737BCE">
        <w:rPr>
          <w:rStyle w:val="Emphasis"/>
          <w:highlight w:val="yellow"/>
        </w:rPr>
        <w:t>Reefs are even more vulnerable to market forces,</w:t>
      </w:r>
      <w:r w:rsidRPr="006D467D">
        <w:rPr>
          <w:rStyle w:val="Emphasis"/>
        </w:rPr>
        <w:t xml:space="preserve"> and </w:t>
      </w:r>
      <w:r w:rsidRPr="00737BCE">
        <w:rPr>
          <w:rStyle w:val="Emphasis"/>
          <w:highlight w:val="yellow"/>
        </w:rPr>
        <w:t>the closer they are to the places where fish, coral and sea cucumbers can be bought and sold, the higher the risk of overfishing,</w:t>
      </w:r>
      <w:r w:rsidRPr="006D467D">
        <w:rPr>
          <w:rStyle w:val="Emphasis"/>
        </w:rPr>
        <w:t xml:space="preserve"> according to the study, which was led by the ARC Center of Excellence for Coral Reef Studies at James Cook University in Cairns, Australia.</w:t>
      </w:r>
      <w:r w:rsidRPr="00B54DE9">
        <w:rPr>
          <w:sz w:val="14"/>
        </w:rPr>
        <w:t xml:space="preserve"> </w:t>
      </w:r>
      <w:r w:rsidRPr="00737BCE">
        <w:rPr>
          <w:rStyle w:val="StyleUnderline"/>
          <w:highlight w:val="yellow"/>
        </w:rPr>
        <w:t>As demand for seafood has grown</w:t>
      </w:r>
      <w:r w:rsidRPr="006D467D">
        <w:rPr>
          <w:rStyle w:val="StyleUnderline"/>
        </w:rPr>
        <w:t xml:space="preserve"> in recent years</w:t>
      </w:r>
      <w:r w:rsidRPr="00737BCE">
        <w:rPr>
          <w:rStyle w:val="StyleUnderline"/>
          <w:highlight w:val="yellow"/>
        </w:rPr>
        <w:t>, reefs in remote areas</w:t>
      </w:r>
      <w:r w:rsidRPr="006D467D">
        <w:rPr>
          <w:rStyle w:val="StyleUnderline"/>
        </w:rPr>
        <w:t xml:space="preserve"> such as Caribbean islands </w:t>
      </w:r>
      <w:r w:rsidRPr="00737BCE">
        <w:rPr>
          <w:rStyle w:val="StyleUnderline"/>
          <w:highlight w:val="yellow"/>
        </w:rPr>
        <w:t>have become increasingly integrated into global markets.</w:t>
      </w:r>
      <w:r w:rsidRPr="006D467D">
        <w:rPr>
          <w:rStyle w:val="StyleUnderline"/>
        </w:rPr>
        <w:t xml:space="preserve"> “One of the main findings is </w:t>
      </w:r>
      <w:r w:rsidRPr="00737BCE">
        <w:rPr>
          <w:rStyle w:val="StyleUnderline"/>
          <w:highlight w:val="yellow"/>
        </w:rPr>
        <w:t>that proximity to market is by far the most influential factor causing reefs to be healthy or not</w:t>
      </w:r>
      <w:r w:rsidRPr="006D467D">
        <w:rPr>
          <w:rStyle w:val="StyleUnderline"/>
        </w:rPr>
        <w:t>,” Jack Kittinger, an expert on coral reefs at Conservation International and co-author of the report, told MarketWatch. “</w:t>
      </w:r>
      <w:r w:rsidRPr="00B54DE9">
        <w:rPr>
          <w:sz w:val="14"/>
        </w:rPr>
        <w:t xml:space="preserve">This is a whole new finding.” </w:t>
      </w:r>
      <w:r w:rsidRPr="006D467D">
        <w:rPr>
          <w:rStyle w:val="StyleUnderline"/>
        </w:rPr>
        <w:t>The study is the result of years of research that included more than 6,000 reef surveys in 46 countries around the world.</w:t>
      </w:r>
      <w:r w:rsidRPr="00B54DE9">
        <w:rPr>
          <w:sz w:val="14"/>
        </w:rPr>
        <w:t xml:space="preserve"> Researchers discovered 15 “bright spots,” or places where there were a lot more fish than expected, as well as 35 “dark spots,” or areas where fish stocks were far more depleted than expected. “If you have a portfolio of stocks that is outperforming the S&amp;P 500, you would ask ‘what are those companies doing that others aren’t?’” said Kittinger. “This is taking the same tack—why are some reefs losing fish while others aren’t.” The researchers found that the bright spots included reefs that had healthy human populations and unfavorable environmental conditions, two factors that would typically be damaging. However, they tended to have strong local engagement with how the reef was managed and local ownership rights. “Bright spots are not necessarily pristine reefs, but rather reefs that have more fish than they should, given the pressures they face,” said Professor Josh Cinner, another co-author of the report. “We wanted to know why these reefs could ‘punch above their weight’ so to speak, and whether there are lessons we can learn about how to avoid the degradation often associated with overfishing.” </w:t>
      </w:r>
      <w:r w:rsidRPr="00737BCE">
        <w:rPr>
          <w:rStyle w:val="Emphasis"/>
          <w:highlight w:val="yellow"/>
        </w:rPr>
        <w:t>Dark spots</w:t>
      </w:r>
      <w:r w:rsidRPr="006D467D">
        <w:rPr>
          <w:rStyle w:val="Emphasis"/>
        </w:rPr>
        <w:t xml:space="preserve"> also </w:t>
      </w:r>
      <w:r w:rsidRPr="00737BCE">
        <w:rPr>
          <w:rStyle w:val="Emphasis"/>
          <w:highlight w:val="yellow"/>
        </w:rPr>
        <w:t>had characteristics in common, such as being subject to intensive netting activities and having easy access to freezers so people could stockpile fish to send to market. “This</w:t>
      </w:r>
      <w:r w:rsidRPr="006D467D">
        <w:rPr>
          <w:rStyle w:val="Emphasis"/>
        </w:rPr>
        <w:t xml:space="preserve"> is how we’re killing reefs, but the good news is that this tells us that looking at market systems needs to be part of the solution,” said Kittiner. “That wasn’t in the conversation until now.”</w:t>
      </w:r>
    </w:p>
    <w:p w:rsidR="007C776D" w:rsidRDefault="007C776D" w:rsidP="007C776D">
      <w:pPr>
        <w:rPr>
          <w:rStyle w:val="Emphasis"/>
          <w:b w:val="0"/>
        </w:rPr>
      </w:pPr>
    </w:p>
    <w:p w:rsidR="007C776D" w:rsidRPr="00386E12" w:rsidRDefault="007C776D" w:rsidP="007C776D">
      <w:pPr>
        <w:pStyle w:val="Heading4"/>
      </w:pPr>
      <w:r w:rsidRPr="00386E12">
        <w:t>Farm run off and overfishing are both major alt causes to coral degredation.</w:t>
      </w:r>
    </w:p>
    <w:p w:rsidR="007C776D" w:rsidRPr="00F47EC3" w:rsidRDefault="007C776D" w:rsidP="007C776D">
      <w:pPr>
        <w:rPr>
          <w:rStyle w:val="Style13ptBold"/>
          <w:b w:val="0"/>
          <w:sz w:val="22"/>
        </w:rPr>
      </w:pPr>
      <w:r>
        <w:rPr>
          <w:rStyle w:val="Style13ptBold"/>
        </w:rPr>
        <w:t xml:space="preserve">CBS NEWS 6/7 </w:t>
      </w:r>
      <w:r w:rsidRPr="00386E12">
        <w:t xml:space="preserve">(CBS News, news division of American television and radio network CBS, “Corals die when overfishing, pollution and climate change combine As our climate continues to warm, corals face increasing threats, a new study finds”, </w:t>
      </w:r>
      <w:hyperlink r:id="rId29" w:history="1">
        <w:r w:rsidRPr="00386E12">
          <w:t>http://www.cbc.ca/news/technology/coral-heat-pollution-bacteria-disease-1.3620305</w:t>
        </w:r>
      </w:hyperlink>
      <w:r w:rsidRPr="00386E12">
        <w:t>, 6/7/16) CJun</w:t>
      </w:r>
    </w:p>
    <w:p w:rsidR="007C776D" w:rsidRPr="002F790D" w:rsidRDefault="007C776D" w:rsidP="007C776D">
      <w:pPr>
        <w:rPr>
          <w:rStyle w:val="Emphasis"/>
          <w:b w:val="0"/>
        </w:rPr>
      </w:pPr>
      <w:r>
        <w:rPr>
          <w:rStyle w:val="Emphasis"/>
          <w:b w:val="0"/>
        </w:rPr>
        <w:t>Bleaching linked to climate change isn't the only human-caused killer threatening coral reefs around the world.</w:t>
      </w:r>
      <w:r w:rsidRPr="00BD28B9">
        <w:rPr>
          <w:rStyle w:val="Emphasis"/>
        </w:rPr>
        <w:t xml:space="preserve"> </w:t>
      </w:r>
      <w:r w:rsidRPr="00737BCE">
        <w:rPr>
          <w:rStyle w:val="Emphasis"/>
          <w:highlight w:val="yellow"/>
        </w:rPr>
        <w:t>A new study has found that overfishing and polluted run-off from farms and lawns also interfere with corals' ability to withstand heat waves. These stressors damage corals' microbiome — the bacteria that live on corals — by increasing the proportion of disease-causing bacteria.</w:t>
      </w:r>
      <w:r>
        <w:rPr>
          <w:rStyle w:val="Emphasis"/>
          <w:b w:val="0"/>
        </w:rPr>
        <w:t xml:space="preserve"> This causes the corals to become sick and die, according to the study published today in Nature Communications.</w:t>
      </w:r>
    </w:p>
    <w:p w:rsidR="007C776D" w:rsidRDefault="007C776D" w:rsidP="007C776D">
      <w:pPr>
        <w:pStyle w:val="Heading2"/>
      </w:pPr>
      <w:r>
        <w:lastRenderedPageBreak/>
        <w:t>Other</w:t>
      </w:r>
    </w:p>
    <w:p w:rsidR="007C776D" w:rsidRDefault="007C776D" w:rsidP="007C776D"/>
    <w:p w:rsidR="007C776D" w:rsidRDefault="007C776D" w:rsidP="007C776D">
      <w:pPr>
        <w:pStyle w:val="Heading3"/>
        <w:spacing w:before="0" w:line="240" w:lineRule="auto"/>
      </w:pPr>
      <w:r>
        <w:t xml:space="preserve">2NC </w:t>
      </w:r>
      <w:r>
        <w:t xml:space="preserve">Solar Industry </w:t>
      </w:r>
      <w:r>
        <w:t>UQ</w:t>
      </w:r>
    </w:p>
    <w:p w:rsidR="007C776D" w:rsidRDefault="007C776D" w:rsidP="007C776D">
      <w:pPr>
        <w:spacing w:after="0" w:line="240" w:lineRule="auto"/>
      </w:pPr>
    </w:p>
    <w:p w:rsidR="007C776D" w:rsidRDefault="007C776D" w:rsidP="007C776D">
      <w:pPr>
        <w:pStyle w:val="Heading4"/>
        <w:spacing w:before="0" w:line="240" w:lineRule="auto"/>
      </w:pPr>
      <w:r>
        <w:t>Its never been better – both installations and manufacturing is high now</w:t>
      </w:r>
    </w:p>
    <w:p w:rsidR="007C776D" w:rsidRPr="004319F9" w:rsidRDefault="007C776D" w:rsidP="007C776D">
      <w:pPr>
        <w:spacing w:after="0" w:line="240" w:lineRule="auto"/>
        <w:rPr>
          <w:rStyle w:val="Style13ptBold"/>
        </w:rPr>
      </w:pPr>
      <w:r w:rsidRPr="004319F9">
        <w:rPr>
          <w:rStyle w:val="Style13ptBold"/>
        </w:rPr>
        <w:t>Weiser 6/28</w:t>
      </w:r>
    </w:p>
    <w:p w:rsidR="007C776D" w:rsidRPr="004319F9" w:rsidRDefault="007C776D" w:rsidP="007C776D">
      <w:pPr>
        <w:spacing w:after="0" w:line="240" w:lineRule="auto"/>
      </w:pPr>
      <w:r>
        <w:t xml:space="preserve">(Matt, </w:t>
      </w:r>
      <w:r w:rsidRPr="004319F9">
        <w:t>Here comes the sun: US solar power market hits all-time high</w:t>
      </w:r>
      <w:r>
        <w:t xml:space="preserve">, Tuesday 28 June, </w:t>
      </w:r>
      <w:r w:rsidRPr="004319F9">
        <w:t>https://www.theguardian.com/sustainable-business/2016/jun/28/solar-power-energy-us-utilities-environment-climate-change</w:t>
      </w:r>
      <w:r>
        <w:t>)</w:t>
      </w:r>
    </w:p>
    <w:p w:rsidR="007C776D" w:rsidRDefault="007C776D" w:rsidP="007C776D">
      <w:pPr>
        <w:spacing w:after="0" w:line="240" w:lineRule="auto"/>
      </w:pPr>
    </w:p>
    <w:p w:rsidR="007C776D" w:rsidRDefault="007C776D" w:rsidP="007C776D">
      <w:pPr>
        <w:spacing w:after="0" w:line="240" w:lineRule="auto"/>
      </w:pPr>
      <w:r>
        <w:t xml:space="preserve">Remarkably, </w:t>
      </w:r>
      <w:r w:rsidRPr="00422955">
        <w:rPr>
          <w:rStyle w:val="StyleUnderline"/>
        </w:rPr>
        <w:t>the US solar energy industry is now entering</w:t>
      </w:r>
      <w:r>
        <w:t xml:space="preserve"> what may be </w:t>
      </w:r>
      <w:r w:rsidRPr="00422955">
        <w:rPr>
          <w:rStyle w:val="StyleUnderline"/>
          <w:b/>
        </w:rPr>
        <w:t>its most prosperous decade ever</w:t>
      </w:r>
      <w:r>
        <w:t>, thanks to a new wave of federal and state policies and positive economics in the industry, both at home and abroad.</w:t>
      </w:r>
    </w:p>
    <w:p w:rsidR="007C776D" w:rsidRDefault="007C776D" w:rsidP="007C776D">
      <w:pPr>
        <w:spacing w:after="0" w:line="240" w:lineRule="auto"/>
      </w:pPr>
      <w:r>
        <w:t>“I think it will actually be bigger than people are projecting,” says Jigar Shah, president and co-founder of Generate Capital, a clean energy investment firm based in San Francisco. “</w:t>
      </w:r>
      <w:r w:rsidRPr="00422955">
        <w:rPr>
          <w:rStyle w:val="StyleUnderline"/>
          <w:b/>
        </w:rPr>
        <w:t>The solar industry is booming</w:t>
      </w:r>
      <w:r>
        <w:t xml:space="preserve"> right now.”</w:t>
      </w:r>
    </w:p>
    <w:p w:rsidR="007C776D" w:rsidRDefault="007C776D" w:rsidP="007C776D">
      <w:pPr>
        <w:spacing w:after="0" w:line="240" w:lineRule="auto"/>
      </w:pPr>
      <w:r w:rsidRPr="00422955">
        <w:rPr>
          <w:rStyle w:val="StyleUnderline"/>
        </w:rPr>
        <w:t>The US solar industry expects to install</w:t>
      </w:r>
      <w:r>
        <w:t xml:space="preserve"> 14.5 gigawatts of solar power in 2016, </w:t>
      </w:r>
      <w:r w:rsidRPr="00422955">
        <w:rPr>
          <w:rStyle w:val="StyleUnderline"/>
          <w:b/>
        </w:rPr>
        <w:t>a 94% increase over the record 7.5 gigawatts last year</w:t>
      </w:r>
      <w:r>
        <w:t>, according to a new market report by GTM Research and the Solar Energy Industries Association. Revenues from solar installations also increased 21% from 2014 to more than $22bn in 2015.</w:t>
      </w:r>
    </w:p>
    <w:p w:rsidR="007C776D" w:rsidRDefault="007C776D" w:rsidP="007C776D">
      <w:pPr>
        <w:spacing w:after="0" w:line="240" w:lineRule="auto"/>
      </w:pPr>
      <w:r>
        <w:t>For the first time, more solar systems came online than natural gas power plants – the top source of electricity in the US – in 2015, as measured in megawatts, said Justin Baca, vice president of markets and research at the Solar Energy Industries Association. This year, new solar is expected to surpass installations of all other sources, said the US Energy Information Administration.</w:t>
      </w:r>
    </w:p>
    <w:p w:rsidR="007C776D" w:rsidRDefault="007C776D" w:rsidP="007C776D">
      <w:pPr>
        <w:spacing w:after="0" w:line="240" w:lineRule="auto"/>
      </w:pPr>
      <w:r>
        <w:t>The rise of solar energy use, especially by homes and businesses with panels on their roofs, is gradually transforming the electricity industry. For more than a century, power plant owners and utilities have controlled the energy delivery service, and some of them enjoy a monopoly.</w:t>
      </w:r>
    </w:p>
    <w:p w:rsidR="007C776D" w:rsidRDefault="007C776D" w:rsidP="007C776D">
      <w:pPr>
        <w:spacing w:after="0" w:line="240" w:lineRule="auto"/>
      </w:pPr>
      <w:r>
        <w:t>“We were just a tiny little speck 10 years ago, and now we are really up there with the major established generating technologies,” said Baca. “It’s amazing.”</w:t>
      </w:r>
    </w:p>
    <w:p w:rsidR="007C776D" w:rsidRDefault="007C776D" w:rsidP="007C776D">
      <w:pPr>
        <w:spacing w:after="0" w:line="240" w:lineRule="auto"/>
      </w:pPr>
      <w:r>
        <w:t>Sunny path</w:t>
      </w:r>
    </w:p>
    <w:p w:rsidR="007C776D" w:rsidRDefault="007C776D" w:rsidP="007C776D">
      <w:pPr>
        <w:spacing w:after="0" w:line="240" w:lineRule="auto"/>
      </w:pPr>
      <w:r>
        <w:t>What’s behind all this? A federal tax credit has played a key role: it enables home and business owners to take off 30% of the price of their solar energy systems from their income taxes. Congress renewed the tax credit last December.</w:t>
      </w:r>
    </w:p>
    <w:p w:rsidR="007C776D" w:rsidRDefault="007C776D" w:rsidP="007C776D">
      <w:pPr>
        <w:spacing w:after="0" w:line="240" w:lineRule="auto"/>
      </w:pPr>
      <w:r>
        <w:t>Another factor is cost. It is simply a lot cheaper to install solar these days, largely because cost of components have declined considerably. The wholesale price of a solar panel today is about $0.65 per watt, compared with $0.74 per watt a year ago and $4 per watt in 2008.</w:t>
      </w:r>
    </w:p>
    <w:p w:rsidR="007C776D" w:rsidRDefault="007C776D" w:rsidP="007C776D">
      <w:pPr>
        <w:spacing w:after="0" w:line="240" w:lineRule="auto"/>
      </w:pPr>
      <w:r>
        <w:t>The steep decline in prices began initially in Germany. In 2000, Germany adopted policies that heavily subsidized solar power by adding a special charge on consumer utility bills. Utilities use the money collected from that special charge to pay higher rates for solar energy as part of a government policy to promote renewable energy. The higher rates created a huge demand for solar panels, driving manufacturers to compete for those dollars and other countries to institute similar policies. Until last year, it was the largest solar energy producing country in the world.</w:t>
      </w:r>
    </w:p>
    <w:p w:rsidR="007C776D" w:rsidRDefault="007C776D" w:rsidP="007C776D">
      <w:pPr>
        <w:spacing w:after="0" w:line="240" w:lineRule="auto"/>
      </w:pPr>
      <w:r>
        <w:t>“They created a massive demand for solar, and manufacturers around the world started stepping up to that,” Baca said. “Prior to that, a lot of solar panels were still largely made by hand. But the scale that manufacturers started growing to allowed a little bit more automation.”</w:t>
      </w:r>
    </w:p>
    <w:p w:rsidR="007C776D" w:rsidRDefault="007C776D" w:rsidP="007C776D">
      <w:pPr>
        <w:spacing w:after="0" w:line="240" w:lineRule="auto"/>
      </w:pPr>
      <w:r>
        <w:t>Then China, where labor costs were lower, rose to become a mighty manufacturing force. Chinese manufacturers built massive factories to make solar panels, drove down the prices for solar panels and forced more than a hundred of its competitors in Europe, US and even within China to go bankrupt.</w:t>
      </w:r>
    </w:p>
    <w:p w:rsidR="007C776D" w:rsidRDefault="007C776D" w:rsidP="007C776D">
      <w:pPr>
        <w:spacing w:after="0" w:line="240" w:lineRule="auto"/>
      </w:pPr>
      <w:r>
        <w:t>The fallout hurt so many businesses that the US government imposed tariffs on Chinese-made solar panels after determining that Chinese manufacturers were pricing their products at below fair-market values.</w:t>
      </w:r>
    </w:p>
    <w:p w:rsidR="007C776D" w:rsidRDefault="007C776D" w:rsidP="007C776D">
      <w:pPr>
        <w:spacing w:after="0" w:line="240" w:lineRule="auto"/>
      </w:pPr>
      <w:r w:rsidRPr="00422955">
        <w:rPr>
          <w:rStyle w:val="StyleUnderline"/>
          <w:b/>
        </w:rPr>
        <w:t>The tariffs and increasing domestic demand have boosted manufacturing jobs</w:t>
      </w:r>
      <w:r w:rsidRPr="00422955">
        <w:rPr>
          <w:rStyle w:val="StyleUnderline"/>
        </w:rPr>
        <w:t xml:space="preserve"> in the US, which is now one of the top five nations for solar panel producers</w:t>
      </w:r>
      <w:r>
        <w:t xml:space="preserve"> behind China, Singapore, Taiwan and Malaysia.</w:t>
      </w:r>
    </w:p>
    <w:p w:rsidR="007C776D" w:rsidRDefault="007C776D" w:rsidP="007C776D">
      <w:pPr>
        <w:spacing w:after="0" w:line="240" w:lineRule="auto"/>
      </w:pPr>
      <w:r>
        <w:t>“</w:t>
      </w:r>
      <w:r w:rsidRPr="00422955">
        <w:rPr>
          <w:rStyle w:val="StyleUnderline"/>
        </w:rPr>
        <w:t>Now the market’s so large you can actually sustain the large manufacturing plants and support the product locally,”</w:t>
      </w:r>
      <w:r>
        <w:t xml:space="preserve"> said Shah.</w:t>
      </w:r>
    </w:p>
    <w:p w:rsidR="007C776D" w:rsidRPr="007C776D" w:rsidRDefault="007C776D" w:rsidP="007C776D"/>
    <w:p w:rsidR="007C776D" w:rsidRDefault="007C776D" w:rsidP="007C776D">
      <w:pPr>
        <w:pStyle w:val="Heading3"/>
      </w:pPr>
      <w:proofErr w:type="gramStart"/>
      <w:r>
        <w:lastRenderedPageBreak/>
        <w:t>Blackouts Impact Ext.</w:t>
      </w:r>
      <w:proofErr w:type="gramEnd"/>
    </w:p>
    <w:p w:rsidR="007C776D" w:rsidRPr="007C776D" w:rsidRDefault="007C776D" w:rsidP="007C776D"/>
    <w:p w:rsidR="007C776D" w:rsidRDefault="007C776D" w:rsidP="007C776D">
      <w:pPr>
        <w:pStyle w:val="Heading4"/>
      </w:pPr>
      <w:r>
        <w:t xml:space="preserve">Nuclear meltdown leads to extinction </w:t>
      </w:r>
    </w:p>
    <w:p w:rsidR="007C776D" w:rsidRDefault="007C776D" w:rsidP="007C776D">
      <w:pPr>
        <w:pStyle w:val="NormalWeb"/>
        <w:shd w:val="clear" w:color="auto" w:fill="FFFFFF"/>
        <w:rPr>
          <w:rFonts w:ascii="Arial" w:hAnsi="Arial" w:cs="Arial"/>
          <w:color w:val="555555"/>
          <w:sz w:val="24"/>
          <w:szCs w:val="24"/>
        </w:rPr>
      </w:pPr>
      <w:r>
        <w:rPr>
          <w:rStyle w:val="Style13ptBold"/>
        </w:rPr>
        <w:t>Huff 14 [</w:t>
      </w:r>
      <w:r w:rsidRPr="00522FE2">
        <w:rPr>
          <w:rStyle w:val="Style13ptBold"/>
          <w:rFonts w:ascii="Calibri" w:hAnsi="Calibri"/>
          <w:sz w:val="18"/>
          <w:szCs w:val="18"/>
        </w:rPr>
        <w:t xml:space="preserve">Ethan A Huff Journalist for Natural News </w:t>
      </w:r>
      <w:r w:rsidRPr="00522FE2">
        <w:rPr>
          <w:rFonts w:ascii="Calibri" w:hAnsi="Calibri" w:cs="Arial"/>
          <w:sz w:val="18"/>
          <w:szCs w:val="18"/>
        </w:rPr>
        <w:t>Natural News is a science advocacy organization. The key mission of Natural News is to empower factual information about the synthetic chemicals, and heavy metals http://www.naturalnews.com/046429_nuclear_power_electric_grid_global_extinction.html]</w:t>
      </w:r>
    </w:p>
    <w:p w:rsidR="007C776D" w:rsidRPr="00EF3B50" w:rsidRDefault="007C776D" w:rsidP="007C776D">
      <w:pPr>
        <w:spacing w:line="240" w:lineRule="auto"/>
        <w:rPr>
          <w:rFonts w:eastAsia="Times New Roman"/>
          <w:szCs w:val="22"/>
        </w:rPr>
      </w:pPr>
      <w:r w:rsidRPr="00EF3B50">
        <w:rPr>
          <w:rFonts w:eastAsia="Times New Roman" w:cs="Arial"/>
          <w:szCs w:val="22"/>
          <w:shd w:val="clear" w:color="auto" w:fill="FFFFFF"/>
        </w:rPr>
        <w:t xml:space="preserve">If you think the Fukushima situation is bad, consider the fact that </w:t>
      </w:r>
      <w:r w:rsidRPr="00EF3B50">
        <w:rPr>
          <w:rFonts w:eastAsia="Times New Roman" w:cs="Arial"/>
          <w:b/>
          <w:szCs w:val="22"/>
          <w:u w:val="single"/>
          <w:shd w:val="clear" w:color="auto" w:fill="FFFFFF"/>
        </w:rPr>
        <w:t>the U</w:t>
      </w:r>
      <w:r w:rsidRPr="00EF3B50">
        <w:rPr>
          <w:rFonts w:eastAsia="Times New Roman" w:cs="Arial"/>
          <w:szCs w:val="22"/>
          <w:shd w:val="clear" w:color="auto" w:fill="FFFFFF"/>
        </w:rPr>
        <w:t xml:space="preserve">nited </w:t>
      </w:r>
      <w:r w:rsidRPr="00EF3B50">
        <w:rPr>
          <w:rFonts w:eastAsia="Times New Roman" w:cs="Arial"/>
          <w:b/>
          <w:szCs w:val="22"/>
          <w:u w:val="single"/>
          <w:shd w:val="clear" w:color="auto" w:fill="FFFFFF"/>
        </w:rPr>
        <w:t>S</w:t>
      </w:r>
      <w:r w:rsidRPr="00EF3B50">
        <w:rPr>
          <w:rFonts w:eastAsia="Times New Roman" w:cs="Arial"/>
          <w:szCs w:val="22"/>
          <w:shd w:val="clear" w:color="auto" w:fill="FFFFFF"/>
        </w:rPr>
        <w:t xml:space="preserve">tates </w:t>
      </w:r>
      <w:r w:rsidRPr="00EF3B50">
        <w:rPr>
          <w:rFonts w:eastAsia="Times New Roman" w:cs="Arial"/>
          <w:b/>
          <w:szCs w:val="22"/>
          <w:u w:val="single"/>
          <w:shd w:val="clear" w:color="auto" w:fill="FFFFFF"/>
        </w:rPr>
        <w:t>is vulnerable to</w:t>
      </w:r>
      <w:r w:rsidRPr="00EF3B50">
        <w:rPr>
          <w:rFonts w:eastAsia="Times New Roman" w:cs="Arial"/>
          <w:szCs w:val="22"/>
          <w:shd w:val="clear" w:color="auto" w:fill="FFFFFF"/>
        </w:rPr>
        <w:t xml:space="preserve"> the exact same meltdown situation, except at 124 separate nuclear reactors throughout the country. If anything should happen to our nation's poorly protected electric power grid, these reactors have </w:t>
      </w:r>
      <w:r w:rsidRPr="00EF3B50">
        <w:rPr>
          <w:rFonts w:eastAsia="Times New Roman" w:cs="Arial"/>
          <w:b/>
          <w:szCs w:val="22"/>
          <w:u w:val="single"/>
          <w:shd w:val="clear" w:color="auto" w:fill="FFFFFF"/>
        </w:rPr>
        <w:t>a high likelihood of failure</w:t>
      </w:r>
      <w:r w:rsidRPr="00EF3B50">
        <w:rPr>
          <w:rFonts w:eastAsia="Times New Roman" w:cs="Arial"/>
          <w:szCs w:val="22"/>
          <w:shd w:val="clear" w:color="auto" w:fill="FFFFFF"/>
        </w:rPr>
        <w:t xml:space="preserve">, say experts, </w:t>
      </w:r>
      <w:r w:rsidRPr="00EF3B50">
        <w:rPr>
          <w:rFonts w:eastAsia="Times New Roman" w:cs="Arial"/>
          <w:b/>
          <w:szCs w:val="22"/>
          <w:u w:val="single"/>
          <w:shd w:val="clear" w:color="auto" w:fill="FFFFFF"/>
        </w:rPr>
        <w:t>a catastrophic scenario that would most likely lead to the destruction</w:t>
      </w:r>
      <w:r w:rsidRPr="00EF3B50">
        <w:rPr>
          <w:rFonts w:eastAsia="Times New Roman" w:cs="Arial"/>
          <w:szCs w:val="22"/>
          <w:shd w:val="clear" w:color="auto" w:fill="FFFFFF"/>
        </w:rPr>
        <w:t xml:space="preserve"> </w:t>
      </w:r>
      <w:r w:rsidRPr="00EF3B50">
        <w:rPr>
          <w:rFonts w:eastAsia="Times New Roman" w:cs="Arial"/>
          <w:b/>
          <w:szCs w:val="22"/>
          <w:u w:val="single"/>
          <w:shd w:val="clear" w:color="auto" w:fill="FFFFFF"/>
        </w:rPr>
        <w:t>of</w:t>
      </w:r>
      <w:r w:rsidRPr="00EF3B50">
        <w:rPr>
          <w:rFonts w:eastAsia="Times New Roman" w:cs="Arial"/>
          <w:szCs w:val="22"/>
          <w:shd w:val="clear" w:color="auto" w:fill="FFFFFF"/>
        </w:rPr>
        <w:t xml:space="preserve"> all life on our planet, including </w:t>
      </w:r>
      <w:r w:rsidRPr="00EF3B50">
        <w:rPr>
          <w:rFonts w:eastAsia="Times New Roman" w:cs="Arial"/>
          <w:b/>
          <w:szCs w:val="22"/>
          <w:u w:val="single"/>
          <w:shd w:val="clear" w:color="auto" w:fill="FFFFFF"/>
        </w:rPr>
        <w:t>humans</w:t>
      </w:r>
      <w:r w:rsidRPr="00EF3B50">
        <w:rPr>
          <w:rFonts w:eastAsia="Times New Roman" w:cs="Arial"/>
          <w:szCs w:val="22"/>
          <w:shd w:val="clear" w:color="auto" w:fill="FFFFFF"/>
        </w:rPr>
        <w:t>.</w:t>
      </w:r>
      <w:r>
        <w:rPr>
          <w:rFonts w:eastAsia="Times New Roman" w:cs="Arial"/>
          <w:szCs w:val="22"/>
        </w:rPr>
        <w:t xml:space="preserve"> </w:t>
      </w:r>
      <w:r w:rsidRPr="00EF3B50">
        <w:rPr>
          <w:rFonts w:eastAsia="Times New Roman" w:cs="Arial"/>
          <w:szCs w:val="22"/>
          <w:shd w:val="clear" w:color="auto" w:fill="FFFFFF"/>
        </w:rPr>
        <w:t>Though they obviously generate power themselves, nuclear power plants also rely on an extensive system of power backups that ensure the constant flow of cooling water to reactor cores. In the event of an electromagnetic pulse (EMP), for instance, diesel-powered backup generators are designed to immediately engage, ensuring that fuel rods and reactor cores don't overheat and melt, causing unmitigated destruction.</w:t>
      </w:r>
      <w:r>
        <w:rPr>
          <w:rFonts w:eastAsia="Times New Roman" w:cs="Arial"/>
          <w:szCs w:val="22"/>
        </w:rPr>
        <w:t xml:space="preserve"> </w:t>
      </w:r>
      <w:r w:rsidRPr="00EF3B50">
        <w:rPr>
          <w:rFonts w:eastAsia="Times New Roman" w:cs="Arial"/>
          <w:szCs w:val="22"/>
          <w:shd w:val="clear" w:color="auto" w:fill="FFFFFF"/>
        </w:rPr>
        <w:t xml:space="preserve">But most of </w:t>
      </w:r>
      <w:r w:rsidRPr="00EF3B50">
        <w:rPr>
          <w:rFonts w:eastAsia="Times New Roman" w:cs="Arial"/>
          <w:b/>
          <w:szCs w:val="22"/>
          <w:u w:val="single"/>
          <w:shd w:val="clear" w:color="auto" w:fill="FFFFFF"/>
        </w:rPr>
        <w:t>these generators were only designed to operate for</w:t>
      </w:r>
      <w:r w:rsidRPr="00EF3B50">
        <w:rPr>
          <w:rFonts w:eastAsia="Times New Roman" w:cs="Arial"/>
          <w:szCs w:val="22"/>
          <w:shd w:val="clear" w:color="auto" w:fill="FFFFFF"/>
        </w:rPr>
        <w:t xml:space="preserve"> a maximum period of about </w:t>
      </w:r>
      <w:r w:rsidRPr="00EF3B50">
        <w:rPr>
          <w:rFonts w:eastAsia="Times New Roman" w:cs="Arial"/>
          <w:b/>
          <w:szCs w:val="22"/>
          <w:u w:val="single"/>
          <w:shd w:val="clear" w:color="auto" w:fill="FFFFFF"/>
        </w:rPr>
        <w:t>24 hours or less</w:t>
      </w:r>
      <w:r w:rsidRPr="00EF3B50">
        <w:rPr>
          <w:rFonts w:eastAsia="Times New Roman" w:cs="Arial"/>
          <w:szCs w:val="22"/>
          <w:shd w:val="clear" w:color="auto" w:fill="FFFFFF"/>
        </w:rPr>
        <w:t xml:space="preserve">, meaning they are </w:t>
      </w:r>
      <w:r w:rsidRPr="00EF3B50">
        <w:rPr>
          <w:rFonts w:eastAsia="Times New Roman" w:cs="Arial"/>
          <w:b/>
          <w:szCs w:val="22"/>
          <w:u w:val="single"/>
          <w:shd w:val="clear" w:color="auto" w:fill="FFFFFF"/>
        </w:rPr>
        <w:t>exceptionally temporary</w:t>
      </w:r>
      <w:r w:rsidRPr="00EF3B50">
        <w:rPr>
          <w:rFonts w:eastAsia="Times New Roman" w:cs="Arial"/>
          <w:szCs w:val="22"/>
          <w:shd w:val="clear" w:color="auto" w:fill="FFFFFF"/>
        </w:rPr>
        <w:t xml:space="preserve"> in nature. In a real emergency situation, such as one that might be caused by a systematic attack on the power grid, </w:t>
      </w:r>
      <w:r w:rsidRPr="00EF3B50">
        <w:rPr>
          <w:rFonts w:eastAsia="Times New Roman" w:cs="Arial"/>
          <w:b/>
          <w:szCs w:val="22"/>
          <w:u w:val="single"/>
          <w:shd w:val="clear" w:color="auto" w:fill="FFFFFF"/>
        </w:rPr>
        <w:t>it could take days or even weeks to bring control systems back online</w:t>
      </w:r>
      <w:r w:rsidRPr="00EF3B50">
        <w:rPr>
          <w:rFonts w:eastAsia="Times New Roman" w:cs="Arial"/>
          <w:szCs w:val="22"/>
          <w:shd w:val="clear" w:color="auto" w:fill="FFFFFF"/>
        </w:rPr>
        <w:t xml:space="preserve">. At this point, all </w:t>
      </w:r>
      <w:r w:rsidRPr="00EF3B50">
        <w:rPr>
          <w:rFonts w:eastAsia="Times New Roman" w:cs="Arial"/>
          <w:b/>
          <w:szCs w:val="22"/>
          <w:u w:val="single"/>
          <w:shd w:val="clear" w:color="auto" w:fill="FFFFFF"/>
        </w:rPr>
        <w:t>those backup generators would have already run out of fuel, leaving nuclear reactors everywhere prone to meltdowns</w:t>
      </w:r>
      <w:r w:rsidRPr="00EF3B50">
        <w:rPr>
          <w:rFonts w:eastAsia="Times New Roman" w:cs="Arial"/>
          <w:szCs w:val="22"/>
          <w:shd w:val="clear" w:color="auto" w:fill="FFFFFF"/>
        </w:rPr>
        <w:t>.</w:t>
      </w:r>
      <w:r>
        <w:rPr>
          <w:rFonts w:eastAsia="Times New Roman" w:cs="Arial"/>
          <w:szCs w:val="22"/>
        </w:rPr>
        <w:t xml:space="preserve"> </w:t>
      </w:r>
      <w:r w:rsidRPr="00EF3B50">
        <w:rPr>
          <w:rFonts w:eastAsia="Times New Roman" w:cs="Arial"/>
          <w:szCs w:val="22"/>
          <w:shd w:val="clear" w:color="auto" w:fill="FFFFFF"/>
        </w:rPr>
        <w:t>According to Dave Hodges from</w:t>
      </w:r>
      <w:r w:rsidRPr="00EF3B50">
        <w:rPr>
          <w:rStyle w:val="apple-converted-space"/>
          <w:rFonts w:eastAsia="Times New Roman" w:cs="Arial"/>
          <w:szCs w:val="22"/>
          <w:shd w:val="clear" w:color="auto" w:fill="FFFFFF"/>
        </w:rPr>
        <w:t> </w:t>
      </w:r>
      <w:r w:rsidRPr="00EF3B50">
        <w:rPr>
          <w:rFonts w:eastAsia="Times New Roman" w:cs="Arial"/>
          <w:i/>
          <w:iCs/>
          <w:szCs w:val="22"/>
          <w:shd w:val="clear" w:color="auto" w:fill="FFFFFF"/>
        </w:rPr>
        <w:t>The Common Sense Show</w:t>
      </w:r>
      <w:r w:rsidRPr="00EF3B50">
        <w:rPr>
          <w:rFonts w:eastAsia="Times New Roman" w:cs="Arial"/>
          <w:szCs w:val="22"/>
          <w:shd w:val="clear" w:color="auto" w:fill="FFFFFF"/>
        </w:rPr>
        <w:t>, it would only cost taxpayers about $2 billion to update the power grid and protect it from attack or shutdown. This is roughly the same price as a single B-1 Stealth Bomber, or the annual sum that</w:t>
      </w:r>
      <w:r w:rsidRPr="00EF3B50">
        <w:rPr>
          <w:rStyle w:val="apple-converted-space"/>
          <w:rFonts w:eastAsia="Times New Roman" w:cs="Arial"/>
          <w:szCs w:val="22"/>
          <w:shd w:val="clear" w:color="auto" w:fill="FFFFFF"/>
        </w:rPr>
        <w:t> </w:t>
      </w:r>
      <w:r w:rsidRPr="00EF3B50">
        <w:rPr>
          <w:rFonts w:eastAsia="Times New Roman"/>
          <w:szCs w:val="22"/>
        </w:rPr>
        <w:fldChar w:fldCharType="begin"/>
      </w:r>
      <w:r w:rsidRPr="00EF3B50">
        <w:rPr>
          <w:rFonts w:eastAsia="Times New Roman"/>
          <w:szCs w:val="22"/>
        </w:rPr>
        <w:instrText xml:space="preserve"> HYPERLINK "http://origin.heritage.org/research/reports/2009/10/50-examples-of-government-waste" \l "_edn3" \t "_blank" </w:instrText>
      </w:r>
      <w:r w:rsidRPr="00EF3B50">
        <w:rPr>
          <w:rFonts w:eastAsia="Times New Roman"/>
          <w:szCs w:val="22"/>
        </w:rPr>
      </w:r>
      <w:r w:rsidRPr="00EF3B50">
        <w:rPr>
          <w:rFonts w:eastAsia="Times New Roman"/>
          <w:szCs w:val="22"/>
        </w:rPr>
        <w:fldChar w:fldCharType="separate"/>
      </w:r>
      <w:r w:rsidRPr="00EF3B50">
        <w:rPr>
          <w:rStyle w:val="Hyperlink"/>
          <w:rFonts w:eastAsia="Times New Roman" w:cs="Arial"/>
          <w:szCs w:val="22"/>
          <w:shd w:val="clear" w:color="auto" w:fill="FFFFFF"/>
        </w:rPr>
        <w:t>the government pays American farmers</w:t>
      </w:r>
      <w:r w:rsidRPr="00EF3B50">
        <w:rPr>
          <w:rStyle w:val="apple-converted-space"/>
          <w:rFonts w:eastAsia="Times New Roman" w:cs="Arial"/>
          <w:szCs w:val="22"/>
          <w:shd w:val="clear" w:color="auto" w:fill="FFFFFF"/>
        </w:rPr>
        <w:t> </w:t>
      </w:r>
      <w:r w:rsidRPr="00EF3B50">
        <w:rPr>
          <w:rStyle w:val="Hyperlink"/>
          <w:rFonts w:eastAsia="Times New Roman" w:cs="Arial"/>
          <w:i/>
          <w:iCs/>
          <w:szCs w:val="22"/>
          <w:shd w:val="clear" w:color="auto" w:fill="FFFFFF"/>
        </w:rPr>
        <w:t>not</w:t>
      </w:r>
      <w:r w:rsidRPr="00EF3B50">
        <w:rPr>
          <w:rStyle w:val="apple-converted-space"/>
          <w:rFonts w:eastAsia="Times New Roman" w:cs="Arial"/>
          <w:szCs w:val="22"/>
          <w:shd w:val="clear" w:color="auto" w:fill="FFFFFF"/>
        </w:rPr>
        <w:t> </w:t>
      </w:r>
      <w:r w:rsidRPr="00EF3B50">
        <w:rPr>
          <w:rStyle w:val="Hyperlink"/>
          <w:rFonts w:eastAsia="Times New Roman" w:cs="Arial"/>
          <w:szCs w:val="22"/>
          <w:shd w:val="clear" w:color="auto" w:fill="FFFFFF"/>
        </w:rPr>
        <w:t>to grow crops</w:t>
      </w:r>
      <w:r w:rsidRPr="00EF3B50">
        <w:rPr>
          <w:rFonts w:eastAsia="Times New Roman"/>
          <w:szCs w:val="22"/>
        </w:rPr>
        <w:fldChar w:fldCharType="end"/>
      </w:r>
      <w:r w:rsidRPr="00EF3B50">
        <w:rPr>
          <w:rFonts w:eastAsia="Times New Roman" w:cs="Arial"/>
          <w:szCs w:val="22"/>
          <w:shd w:val="clear" w:color="auto" w:fill="FFFFFF"/>
        </w:rPr>
        <w:t>.</w:t>
      </w:r>
      <w:r>
        <w:rPr>
          <w:rFonts w:eastAsia="Times New Roman" w:cs="Arial"/>
          <w:szCs w:val="22"/>
        </w:rPr>
        <w:t xml:space="preserve"> </w:t>
      </w:r>
      <w:r w:rsidRPr="00EF3B50">
        <w:rPr>
          <w:rFonts w:eastAsia="Times New Roman" w:cs="Arial"/>
          <w:szCs w:val="22"/>
          <w:shd w:val="clear" w:color="auto" w:fill="FFFFFF"/>
        </w:rPr>
        <w:t xml:space="preserve">In other words, it is a mere drop in the bucket compared to everything else the government spends money on. </w:t>
      </w:r>
      <w:proofErr w:type="gramStart"/>
      <w:r w:rsidRPr="00EF3B50">
        <w:rPr>
          <w:rFonts w:eastAsia="Times New Roman" w:cs="Arial"/>
          <w:szCs w:val="22"/>
          <w:shd w:val="clear" w:color="auto" w:fill="FFFFFF"/>
        </w:rPr>
        <w:t>And yet nothing is being done to protect the power grid against failure or, worse yet, an attack by domestic or foreign enemies.</w:t>
      </w:r>
      <w:proofErr w:type="gramEnd"/>
      <w:r w:rsidRPr="00EF3B50">
        <w:rPr>
          <w:rFonts w:eastAsia="Times New Roman" w:cs="Arial"/>
          <w:szCs w:val="22"/>
          <w:shd w:val="clear" w:color="auto" w:fill="FFFFFF"/>
        </w:rPr>
        <w:t xml:space="preserve"> Investment guru Paul Singer warned about this, noting that an electromagnetic surge is the "most significant danger" facing the world today.</w:t>
      </w:r>
      <w:r>
        <w:rPr>
          <w:rFonts w:eastAsia="Times New Roman" w:cs="Arial"/>
          <w:szCs w:val="22"/>
        </w:rPr>
        <w:t xml:space="preserve"> </w:t>
      </w:r>
      <w:r w:rsidRPr="00EF3B50">
        <w:rPr>
          <w:rFonts w:eastAsia="Times New Roman" w:cs="Arial"/>
          <w:szCs w:val="22"/>
          <w:shd w:val="clear" w:color="auto" w:fill="FFFFFF"/>
        </w:rPr>
        <w:t xml:space="preserve">"Even </w:t>
      </w:r>
      <w:proofErr w:type="gramStart"/>
      <w:r w:rsidRPr="00EF3B50">
        <w:rPr>
          <w:rFonts w:eastAsia="Times New Roman" w:cs="Arial"/>
          <w:szCs w:val="22"/>
          <w:shd w:val="clear" w:color="auto" w:fill="FFFFFF"/>
        </w:rPr>
        <w:t>horrendous</w:t>
      </w:r>
      <w:proofErr w:type="gramEnd"/>
      <w:r w:rsidRPr="00EF3B50">
        <w:rPr>
          <w:rStyle w:val="apple-converted-space"/>
          <w:rFonts w:eastAsia="Times New Roman" w:cs="Arial"/>
          <w:szCs w:val="22"/>
          <w:shd w:val="clear" w:color="auto" w:fill="FFFFFF"/>
        </w:rPr>
        <w:t> </w:t>
      </w:r>
      <w:hyperlink r:id="rId30" w:history="1">
        <w:r w:rsidRPr="00EF3B50">
          <w:rPr>
            <w:rStyle w:val="Hyperlink"/>
            <w:rFonts w:eastAsia="Times New Roman" w:cs="Arial"/>
            <w:szCs w:val="22"/>
            <w:shd w:val="clear" w:color="auto" w:fill="FFFFFF"/>
          </w:rPr>
          <w:t>nuclear</w:t>
        </w:r>
      </w:hyperlink>
      <w:r w:rsidRPr="00EF3B50">
        <w:rPr>
          <w:rStyle w:val="apple-converted-space"/>
          <w:rFonts w:eastAsia="Times New Roman" w:cs="Arial"/>
          <w:szCs w:val="22"/>
          <w:shd w:val="clear" w:color="auto" w:fill="FFFFFF"/>
        </w:rPr>
        <w:t> </w:t>
      </w:r>
      <w:r w:rsidRPr="00EF3B50">
        <w:rPr>
          <w:rFonts w:eastAsia="Times New Roman" w:cs="Arial"/>
          <w:szCs w:val="22"/>
          <w:shd w:val="clear" w:color="auto" w:fill="FFFFFF"/>
        </w:rPr>
        <w:t>war, except in its most extreme form, can [be] a relatively localized issue," said Singer, "and the threat from asteroids can (possibly) be mitigated."</w:t>
      </w:r>
      <w:r>
        <w:rPr>
          <w:rFonts w:eastAsia="Times New Roman" w:cs="Arial"/>
          <w:szCs w:val="22"/>
        </w:rPr>
        <w:t xml:space="preserve"> </w:t>
      </w:r>
      <w:r w:rsidRPr="00EF3B50">
        <w:rPr>
          <w:szCs w:val="22"/>
        </w:rPr>
        <w:t>Spent fuel racks contain radiation that won't be contained during an emergency</w:t>
      </w:r>
      <w:r>
        <w:rPr>
          <w:rFonts w:eastAsia="Times New Roman"/>
          <w:szCs w:val="22"/>
        </w:rPr>
        <w:t xml:space="preserve"> </w:t>
      </w:r>
      <w:r w:rsidRPr="00EF3B50">
        <w:rPr>
          <w:rFonts w:eastAsia="Times New Roman" w:cs="Arial"/>
          <w:szCs w:val="22"/>
          <w:shd w:val="clear" w:color="auto" w:fill="FFFFFF"/>
        </w:rPr>
        <w:t xml:space="preserve">In the event of a disaster or loss of power, a nuclear plant's emergency power systems are designed to automatically engage, while its control rods are dropped into the core. </w:t>
      </w:r>
      <w:r w:rsidRPr="00EF3B50">
        <w:rPr>
          <w:rFonts w:eastAsia="Times New Roman" w:cs="Arial"/>
          <w:b/>
          <w:szCs w:val="22"/>
          <w:u w:val="single"/>
          <w:shd w:val="clear" w:color="auto" w:fill="FFFFFF"/>
        </w:rPr>
        <w:t>Water</w:t>
      </w:r>
      <w:r w:rsidRPr="00EF3B50">
        <w:rPr>
          <w:rFonts w:eastAsia="Times New Roman" w:cs="Arial"/>
          <w:szCs w:val="22"/>
          <w:shd w:val="clear" w:color="auto" w:fill="FFFFFF"/>
        </w:rPr>
        <w:t xml:space="preserve"> is then </w:t>
      </w:r>
      <w:r w:rsidRPr="00EF3B50">
        <w:rPr>
          <w:rFonts w:eastAsia="Times New Roman" w:cs="Arial"/>
          <w:b/>
          <w:szCs w:val="22"/>
          <w:u w:val="single"/>
          <w:shd w:val="clear" w:color="auto" w:fill="FFFFFF"/>
        </w:rPr>
        <w:t>pumped into the reactor</w:t>
      </w:r>
      <w:r w:rsidRPr="00EF3B50">
        <w:rPr>
          <w:rFonts w:eastAsia="Times New Roman" w:cs="Arial"/>
          <w:szCs w:val="22"/>
          <w:shd w:val="clear" w:color="auto" w:fill="FFFFFF"/>
        </w:rPr>
        <w:t xml:space="preserve"> to mitigate excess heat, in turn preventing a meltdown. And just to be sure, spent fuel rods are encased in both a primary and secondary containment structure, aiding in meltdown prevention.</w:t>
      </w:r>
      <w:r>
        <w:rPr>
          <w:rFonts w:eastAsia="Times New Roman" w:cs="Arial"/>
          <w:szCs w:val="22"/>
        </w:rPr>
        <w:t xml:space="preserve"> </w:t>
      </w:r>
      <w:r w:rsidRPr="00EF3B50">
        <w:rPr>
          <w:rFonts w:eastAsia="Times New Roman" w:cs="Arial"/>
          <w:szCs w:val="22"/>
          <w:shd w:val="clear" w:color="auto" w:fill="FFFFFF"/>
        </w:rPr>
        <w:t xml:space="preserve">But if the emergency results in longer-term power losses, and backup generators run out of power, this constant flow of cooling water </w:t>
      </w:r>
      <w:r w:rsidRPr="00EF3B50">
        <w:rPr>
          <w:rFonts w:eastAsia="Times New Roman" w:cs="Arial"/>
          <w:b/>
          <w:szCs w:val="22"/>
          <w:u w:val="single"/>
          <w:shd w:val="clear" w:color="auto" w:fill="FFFFFF"/>
        </w:rPr>
        <w:t>will eventually run dry</w:t>
      </w:r>
      <w:r w:rsidRPr="00EF3B50">
        <w:rPr>
          <w:rFonts w:eastAsia="Times New Roman" w:cs="Arial"/>
          <w:szCs w:val="22"/>
          <w:shd w:val="clear" w:color="auto" w:fill="FFFFFF"/>
        </w:rPr>
        <w:t xml:space="preserve">. This is what happened at Fukushima, resulting in several </w:t>
      </w:r>
      <w:r w:rsidRPr="00EF3B50">
        <w:rPr>
          <w:rFonts w:eastAsia="Times New Roman" w:cs="Arial"/>
          <w:b/>
          <w:szCs w:val="22"/>
          <w:u w:val="single"/>
          <w:shd w:val="clear" w:color="auto" w:fill="FFFFFF"/>
        </w:rPr>
        <w:t>reactor cores melt</w:t>
      </w:r>
      <w:r w:rsidRPr="00EF3B50">
        <w:rPr>
          <w:rFonts w:eastAsia="Times New Roman" w:cs="Arial"/>
          <w:szCs w:val="22"/>
          <w:shd w:val="clear" w:color="auto" w:fill="FFFFFF"/>
        </w:rPr>
        <w:t xml:space="preserve">ing </w:t>
      </w:r>
      <w:r w:rsidRPr="00EF3B50">
        <w:rPr>
          <w:rFonts w:eastAsia="Times New Roman" w:cs="Arial"/>
          <w:b/>
          <w:szCs w:val="22"/>
          <w:u w:val="single"/>
          <w:shd w:val="clear" w:color="auto" w:fill="FFFFFF"/>
        </w:rPr>
        <w:t>right through their containment structures into the ground</w:t>
      </w:r>
      <w:r w:rsidRPr="00EF3B50">
        <w:rPr>
          <w:rFonts w:eastAsia="Times New Roman" w:cs="Arial"/>
          <w:szCs w:val="22"/>
          <w:shd w:val="clear" w:color="auto" w:fill="FFFFFF"/>
        </w:rPr>
        <w:t>. There is also the issue of residual spent fuel, which is normally contained in high-density storage racks that are not taken into account during an emergency.</w:t>
      </w:r>
      <w:r>
        <w:rPr>
          <w:rFonts w:eastAsia="Times New Roman" w:cs="Arial"/>
          <w:szCs w:val="22"/>
        </w:rPr>
        <w:t xml:space="preserve"> </w:t>
      </w:r>
      <w:r w:rsidRPr="00EF3B50">
        <w:rPr>
          <w:rFonts w:eastAsia="Times New Roman" w:cs="Arial"/>
          <w:szCs w:val="22"/>
          <w:shd w:val="clear" w:color="auto" w:fill="FFFFFF"/>
        </w:rPr>
        <w:t>"...</w:t>
      </w:r>
      <w:proofErr w:type="gramStart"/>
      <w:r w:rsidRPr="00EF3B50">
        <w:rPr>
          <w:rFonts w:eastAsia="Times New Roman" w:cs="Arial"/>
          <w:szCs w:val="22"/>
          <w:shd w:val="clear" w:color="auto" w:fill="FFFFFF"/>
        </w:rPr>
        <w:t>contained</w:t>
      </w:r>
      <w:proofErr w:type="gramEnd"/>
      <w:r w:rsidRPr="00EF3B50">
        <w:rPr>
          <w:rFonts w:eastAsia="Times New Roman" w:cs="Arial"/>
          <w:szCs w:val="22"/>
          <w:shd w:val="clear" w:color="auto" w:fill="FFFFFF"/>
        </w:rPr>
        <w:t xml:space="preserve"> in buildings that vent directly into the atmosphere, radiation containment is not accounted for with regard to the spent fuel racks," explained Hodges. "In other words, there is no capture mechanism."</w:t>
      </w:r>
      <w:r>
        <w:rPr>
          <w:rFonts w:eastAsia="Times New Roman" w:cs="Arial"/>
          <w:szCs w:val="22"/>
        </w:rPr>
        <w:t xml:space="preserve"> </w:t>
      </w:r>
      <w:r w:rsidRPr="00EF3B50">
        <w:rPr>
          <w:rFonts w:eastAsia="Times New Roman" w:cs="Arial"/>
          <w:szCs w:val="22"/>
          <w:shd w:val="clear" w:color="auto" w:fill="FFFFFF"/>
        </w:rPr>
        <w:t>Like many others, Hodges wants to know why the government refuses to take this important situation more seriously. Again, it wouldn't cost that much in the greater scheme of things to bring the power grid up to proper safety standards, protecting Americans and their infrastructure from a possible cascade of nuclear meltdowns. So why isn't it happening?</w:t>
      </w:r>
    </w:p>
    <w:p w:rsidR="007C776D" w:rsidRDefault="007C776D" w:rsidP="007C776D">
      <w:pPr>
        <w:pStyle w:val="Heading4"/>
      </w:pPr>
      <w:r>
        <w:t>Nuclear war leads to extinction (?)</w:t>
      </w:r>
    </w:p>
    <w:p w:rsidR="007C776D" w:rsidRDefault="007C776D" w:rsidP="007C776D">
      <w:pPr>
        <w:rPr>
          <w:rFonts w:eastAsia="Times New Roman"/>
        </w:rPr>
      </w:pPr>
      <w:r>
        <w:rPr>
          <w:rStyle w:val="Style13ptBold"/>
        </w:rPr>
        <w:t>Starr 15 [</w:t>
      </w:r>
      <w:r w:rsidRPr="00DD04C4">
        <w:rPr>
          <w:rStyle w:val="Style13ptBold"/>
          <w:sz w:val="18"/>
          <w:szCs w:val="18"/>
        </w:rPr>
        <w:t>Steven Starr</w:t>
      </w:r>
      <w:r w:rsidRPr="00DD04C4">
        <w:rPr>
          <w:rStyle w:val="apple-converted-space"/>
          <w:rFonts w:eastAsia="Times New Roman"/>
          <w:sz w:val="18"/>
          <w:szCs w:val="18"/>
          <w:shd w:val="clear" w:color="auto" w:fill="FFFFFF"/>
        </w:rPr>
        <w:t> </w:t>
      </w:r>
      <w:hyperlink r:id="rId31" w:history="1">
        <w:r w:rsidRPr="00DD04C4">
          <w:rPr>
            <w:rStyle w:val="Hyperlink"/>
            <w:rFonts w:eastAsia="Times New Roman"/>
            <w:sz w:val="18"/>
            <w:szCs w:val="18"/>
            <w:shd w:val="clear" w:color="auto" w:fill="FFFFFF"/>
          </w:rPr>
          <w:t>Associate</w:t>
        </w:r>
      </w:hyperlink>
      <w:r w:rsidRPr="00DD04C4">
        <w:rPr>
          <w:rStyle w:val="apple-converted-space"/>
          <w:rFonts w:eastAsia="Times New Roman"/>
          <w:sz w:val="18"/>
          <w:szCs w:val="18"/>
          <w:shd w:val="clear" w:color="auto" w:fill="FFFFFF"/>
        </w:rPr>
        <w:t> </w:t>
      </w:r>
      <w:r w:rsidRPr="00DD04C4">
        <w:rPr>
          <w:rFonts w:eastAsia="Times New Roman"/>
          <w:sz w:val="18"/>
          <w:szCs w:val="18"/>
          <w:shd w:val="clear" w:color="auto" w:fill="FFFFFF"/>
        </w:rPr>
        <w:t>of the</w:t>
      </w:r>
      <w:r>
        <w:rPr>
          <w:rFonts w:eastAsia="Times New Roman"/>
          <w:sz w:val="18"/>
          <w:szCs w:val="18"/>
          <w:shd w:val="clear" w:color="auto" w:fill="FFFFFF"/>
        </w:rPr>
        <w:t xml:space="preserve"> </w:t>
      </w:r>
      <w:hyperlink r:id="rId32" w:history="1">
        <w:r w:rsidRPr="00DD04C4">
          <w:rPr>
            <w:rStyle w:val="Hyperlink"/>
            <w:rFonts w:eastAsia="Times New Roman"/>
            <w:sz w:val="18"/>
            <w:szCs w:val="18"/>
            <w:shd w:val="clear" w:color="auto" w:fill="FFFFFF"/>
          </w:rPr>
          <w:t>Nuclear Age Peace Foundation</w:t>
        </w:r>
      </w:hyperlink>
      <w:r w:rsidRPr="00DD04C4">
        <w:rPr>
          <w:rFonts w:eastAsia="Times New Roman"/>
          <w:sz w:val="18"/>
          <w:szCs w:val="18"/>
          <w:shd w:val="clear" w:color="auto" w:fill="FFFFFF"/>
        </w:rPr>
        <w:t>,</w:t>
      </w:r>
      <w:r w:rsidRPr="00DD04C4">
        <w:rPr>
          <w:rStyle w:val="apple-converted-space"/>
          <w:rFonts w:eastAsia="Times New Roman"/>
          <w:sz w:val="18"/>
          <w:szCs w:val="18"/>
          <w:shd w:val="clear" w:color="auto" w:fill="FFFFFF"/>
        </w:rPr>
        <w:t> </w:t>
      </w:r>
      <w:hyperlink r:id="rId33" w:history="1">
        <w:r w:rsidRPr="00DD04C4">
          <w:rPr>
            <w:rStyle w:val="Hyperlink"/>
            <w:rFonts w:eastAsia="Times New Roman"/>
            <w:sz w:val="18"/>
            <w:szCs w:val="18"/>
            <w:shd w:val="clear" w:color="auto" w:fill="FFFFFF"/>
          </w:rPr>
          <w:t>former board member and senior scientist</w:t>
        </w:r>
      </w:hyperlink>
      <w:r w:rsidRPr="00DD04C4">
        <w:rPr>
          <w:rStyle w:val="apple-converted-space"/>
          <w:rFonts w:eastAsia="Times New Roman"/>
          <w:sz w:val="18"/>
          <w:szCs w:val="18"/>
          <w:shd w:val="clear" w:color="auto" w:fill="FFFFFF"/>
        </w:rPr>
        <w:t> </w:t>
      </w:r>
      <w:r w:rsidRPr="00DD04C4">
        <w:rPr>
          <w:rFonts w:eastAsia="Times New Roman"/>
          <w:sz w:val="18"/>
          <w:szCs w:val="18"/>
          <w:shd w:val="clear" w:color="auto" w:fill="FFFFFF"/>
        </w:rPr>
        <w:t>for</w:t>
      </w:r>
      <w:r w:rsidRPr="00DD04C4">
        <w:rPr>
          <w:rStyle w:val="apple-converted-space"/>
          <w:rFonts w:eastAsia="Times New Roman"/>
          <w:sz w:val="18"/>
          <w:szCs w:val="18"/>
          <w:shd w:val="clear" w:color="auto" w:fill="FFFFFF"/>
        </w:rPr>
        <w:t> </w:t>
      </w:r>
      <w:hyperlink r:id="rId34" w:history="1">
        <w:r w:rsidRPr="00DD04C4">
          <w:rPr>
            <w:rStyle w:val="Hyperlink"/>
            <w:rFonts w:eastAsia="Times New Roman"/>
            <w:sz w:val="18"/>
            <w:szCs w:val="18"/>
            <w:shd w:val="clear" w:color="auto" w:fill="FFFFFF"/>
          </w:rPr>
          <w:t>Physicians for Social Responsibility</w:t>
        </w:r>
      </w:hyperlink>
      <w:r w:rsidRPr="00DD04C4">
        <w:rPr>
          <w:rFonts w:eastAsia="Times New Roman"/>
          <w:sz w:val="18"/>
          <w:szCs w:val="18"/>
          <w:shd w:val="clear" w:color="auto" w:fill="FFFFFF"/>
        </w:rPr>
        <w:t>. He’s going to talk about Nuclear War: An Unrecognized Mass Extinction Event Waiting to Happen</w:t>
      </w:r>
      <w:r>
        <w:rPr>
          <w:rFonts w:eastAsia="Times New Roman"/>
          <w:sz w:val="18"/>
          <w:szCs w:val="18"/>
          <w:shd w:val="clear" w:color="auto" w:fill="FFFFFF"/>
        </w:rPr>
        <w:t>]</w:t>
      </w:r>
    </w:p>
    <w:p w:rsidR="007C776D" w:rsidRPr="00DD04C4" w:rsidRDefault="007C776D" w:rsidP="007C776D">
      <w:pPr>
        <w:pStyle w:val="NormalWeb"/>
        <w:shd w:val="clear" w:color="auto" w:fill="FFFFFF"/>
        <w:rPr>
          <w:rFonts w:ascii="Calibri" w:hAnsi="Calibri"/>
          <w:b/>
          <w:sz w:val="22"/>
          <w:szCs w:val="22"/>
          <w:u w:val="single"/>
        </w:rPr>
      </w:pPr>
      <w:r w:rsidRPr="00EF3B50">
        <w:rPr>
          <w:rFonts w:ascii="Calibri" w:hAnsi="Calibri"/>
          <w:sz w:val="22"/>
          <w:szCs w:val="22"/>
        </w:rPr>
        <w:t xml:space="preserve">In 1945, Albert Einstein said, “The release of atomic power has changed everything except our way of thinking.” In 2015, seventy years later, we are still stockpiling nuclear weapons in preparation for nuclear war. </w:t>
      </w:r>
      <w:r w:rsidRPr="00DD04C4">
        <w:rPr>
          <w:rFonts w:ascii="Calibri" w:hAnsi="Calibri"/>
          <w:b/>
          <w:sz w:val="22"/>
          <w:szCs w:val="22"/>
          <w:u w:val="single"/>
        </w:rPr>
        <w:t xml:space="preserve">Our continued willingness to allow huge nuclear arsenals to exist </w:t>
      </w:r>
      <w:r w:rsidRPr="00DD04C4">
        <w:rPr>
          <w:rFonts w:ascii="Calibri" w:hAnsi="Calibri"/>
          <w:b/>
          <w:sz w:val="22"/>
          <w:szCs w:val="22"/>
          <w:u w:val="single"/>
        </w:rPr>
        <w:lastRenderedPageBreak/>
        <w:t>clearly shows</w:t>
      </w:r>
      <w:r w:rsidRPr="00EF3B50">
        <w:rPr>
          <w:rFonts w:ascii="Calibri" w:hAnsi="Calibri"/>
          <w:sz w:val="22"/>
          <w:szCs w:val="22"/>
        </w:rPr>
        <w:t xml:space="preserve"> that we have not fundamentally grasped the most important truth of the nuclear age: </w:t>
      </w:r>
      <w:r w:rsidRPr="00DD04C4">
        <w:rPr>
          <w:rFonts w:ascii="Calibri" w:hAnsi="Calibri"/>
          <w:b/>
          <w:sz w:val="22"/>
          <w:szCs w:val="22"/>
          <w:u w:val="single"/>
        </w:rPr>
        <w:t>that a nuclear war is not likely to be survived by the human</w:t>
      </w:r>
      <w:r w:rsidRPr="00EF3B50">
        <w:rPr>
          <w:rFonts w:ascii="Calibri" w:hAnsi="Calibri"/>
          <w:sz w:val="22"/>
          <w:szCs w:val="22"/>
        </w:rPr>
        <w:t xml:space="preserve"> species. A war fought with 21st century strategic nuclear weapons would be more than just a great catastrophe in human history. If we allow it to happen, </w:t>
      </w:r>
      <w:r w:rsidRPr="00DD04C4">
        <w:rPr>
          <w:rFonts w:ascii="Calibri" w:hAnsi="Calibri"/>
          <w:b/>
          <w:sz w:val="22"/>
          <w:szCs w:val="22"/>
          <w:u w:val="single"/>
        </w:rPr>
        <w:t>such a war would be a mass extinction event that</w:t>
      </w:r>
      <w:r w:rsidRPr="00DD04C4">
        <w:rPr>
          <w:rStyle w:val="apple-converted-space"/>
          <w:rFonts w:ascii="Calibri" w:hAnsi="Calibri"/>
          <w:b/>
          <w:sz w:val="22"/>
          <w:szCs w:val="22"/>
          <w:u w:val="single"/>
        </w:rPr>
        <w:t> </w:t>
      </w:r>
      <w:hyperlink r:id="rId35" w:history="1">
        <w:r w:rsidRPr="00DD04C4">
          <w:rPr>
            <w:rStyle w:val="Hyperlink"/>
            <w:rFonts w:ascii="Calibri" w:hAnsi="Calibri"/>
            <w:b/>
            <w:iCs/>
            <w:sz w:val="22"/>
            <w:szCs w:val="22"/>
            <w:u w:val="single"/>
          </w:rPr>
          <w:t>ends</w:t>
        </w:r>
        <w:r w:rsidRPr="00DD04C4">
          <w:rPr>
            <w:rStyle w:val="apple-converted-space"/>
            <w:rFonts w:ascii="Calibri" w:hAnsi="Calibri"/>
            <w:b/>
            <w:sz w:val="22"/>
            <w:szCs w:val="22"/>
            <w:u w:val="single"/>
          </w:rPr>
          <w:t> </w:t>
        </w:r>
        <w:r w:rsidRPr="00DD04C4">
          <w:rPr>
            <w:rStyle w:val="Hyperlink"/>
            <w:rFonts w:ascii="Calibri" w:hAnsi="Calibri"/>
            <w:b/>
            <w:sz w:val="22"/>
            <w:szCs w:val="22"/>
            <w:u w:val="single"/>
          </w:rPr>
          <w:t>human history</w:t>
        </w:r>
      </w:hyperlink>
      <w:r w:rsidRPr="00EF3B50">
        <w:rPr>
          <w:rFonts w:ascii="Calibri" w:hAnsi="Calibri"/>
          <w:sz w:val="22"/>
          <w:szCs w:val="22"/>
        </w:rPr>
        <w:t xml:space="preserve">. </w:t>
      </w:r>
      <w:r w:rsidRPr="00DD04C4">
        <w:rPr>
          <w:rFonts w:ascii="Calibri" w:hAnsi="Calibri"/>
          <w:b/>
          <w:sz w:val="22"/>
          <w:szCs w:val="22"/>
          <w:u w:val="single"/>
        </w:rPr>
        <w:t>There is a</w:t>
      </w:r>
      <w:r w:rsidRPr="00EF3B50">
        <w:rPr>
          <w:rFonts w:ascii="Calibri" w:hAnsi="Calibri"/>
          <w:sz w:val="22"/>
          <w:szCs w:val="22"/>
        </w:rPr>
        <w:t xml:space="preserve"> profound </w:t>
      </w:r>
      <w:r w:rsidRPr="00DD04C4">
        <w:rPr>
          <w:rFonts w:ascii="Calibri" w:hAnsi="Calibri"/>
          <w:b/>
          <w:sz w:val="22"/>
          <w:szCs w:val="22"/>
          <w:u w:val="single"/>
        </w:rPr>
        <w:t>difference between extinction</w:t>
      </w:r>
      <w:r w:rsidRPr="00EF3B50">
        <w:rPr>
          <w:rFonts w:ascii="Calibri" w:hAnsi="Calibri"/>
          <w:sz w:val="22"/>
          <w:szCs w:val="22"/>
        </w:rPr>
        <w:t xml:space="preserve"> </w:t>
      </w:r>
      <w:r w:rsidRPr="00DD04C4">
        <w:rPr>
          <w:rFonts w:ascii="Calibri" w:hAnsi="Calibri"/>
          <w:b/>
          <w:sz w:val="22"/>
          <w:szCs w:val="22"/>
          <w:u w:val="single"/>
        </w:rPr>
        <w:t>and</w:t>
      </w:r>
      <w:r w:rsidRPr="00EF3B50">
        <w:rPr>
          <w:rFonts w:ascii="Calibri" w:hAnsi="Calibri"/>
          <w:sz w:val="22"/>
          <w:szCs w:val="22"/>
        </w:rPr>
        <w:t xml:space="preserve"> “an unprecedented disaster,” or even “</w:t>
      </w:r>
      <w:r w:rsidRPr="00DD04C4">
        <w:rPr>
          <w:rFonts w:ascii="Calibri" w:hAnsi="Calibri"/>
          <w:b/>
          <w:sz w:val="22"/>
          <w:szCs w:val="22"/>
          <w:u w:val="single"/>
        </w:rPr>
        <w:t>the end of civilization</w:t>
      </w:r>
      <w:r w:rsidRPr="00EF3B50">
        <w:rPr>
          <w:rFonts w:ascii="Calibri" w:hAnsi="Calibri"/>
          <w:sz w:val="22"/>
          <w:szCs w:val="22"/>
        </w:rPr>
        <w:t>,” because even after such an immense catastrophe, human life would go on. But extinction, by definition, is an event of utter finality, and a nuclear war that could cause human extinction should really be considered as the ultimate criminal act. It certainly would be the crime to end all crimes. The world’s leading climatologists now tell us that nuclear war threatens our continued existence as a species. Their studies predict that a large nuclear war, especially one fought with strategic nuclear weapons, would create</w:t>
      </w:r>
      <w:r w:rsidRPr="00EF3B50">
        <w:rPr>
          <w:rStyle w:val="apple-converted-space"/>
          <w:rFonts w:ascii="Calibri" w:hAnsi="Calibri"/>
          <w:sz w:val="22"/>
          <w:szCs w:val="22"/>
        </w:rPr>
        <w:t> </w:t>
      </w:r>
      <w:hyperlink r:id="rId36" w:history="1">
        <w:r w:rsidRPr="00DD04C4">
          <w:rPr>
            <w:rStyle w:val="Hyperlink"/>
            <w:rFonts w:ascii="Calibri" w:hAnsi="Calibri"/>
            <w:b/>
            <w:sz w:val="22"/>
            <w:szCs w:val="22"/>
            <w:u w:val="single"/>
          </w:rPr>
          <w:t>a post-war environment in which for many years it would be too cold and dark to even grow food</w:t>
        </w:r>
      </w:hyperlink>
      <w:r w:rsidRPr="00DD04C4">
        <w:rPr>
          <w:rFonts w:ascii="Calibri" w:hAnsi="Calibri"/>
          <w:b/>
          <w:sz w:val="22"/>
          <w:szCs w:val="22"/>
          <w:u w:val="single"/>
        </w:rPr>
        <w:t>.</w:t>
      </w:r>
      <w:r w:rsidRPr="00EF3B50">
        <w:rPr>
          <w:rFonts w:ascii="Calibri" w:hAnsi="Calibri"/>
          <w:sz w:val="22"/>
          <w:szCs w:val="22"/>
        </w:rPr>
        <w:t xml:space="preserve"> Their findings make it clear that not only humans, but most large animals and many other forms of complex life would likely vanish forever in a nuclear darkness of our own making. The environmental consequences of nuclear war would attack the ecological support systems of life at every level. </w:t>
      </w:r>
      <w:r w:rsidRPr="00DD04C4">
        <w:rPr>
          <w:rFonts w:ascii="Calibri" w:hAnsi="Calibri"/>
          <w:b/>
          <w:sz w:val="22"/>
          <w:szCs w:val="22"/>
          <w:u w:val="single"/>
        </w:rPr>
        <w:t>Radioactive fallout</w:t>
      </w:r>
      <w:r w:rsidRPr="00EF3B50">
        <w:rPr>
          <w:rFonts w:ascii="Calibri" w:hAnsi="Calibri"/>
          <w:sz w:val="22"/>
          <w:szCs w:val="22"/>
        </w:rPr>
        <w:t xml:space="preserve">, produced not only by nuclear bombs, but also by the destruction of nuclear power plants and their spent fuel pools, </w:t>
      </w:r>
      <w:r w:rsidRPr="00DD04C4">
        <w:rPr>
          <w:rFonts w:ascii="Calibri" w:hAnsi="Calibri"/>
          <w:b/>
          <w:sz w:val="22"/>
          <w:szCs w:val="22"/>
          <w:u w:val="single"/>
        </w:rPr>
        <w:t>would poison the biosphere</w:t>
      </w:r>
      <w:r w:rsidRPr="00EF3B50">
        <w:rPr>
          <w:rFonts w:ascii="Calibri" w:hAnsi="Calibri"/>
          <w:sz w:val="22"/>
          <w:szCs w:val="22"/>
        </w:rPr>
        <w:t>. Millions of tons of smoke would act to</w:t>
      </w:r>
      <w:r w:rsidRPr="00EF3B50">
        <w:rPr>
          <w:rStyle w:val="apple-converted-space"/>
          <w:rFonts w:ascii="Calibri" w:hAnsi="Calibri"/>
          <w:sz w:val="22"/>
          <w:szCs w:val="22"/>
        </w:rPr>
        <w:t> </w:t>
      </w:r>
      <w:hyperlink r:id="rId37" w:history="1">
        <w:r w:rsidRPr="00DD04C4">
          <w:rPr>
            <w:rStyle w:val="Hyperlink"/>
            <w:rFonts w:ascii="Calibri" w:hAnsi="Calibri"/>
            <w:b/>
            <w:sz w:val="22"/>
            <w:szCs w:val="22"/>
            <w:u w:val="single"/>
          </w:rPr>
          <w:t>destroy</w:t>
        </w:r>
        <w:r w:rsidRPr="00EF3B50">
          <w:rPr>
            <w:rStyle w:val="Hyperlink"/>
            <w:rFonts w:ascii="Calibri" w:hAnsi="Calibri"/>
            <w:sz w:val="22"/>
            <w:szCs w:val="22"/>
          </w:rPr>
          <w:t xml:space="preserve"> Earth’s </w:t>
        </w:r>
        <w:r w:rsidRPr="00DD04C4">
          <w:rPr>
            <w:rStyle w:val="Hyperlink"/>
            <w:rFonts w:ascii="Calibri" w:hAnsi="Calibri"/>
            <w:b/>
            <w:sz w:val="22"/>
            <w:szCs w:val="22"/>
            <w:u w:val="single"/>
          </w:rPr>
          <w:t>protective ozone layer</w:t>
        </w:r>
      </w:hyperlink>
      <w:r w:rsidRPr="00EF3B50">
        <w:rPr>
          <w:rStyle w:val="apple-converted-space"/>
          <w:rFonts w:ascii="Calibri" w:hAnsi="Calibri"/>
          <w:sz w:val="22"/>
          <w:szCs w:val="22"/>
        </w:rPr>
        <w:t> </w:t>
      </w:r>
      <w:r w:rsidRPr="00EF3B50">
        <w:rPr>
          <w:rFonts w:ascii="Calibri" w:hAnsi="Calibri"/>
          <w:sz w:val="22"/>
          <w:szCs w:val="22"/>
        </w:rPr>
        <w:t xml:space="preserve">and </w:t>
      </w:r>
      <w:r w:rsidRPr="00DD04C4">
        <w:rPr>
          <w:rFonts w:ascii="Calibri" w:hAnsi="Calibri"/>
          <w:b/>
          <w:sz w:val="22"/>
          <w:szCs w:val="22"/>
          <w:u w:val="single"/>
        </w:rPr>
        <w:t>block most sunlight</w:t>
      </w:r>
      <w:r w:rsidRPr="00EF3B50">
        <w:rPr>
          <w:rFonts w:ascii="Calibri" w:hAnsi="Calibri"/>
          <w:sz w:val="22"/>
          <w:szCs w:val="22"/>
        </w:rPr>
        <w:t xml:space="preserve"> from reaching Earth’s surface, </w:t>
      </w:r>
      <w:r w:rsidRPr="00DD04C4">
        <w:rPr>
          <w:rFonts w:ascii="Calibri" w:hAnsi="Calibri"/>
          <w:b/>
          <w:sz w:val="22"/>
          <w:szCs w:val="22"/>
          <w:u w:val="single"/>
        </w:rPr>
        <w:t xml:space="preserve">creating Ice Age </w:t>
      </w:r>
      <w:r w:rsidRPr="00EF3B50">
        <w:rPr>
          <w:rFonts w:ascii="Calibri" w:hAnsi="Calibri"/>
          <w:sz w:val="22"/>
          <w:szCs w:val="22"/>
        </w:rPr>
        <w:t xml:space="preserve">weather conditions that would last for decades. Yet the </w:t>
      </w:r>
      <w:r w:rsidRPr="00DD04C4">
        <w:rPr>
          <w:rFonts w:ascii="Calibri" w:hAnsi="Calibri"/>
          <w:b/>
          <w:sz w:val="22"/>
          <w:szCs w:val="22"/>
          <w:u w:val="single"/>
        </w:rPr>
        <w:t>political</w:t>
      </w:r>
      <w:r w:rsidRPr="00EF3B50">
        <w:rPr>
          <w:rFonts w:ascii="Calibri" w:hAnsi="Calibri"/>
          <w:sz w:val="22"/>
          <w:szCs w:val="22"/>
        </w:rPr>
        <w:t xml:space="preserve"> and military </w:t>
      </w:r>
      <w:r w:rsidRPr="00DD04C4">
        <w:rPr>
          <w:rFonts w:ascii="Calibri" w:hAnsi="Calibri"/>
          <w:b/>
          <w:sz w:val="22"/>
          <w:szCs w:val="22"/>
          <w:u w:val="single"/>
        </w:rPr>
        <w:t>leaders</w:t>
      </w:r>
      <w:r w:rsidRPr="00EF3B50">
        <w:rPr>
          <w:rFonts w:ascii="Calibri" w:hAnsi="Calibri"/>
          <w:sz w:val="22"/>
          <w:szCs w:val="22"/>
        </w:rPr>
        <w:t xml:space="preserve"> who control nuclear weapons strictly avoid any direct public discussion of the consequences of nuclear war. They do so by </w:t>
      </w:r>
      <w:r w:rsidRPr="00DD04C4">
        <w:rPr>
          <w:rFonts w:ascii="Calibri" w:hAnsi="Calibri"/>
          <w:b/>
          <w:sz w:val="22"/>
          <w:szCs w:val="22"/>
          <w:u w:val="single"/>
        </w:rPr>
        <w:t>argu</w:t>
      </w:r>
      <w:r w:rsidRPr="00EF3B50">
        <w:rPr>
          <w:rFonts w:ascii="Calibri" w:hAnsi="Calibri"/>
          <w:sz w:val="22"/>
          <w:szCs w:val="22"/>
        </w:rPr>
        <w:t xml:space="preserve">ing </w:t>
      </w:r>
      <w:r w:rsidRPr="00DD04C4">
        <w:rPr>
          <w:rFonts w:ascii="Calibri" w:hAnsi="Calibri"/>
          <w:b/>
          <w:sz w:val="22"/>
          <w:szCs w:val="22"/>
          <w:u w:val="single"/>
        </w:rPr>
        <w:t>that nuclear weapons are</w:t>
      </w:r>
      <w:r w:rsidRPr="00EF3B50">
        <w:rPr>
          <w:rFonts w:ascii="Calibri" w:hAnsi="Calibri"/>
          <w:sz w:val="22"/>
          <w:szCs w:val="22"/>
        </w:rPr>
        <w:t xml:space="preserve"> not intended to be used, but </w:t>
      </w:r>
      <w:r w:rsidRPr="00DD04C4">
        <w:rPr>
          <w:rFonts w:ascii="Calibri" w:hAnsi="Calibri"/>
          <w:b/>
          <w:sz w:val="22"/>
          <w:szCs w:val="22"/>
          <w:u w:val="single"/>
        </w:rPr>
        <w:t>only to deter</w:t>
      </w:r>
      <w:r w:rsidRPr="00EF3B50">
        <w:rPr>
          <w:rFonts w:ascii="Calibri" w:hAnsi="Calibri"/>
          <w:sz w:val="22"/>
          <w:szCs w:val="22"/>
        </w:rPr>
        <w:t>. Remarkably, the leaders of the Nuclear Weapon States have chosen to</w:t>
      </w:r>
      <w:r w:rsidRPr="00EF3B50">
        <w:rPr>
          <w:rStyle w:val="apple-converted-space"/>
          <w:rFonts w:ascii="Calibri" w:hAnsi="Calibri"/>
          <w:sz w:val="22"/>
          <w:szCs w:val="22"/>
        </w:rPr>
        <w:t> </w:t>
      </w:r>
      <w:r w:rsidRPr="00EF3B50">
        <w:rPr>
          <w:rFonts w:ascii="Calibri" w:hAnsi="Calibri"/>
          <w:iCs/>
          <w:sz w:val="22"/>
          <w:szCs w:val="22"/>
        </w:rPr>
        <w:t>ignore</w:t>
      </w:r>
      <w:r w:rsidRPr="00EF3B50">
        <w:rPr>
          <w:rStyle w:val="apple-converted-space"/>
          <w:rFonts w:ascii="Calibri" w:hAnsi="Calibri"/>
          <w:sz w:val="22"/>
          <w:szCs w:val="22"/>
        </w:rPr>
        <w:t> </w:t>
      </w:r>
      <w:r w:rsidRPr="00EF3B50">
        <w:rPr>
          <w:rFonts w:ascii="Calibri" w:hAnsi="Calibri"/>
          <w:sz w:val="22"/>
          <w:szCs w:val="22"/>
        </w:rPr>
        <w:t>the authoritative, long-standing scientific research done by the climatologists, research that predicts virtually</w:t>
      </w:r>
      <w:r w:rsidRPr="00EF3B50">
        <w:rPr>
          <w:rStyle w:val="apple-converted-space"/>
          <w:rFonts w:ascii="Calibri" w:hAnsi="Calibri"/>
          <w:sz w:val="22"/>
          <w:szCs w:val="22"/>
        </w:rPr>
        <w:t> </w:t>
      </w:r>
      <w:r w:rsidRPr="00DD04C4">
        <w:rPr>
          <w:rFonts w:ascii="Calibri" w:hAnsi="Calibri"/>
          <w:b/>
          <w:iCs/>
          <w:sz w:val="22"/>
          <w:szCs w:val="22"/>
          <w:u w:val="single"/>
        </w:rPr>
        <w:t>any</w:t>
      </w:r>
      <w:r w:rsidRPr="00DD04C4">
        <w:rPr>
          <w:rStyle w:val="apple-converted-space"/>
          <w:rFonts w:ascii="Calibri" w:hAnsi="Calibri"/>
          <w:b/>
          <w:sz w:val="22"/>
          <w:szCs w:val="22"/>
          <w:u w:val="single"/>
        </w:rPr>
        <w:t> </w:t>
      </w:r>
      <w:r w:rsidRPr="00DD04C4">
        <w:rPr>
          <w:rFonts w:ascii="Calibri" w:hAnsi="Calibri"/>
          <w:b/>
          <w:sz w:val="22"/>
          <w:szCs w:val="22"/>
          <w:u w:val="single"/>
        </w:rPr>
        <w:t>nuclear war, fought with even a fraction of the operational and deployed nuclear arsenals, will leave the Earth essentially uninhabitable.</w:t>
      </w:r>
    </w:p>
    <w:p w:rsidR="007C776D" w:rsidRDefault="007C776D" w:rsidP="007C776D">
      <w:pPr>
        <w:pStyle w:val="Heading3"/>
      </w:pPr>
      <w:r>
        <w:lastRenderedPageBreak/>
        <w:t>Neolib Fails</w:t>
      </w:r>
    </w:p>
    <w:p w:rsidR="007C776D" w:rsidRPr="00182432" w:rsidRDefault="007C776D" w:rsidP="007C776D"/>
    <w:p w:rsidR="007C776D" w:rsidRDefault="007C776D" w:rsidP="007C776D">
      <w:pPr>
        <w:pStyle w:val="Heading4"/>
      </w:pPr>
      <w:r>
        <w:t xml:space="preserve">Neoliberalism doesn’t solve inequality, poverty, and structural violence- Chinese industrialization proves </w:t>
      </w:r>
    </w:p>
    <w:p w:rsidR="007C776D" w:rsidRPr="00200970" w:rsidRDefault="007C776D" w:rsidP="007C776D">
      <w:pPr>
        <w:pStyle w:val="NormalWeb"/>
        <w:shd w:val="clear" w:color="auto" w:fill="FFFFFF"/>
        <w:spacing w:before="0" w:beforeAutospacing="0" w:after="150" w:afterAutospacing="0"/>
        <w:rPr>
          <w:rFonts w:asciiTheme="majorHAnsi" w:hAnsiTheme="majorHAnsi"/>
          <w:sz w:val="21"/>
          <w:szCs w:val="21"/>
        </w:rPr>
      </w:pPr>
      <w:r w:rsidRPr="00200970">
        <w:rPr>
          <w:rStyle w:val="Style13ptBold"/>
          <w:rFonts w:asciiTheme="majorHAnsi" w:hAnsiTheme="majorHAnsi"/>
        </w:rPr>
        <w:t>Xu 11 [</w:t>
      </w:r>
      <w:r w:rsidRPr="00EF3B50">
        <w:rPr>
          <w:rStyle w:val="Style13ptBold"/>
          <w:rFonts w:asciiTheme="majorHAnsi" w:hAnsiTheme="majorHAnsi"/>
          <w:sz w:val="18"/>
          <w:szCs w:val="18"/>
        </w:rPr>
        <w:t xml:space="preserve">Xibai Xu </w:t>
      </w:r>
      <w:r w:rsidRPr="00EF3B50">
        <w:rPr>
          <w:rFonts w:asciiTheme="majorHAnsi" w:hAnsiTheme="majorHAnsi"/>
          <w:sz w:val="18"/>
          <w:szCs w:val="18"/>
        </w:rPr>
        <w:t xml:space="preserve">At Oxford, he has taught tutorials in Chinese politics at undergraduate level for several colleges, and have done collection marking and revision classes. </w:t>
      </w:r>
      <w:proofErr w:type="gramStart"/>
      <w:r w:rsidRPr="00EF3B50">
        <w:rPr>
          <w:rFonts w:asciiTheme="majorHAnsi" w:hAnsiTheme="majorHAnsi"/>
          <w:sz w:val="18"/>
          <w:szCs w:val="18"/>
        </w:rPr>
        <w:t>Comparative politics, democratization, civil society, the government and politics of China.</w:t>
      </w:r>
      <w:proofErr w:type="gramEnd"/>
      <w:r w:rsidRPr="00EF3B50">
        <w:rPr>
          <w:rFonts w:asciiTheme="majorHAnsi" w:hAnsiTheme="majorHAnsi"/>
          <w:sz w:val="18"/>
          <w:szCs w:val="18"/>
        </w:rPr>
        <w:t xml:space="preserve"> “Neoliberalism and governance in China”</w:t>
      </w:r>
    </w:p>
    <w:p w:rsidR="007C776D" w:rsidRPr="00200970" w:rsidRDefault="007C776D" w:rsidP="007C776D">
      <w:pPr>
        <w:rPr>
          <w:rStyle w:val="Style13ptBold"/>
        </w:rPr>
      </w:pPr>
    </w:p>
    <w:p w:rsidR="007C776D" w:rsidRPr="00200970" w:rsidRDefault="007C776D" w:rsidP="007C776D">
      <w:r>
        <w:t xml:space="preserve">Both critics and admirers of China’s economic reform agree that we are witnessing one of the most extraordinary episodes of social and economic transformation in human history. Launched more than thirty years ago to reinvigorate China from the stasis of the Cultural Revolution, the market-oriented reform has greatly improved the livelihood of the country’s 1.3 billion people through sustained economic growth. However, </w:t>
      </w:r>
      <w:r w:rsidRPr="00200970">
        <w:rPr>
          <w:b/>
          <w:u w:val="single"/>
        </w:rPr>
        <w:t>contrary to the expectation of</w:t>
      </w:r>
      <w:r>
        <w:t xml:space="preserve"> many </w:t>
      </w:r>
      <w:r w:rsidRPr="00200970">
        <w:rPr>
          <w:b/>
          <w:u w:val="single"/>
        </w:rPr>
        <w:t>Western observers</w:t>
      </w:r>
      <w:r>
        <w:t xml:space="preserve">, economic </w:t>
      </w:r>
      <w:r w:rsidRPr="00200970">
        <w:rPr>
          <w:b/>
          <w:u w:val="single"/>
        </w:rPr>
        <w:t>liberalization has not led to political liberalization or democratization. Instead, it has transformed China into a highly unequal and divided society in which power and wealth are monopolized by a small elite class of party cadres and associates, while a large number of peasants and workers are deprived of land, employment, welfare and rights. This development is interpreted by some academics as a sign of a ‘neoliberal restructuring</w:t>
      </w:r>
      <w:r>
        <w:t>’ (Yan 2003). Among them, the New Left scholars are particularly vocal in their attack against the so-called ‘</w:t>
      </w:r>
      <w:r w:rsidRPr="00200970">
        <w:rPr>
          <w:b/>
          <w:u w:val="single"/>
        </w:rPr>
        <w:t>hegemony of neoliberalism’</w:t>
      </w:r>
      <w:r>
        <w:t xml:space="preserve"> (Wang 2004), blaming market reform </w:t>
      </w:r>
      <w:r w:rsidRPr="00200970">
        <w:rPr>
          <w:b/>
          <w:u w:val="single"/>
        </w:rPr>
        <w:t xml:space="preserve">as the root cause of social inequality and the </w:t>
      </w:r>
      <w:proofErr w:type="gramStart"/>
      <w:r w:rsidRPr="00200970">
        <w:rPr>
          <w:b/>
          <w:u w:val="single"/>
        </w:rPr>
        <w:t>break-down</w:t>
      </w:r>
      <w:proofErr w:type="gramEnd"/>
      <w:r w:rsidRPr="00200970">
        <w:rPr>
          <w:b/>
          <w:u w:val="single"/>
        </w:rPr>
        <w:t xml:space="preserve"> of the public welfare system</w:t>
      </w:r>
      <w:r>
        <w:t xml:space="preserve">. </w:t>
      </w:r>
    </w:p>
    <w:p w:rsidR="007C776D" w:rsidRDefault="007C776D" w:rsidP="007C776D">
      <w:pPr>
        <w:pStyle w:val="Heading4"/>
      </w:pPr>
      <w:r>
        <w:t>Neoliberalism will destroy capitalism (?)</w:t>
      </w:r>
    </w:p>
    <w:p w:rsidR="007C776D" w:rsidRPr="006E1715" w:rsidRDefault="007C776D" w:rsidP="007C776D">
      <w:pPr>
        <w:spacing w:line="240" w:lineRule="auto"/>
        <w:rPr>
          <w:rFonts w:eastAsia="Times New Roman"/>
          <w:sz w:val="18"/>
          <w:szCs w:val="18"/>
        </w:rPr>
      </w:pPr>
      <w:r>
        <w:rPr>
          <w:rStyle w:val="Style13ptBold"/>
        </w:rPr>
        <w:t>Davidson 15 [</w:t>
      </w:r>
      <w:r w:rsidRPr="006E1715">
        <w:rPr>
          <w:rFonts w:eastAsia="Times New Roman"/>
          <w:color w:val="000000"/>
          <w:sz w:val="18"/>
          <w:szCs w:val="18"/>
          <w:shd w:val="clear" w:color="auto" w:fill="FFFFFF"/>
        </w:rPr>
        <w:t xml:space="preserve">Neil Davidson lectures in Sociology with the School of Social and Political Sciences at the University of Glasgow. He is the author of The Origins of Scottish Nationhood (2000), the Deutscher-Prize winning </w:t>
      </w:r>
      <w:proofErr w:type="gramStart"/>
      <w:r w:rsidRPr="006E1715">
        <w:rPr>
          <w:rFonts w:eastAsia="Times New Roman"/>
          <w:color w:val="000000"/>
          <w:sz w:val="18"/>
          <w:szCs w:val="18"/>
          <w:shd w:val="clear" w:color="auto" w:fill="FFFFFF"/>
        </w:rPr>
        <w:t>Discovering</w:t>
      </w:r>
      <w:proofErr w:type="gramEnd"/>
      <w:r w:rsidRPr="006E1715">
        <w:rPr>
          <w:rFonts w:eastAsia="Times New Roman"/>
          <w:color w:val="000000"/>
          <w:sz w:val="18"/>
          <w:szCs w:val="18"/>
          <w:shd w:val="clear" w:color="auto" w:fill="FFFFFF"/>
        </w:rPr>
        <w:t xml:space="preserve"> the Scottish Revolution (2003), How Revolutionary Were the Bourgeois Revolutions? </w:t>
      </w:r>
      <w:proofErr w:type="gramStart"/>
      <w:r w:rsidRPr="006E1715">
        <w:rPr>
          <w:rFonts w:eastAsia="Times New Roman"/>
          <w:color w:val="000000"/>
          <w:sz w:val="18"/>
          <w:szCs w:val="18"/>
          <w:shd w:val="clear" w:color="auto" w:fill="FFFFFF"/>
        </w:rPr>
        <w:t>and</w:t>
      </w:r>
      <w:proofErr w:type="gramEnd"/>
      <w:r w:rsidRPr="006E1715">
        <w:rPr>
          <w:rFonts w:eastAsia="Times New Roman"/>
          <w:color w:val="000000"/>
          <w:sz w:val="18"/>
          <w:szCs w:val="18"/>
          <w:shd w:val="clear" w:color="auto" w:fill="FFFFFF"/>
        </w:rPr>
        <w:t xml:space="preserve"> Holding Fast to an Image of the Past (2014). His latest book, We Cannot Escape History, will be published in July. Davidson has co-edited and contributed to Alasdair MacIntyre’s Engagement with Marxism (2008), Neoliberal Scotland (2010) and The Longue Durée of the Far Right (2014). He is in the editorial board of rs21. Davidson is a member of International Socialists Scotland and a supporter of the Scottish Left Project. http://salvage.zone/in-print/neoliberalism-as-the-agent-of-capitalist-self-destruction/]</w:t>
      </w:r>
    </w:p>
    <w:p w:rsidR="007C776D" w:rsidRDefault="007C776D" w:rsidP="007C776D">
      <w:pPr>
        <w:pStyle w:val="p4"/>
        <w:shd w:val="clear" w:color="auto" w:fill="FFFFFF"/>
        <w:spacing w:before="0" w:beforeAutospacing="0" w:after="360" w:afterAutospacing="0"/>
        <w:rPr>
          <w:rFonts w:asciiTheme="majorHAnsi" w:hAnsiTheme="majorHAnsi"/>
          <w:color w:val="000000"/>
          <w:sz w:val="22"/>
          <w:szCs w:val="22"/>
        </w:rPr>
      </w:pPr>
      <w:r w:rsidRPr="00EF5590">
        <w:rPr>
          <w:rFonts w:asciiTheme="majorHAnsi" w:hAnsiTheme="majorHAnsi"/>
          <w:b/>
          <w:color w:val="000000"/>
          <w:sz w:val="22"/>
          <w:szCs w:val="22"/>
          <w:u w:val="single"/>
        </w:rPr>
        <w:t>Neoliberalism</w:t>
      </w:r>
      <w:r w:rsidRPr="00EF5590">
        <w:rPr>
          <w:rFonts w:asciiTheme="majorHAnsi" w:hAnsiTheme="majorHAnsi"/>
          <w:color w:val="000000"/>
          <w:sz w:val="22"/>
          <w:szCs w:val="22"/>
        </w:rPr>
        <w:t xml:space="preserve"> does, however, </w:t>
      </w:r>
      <w:r w:rsidRPr="00EF5590">
        <w:rPr>
          <w:rFonts w:asciiTheme="majorHAnsi" w:hAnsiTheme="majorHAnsi"/>
          <w:b/>
          <w:color w:val="000000"/>
          <w:sz w:val="22"/>
          <w:szCs w:val="22"/>
          <w:u w:val="single"/>
        </w:rPr>
        <w:t>represent a paradox for capitalism</w:t>
      </w:r>
      <w:r w:rsidRPr="00EF5590">
        <w:rPr>
          <w:rFonts w:asciiTheme="majorHAnsi" w:hAnsiTheme="majorHAnsi"/>
          <w:color w:val="000000"/>
          <w:sz w:val="22"/>
          <w:szCs w:val="22"/>
        </w:rPr>
        <w:t xml:space="preserve">. </w:t>
      </w:r>
      <w:r w:rsidRPr="006E1715">
        <w:rPr>
          <w:rFonts w:asciiTheme="majorHAnsi" w:hAnsiTheme="majorHAnsi"/>
          <w:b/>
          <w:color w:val="000000"/>
          <w:sz w:val="22"/>
          <w:szCs w:val="22"/>
          <w:u w:val="single"/>
        </w:rPr>
        <w:t>Its relative success</w:t>
      </w:r>
      <w:r w:rsidRPr="00EF5590">
        <w:rPr>
          <w:rFonts w:asciiTheme="majorHAnsi" w:hAnsiTheme="majorHAnsi"/>
          <w:color w:val="000000"/>
          <w:sz w:val="22"/>
          <w:szCs w:val="22"/>
        </w:rPr>
        <w:t xml:space="preserve"> as a ruling-class strategy, particularly in weakening the trade union movement and reducing the share of profits going to labour, </w:t>
      </w:r>
      <w:r w:rsidRPr="006E1715">
        <w:rPr>
          <w:rFonts w:asciiTheme="majorHAnsi" w:hAnsiTheme="majorHAnsi"/>
          <w:b/>
          <w:color w:val="000000"/>
          <w:sz w:val="22"/>
          <w:szCs w:val="22"/>
          <w:u w:val="single"/>
        </w:rPr>
        <w:t>has</w:t>
      </w:r>
      <w:r w:rsidRPr="00EF5590">
        <w:rPr>
          <w:rFonts w:asciiTheme="majorHAnsi" w:hAnsiTheme="majorHAnsi"/>
          <w:color w:val="000000"/>
          <w:sz w:val="22"/>
          <w:szCs w:val="22"/>
        </w:rPr>
        <w:t xml:space="preserve"> helped to </w:t>
      </w:r>
      <w:r w:rsidRPr="006E1715">
        <w:rPr>
          <w:rFonts w:asciiTheme="majorHAnsi" w:hAnsiTheme="majorHAnsi"/>
          <w:b/>
          <w:color w:val="000000"/>
          <w:sz w:val="22"/>
          <w:szCs w:val="22"/>
          <w:u w:val="single"/>
        </w:rPr>
        <w:t>disguise that</w:t>
      </w:r>
      <w:r w:rsidRPr="00EF5590">
        <w:rPr>
          <w:rFonts w:asciiTheme="majorHAnsi" w:hAnsiTheme="majorHAnsi"/>
          <w:color w:val="000000"/>
          <w:sz w:val="22"/>
          <w:szCs w:val="22"/>
        </w:rPr>
        <w:t xml:space="preserve"> some </w:t>
      </w:r>
      <w:r w:rsidRPr="006E1715">
        <w:rPr>
          <w:rFonts w:asciiTheme="majorHAnsi" w:hAnsiTheme="majorHAnsi"/>
          <w:b/>
          <w:color w:val="000000"/>
          <w:sz w:val="22"/>
          <w:szCs w:val="22"/>
          <w:u w:val="single"/>
        </w:rPr>
        <w:t xml:space="preserve">aspects of this mode of regulation are proving </w:t>
      </w:r>
      <w:r w:rsidRPr="006E1715">
        <w:rPr>
          <w:rFonts w:asciiTheme="majorHAnsi" w:hAnsiTheme="majorHAnsi"/>
          <w:color w:val="000000"/>
          <w:sz w:val="22"/>
          <w:szCs w:val="22"/>
        </w:rPr>
        <w:t>unintentionally</w:t>
      </w:r>
      <w:r w:rsidRPr="006E1715">
        <w:rPr>
          <w:rFonts w:asciiTheme="majorHAnsi" w:hAnsiTheme="majorHAnsi"/>
          <w:b/>
          <w:color w:val="000000"/>
          <w:sz w:val="22"/>
          <w:szCs w:val="22"/>
          <w:u w:val="single"/>
        </w:rPr>
        <w:t xml:space="preserve"> detrimental to the system</w:t>
      </w:r>
      <w:r w:rsidRPr="00EF5590">
        <w:rPr>
          <w:rFonts w:asciiTheme="majorHAnsi" w:hAnsiTheme="majorHAnsi"/>
          <w:color w:val="000000"/>
          <w:sz w:val="22"/>
          <w:szCs w:val="22"/>
        </w:rPr>
        <w:t xml:space="preserve">. </w:t>
      </w:r>
      <w:r w:rsidRPr="006E1715">
        <w:rPr>
          <w:rFonts w:asciiTheme="majorHAnsi" w:hAnsiTheme="majorHAnsi"/>
          <w:b/>
          <w:color w:val="000000"/>
          <w:sz w:val="22"/>
          <w:szCs w:val="22"/>
          <w:u w:val="single"/>
        </w:rPr>
        <w:t xml:space="preserve">Serving the interests of the rich is not </w:t>
      </w:r>
      <w:r w:rsidRPr="00EF5590">
        <w:rPr>
          <w:rFonts w:asciiTheme="majorHAnsi" w:hAnsiTheme="majorHAnsi"/>
          <w:color w:val="000000"/>
          <w:sz w:val="22"/>
          <w:szCs w:val="22"/>
        </w:rPr>
        <w:t xml:space="preserve">the same – or at least, not always the same – as </w:t>
      </w:r>
      <w:r w:rsidRPr="006E1715">
        <w:rPr>
          <w:rFonts w:asciiTheme="majorHAnsi" w:hAnsiTheme="majorHAnsi"/>
          <w:b/>
          <w:color w:val="000000"/>
          <w:sz w:val="22"/>
          <w:szCs w:val="22"/>
          <w:u w:val="single"/>
        </w:rPr>
        <w:t>serving the interests of capital</w:t>
      </w:r>
      <w:r w:rsidRPr="00EF5590">
        <w:rPr>
          <w:rFonts w:asciiTheme="majorHAnsi" w:hAnsiTheme="majorHAnsi"/>
          <w:color w:val="000000"/>
          <w:sz w:val="22"/>
          <w:szCs w:val="22"/>
        </w:rPr>
        <w:t xml:space="preserve"> </w:t>
      </w:r>
      <w:r w:rsidRPr="006E1715">
        <w:rPr>
          <w:rFonts w:asciiTheme="majorHAnsi" w:hAnsiTheme="majorHAnsi"/>
          <w:b/>
          <w:color w:val="000000"/>
          <w:sz w:val="22"/>
          <w:szCs w:val="22"/>
          <w:u w:val="single"/>
        </w:rPr>
        <w:t>and</w:t>
      </w:r>
      <w:r w:rsidRPr="00EF5590">
        <w:rPr>
          <w:rFonts w:asciiTheme="majorHAnsi" w:hAnsiTheme="majorHAnsi"/>
          <w:color w:val="000000"/>
          <w:sz w:val="22"/>
          <w:szCs w:val="22"/>
        </w:rPr>
        <w:t xml:space="preserve"> may, in certain circumstances, </w:t>
      </w:r>
      <w:r w:rsidRPr="006E1715">
        <w:rPr>
          <w:rFonts w:asciiTheme="majorHAnsi" w:hAnsiTheme="majorHAnsi"/>
          <w:b/>
          <w:color w:val="000000"/>
          <w:sz w:val="22"/>
          <w:szCs w:val="22"/>
          <w:u w:val="single"/>
        </w:rPr>
        <w:t>be in contradiction to it.</w:t>
      </w:r>
      <w:r w:rsidRPr="00EF5590">
        <w:rPr>
          <w:rFonts w:asciiTheme="majorHAnsi" w:hAnsiTheme="majorHAnsi"/>
          <w:color w:val="000000"/>
          <w:sz w:val="22"/>
          <w:szCs w:val="22"/>
        </w:rPr>
        <w:t xml:space="preserve"> Simply doing what the rich want </w:t>
      </w:r>
      <w:r w:rsidRPr="006E1715">
        <w:rPr>
          <w:rFonts w:asciiTheme="majorHAnsi" w:hAnsiTheme="majorHAnsi"/>
          <w:b/>
          <w:color w:val="000000"/>
          <w:sz w:val="22"/>
          <w:szCs w:val="22"/>
          <w:u w:val="single"/>
        </w:rPr>
        <w:t>is unlikely to produce beneficial results for the system</w:t>
      </w:r>
      <w:r w:rsidRPr="00EF5590">
        <w:rPr>
          <w:rFonts w:asciiTheme="majorHAnsi" w:hAnsiTheme="majorHAnsi"/>
          <w:color w:val="000000"/>
          <w:sz w:val="22"/>
          <w:szCs w:val="22"/>
        </w:rPr>
        <w:t xml:space="preserve"> as a whole, although it may help increase the wealth of individual capitalists. For not only are capitalists generally uninterested in the broader social interest, which we might expect, but they are also generally incapable of correctly assessing their</w:t>
      </w:r>
      <w:r w:rsidRPr="00EF5590">
        <w:rPr>
          <w:rStyle w:val="apple-converted-space"/>
          <w:rFonts w:asciiTheme="majorHAnsi" w:hAnsiTheme="majorHAnsi"/>
          <w:color w:val="000000"/>
          <w:sz w:val="22"/>
          <w:szCs w:val="22"/>
        </w:rPr>
        <w:t> </w:t>
      </w:r>
      <w:r w:rsidRPr="00EF5590">
        <w:rPr>
          <w:rFonts w:asciiTheme="majorHAnsi" w:hAnsiTheme="majorHAnsi"/>
          <w:i/>
          <w:iCs/>
          <w:color w:val="000000"/>
          <w:sz w:val="22"/>
          <w:szCs w:val="22"/>
        </w:rPr>
        <w:t>own</w:t>
      </w:r>
      <w:r w:rsidRPr="00EF5590">
        <w:rPr>
          <w:rStyle w:val="apple-converted-space"/>
          <w:rFonts w:asciiTheme="majorHAnsi" w:hAnsiTheme="majorHAnsi"/>
          <w:color w:val="000000"/>
          <w:sz w:val="22"/>
          <w:szCs w:val="22"/>
        </w:rPr>
        <w:t> </w:t>
      </w:r>
      <w:r w:rsidRPr="00EF5590">
        <w:rPr>
          <w:rFonts w:asciiTheme="majorHAnsi" w:hAnsiTheme="majorHAnsi"/>
          <w:color w:val="000000"/>
          <w:sz w:val="22"/>
          <w:szCs w:val="22"/>
        </w:rPr>
        <w:t xml:space="preserve">overall collective class interests, which might seem more surprising – although as we shall see, it is a long-standing phenomenon, observed by many of the great social theorists from late eighteenth century onwards. As a result, capitalist states – or more precisely, their managers – have traditionally acted to make such an assessment; but in the developed West at least, neoliberal regimes are increasingly displaying an uncritical adherence to the short-term wishes of particular business interests. This is not the only emergent problem: the increasingly narrow parameters of neoliberal politics, where choice is restricted to ‘social’ rather than ‘economic’ issues, has encouraged the emergence of far-right parties, usually fixated on questions of migration, which have proved enormously divisive in working-class </w:t>
      </w:r>
      <w:r w:rsidRPr="00EF5590">
        <w:rPr>
          <w:rFonts w:asciiTheme="majorHAnsi" w:hAnsiTheme="majorHAnsi"/>
          <w:color w:val="000000"/>
          <w:sz w:val="22"/>
          <w:szCs w:val="22"/>
        </w:rPr>
        <w:lastRenderedPageBreak/>
        <w:t xml:space="preserve">communities, but whose policies are in other respects by no means in the interests of capital. </w:t>
      </w:r>
      <w:r w:rsidRPr="006E1715">
        <w:rPr>
          <w:rFonts w:asciiTheme="majorHAnsi" w:hAnsiTheme="majorHAnsi"/>
          <w:b/>
          <w:color w:val="000000"/>
          <w:sz w:val="22"/>
          <w:szCs w:val="22"/>
          <w:u w:val="single"/>
        </w:rPr>
        <w:t>The self-destructive nature of neoliberal capitalism has nothing necessarily to do with the removal of restrictions on markets.</w:t>
      </w:r>
      <w:r w:rsidRPr="00EF5590">
        <w:rPr>
          <w:rFonts w:asciiTheme="majorHAnsi" w:hAnsiTheme="majorHAnsi"/>
          <w:color w:val="000000"/>
          <w:sz w:val="22"/>
          <w:szCs w:val="22"/>
        </w:rPr>
        <w:t xml:space="preserve"> The rise of neoliberalism made it fashionable to refer to Karl Polanyi’s</w:t>
      </w:r>
      <w:r w:rsidRPr="00EF5590">
        <w:rPr>
          <w:rFonts w:asciiTheme="majorHAnsi" w:hAnsiTheme="majorHAnsi"/>
          <w:i/>
          <w:iCs/>
          <w:color w:val="000000"/>
          <w:sz w:val="22"/>
          <w:szCs w:val="22"/>
        </w:rPr>
        <w:t>The Great Transformation</w:t>
      </w:r>
      <w:r w:rsidRPr="00EF5590">
        <w:rPr>
          <w:rFonts w:asciiTheme="majorHAnsi" w:hAnsiTheme="majorHAnsi"/>
          <w:color w:val="000000"/>
          <w:sz w:val="22"/>
          <w:szCs w:val="22"/>
        </w:rPr>
        <w:t xml:space="preserve">, the assumption being that neoliberalism is in the process of realising Polanyi’s nightmare: reversing the second part of his ‘double movement’ – the social reaction against markets – and unleashing the mechanisms that he saw as being so destructive of society and nature. Leaving aside the fact that capitalism was always capable of producing social atomisation, collective violence and environmental destruction, even in periods when the state was far more directly involved in the mechanisms of production and exchange then it is now, there are two problems with this position. </w:t>
      </w:r>
      <w:proofErr w:type="gramStart"/>
      <w:r w:rsidRPr="00EF5590">
        <w:rPr>
          <w:rFonts w:asciiTheme="majorHAnsi" w:hAnsiTheme="majorHAnsi"/>
          <w:color w:val="000000"/>
          <w:sz w:val="22"/>
          <w:szCs w:val="22"/>
        </w:rPr>
        <w:t>First, rhetoric apart, capitalists no more favour untrammelled competition today than they did when monopolies and cartels first appeared as aspects of the emerging system in the sixteenth century.</w:t>
      </w:r>
      <w:proofErr w:type="gramEnd"/>
      <w:r w:rsidRPr="00EF5590">
        <w:rPr>
          <w:rFonts w:asciiTheme="majorHAnsi" w:hAnsiTheme="majorHAnsi"/>
          <w:color w:val="000000"/>
          <w:sz w:val="22"/>
          <w:szCs w:val="22"/>
        </w:rPr>
        <w:t xml:space="preserve"> Second, </w:t>
      </w:r>
      <w:r w:rsidRPr="006E1715">
        <w:rPr>
          <w:rFonts w:asciiTheme="majorHAnsi" w:hAnsiTheme="majorHAnsi"/>
          <w:b/>
          <w:color w:val="000000"/>
          <w:sz w:val="22"/>
          <w:szCs w:val="22"/>
          <w:u w:val="single"/>
        </w:rPr>
        <w:t>one would have to be extraordinarily naïve to believe that the neoliberal project has been about establishing ‘free’ markets</w:t>
      </w:r>
      <w:r w:rsidRPr="00EF5590">
        <w:rPr>
          <w:rFonts w:asciiTheme="majorHAnsi" w:hAnsiTheme="majorHAnsi"/>
          <w:color w:val="000000"/>
          <w:sz w:val="22"/>
          <w:szCs w:val="22"/>
        </w:rPr>
        <w:t xml:space="preserve"> in the first place, although this myth has been assiduously perpetrated by social democratic parties who, eager to disguise their own capitulation to neoliberalism, emphasise their opposition to the marketisation of all social relationships, even though no-one – except perhaps the followers of Ayn Rand – seriously imagines this is either possible or desirable. In what follows I will mainly draw on the experiences of the UK and the US, since these were the first nation-states in which neoliberalism was imposed under democratic conditions – unlike Chile or China, for example – and where it has in many respects gone furthest. To understand the real nature of the difficulties inadvertently caused for capital by neoliberalism we have to begin with the role of capitalist states ‘in general’.</w:t>
      </w:r>
    </w:p>
    <w:p w:rsidR="007C776D" w:rsidRPr="00766D36" w:rsidRDefault="007C776D" w:rsidP="007C776D">
      <w:pPr>
        <w:rPr>
          <w:rStyle w:val="Style13ptBold"/>
        </w:rPr>
      </w:pPr>
    </w:p>
    <w:p w:rsidR="007C776D" w:rsidRPr="00305B38" w:rsidRDefault="007C776D" w:rsidP="007C776D">
      <w:pPr>
        <w:spacing w:after="300" w:line="405" w:lineRule="atLeast"/>
        <w:rPr>
          <w:rFonts w:ascii="Helvetica Neue" w:hAnsi="Helvetica Neue"/>
          <w:color w:val="222222"/>
          <w:sz w:val="27"/>
          <w:szCs w:val="27"/>
        </w:rPr>
      </w:pPr>
    </w:p>
    <w:p w:rsidR="007C776D" w:rsidRPr="00305B38" w:rsidRDefault="007C776D" w:rsidP="007C776D"/>
    <w:p w:rsidR="007C776D" w:rsidRPr="0078573E" w:rsidRDefault="007C776D" w:rsidP="007C776D">
      <w:pPr>
        <w:spacing w:after="0" w:line="240" w:lineRule="auto"/>
        <w:rPr>
          <w:rFonts w:ascii="Times" w:eastAsia="Times New Roman" w:hAnsi="Times"/>
          <w:szCs w:val="20"/>
        </w:rPr>
      </w:pPr>
    </w:p>
    <w:p w:rsidR="007C776D" w:rsidRPr="0078573E" w:rsidRDefault="007C776D" w:rsidP="007C776D"/>
    <w:p w:rsidR="007C776D" w:rsidRPr="0078573E" w:rsidRDefault="007C776D" w:rsidP="007C776D"/>
    <w:p w:rsidR="007C776D" w:rsidRPr="00F601E6" w:rsidRDefault="007C776D" w:rsidP="007C776D"/>
    <w:p w:rsidR="007C776D" w:rsidRPr="007C776D" w:rsidRDefault="007C776D" w:rsidP="007C776D"/>
    <w:sectPr w:rsidR="007C776D" w:rsidRPr="007C776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Helvetica Neue">
    <w:altName w:val="Malgun Gothic"/>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C776D"/>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381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C776D"/>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C776D"/>
    <w:pPr>
      <w:spacing w:after="160" w:line="259" w:lineRule="auto"/>
    </w:pPr>
    <w:rPr>
      <w:rFonts w:ascii="Times New Roman" w:hAnsi="Times New Roman" w:cs="Times New Roman"/>
      <w:sz w:val="20"/>
    </w:rPr>
  </w:style>
  <w:style w:type="paragraph" w:styleId="Heading1">
    <w:name w:val="heading 1"/>
    <w:aliases w:val="Pocket"/>
    <w:basedOn w:val="Normal"/>
    <w:next w:val="Normal"/>
    <w:link w:val="Heading1Char"/>
    <w:uiPriority w:val="9"/>
    <w:qFormat/>
    <w:rsid w:val="007C77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2 Char,Heading 2 Char Char1 Char,Heading 2 Char1 Char,Heading 2 Char Char Char,Heading 2 Char Char1, Char,Cha, Ch"/>
    <w:basedOn w:val="Normal"/>
    <w:next w:val="Normal"/>
    <w:link w:val="Heading2Char"/>
    <w:uiPriority w:val="9"/>
    <w:unhideWhenUsed/>
    <w:qFormat/>
    <w:rsid w:val="007C776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itation Char,3: Cite,Card,Heading 3 Char Char Char,Heading 3 Char Char,Index Headers,Bold Cite,Heading 3 Char1 Char Char,Citation Char Char Char Char,Citation Char1 Char Char,Heading 3 Char Char1,Text 7,Block Writing"/>
    <w:basedOn w:val="Normal"/>
    <w:next w:val="Normal"/>
    <w:link w:val="Heading3Char"/>
    <w:uiPriority w:val="9"/>
    <w:unhideWhenUsed/>
    <w:qFormat/>
    <w:rsid w:val="007C776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C776D"/>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7C77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776D"/>
  </w:style>
  <w:style w:type="character" w:customStyle="1" w:styleId="Heading1Char">
    <w:name w:val="Heading 1 Char"/>
    <w:aliases w:val="Pocket Char"/>
    <w:basedOn w:val="DefaultParagraphFont"/>
    <w:link w:val="Heading1"/>
    <w:uiPriority w:val="9"/>
    <w:rsid w:val="007C776D"/>
    <w:rPr>
      <w:rFonts w:ascii="Times New Roman" w:eastAsiaTheme="majorEastAsia" w:hAnsi="Times New Roman" w:cstheme="majorBidi"/>
      <w:b/>
      <w:bCs/>
      <w:sz w:val="52"/>
      <w:szCs w:val="32"/>
    </w:rPr>
  </w:style>
  <w:style w:type="character" w:customStyle="1" w:styleId="Heading2Char">
    <w:name w:val="Heading 2 Char"/>
    <w:aliases w:val="Hat Char,Heading 2 Char2 Char Char,Heading 2 Char Char1 Char Char,Heading 2 Char1 Char Char,Heading 2 Char Char Char Char,Heading 2 Char Char1 Char1, Char Char,Cha Char, Ch Char"/>
    <w:basedOn w:val="DefaultParagraphFont"/>
    <w:link w:val="Heading2"/>
    <w:uiPriority w:val="9"/>
    <w:rsid w:val="007C776D"/>
    <w:rPr>
      <w:rFonts w:ascii="Times New Roman" w:eastAsiaTheme="majorEastAsia" w:hAnsi="Times New Roman" w:cstheme="majorBidi"/>
      <w:b/>
      <w:bCs/>
      <w:sz w:val="44"/>
      <w:szCs w:val="44"/>
      <w:u w:val="double"/>
    </w:rPr>
  </w:style>
  <w:style w:type="character" w:customStyle="1" w:styleId="Heading3Char">
    <w:name w:val="Heading 3 Char"/>
    <w:aliases w:val="Block Char,Citation Char Char,3: Cite Char,Card Char,Heading 3 Char Char Char Char,Heading 3 Char Char Char1,Index Headers Char,Bold Cite Char1,Heading 3 Char1 Char Char Char1,Citation Char Char Char Char Char,Heading 3 Char Char1 Char"/>
    <w:basedOn w:val="DefaultParagraphFont"/>
    <w:link w:val="Heading3"/>
    <w:uiPriority w:val="9"/>
    <w:rsid w:val="007C776D"/>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7C776D"/>
    <w:rPr>
      <w:rFonts w:ascii="Times New Roman" w:eastAsiaTheme="majorEastAsia" w:hAnsi="Times New Roman"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7C776D"/>
    <w:rPr>
      <w:b/>
      <w:sz w:val="24"/>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1"/>
    <w:qFormat/>
    <w:rsid w:val="007C776D"/>
    <w:rPr>
      <w:b w:val="0"/>
      <w:sz w:val="24"/>
      <w:u w:val="single"/>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7C776D"/>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7C776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7C776D"/>
    <w:rPr>
      <w:color w:val="auto"/>
      <w:u w:val="none"/>
    </w:rPr>
  </w:style>
  <w:style w:type="paragraph" w:styleId="DocumentMap">
    <w:name w:val="Document Map"/>
    <w:basedOn w:val="Normal"/>
    <w:link w:val="DocumentMapChar"/>
    <w:uiPriority w:val="99"/>
    <w:semiHidden/>
    <w:unhideWhenUsed/>
    <w:rsid w:val="007C776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776D"/>
    <w:rPr>
      <w:rFonts w:ascii="Lucida Grande" w:hAnsi="Lucida Grande" w:cs="Lucida Grande"/>
    </w:rPr>
  </w:style>
  <w:style w:type="paragraph" w:styleId="NormalWeb">
    <w:name w:val="Normal (Web)"/>
    <w:basedOn w:val="Normal"/>
    <w:uiPriority w:val="99"/>
    <w:unhideWhenUsed/>
    <w:rsid w:val="007C776D"/>
    <w:pPr>
      <w:spacing w:before="100" w:beforeAutospacing="1" w:after="100" w:afterAutospacing="1" w:line="240" w:lineRule="auto"/>
    </w:pPr>
    <w:rPr>
      <w:rFonts w:ascii="Times" w:hAnsi="Times"/>
      <w:szCs w:val="20"/>
    </w:rPr>
  </w:style>
  <w:style w:type="character" w:customStyle="1" w:styleId="apple-converted-space">
    <w:name w:val="apple-converted-space"/>
    <w:basedOn w:val="DefaultParagraphFont"/>
    <w:rsid w:val="007C776D"/>
  </w:style>
  <w:style w:type="paragraph" w:customStyle="1" w:styleId="p4">
    <w:name w:val="p4"/>
    <w:basedOn w:val="Normal"/>
    <w:rsid w:val="007C776D"/>
    <w:pPr>
      <w:spacing w:before="100" w:beforeAutospacing="1" w:after="100" w:afterAutospacing="1" w:line="240" w:lineRule="auto"/>
    </w:pPr>
    <w:rPr>
      <w:rFonts w:ascii="Times" w:hAnsi="Times"/>
      <w:szCs w:val="20"/>
    </w:rPr>
  </w:style>
  <w:style w:type="paragraph" w:customStyle="1" w:styleId="textbold">
    <w:name w:val="text bold"/>
    <w:basedOn w:val="Normal"/>
    <w:link w:val="Emphasis"/>
    <w:uiPriority w:val="7"/>
    <w:qFormat/>
    <w:rsid w:val="007C776D"/>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rPr>
  </w:style>
  <w:style w:type="paragraph" w:customStyle="1" w:styleId="Nothing">
    <w:name w:val="Nothing"/>
    <w:link w:val="NothingChar"/>
    <w:rsid w:val="007C776D"/>
    <w:rPr>
      <w:rFonts w:ascii="Times New Roman" w:eastAsia="Times New Roman" w:hAnsi="Times New Roman" w:cs="Times New Roman"/>
      <w:sz w:val="20"/>
    </w:rPr>
  </w:style>
  <w:style w:type="paragraph" w:customStyle="1" w:styleId="Cards">
    <w:name w:val="Cards"/>
    <w:next w:val="Nothing"/>
    <w:link w:val="CardsChar"/>
    <w:rsid w:val="007C776D"/>
    <w:pPr>
      <w:widowControl w:val="0"/>
      <w:ind w:left="432" w:right="432"/>
    </w:pPr>
    <w:rPr>
      <w:rFonts w:ascii="Times New Roman" w:eastAsia="Times New Roman" w:hAnsi="Times New Roman" w:cs="Times New Roman"/>
      <w:sz w:val="20"/>
    </w:rPr>
  </w:style>
  <w:style w:type="paragraph" w:customStyle="1" w:styleId="Cites">
    <w:name w:val="Cites"/>
    <w:next w:val="Cards"/>
    <w:link w:val="CitesChar"/>
    <w:rsid w:val="007C776D"/>
    <w:pPr>
      <w:widowControl w:val="0"/>
    </w:pPr>
    <w:rPr>
      <w:rFonts w:ascii="Times New Roman" w:eastAsia="Times New Roman" w:hAnsi="Times New Roman" w:cs="Times New Roman"/>
      <w:sz w:val="20"/>
    </w:rPr>
  </w:style>
  <w:style w:type="paragraph" w:customStyle="1" w:styleId="Tags">
    <w:name w:val="Tags"/>
    <w:next w:val="Nothing"/>
    <w:link w:val="TagsChar"/>
    <w:rsid w:val="007C776D"/>
    <w:pPr>
      <w:widowControl w:val="0"/>
      <w:outlineLvl w:val="3"/>
    </w:pPr>
    <w:rPr>
      <w:rFonts w:ascii="Times New Roman" w:eastAsia="Times New Roman" w:hAnsi="Times New Roman" w:cs="Times New Roman"/>
      <w:b/>
    </w:rPr>
  </w:style>
  <w:style w:type="character" w:customStyle="1" w:styleId="TagsChar">
    <w:name w:val="Tags Char"/>
    <w:link w:val="Tags"/>
    <w:rsid w:val="007C776D"/>
    <w:rPr>
      <w:rFonts w:ascii="Times New Roman" w:eastAsia="Times New Roman" w:hAnsi="Times New Roman" w:cs="Times New Roman"/>
      <w:b/>
    </w:rPr>
  </w:style>
  <w:style w:type="character" w:customStyle="1" w:styleId="CardsChar">
    <w:name w:val="Cards Char"/>
    <w:link w:val="Cards"/>
    <w:rsid w:val="007C776D"/>
    <w:rPr>
      <w:rFonts w:ascii="Times New Roman" w:eastAsia="Times New Roman" w:hAnsi="Times New Roman" w:cs="Times New Roman"/>
      <w:sz w:val="20"/>
    </w:rPr>
  </w:style>
  <w:style w:type="character" w:customStyle="1" w:styleId="NothingChar">
    <w:name w:val="Nothing Char"/>
    <w:link w:val="Nothing"/>
    <w:rsid w:val="007C776D"/>
    <w:rPr>
      <w:rFonts w:ascii="Times New Roman" w:eastAsia="Times New Roman" w:hAnsi="Times New Roman" w:cs="Times New Roman"/>
      <w:sz w:val="20"/>
    </w:rPr>
  </w:style>
  <w:style w:type="character" w:customStyle="1" w:styleId="CitesChar">
    <w:name w:val="Cites Char"/>
    <w:link w:val="Cites"/>
    <w:rsid w:val="007C776D"/>
    <w:rPr>
      <w:rFonts w:ascii="Times New Roman" w:eastAsia="Times New Roman" w:hAnsi="Times New Roman" w:cs="Times New Roman"/>
      <w:sz w:val="20"/>
    </w:rPr>
  </w:style>
  <w:style w:type="paragraph" w:customStyle="1" w:styleId="AuthorDate">
    <w:name w:val="AuthorDate"/>
    <w:next w:val="Nothing"/>
    <w:link w:val="AuthorDateChar"/>
    <w:rsid w:val="007C776D"/>
    <w:pPr>
      <w:widowControl w:val="0"/>
      <w:outlineLvl w:val="2"/>
    </w:pPr>
    <w:rPr>
      <w:rFonts w:ascii="Times New Roman" w:eastAsia="Calibri" w:hAnsi="Times New Roman" w:cs="Times New Roman"/>
      <w:b/>
      <w:szCs w:val="20"/>
      <w:u w:val="single"/>
    </w:rPr>
  </w:style>
  <w:style w:type="character" w:customStyle="1" w:styleId="AuthorDateChar">
    <w:name w:val="AuthorDate Char"/>
    <w:link w:val="AuthorDate"/>
    <w:rsid w:val="007C776D"/>
    <w:rPr>
      <w:rFonts w:ascii="Times New Roman" w:eastAsia="Calibri" w:hAnsi="Times New Roman" w:cs="Times New Roman"/>
      <w:b/>
      <w:szCs w:val="20"/>
      <w:u w:val="single"/>
    </w:rPr>
  </w:style>
  <w:style w:type="character" w:customStyle="1" w:styleId="CardsFont12pt">
    <w:name w:val="Cards + Font 12pt"/>
    <w:uiPriority w:val="1"/>
    <w:rsid w:val="007C776D"/>
    <w:rPr>
      <w:rFonts w:ascii="Times New Roman" w:hAnsi="Times New Roman"/>
      <w:sz w:val="24"/>
      <w:u w:val="single"/>
      <w:lang w:val="en-US" w:eastAsia="en-US" w:bidi="ar-SA"/>
    </w:rPr>
  </w:style>
  <w:style w:type="character" w:customStyle="1" w:styleId="CardsHighlight">
    <w:name w:val="Cards Highlight"/>
    <w:uiPriority w:val="1"/>
    <w:rsid w:val="007C776D"/>
    <w:rPr>
      <w:rFonts w:ascii="Times New Roman" w:hAnsi="Times New Roman"/>
      <w:sz w:val="24"/>
      <w:u w:val="single"/>
      <w:bdr w:val="none" w:sz="0" w:space="0" w:color="auto"/>
      <w:shd w:val="clear" w:color="auto" w:fill="00FFF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C776D"/>
    <w:pPr>
      <w:spacing w:after="160" w:line="259" w:lineRule="auto"/>
    </w:pPr>
    <w:rPr>
      <w:rFonts w:ascii="Times New Roman" w:hAnsi="Times New Roman" w:cs="Times New Roman"/>
      <w:sz w:val="20"/>
    </w:rPr>
  </w:style>
  <w:style w:type="paragraph" w:styleId="Heading1">
    <w:name w:val="heading 1"/>
    <w:aliases w:val="Pocket"/>
    <w:basedOn w:val="Normal"/>
    <w:next w:val="Normal"/>
    <w:link w:val="Heading1Char"/>
    <w:uiPriority w:val="9"/>
    <w:qFormat/>
    <w:rsid w:val="007C77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2 Char,Heading 2 Char Char1 Char,Heading 2 Char1 Char,Heading 2 Char Char Char,Heading 2 Char Char1, Char,Cha, Ch"/>
    <w:basedOn w:val="Normal"/>
    <w:next w:val="Normal"/>
    <w:link w:val="Heading2Char"/>
    <w:uiPriority w:val="9"/>
    <w:unhideWhenUsed/>
    <w:qFormat/>
    <w:rsid w:val="007C776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itation Char,3: Cite,Card,Heading 3 Char Char Char,Heading 3 Char Char,Index Headers,Bold Cite,Heading 3 Char1 Char Char,Citation Char Char Char Char,Citation Char1 Char Char,Heading 3 Char Char1,Text 7,Block Writing"/>
    <w:basedOn w:val="Normal"/>
    <w:next w:val="Normal"/>
    <w:link w:val="Heading3Char"/>
    <w:uiPriority w:val="9"/>
    <w:unhideWhenUsed/>
    <w:qFormat/>
    <w:rsid w:val="007C776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C776D"/>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7C77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776D"/>
  </w:style>
  <w:style w:type="character" w:customStyle="1" w:styleId="Heading1Char">
    <w:name w:val="Heading 1 Char"/>
    <w:aliases w:val="Pocket Char"/>
    <w:basedOn w:val="DefaultParagraphFont"/>
    <w:link w:val="Heading1"/>
    <w:uiPriority w:val="9"/>
    <w:rsid w:val="007C776D"/>
    <w:rPr>
      <w:rFonts w:ascii="Times New Roman" w:eastAsiaTheme="majorEastAsia" w:hAnsi="Times New Roman" w:cstheme="majorBidi"/>
      <w:b/>
      <w:bCs/>
      <w:sz w:val="52"/>
      <w:szCs w:val="32"/>
    </w:rPr>
  </w:style>
  <w:style w:type="character" w:customStyle="1" w:styleId="Heading2Char">
    <w:name w:val="Heading 2 Char"/>
    <w:aliases w:val="Hat Char,Heading 2 Char2 Char Char,Heading 2 Char Char1 Char Char,Heading 2 Char1 Char Char,Heading 2 Char Char Char Char,Heading 2 Char Char1 Char1, Char Char,Cha Char, Ch Char"/>
    <w:basedOn w:val="DefaultParagraphFont"/>
    <w:link w:val="Heading2"/>
    <w:uiPriority w:val="9"/>
    <w:rsid w:val="007C776D"/>
    <w:rPr>
      <w:rFonts w:ascii="Times New Roman" w:eastAsiaTheme="majorEastAsia" w:hAnsi="Times New Roman" w:cstheme="majorBidi"/>
      <w:b/>
      <w:bCs/>
      <w:sz w:val="44"/>
      <w:szCs w:val="44"/>
      <w:u w:val="double"/>
    </w:rPr>
  </w:style>
  <w:style w:type="character" w:customStyle="1" w:styleId="Heading3Char">
    <w:name w:val="Heading 3 Char"/>
    <w:aliases w:val="Block Char,Citation Char Char,3: Cite Char,Card Char,Heading 3 Char Char Char Char,Heading 3 Char Char Char1,Index Headers Char,Bold Cite Char1,Heading 3 Char1 Char Char Char1,Citation Char Char Char Char Char,Heading 3 Char Char1 Char"/>
    <w:basedOn w:val="DefaultParagraphFont"/>
    <w:link w:val="Heading3"/>
    <w:uiPriority w:val="9"/>
    <w:rsid w:val="007C776D"/>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7C776D"/>
    <w:rPr>
      <w:rFonts w:ascii="Times New Roman" w:eastAsiaTheme="majorEastAsia" w:hAnsi="Times New Roman"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7C776D"/>
    <w:rPr>
      <w:b/>
      <w:sz w:val="24"/>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1"/>
    <w:qFormat/>
    <w:rsid w:val="007C776D"/>
    <w:rPr>
      <w:b w:val="0"/>
      <w:sz w:val="24"/>
      <w:u w:val="single"/>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7C776D"/>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7C776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7C776D"/>
    <w:rPr>
      <w:color w:val="auto"/>
      <w:u w:val="none"/>
    </w:rPr>
  </w:style>
  <w:style w:type="paragraph" w:styleId="DocumentMap">
    <w:name w:val="Document Map"/>
    <w:basedOn w:val="Normal"/>
    <w:link w:val="DocumentMapChar"/>
    <w:uiPriority w:val="99"/>
    <w:semiHidden/>
    <w:unhideWhenUsed/>
    <w:rsid w:val="007C776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776D"/>
    <w:rPr>
      <w:rFonts w:ascii="Lucida Grande" w:hAnsi="Lucida Grande" w:cs="Lucida Grande"/>
    </w:rPr>
  </w:style>
  <w:style w:type="paragraph" w:styleId="NormalWeb">
    <w:name w:val="Normal (Web)"/>
    <w:basedOn w:val="Normal"/>
    <w:uiPriority w:val="99"/>
    <w:unhideWhenUsed/>
    <w:rsid w:val="007C776D"/>
    <w:pPr>
      <w:spacing w:before="100" w:beforeAutospacing="1" w:after="100" w:afterAutospacing="1" w:line="240" w:lineRule="auto"/>
    </w:pPr>
    <w:rPr>
      <w:rFonts w:ascii="Times" w:hAnsi="Times"/>
      <w:szCs w:val="20"/>
    </w:rPr>
  </w:style>
  <w:style w:type="character" w:customStyle="1" w:styleId="apple-converted-space">
    <w:name w:val="apple-converted-space"/>
    <w:basedOn w:val="DefaultParagraphFont"/>
    <w:rsid w:val="007C776D"/>
  </w:style>
  <w:style w:type="paragraph" w:customStyle="1" w:styleId="p4">
    <w:name w:val="p4"/>
    <w:basedOn w:val="Normal"/>
    <w:rsid w:val="007C776D"/>
    <w:pPr>
      <w:spacing w:before="100" w:beforeAutospacing="1" w:after="100" w:afterAutospacing="1" w:line="240" w:lineRule="auto"/>
    </w:pPr>
    <w:rPr>
      <w:rFonts w:ascii="Times" w:hAnsi="Times"/>
      <w:szCs w:val="20"/>
    </w:rPr>
  </w:style>
  <w:style w:type="paragraph" w:customStyle="1" w:styleId="textbold">
    <w:name w:val="text bold"/>
    <w:basedOn w:val="Normal"/>
    <w:link w:val="Emphasis"/>
    <w:uiPriority w:val="7"/>
    <w:qFormat/>
    <w:rsid w:val="007C776D"/>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rPr>
  </w:style>
  <w:style w:type="paragraph" w:customStyle="1" w:styleId="Nothing">
    <w:name w:val="Nothing"/>
    <w:link w:val="NothingChar"/>
    <w:rsid w:val="007C776D"/>
    <w:rPr>
      <w:rFonts w:ascii="Times New Roman" w:eastAsia="Times New Roman" w:hAnsi="Times New Roman" w:cs="Times New Roman"/>
      <w:sz w:val="20"/>
    </w:rPr>
  </w:style>
  <w:style w:type="paragraph" w:customStyle="1" w:styleId="Cards">
    <w:name w:val="Cards"/>
    <w:next w:val="Nothing"/>
    <w:link w:val="CardsChar"/>
    <w:rsid w:val="007C776D"/>
    <w:pPr>
      <w:widowControl w:val="0"/>
      <w:ind w:left="432" w:right="432"/>
    </w:pPr>
    <w:rPr>
      <w:rFonts w:ascii="Times New Roman" w:eastAsia="Times New Roman" w:hAnsi="Times New Roman" w:cs="Times New Roman"/>
      <w:sz w:val="20"/>
    </w:rPr>
  </w:style>
  <w:style w:type="paragraph" w:customStyle="1" w:styleId="Cites">
    <w:name w:val="Cites"/>
    <w:next w:val="Cards"/>
    <w:link w:val="CitesChar"/>
    <w:rsid w:val="007C776D"/>
    <w:pPr>
      <w:widowControl w:val="0"/>
    </w:pPr>
    <w:rPr>
      <w:rFonts w:ascii="Times New Roman" w:eastAsia="Times New Roman" w:hAnsi="Times New Roman" w:cs="Times New Roman"/>
      <w:sz w:val="20"/>
    </w:rPr>
  </w:style>
  <w:style w:type="paragraph" w:customStyle="1" w:styleId="Tags">
    <w:name w:val="Tags"/>
    <w:next w:val="Nothing"/>
    <w:link w:val="TagsChar"/>
    <w:rsid w:val="007C776D"/>
    <w:pPr>
      <w:widowControl w:val="0"/>
      <w:outlineLvl w:val="3"/>
    </w:pPr>
    <w:rPr>
      <w:rFonts w:ascii="Times New Roman" w:eastAsia="Times New Roman" w:hAnsi="Times New Roman" w:cs="Times New Roman"/>
      <w:b/>
    </w:rPr>
  </w:style>
  <w:style w:type="character" w:customStyle="1" w:styleId="TagsChar">
    <w:name w:val="Tags Char"/>
    <w:link w:val="Tags"/>
    <w:rsid w:val="007C776D"/>
    <w:rPr>
      <w:rFonts w:ascii="Times New Roman" w:eastAsia="Times New Roman" w:hAnsi="Times New Roman" w:cs="Times New Roman"/>
      <w:b/>
    </w:rPr>
  </w:style>
  <w:style w:type="character" w:customStyle="1" w:styleId="CardsChar">
    <w:name w:val="Cards Char"/>
    <w:link w:val="Cards"/>
    <w:rsid w:val="007C776D"/>
    <w:rPr>
      <w:rFonts w:ascii="Times New Roman" w:eastAsia="Times New Roman" w:hAnsi="Times New Roman" w:cs="Times New Roman"/>
      <w:sz w:val="20"/>
    </w:rPr>
  </w:style>
  <w:style w:type="character" w:customStyle="1" w:styleId="NothingChar">
    <w:name w:val="Nothing Char"/>
    <w:link w:val="Nothing"/>
    <w:rsid w:val="007C776D"/>
    <w:rPr>
      <w:rFonts w:ascii="Times New Roman" w:eastAsia="Times New Roman" w:hAnsi="Times New Roman" w:cs="Times New Roman"/>
      <w:sz w:val="20"/>
    </w:rPr>
  </w:style>
  <w:style w:type="character" w:customStyle="1" w:styleId="CitesChar">
    <w:name w:val="Cites Char"/>
    <w:link w:val="Cites"/>
    <w:rsid w:val="007C776D"/>
    <w:rPr>
      <w:rFonts w:ascii="Times New Roman" w:eastAsia="Times New Roman" w:hAnsi="Times New Roman" w:cs="Times New Roman"/>
      <w:sz w:val="20"/>
    </w:rPr>
  </w:style>
  <w:style w:type="paragraph" w:customStyle="1" w:styleId="AuthorDate">
    <w:name w:val="AuthorDate"/>
    <w:next w:val="Nothing"/>
    <w:link w:val="AuthorDateChar"/>
    <w:rsid w:val="007C776D"/>
    <w:pPr>
      <w:widowControl w:val="0"/>
      <w:outlineLvl w:val="2"/>
    </w:pPr>
    <w:rPr>
      <w:rFonts w:ascii="Times New Roman" w:eastAsia="Calibri" w:hAnsi="Times New Roman" w:cs="Times New Roman"/>
      <w:b/>
      <w:szCs w:val="20"/>
      <w:u w:val="single"/>
    </w:rPr>
  </w:style>
  <w:style w:type="character" w:customStyle="1" w:styleId="AuthorDateChar">
    <w:name w:val="AuthorDate Char"/>
    <w:link w:val="AuthorDate"/>
    <w:rsid w:val="007C776D"/>
    <w:rPr>
      <w:rFonts w:ascii="Times New Roman" w:eastAsia="Calibri" w:hAnsi="Times New Roman" w:cs="Times New Roman"/>
      <w:b/>
      <w:szCs w:val="20"/>
      <w:u w:val="single"/>
    </w:rPr>
  </w:style>
  <w:style w:type="character" w:customStyle="1" w:styleId="CardsFont12pt">
    <w:name w:val="Cards + Font 12pt"/>
    <w:uiPriority w:val="1"/>
    <w:rsid w:val="007C776D"/>
    <w:rPr>
      <w:rFonts w:ascii="Times New Roman" w:hAnsi="Times New Roman"/>
      <w:sz w:val="24"/>
      <w:u w:val="single"/>
      <w:lang w:val="en-US" w:eastAsia="en-US" w:bidi="ar-SA"/>
    </w:rPr>
  </w:style>
  <w:style w:type="character" w:customStyle="1" w:styleId="CardsHighlight">
    <w:name w:val="Cards Highlight"/>
    <w:uiPriority w:val="1"/>
    <w:rsid w:val="007C776D"/>
    <w:rPr>
      <w:rFonts w:ascii="Times New Roman" w:hAnsi="Times New Roman"/>
      <w:sz w:val="24"/>
      <w:u w:val="single"/>
      <w:bdr w:val="none" w:sz="0" w:space="0" w:color="auto"/>
      <w:shd w:val="clear" w:color="auto" w:fill="00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iea.org/Textbase/npsum/WEO2014SUM.pdf" TargetMode="External"/><Relationship Id="rId21" Type="http://schemas.openxmlformats.org/officeDocument/2006/relationships/hyperlink" Target="http://journals.plos.org/plosone/article?id=10.1371/journal.pone.0154844" TargetMode="External"/><Relationship Id="rId22" Type="http://schemas.openxmlformats.org/officeDocument/2006/relationships/hyperlink" Target="http://www.co2science.org/subject/o/summaries/acidificationcocco.php" TargetMode="External"/><Relationship Id="rId23" Type="http://schemas.openxmlformats.org/officeDocument/2006/relationships/hyperlink" Target="http://journals.plos.org/plosone/article?id=10.1371/journal.pone.0132276" TargetMode="External"/><Relationship Id="rId24" Type="http://schemas.openxmlformats.org/officeDocument/2006/relationships/hyperlink" Target="http://www.spectator.co.uk/2016/04/ocean-acidification-yet-another-wobbly-pillar-of-climate-alarmism/" TargetMode="External"/><Relationship Id="rId25" Type="http://schemas.openxmlformats.org/officeDocument/2006/relationships/hyperlink" Target="https://www.researchgate.net/publication/259393084_Evolution_in_an_acidifying_ocean" TargetMode="External"/><Relationship Id="rId26" Type="http://schemas.openxmlformats.org/officeDocument/2006/relationships/hyperlink" Target="http://www.spectator.co.uk/2016/04/ocean-acidification-yet-another-wobbly-pillar-of-climate-alarmism/" TargetMode="External"/><Relationship Id="rId27" Type="http://schemas.openxmlformats.org/officeDocument/2006/relationships/hyperlink" Target="http://staugustine.com/opinions/2016-05-15/letter-acidification-propaganda" TargetMode="External"/><Relationship Id="rId28" Type="http://schemas.openxmlformats.org/officeDocument/2006/relationships/hyperlink" Target="http://www.marketwatch.com/story/coral-reefs-biggest-threat-is-not-what-you-think-2016-06-15" TargetMode="External"/><Relationship Id="rId29" Type="http://schemas.openxmlformats.org/officeDocument/2006/relationships/hyperlink" Target="http://www.cbc.ca/news/technology/coral-heat-pollution-bacteria-disease-1.3620305"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naturalnews.com/nuclear.html" TargetMode="External"/><Relationship Id="rId31" Type="http://schemas.openxmlformats.org/officeDocument/2006/relationships/hyperlink" Target="http://www.wagingpeace.org/about/people/associates/" TargetMode="External"/><Relationship Id="rId32" Type="http://schemas.openxmlformats.org/officeDocument/2006/relationships/hyperlink" Target="http://www.wagingpeace.org/" TargetMode="External"/><Relationship Id="rId9" Type="http://schemas.openxmlformats.org/officeDocument/2006/relationships/hyperlink" Target="http://www.zmescience.com/tag/solar-energy" TargetMode="External"/><Relationship Id="rId6" Type="http://schemas.openxmlformats.org/officeDocument/2006/relationships/webSettings" Target="webSettings.xml"/><Relationship Id="rId7" Type="http://schemas.openxmlformats.org/officeDocument/2006/relationships/hyperlink" Target="http://marketrealist.com/author/mayur/" TargetMode="External"/><Relationship Id="rId8" Type="http://schemas.openxmlformats.org/officeDocument/2006/relationships/hyperlink" Target="https://blogs.ubc.ca/vishathamboo/2014/11/25/cyber-security-the-worlds-greatest-threat/" TargetMode="External"/><Relationship Id="rId33" Type="http://schemas.openxmlformats.org/officeDocument/2006/relationships/hyperlink" Target="http://www.psr.org/about/experts-speakers/steven-starr.html" TargetMode="External"/><Relationship Id="rId34" Type="http://schemas.openxmlformats.org/officeDocument/2006/relationships/hyperlink" Target="http://psr.org/" TargetMode="External"/><Relationship Id="rId35" Type="http://schemas.openxmlformats.org/officeDocument/2006/relationships/hyperlink" Target="https://www.ratical.org/radiation/NuclearExtinction/StarrNuclearWinterOct09.pdf" TargetMode="External"/><Relationship Id="rId36" Type="http://schemas.openxmlformats.org/officeDocument/2006/relationships/hyperlink" Target="http://climate.envsci.rutgers.edu/pdf/RobockToonSAD.pdf" TargetMode="External"/><Relationship Id="rId10" Type="http://schemas.openxmlformats.org/officeDocument/2006/relationships/hyperlink" Target="http://www.zmescience.com/science/dubai-solar-cheap-55116/" TargetMode="External"/><Relationship Id="rId11" Type="http://schemas.openxmlformats.org/officeDocument/2006/relationships/hyperlink" Target="http://www.zmescience.com/ecology/renewable-energy-ecology/solar-energy-india-cheaper-20042016/" TargetMode="External"/><Relationship Id="rId12" Type="http://schemas.openxmlformats.org/officeDocument/2006/relationships/hyperlink" Target="http://www.zmescience.com/ecology/climate/fossil-fuel-subsidies-g20-05234/" TargetMode="External"/><Relationship Id="rId13" Type="http://schemas.openxmlformats.org/officeDocument/2006/relationships/hyperlink" Target="https://ir.citi.com/ceUKTj9wAJSPHBmpGoRGfQYz1rZm8CKVCFO7wPNIGAzn7%2feoGJhCRKXBw2LnpF%2bmPt5wCNmiHIw%3d" TargetMode="External"/><Relationship Id="rId14" Type="http://schemas.openxmlformats.org/officeDocument/2006/relationships/hyperlink" Target="http://www.greentechmedia.com/articles/read/q2-2014-lowest-module-spot-prices-ever" TargetMode="External"/><Relationship Id="rId15" Type="http://schemas.openxmlformats.org/officeDocument/2006/relationships/hyperlink" Target="http://www.huffingtonpost.com/author/bjorn-lomborg" TargetMode="External"/><Relationship Id="rId16" Type="http://schemas.openxmlformats.org/officeDocument/2006/relationships/hyperlink" Target="http://www.worldenergyoutlook.org/resources/energysubsidies/" TargetMode="External"/><Relationship Id="rId17" Type="http://schemas.openxmlformats.org/officeDocument/2006/relationships/hyperlink" Target="http://www.oecd.org/general/listofoecdmembercountries-ratificationoftheconventionontheoecd.htm" TargetMode="External"/><Relationship Id="rId18" Type="http://schemas.openxmlformats.org/officeDocument/2006/relationships/hyperlink" Target="http://instituteforenergyresearch.org/analysis/developing-countries-subsidize-fossil-fuel-use-artificially-lower-prices/" TargetMode="External"/><Relationship Id="rId19" Type="http://schemas.openxmlformats.org/officeDocument/2006/relationships/hyperlink" Target="http://instituteforenergyresearch.org/analysis/developing-countries-subsidize-fossil-fuel-use-artificially-lower-prices/" TargetMode="External"/><Relationship Id="rId37" Type="http://schemas.openxmlformats.org/officeDocument/2006/relationships/hyperlink" Target="https://www2.ucar.edu/atmosnews/just-published/3995/nuclear-war-and-ultraviolet-radiation" TargetMode="Externa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4F33BE-05B7-7F4C-BE74-23EA041BC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39</Pages>
  <Words>18988</Words>
  <Characters>108232</Characters>
  <Application>Microsoft Macintosh Word</Application>
  <DocSecurity>0</DocSecurity>
  <Lines>901</Lines>
  <Paragraphs>253</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126967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Quigley</dc:creator>
  <cp:keywords>5.0</cp:keywords>
  <dc:description/>
  <cp:lastModifiedBy>Dylan Quigley</cp:lastModifiedBy>
  <cp:revision>1</cp:revision>
  <dcterms:created xsi:type="dcterms:W3CDTF">2016-07-09T18:05:00Z</dcterms:created>
  <dcterms:modified xsi:type="dcterms:W3CDTF">2016-07-09T18:08:00Z</dcterms:modified>
  <cp:category/>
</cp:coreProperties>
</file>