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490B" w:rsidRDefault="000F490B" w:rsidP="000F490B">
      <w:pPr>
        <w:pStyle w:val="Heading1"/>
      </w:pPr>
      <w:r>
        <w:t>Topicality Update - FFRSV</w:t>
      </w:r>
    </w:p>
    <w:p w:rsidR="00F44AB8" w:rsidRDefault="00F44AB8" w:rsidP="00F44AB8">
      <w:pPr>
        <w:pStyle w:val="Heading3"/>
      </w:pPr>
      <w:r>
        <w:lastRenderedPageBreak/>
        <w:t>1NC</w:t>
      </w:r>
      <w:r w:rsidR="000F490B">
        <w:t xml:space="preserve"> “With”</w:t>
      </w:r>
    </w:p>
    <w:p w:rsidR="00F44AB8" w:rsidRDefault="00F44AB8" w:rsidP="00F44AB8"/>
    <w:p w:rsidR="00911CCF" w:rsidRDefault="00F44AB8" w:rsidP="00911CCF">
      <w:pPr>
        <w:pStyle w:val="Heading4"/>
      </w:pPr>
      <w:r>
        <w:t xml:space="preserve">Interpretation – the scope of </w:t>
      </w:r>
      <w:proofErr w:type="spellStart"/>
      <w:r>
        <w:t>aff</w:t>
      </w:r>
      <w:proofErr w:type="spellEnd"/>
      <w:r>
        <w:t xml:space="preserve"> fiat should be</w:t>
      </w:r>
      <w:r w:rsidR="000F490B">
        <w:t xml:space="preserve"> strictly</w:t>
      </w:r>
      <w:r>
        <w:t xml:space="preserve"> limited to exchanges</w:t>
      </w:r>
      <w:r w:rsidR="00911CCF">
        <w:t xml:space="preserve"> with the government of the PRC – </w:t>
      </w:r>
      <w:proofErr w:type="spellStart"/>
      <w:r w:rsidR="00911CCF">
        <w:t>fiating</w:t>
      </w:r>
      <w:proofErr w:type="spellEnd"/>
      <w:r w:rsidR="00911CCF">
        <w:t xml:space="preserve"> US engagement with any other entity is extra-topical.</w:t>
      </w:r>
    </w:p>
    <w:p w:rsidR="00911CCF" w:rsidRPr="00911CCF" w:rsidRDefault="00911CCF" w:rsidP="00911CCF"/>
    <w:p w:rsidR="00454683" w:rsidRDefault="00454683" w:rsidP="00454683">
      <w:pPr>
        <w:pStyle w:val="Heading4"/>
      </w:pPr>
      <w:r>
        <w:t xml:space="preserve">The word “with” should be interpreted in the locative sense </w:t>
      </w:r>
      <w:r w:rsidR="009C6334">
        <w:t xml:space="preserve">– it doesn’t mean “alongside” or “near” – it means </w:t>
      </w:r>
      <w:r w:rsidR="000F490B">
        <w:t>“together”</w:t>
      </w:r>
    </w:p>
    <w:p w:rsidR="00454683" w:rsidRDefault="00F7160F" w:rsidP="00F44AB8">
      <w:r>
        <w:t xml:space="preserve">Patrick </w:t>
      </w:r>
      <w:r w:rsidRPr="00F7160F">
        <w:rPr>
          <w:rStyle w:val="Style13ptBold"/>
        </w:rPr>
        <w:t>Farrell</w:t>
      </w:r>
      <w:r>
        <w:t xml:space="preserve"> (Professor of Linguistics at the University of California -Davis) </w:t>
      </w:r>
      <w:r w:rsidRPr="00F7160F">
        <w:rPr>
          <w:rStyle w:val="Style13ptBold"/>
        </w:rPr>
        <w:t>2005</w:t>
      </w:r>
      <w:r>
        <w:t xml:space="preserve"> (last cited) “The Preposition with in Role and Reference Grammar” http://linguistics.ucdavis.edu/PeopleBroken/pmfarrel/images-1/With_RRG.pdf</w:t>
      </w:r>
    </w:p>
    <w:p w:rsidR="00454683" w:rsidRDefault="00454683" w:rsidP="00F44AB8">
      <w:r>
        <w:t xml:space="preserve">One way of figuring out the central sense of a </w:t>
      </w:r>
      <w:proofErr w:type="spellStart"/>
      <w:r>
        <w:t>polysemous</w:t>
      </w:r>
      <w:proofErr w:type="spellEnd"/>
      <w:r>
        <w:t xml:space="preserve"> preposition is to consider</w:t>
      </w:r>
      <w:r w:rsidR="00F7160F">
        <w:t xml:space="preserve"> </w:t>
      </w:r>
      <w:r>
        <w:t xml:space="preserve">its earliest meaning (Tyler &amp; Evans 2003). </w:t>
      </w:r>
      <w:r w:rsidRPr="00F7160F">
        <w:rPr>
          <w:rStyle w:val="StyleUnderline"/>
        </w:rPr>
        <w:t>Although the early meanings of</w:t>
      </w:r>
      <w:r w:rsidR="00F7160F">
        <w:rPr>
          <w:rStyle w:val="StyleUnderline"/>
        </w:rPr>
        <w:t xml:space="preserve"> </w:t>
      </w:r>
      <w:r w:rsidRPr="00F7160F">
        <w:rPr>
          <w:rStyle w:val="StyleUnderline"/>
        </w:rPr>
        <w:t xml:space="preserve">with are interesting </w:t>
      </w:r>
      <w:r>
        <w:t xml:space="preserve">with respect to its historical development, </w:t>
      </w:r>
      <w:r w:rsidRPr="00F7160F">
        <w:rPr>
          <w:rStyle w:val="StyleUnderline"/>
        </w:rPr>
        <w:t>unlike with many</w:t>
      </w:r>
      <w:r w:rsidR="00F7160F">
        <w:rPr>
          <w:rStyle w:val="StyleUnderline"/>
        </w:rPr>
        <w:t xml:space="preserve"> </w:t>
      </w:r>
      <w:r w:rsidRPr="00F7160F">
        <w:rPr>
          <w:rStyle w:val="StyleUnderline"/>
        </w:rPr>
        <w:t>prepositions they do not happen to be the same as its current locative sense</w:t>
      </w:r>
      <w:r>
        <w:t>, or,</w:t>
      </w:r>
      <w:r w:rsidR="00F7160F">
        <w:t xml:space="preserve"> </w:t>
      </w:r>
      <w:r>
        <w:t xml:space="preserve">indeed any current sense. </w:t>
      </w:r>
      <w:r w:rsidRPr="00F7160F">
        <w:rPr>
          <w:rStyle w:val="StyleUnderline"/>
        </w:rPr>
        <w:t>According to the</w:t>
      </w:r>
      <w:r>
        <w:t xml:space="preserve"> Oxford English Dictionary (</w:t>
      </w:r>
      <w:r w:rsidRPr="00F7160F">
        <w:rPr>
          <w:rStyle w:val="StyleUnderline"/>
        </w:rPr>
        <w:t>OED)</w:t>
      </w:r>
      <w:r>
        <w:t xml:space="preserve">, </w:t>
      </w:r>
      <w:r w:rsidRPr="00F7160F">
        <w:rPr>
          <w:rStyle w:val="StyleUnderline"/>
        </w:rPr>
        <w:t>the</w:t>
      </w:r>
      <w:r w:rsidR="00F7160F">
        <w:rPr>
          <w:rStyle w:val="StyleUnderline"/>
        </w:rPr>
        <w:t xml:space="preserve"> </w:t>
      </w:r>
      <w:r w:rsidRPr="00F7160F">
        <w:rPr>
          <w:rStyle w:val="StyleUnderline"/>
        </w:rPr>
        <w:t xml:space="preserve">preposition with </w:t>
      </w:r>
      <w:r>
        <w:t xml:space="preserve">in Old English </w:t>
      </w:r>
      <w:r w:rsidRPr="00F7160F">
        <w:rPr>
          <w:rStyle w:val="StyleUnderline"/>
        </w:rPr>
        <w:t>could express such locative meanings as ‘alongside’,</w:t>
      </w:r>
      <w:r w:rsidR="00F7160F">
        <w:rPr>
          <w:rStyle w:val="StyleUnderline"/>
        </w:rPr>
        <w:t xml:space="preserve"> </w:t>
      </w:r>
      <w:r w:rsidRPr="00F7160F">
        <w:rPr>
          <w:rStyle w:val="StyleUnderline"/>
        </w:rPr>
        <w:t>‘towards’, and ‘against’</w:t>
      </w:r>
      <w:r>
        <w:t xml:space="preserve"> and could be used in various figurative extensions of</w:t>
      </w:r>
      <w:r w:rsidR="00F7160F">
        <w:t xml:space="preserve"> </w:t>
      </w:r>
      <w:r>
        <w:t xml:space="preserve">these. </w:t>
      </w:r>
      <w:r w:rsidRPr="00F7160F">
        <w:rPr>
          <w:rStyle w:val="StyleUnderline"/>
        </w:rPr>
        <w:t>Only later did with come to have most of its current senses, by taking over</w:t>
      </w:r>
      <w:r w:rsidR="00F7160F">
        <w:rPr>
          <w:rStyle w:val="StyleUnderline"/>
        </w:rPr>
        <w:t xml:space="preserve"> </w:t>
      </w:r>
      <w:r w:rsidRPr="00F7160F">
        <w:rPr>
          <w:rStyle w:val="StyleUnderline"/>
        </w:rPr>
        <w:t xml:space="preserve">the semantic ground </w:t>
      </w:r>
      <w:r>
        <w:t>of and turning obsolete the preposition mid. Beyond their</w:t>
      </w:r>
      <w:r w:rsidR="00F7160F">
        <w:t xml:space="preserve"> </w:t>
      </w:r>
      <w:r>
        <w:t>contribution to the development of the current senses, the early meanings of with</w:t>
      </w:r>
      <w:r w:rsidR="00F7160F">
        <w:t xml:space="preserve"> </w:t>
      </w:r>
      <w:r>
        <w:t>only survive in such opaque compounds as withstand, where the ‘against’ sense was</w:t>
      </w:r>
      <w:r w:rsidR="00F7160F">
        <w:t xml:space="preserve"> </w:t>
      </w:r>
      <w:r>
        <w:t>at play. One apparent development plausibly involves a kind of bleaching, wherein</w:t>
      </w:r>
      <w:r w:rsidR="00F7160F">
        <w:t xml:space="preserve"> </w:t>
      </w:r>
      <w:r>
        <w:t>the more specific sense of ‘against’, as in against the fence, or ‘alongside,’ turns into</w:t>
      </w:r>
      <w:r w:rsidR="00F7160F">
        <w:t xml:space="preserve"> </w:t>
      </w:r>
      <w:r>
        <w:t>simple ‘near’, as in The weather drove the ship with the coast of Sicily (see OED sense</w:t>
      </w:r>
      <w:r w:rsidR="00F7160F">
        <w:t xml:space="preserve"> </w:t>
      </w:r>
      <w:r>
        <w:t xml:space="preserve">5b). </w:t>
      </w:r>
      <w:r w:rsidRPr="00F7160F">
        <w:rPr>
          <w:rStyle w:val="StyleUnderline"/>
        </w:rPr>
        <w:t>The locative sense that occurs in current English, as in Paula is with the angels</w:t>
      </w:r>
      <w:r w:rsidR="00F7160F">
        <w:rPr>
          <w:rStyle w:val="StyleUnderline"/>
        </w:rPr>
        <w:t xml:space="preserve"> </w:t>
      </w:r>
      <w:r w:rsidRPr="00F7160F">
        <w:rPr>
          <w:rStyle w:val="StyleUnderline"/>
        </w:rPr>
        <w:t>or The apples are with the oranges, involves even more bleaching, as the proximity</w:t>
      </w:r>
      <w:r w:rsidR="00F7160F">
        <w:rPr>
          <w:rStyle w:val="StyleUnderline"/>
        </w:rPr>
        <w:t xml:space="preserve"> </w:t>
      </w:r>
      <w:r w:rsidRPr="00F7160F">
        <w:rPr>
          <w:rStyle w:val="StyleUnderline"/>
        </w:rPr>
        <w:t>component of both ‘alongside’ and ‘near’ is gone</w:t>
      </w:r>
      <w:r>
        <w:t>. The apples can be conceived of</w:t>
      </w:r>
      <w:r w:rsidR="00F7160F">
        <w:t xml:space="preserve"> </w:t>
      </w:r>
      <w:r>
        <w:t>as being with the oranges by virtue of both being in a walk-in refrigerator within</w:t>
      </w:r>
      <w:r w:rsidR="00F7160F">
        <w:t xml:space="preserve"> </w:t>
      </w:r>
      <w:r>
        <w:t xml:space="preserve">which they are not necessarily near or alongside each other. </w:t>
      </w:r>
      <w:r w:rsidRPr="00F7160F">
        <w:rPr>
          <w:rStyle w:val="StyleUnderline"/>
        </w:rPr>
        <w:t>The conceptualizer</w:t>
      </w:r>
      <w:r w:rsidR="00F7160F">
        <w:rPr>
          <w:rStyle w:val="StyleUnderline"/>
        </w:rPr>
        <w:t xml:space="preserve"> </w:t>
      </w:r>
      <w:r w:rsidRPr="00F7160F">
        <w:rPr>
          <w:rStyle w:val="StyleUnderline"/>
        </w:rPr>
        <w:t>need only conceive of the location of the oranges as relevant to knowing the location</w:t>
      </w:r>
      <w:r w:rsidR="00F7160F">
        <w:rPr>
          <w:rStyle w:val="StyleUnderline"/>
        </w:rPr>
        <w:t xml:space="preserve"> </w:t>
      </w:r>
      <w:r w:rsidRPr="00F7160F">
        <w:rPr>
          <w:rStyle w:val="StyleUnderline"/>
        </w:rPr>
        <w:t>of the apples. The relationship that with designates is closest in terms of conceptual</w:t>
      </w:r>
      <w:r w:rsidR="00F7160F">
        <w:rPr>
          <w:rStyle w:val="StyleUnderline"/>
        </w:rPr>
        <w:t xml:space="preserve"> </w:t>
      </w:r>
      <w:r w:rsidRPr="00F7160F">
        <w:rPr>
          <w:rStyle w:val="StyleUnderline"/>
        </w:rPr>
        <w:t>content to together</w:t>
      </w:r>
      <w:r>
        <w:t xml:space="preserve">, </w:t>
      </w:r>
      <w:r w:rsidRPr="00F7160F">
        <w:rPr>
          <w:rStyle w:val="StyleUnderline"/>
        </w:rPr>
        <w:t>for which reason The apples and oranges are together has</w:t>
      </w:r>
      <w:r w:rsidR="00F7160F">
        <w:rPr>
          <w:rStyle w:val="StyleUnderline"/>
        </w:rPr>
        <w:t xml:space="preserve"> </w:t>
      </w:r>
      <w:r w:rsidRPr="00F7160F">
        <w:rPr>
          <w:rStyle w:val="StyleUnderline"/>
        </w:rPr>
        <w:t>roughly the same meaning as The apples are with the oranges. The locative meaning</w:t>
      </w:r>
      <w:r w:rsidR="00F7160F">
        <w:rPr>
          <w:rStyle w:val="StyleUnderline"/>
        </w:rPr>
        <w:t xml:space="preserve"> </w:t>
      </w:r>
      <w:r w:rsidRPr="00F7160F">
        <w:rPr>
          <w:rStyle w:val="StyleUnderline"/>
        </w:rPr>
        <w:t>of with is simply sameness of place for two things</w:t>
      </w:r>
      <w:r>
        <w:t>.6</w:t>
      </w:r>
      <w:r w:rsidR="00F7160F">
        <w:t xml:space="preserve"> </w:t>
      </w:r>
      <w:r w:rsidRPr="00F7160F">
        <w:rPr>
          <w:rStyle w:val="StyleUnderline"/>
        </w:rPr>
        <w:t>Since this is the meaning that</w:t>
      </w:r>
      <w:r w:rsidR="00F7160F">
        <w:rPr>
          <w:rStyle w:val="StyleUnderline"/>
        </w:rPr>
        <w:t xml:space="preserve"> </w:t>
      </w:r>
      <w:r w:rsidRPr="00F7160F">
        <w:rPr>
          <w:rStyle w:val="StyleUnderline"/>
        </w:rPr>
        <w:t>occurs in the predicative be construction</w:t>
      </w:r>
      <w:r>
        <w:t>, in which there is no other predicate with</w:t>
      </w:r>
      <w:r w:rsidR="00F7160F">
        <w:t xml:space="preserve"> </w:t>
      </w:r>
      <w:r>
        <w:t xml:space="preserve">additional or interfering conceptual content, </w:t>
      </w:r>
      <w:r w:rsidRPr="00F7160F">
        <w:rPr>
          <w:rStyle w:val="StyleUnderline"/>
        </w:rPr>
        <w:t>I take it to be the central sense.</w:t>
      </w:r>
      <w:r w:rsidR="00F7160F">
        <w:rPr>
          <w:rStyle w:val="StyleUnderline"/>
        </w:rPr>
        <w:t xml:space="preserve"> </w:t>
      </w:r>
      <w:r>
        <w:t>In RRG terms, this can be assumed to be the meaning of the primitive predicate</w:t>
      </w:r>
      <w:r w:rsidR="00F7160F">
        <w:t xml:space="preserve"> </w:t>
      </w:r>
      <w:r>
        <w:t xml:space="preserve">be-with’, paralleling be-in’, be-near’, and other prepositions that can instantiate </w:t>
      </w:r>
      <w:proofErr w:type="spellStart"/>
      <w:r>
        <w:t>beloc</w:t>
      </w:r>
      <w:proofErr w:type="spellEnd"/>
      <w:r>
        <w:t>’.</w:t>
      </w:r>
      <w:r w:rsidR="00F7160F">
        <w:t xml:space="preserve"> </w:t>
      </w:r>
      <w:r w:rsidRPr="00F7160F">
        <w:rPr>
          <w:rStyle w:val="StyleUnderline"/>
        </w:rPr>
        <w:t>Thus, under this analysis, the occurrence of with in sentences such as I put</w:t>
      </w:r>
      <w:r w:rsidR="00F7160F">
        <w:rPr>
          <w:rStyle w:val="StyleUnderline"/>
        </w:rPr>
        <w:t xml:space="preserve"> </w:t>
      </w:r>
      <w:r w:rsidRPr="00F7160F">
        <w:rPr>
          <w:rStyle w:val="StyleUnderline"/>
        </w:rPr>
        <w:t>the CDs with the DVDs follows from the basic locative meaning of with</w:t>
      </w:r>
      <w:r>
        <w:t xml:space="preserve"> and the</w:t>
      </w:r>
      <w:r w:rsidR="00F7160F">
        <w:t xml:space="preserve"> </w:t>
      </w:r>
      <w:r>
        <w:t>mere existence of a fully underspecified be-</w:t>
      </w:r>
      <w:proofErr w:type="spellStart"/>
      <w:r>
        <w:t>loc</w:t>
      </w:r>
      <w:proofErr w:type="spellEnd"/>
      <w:r>
        <w:t>’ predicate in the lexical LS of put</w:t>
      </w:r>
      <w:r w:rsidR="00F7160F">
        <w:t>.</w:t>
      </w:r>
    </w:p>
    <w:p w:rsidR="000F490B" w:rsidRDefault="000F490B" w:rsidP="000F490B">
      <w:pPr>
        <w:pStyle w:val="Heading4"/>
      </w:pPr>
      <w:r>
        <w:t xml:space="preserve">Extra-T is a voter for limits and ground – they can generate unpredictable advantages and link shields to deal with core </w:t>
      </w:r>
      <w:proofErr w:type="spellStart"/>
      <w:r>
        <w:t>neg</w:t>
      </w:r>
      <w:proofErr w:type="spellEnd"/>
      <w:r>
        <w:t xml:space="preserve"> generics – it also exponentially expands the number of affirmative by incorporating tri-lateral and multi-lateral forms of engagement – which should be negative ground.</w:t>
      </w:r>
    </w:p>
    <w:p w:rsidR="00B23F93" w:rsidRDefault="00911CCF" w:rsidP="00911CCF">
      <w:pPr>
        <w:pStyle w:val="Heading3"/>
      </w:pPr>
      <w:r>
        <w:lastRenderedPageBreak/>
        <w:t>2NC “With”</w:t>
      </w:r>
    </w:p>
    <w:p w:rsidR="00B23F93" w:rsidRDefault="00B23F93" w:rsidP="00B23F93">
      <w:pPr>
        <w:pStyle w:val="Heading4"/>
      </w:pPr>
      <w:r>
        <w:t xml:space="preserve">Prefer to </w:t>
      </w:r>
      <w:proofErr w:type="spellStart"/>
      <w:r>
        <w:t>comitative</w:t>
      </w:r>
      <w:proofErr w:type="spellEnd"/>
      <w:r>
        <w:t xml:space="preserve"> use of “with” – which requires a distinct set of ‘togetherness’ in engagement. Your interpretation would be grammatically correct if the resolution read “the United States and China should increase </w:t>
      </w:r>
      <w:r w:rsidR="00911CCF">
        <w:t xml:space="preserve">economic and/or </w:t>
      </w:r>
      <w:r>
        <w:t xml:space="preserve">diplomatic engagement,” but only our interpretation preserves the </w:t>
      </w:r>
      <w:r w:rsidRPr="00B23F93">
        <w:rPr>
          <w:u w:val="single"/>
        </w:rPr>
        <w:t>full meaning</w:t>
      </w:r>
      <w:r>
        <w:t xml:space="preserve"> of “with” in the resolution</w:t>
      </w:r>
    </w:p>
    <w:p w:rsidR="00F7160F" w:rsidRDefault="00B23F93" w:rsidP="00F44AB8">
      <w:r>
        <w:t xml:space="preserve">Patrick </w:t>
      </w:r>
      <w:r w:rsidRPr="00F7160F">
        <w:rPr>
          <w:rStyle w:val="Style13ptBold"/>
        </w:rPr>
        <w:t>Farrell</w:t>
      </w:r>
      <w:r>
        <w:t xml:space="preserve"> (Professor of Linguistics at the University of California -Davis) </w:t>
      </w:r>
      <w:r w:rsidRPr="00F7160F">
        <w:rPr>
          <w:rStyle w:val="Style13ptBold"/>
        </w:rPr>
        <w:t>2005</w:t>
      </w:r>
      <w:r>
        <w:t xml:space="preserve"> (last cited) “The Preposition with in Role and Reference Grammar” http://linguistics.ucdavis.edu/PeopleBroken/pmfarrel/images-1/With_RRG.pdf</w:t>
      </w:r>
    </w:p>
    <w:p w:rsidR="00F7160F" w:rsidRDefault="00F7160F" w:rsidP="00F44AB8">
      <w:r>
        <w:t xml:space="preserve">3.3 </w:t>
      </w:r>
      <w:proofErr w:type="spellStart"/>
      <w:r>
        <w:t>Comitative</w:t>
      </w:r>
      <w:proofErr w:type="spellEnd"/>
      <w:r>
        <w:t xml:space="preserve"> with</w:t>
      </w:r>
    </w:p>
    <w:p w:rsidR="00F7160F" w:rsidRDefault="00F7160F" w:rsidP="00F44AB8">
      <w:r>
        <w:t xml:space="preserve">One virtue of the proposed analysis is that </w:t>
      </w:r>
      <w:proofErr w:type="spellStart"/>
      <w:r w:rsidRPr="00B23F93">
        <w:rPr>
          <w:rStyle w:val="StyleUnderline"/>
        </w:rPr>
        <w:t>comitative</w:t>
      </w:r>
      <w:proofErr w:type="spellEnd"/>
      <w:r w:rsidRPr="00B23F93">
        <w:rPr>
          <w:rStyle w:val="StyleUnderline"/>
        </w:rPr>
        <w:t xml:space="preserve"> with phrases can be analyzed</w:t>
      </w:r>
      <w:r w:rsidR="00B23F93">
        <w:rPr>
          <w:rStyle w:val="StyleUnderline"/>
        </w:rPr>
        <w:t xml:space="preserve"> </w:t>
      </w:r>
      <w:r w:rsidRPr="00B23F93">
        <w:rPr>
          <w:rStyle w:val="StyleUnderline"/>
        </w:rPr>
        <w:t>as an instantiation of the central sense of with. If someone does something</w:t>
      </w:r>
      <w:r w:rsidR="00B23F93">
        <w:rPr>
          <w:rStyle w:val="StyleUnderline"/>
        </w:rPr>
        <w:t xml:space="preserve"> </w:t>
      </w:r>
      <w:r w:rsidRPr="00B23F93">
        <w:rPr>
          <w:rStyle w:val="StyleUnderline"/>
        </w:rPr>
        <w:t>with someone else, the doing participants are conceived of as being together in a</w:t>
      </w:r>
      <w:r w:rsidR="00B23F93">
        <w:rPr>
          <w:rStyle w:val="StyleUnderline"/>
        </w:rPr>
        <w:t xml:space="preserve"> </w:t>
      </w:r>
      <w:r w:rsidRPr="00B23F93">
        <w:rPr>
          <w:rStyle w:val="StyleUnderline"/>
        </w:rPr>
        <w:t>group, which is a simple metaphorical extension of the concept of togetherness</w:t>
      </w:r>
      <w:r w:rsidR="00B23F93">
        <w:rPr>
          <w:rStyle w:val="StyleUnderline"/>
        </w:rPr>
        <w:t xml:space="preserve"> </w:t>
      </w:r>
      <w:r w:rsidRPr="00B23F93">
        <w:rPr>
          <w:rStyle w:val="StyleUnderline"/>
        </w:rPr>
        <w:t>in a place. Thus, a sentence such as Jack went to the store with Jill can be given a</w:t>
      </w:r>
      <w:r w:rsidR="00B23F93">
        <w:rPr>
          <w:rStyle w:val="StyleUnderline"/>
        </w:rPr>
        <w:t xml:space="preserve"> </w:t>
      </w:r>
      <w:r w:rsidRPr="00B23F93">
        <w:rPr>
          <w:rStyle w:val="StyleUnderline"/>
        </w:rPr>
        <w:t>different analysis than Jack and Jill went to the store</w:t>
      </w:r>
      <w:r>
        <w:t xml:space="preserve">, as shown in Figure 9. </w:t>
      </w:r>
      <w:r w:rsidRPr="00B23F93">
        <w:rPr>
          <w:rStyle w:val="StyleUnderline"/>
        </w:rPr>
        <w:t>The</w:t>
      </w:r>
      <w:r w:rsidR="00B23F93">
        <w:rPr>
          <w:rStyle w:val="StyleUnderline"/>
        </w:rPr>
        <w:t xml:space="preserve"> </w:t>
      </w:r>
      <w:r w:rsidRPr="00B23F93">
        <w:rPr>
          <w:rStyle w:val="StyleUnderline"/>
        </w:rPr>
        <w:t>appearance of with is motivated by its inherent meaning</w:t>
      </w:r>
      <w:r>
        <w:t>. At the same time, this</w:t>
      </w:r>
      <w:r w:rsidR="00B23F93">
        <w:t xml:space="preserve"> </w:t>
      </w:r>
      <w:r>
        <w:t>analysis avoids the problems associated with the standard RRG move of allowing</w:t>
      </w:r>
      <w:r w:rsidR="00B23F93">
        <w:t xml:space="preserve"> </w:t>
      </w:r>
      <w:r>
        <w:t xml:space="preserve">a </w:t>
      </w:r>
      <w:proofErr w:type="spellStart"/>
      <w:r>
        <w:t>macrorole</w:t>
      </w:r>
      <w:proofErr w:type="spellEnd"/>
      <w:r>
        <w:t xml:space="preserve"> to be linked to only one conjunct of an argument (see Jolly 1993), allows</w:t>
      </w:r>
      <w:r w:rsidR="00B23F93">
        <w:t xml:space="preserve"> </w:t>
      </w:r>
      <w:r>
        <w:t xml:space="preserve">a straightforward account of why </w:t>
      </w:r>
      <w:proofErr w:type="spellStart"/>
      <w:r>
        <w:t>comitative</w:t>
      </w:r>
      <w:proofErr w:type="spellEnd"/>
      <w:r>
        <w:t xml:space="preserve"> with phrases typically have the</w:t>
      </w:r>
      <w:r w:rsidR="00B23F93">
        <w:t xml:space="preserve"> </w:t>
      </w:r>
      <w:r>
        <w:t>distributional properties of adjuncts (Farrell 2005: Ch. 1), and still accounts for</w:t>
      </w:r>
      <w:r w:rsidR="00B23F93">
        <w:t xml:space="preserve"> </w:t>
      </w:r>
      <w:r>
        <w:t>the meaning parallel with conjoined NP sentences.</w:t>
      </w:r>
    </w:p>
    <w:p w:rsidR="00911CCF" w:rsidRDefault="000F490B" w:rsidP="00911CCF">
      <w:pPr>
        <w:pStyle w:val="Heading3"/>
      </w:pPr>
      <w:r>
        <w:lastRenderedPageBreak/>
        <w:t>2AC</w:t>
      </w:r>
      <w:r w:rsidR="00911CCF">
        <w:t xml:space="preserve"> </w:t>
      </w:r>
      <w:r w:rsidR="00E50337">
        <w:t>“With”</w:t>
      </w:r>
    </w:p>
    <w:p w:rsidR="00B23F93" w:rsidRDefault="007D2EDE" w:rsidP="007D2EDE">
      <w:pPr>
        <w:pStyle w:val="Heading4"/>
      </w:pPr>
      <w:r>
        <w:t>“With” should be interpreted weakly – it implies it only requires some kind of connection</w:t>
      </w:r>
    </w:p>
    <w:p w:rsidR="00B23F93" w:rsidRDefault="00B23F93" w:rsidP="00F44AB8">
      <w:r>
        <w:t xml:space="preserve">Michele </w:t>
      </w:r>
      <w:proofErr w:type="spellStart"/>
      <w:r w:rsidRPr="00B23F93">
        <w:rPr>
          <w:rStyle w:val="Style13ptBold"/>
        </w:rPr>
        <w:t>Prandi</w:t>
      </w:r>
      <w:proofErr w:type="spellEnd"/>
      <w:r>
        <w:t xml:space="preserve"> (Full Professor of General Linguistics, University of Genoa, Department of Modern Languages)</w:t>
      </w:r>
      <w:r w:rsidRPr="00B23F93">
        <w:rPr>
          <w:rStyle w:val="Style13ptBold"/>
        </w:rPr>
        <w:t>2004</w:t>
      </w:r>
      <w:r>
        <w:t xml:space="preserve"> The Building Blocks of Meaning: Ideas for a Philosophical Grammar, p. 73</w:t>
      </w:r>
    </w:p>
    <w:p w:rsidR="00B23F93" w:rsidRDefault="00B23F93" w:rsidP="00F44AB8">
      <w:r>
        <w:t xml:space="preserve">Once the conceptual structure of a role such as that of instrument is </w:t>
      </w:r>
      <w:proofErr w:type="spellStart"/>
      <w:r>
        <w:t>indepen</w:t>
      </w:r>
      <w:proofErr w:type="spellEnd"/>
      <w:r>
        <w:t xml:space="preserve"> </w:t>
      </w:r>
      <w:proofErr w:type="spellStart"/>
      <w:r>
        <w:t>dently</w:t>
      </w:r>
      <w:proofErr w:type="spellEnd"/>
      <w:r>
        <w:t xml:space="preserve"> defined in conceptual-relational terms, it makes sense to ask which linguistic means can be used to express it. When the coding is punctual, as in this case, the relevant properties of the coding expression are not grammatical- relational, but inherent, and essentially based on the conventional content of the linking word or expression — typically, of the preposition. Insofar as this content weakens, punctual coding shades into inferencing. </w:t>
      </w:r>
      <w:r w:rsidRPr="007D2EDE">
        <w:rPr>
          <w:rStyle w:val="StyleUnderline"/>
        </w:rPr>
        <w:t>The most typical form of instrumental expression</w:t>
      </w:r>
      <w:r>
        <w:t xml:space="preserve"> </w:t>
      </w:r>
      <w:r w:rsidRPr="007D2EDE">
        <w:rPr>
          <w:rStyle w:val="StyleUnderline"/>
        </w:rPr>
        <w:t xml:space="preserve">— a prepositional phrase of the form </w:t>
      </w:r>
      <w:proofErr w:type="gramStart"/>
      <w:r w:rsidRPr="007D2EDE">
        <w:rPr>
          <w:rStyle w:val="StyleUnderline"/>
        </w:rPr>
        <w:t>With</w:t>
      </w:r>
      <w:proofErr w:type="gramEnd"/>
      <w:r>
        <w:t xml:space="preserve"> NP — does not attain full coding. </w:t>
      </w:r>
      <w:r w:rsidRPr="007D2EDE">
        <w:rPr>
          <w:rStyle w:val="StyleUnderline"/>
        </w:rPr>
        <w:t xml:space="preserve">The meaning of the preposition with is very weak, and simply suggests that something is connected with something else in some way. As a consequence, the instrumental relation can only be established by way of inferential enrichment, evaluating the con- </w:t>
      </w:r>
      <w:proofErr w:type="spellStart"/>
      <w:r w:rsidRPr="007D2EDE">
        <w:rPr>
          <w:rStyle w:val="StyleUnderline"/>
        </w:rPr>
        <w:t>nected</w:t>
      </w:r>
      <w:proofErr w:type="spellEnd"/>
      <w:r w:rsidRPr="007D2EDE">
        <w:rPr>
          <w:rStyle w:val="StyleUnderline"/>
        </w:rPr>
        <w:t xml:space="preserve"> contents against the background of shared conceptual models. The prepositional phrase is interpreted as expressing the role of instrument if</w:t>
      </w:r>
      <w:r>
        <w:t xml:space="preserve">— and only if— </w:t>
      </w:r>
      <w:r w:rsidRPr="007D2EDE">
        <w:rPr>
          <w:rStyle w:val="StyleUnderline"/>
        </w:rPr>
        <w:t>it is associated with an action and its referent meets the conceptual conditions required for an Instrument within the framework of this action.</w:t>
      </w:r>
      <w:r>
        <w:t xml:space="preserve"> If the main process is not an action, or the content of the preposition al phrase does not meet the appropriate conceptual conditions, the prepositional phrase is assigned another role or, in extreme cases, its role remains indeterminate. Given a sentence like John felled the tree with an axe, for instance, </w:t>
      </w:r>
      <w:r w:rsidRPr="007D2EDE">
        <w:rPr>
          <w:rStyle w:val="StyleUnderline"/>
        </w:rPr>
        <w:t>the prepositional phrase is interpreted as the expression of the instrument</w:t>
      </w:r>
      <w:r>
        <w:t xml:space="preserve">: an axe is an object which can be consistently used as an instrument, and is an </w:t>
      </w:r>
      <w:proofErr w:type="spellStart"/>
      <w:r>
        <w:t>appro</w:t>
      </w:r>
      <w:proofErr w:type="spellEnd"/>
      <w:r>
        <w:t xml:space="preserve">- </w:t>
      </w:r>
      <w:proofErr w:type="spellStart"/>
      <w:r>
        <w:t>priate</w:t>
      </w:r>
      <w:proofErr w:type="spellEnd"/>
      <w:r>
        <w:t xml:space="preserve"> instrument for felling trees. In a sentence like John cut his finger with an axe, the axe cannot be interpreted as an instrument because the main process is not an action. In a Sentence like John felled the tree with Robert, the main process is an action, but the referent of the prepositional phrase does not meet the </w:t>
      </w:r>
      <w:proofErr w:type="spellStart"/>
      <w:r>
        <w:t>appropri</w:t>
      </w:r>
      <w:proofErr w:type="spellEnd"/>
      <w:r>
        <w:t xml:space="preserve">- ate conceptual conditions for instrumentality. As a consequence, it is assigned another role, compatible with his ontological status of responsible human being— the role of "co-performer of the action" (Foley&amp; Van </w:t>
      </w:r>
      <w:proofErr w:type="spellStart"/>
      <w:r>
        <w:t>Valin</w:t>
      </w:r>
      <w:proofErr w:type="spellEnd"/>
      <w:r>
        <w:t xml:space="preserve">, 1984: 84). </w:t>
      </w:r>
    </w:p>
    <w:p w:rsidR="007D2EDE" w:rsidRPr="00F44AB8" w:rsidRDefault="003769FD" w:rsidP="003769FD">
      <w:pPr>
        <w:pStyle w:val="Heading3"/>
      </w:pPr>
      <w:r>
        <w:lastRenderedPageBreak/>
        <w:t>CCP ≠ PRC</w:t>
      </w:r>
    </w:p>
    <w:p w:rsidR="00FB5256" w:rsidRDefault="00FB5256" w:rsidP="00FB5256">
      <w:pPr>
        <w:pStyle w:val="Heading4"/>
      </w:pPr>
      <w:r>
        <w:t>The CPC’s operates external to the PRC government</w:t>
      </w:r>
    </w:p>
    <w:p w:rsidR="00FB5256" w:rsidRDefault="00FB5256" w:rsidP="00FB5256">
      <w:r>
        <w:t xml:space="preserve">Linda </w:t>
      </w:r>
      <w:proofErr w:type="spellStart"/>
      <w:r w:rsidRPr="0072035D">
        <w:rPr>
          <w:rStyle w:val="Style13ptBold"/>
        </w:rPr>
        <w:t>Jakobson</w:t>
      </w:r>
      <w:proofErr w:type="spellEnd"/>
      <w:r>
        <w:t xml:space="preserve"> (visiting professor at the US Studies Centre at the University of Sydney, formerly East Asia Program Director of the Lowy Institute for International Policy) </w:t>
      </w:r>
      <w:r w:rsidRPr="0072035D">
        <w:rPr>
          <w:rStyle w:val="Style13ptBold"/>
        </w:rPr>
        <w:t>2016</w:t>
      </w:r>
      <w:r>
        <w:t xml:space="preserve"> “Domestic Actors and the Fragmentation of China’s Foreign Policy” p.137-8</w:t>
      </w:r>
    </w:p>
    <w:p w:rsidR="00FB5256" w:rsidRPr="0072035D" w:rsidRDefault="00FB5256" w:rsidP="00FB5256">
      <w:pPr>
        <w:rPr>
          <w:rStyle w:val="StyleUnderline"/>
        </w:rPr>
      </w:pPr>
      <w:r w:rsidRPr="0072035D">
        <w:rPr>
          <w:rStyle w:val="StyleUnderline"/>
        </w:rPr>
        <w:t>The Communist Party of China and the government of the People’s Republic of China (PRC) have separate decision-making structures, although some offices overlap in function, authority, and</w:t>
      </w:r>
      <w:r>
        <w:t xml:space="preserve"> even </w:t>
      </w:r>
      <w:r w:rsidRPr="0072035D">
        <w:rPr>
          <w:rStyle w:val="StyleUnderline"/>
        </w:rPr>
        <w:t>personnel</w:t>
      </w:r>
      <w:r>
        <w:t xml:space="preserve">. </w:t>
      </w:r>
      <w:r w:rsidRPr="0072035D">
        <w:rPr>
          <w:rStyle w:val="StyleUnderline"/>
        </w:rPr>
        <w:t>The CPC’s authority is supreme, hence the CPC’s highest body</w:t>
      </w:r>
      <w:r>
        <w:t>—the Politburo Standing Committee (PSC)—</w:t>
      </w:r>
      <w:r w:rsidRPr="0072035D">
        <w:rPr>
          <w:rStyle w:val="StyleUnderline"/>
        </w:rPr>
        <w:t>retains the ultimate decision-making power</w:t>
      </w:r>
      <w:r>
        <w:t xml:space="preserve">. </w:t>
      </w:r>
      <w:r w:rsidRPr="0072035D">
        <w:rPr>
          <w:rStyle w:val="StyleUnderline"/>
        </w:rPr>
        <w:t xml:space="preserve">It exercises this power on key foreign and security policy decisions </w:t>
      </w:r>
      <w:r>
        <w:t xml:space="preserve">and seeks to “set the tone for and outline the broad contours of China’s foreign policy,” but it 138 Linda </w:t>
      </w:r>
      <w:proofErr w:type="spellStart"/>
      <w:r>
        <w:t>Jakobson</w:t>
      </w:r>
      <w:proofErr w:type="spellEnd"/>
      <w:r>
        <w:t xml:space="preserve"> leaves lower levels to work out implementation details.2 </w:t>
      </w:r>
      <w:r w:rsidRPr="0072035D">
        <w:rPr>
          <w:rStyle w:val="StyleUnderline"/>
        </w:rPr>
        <w:t>This structure allows a variety of actors—whether official or on the margins—to exert or attempt to exert influence over foreign policy. Subordinates</w:t>
      </w:r>
      <w:r>
        <w:t xml:space="preserve"> at various levels </w:t>
      </w:r>
      <w:r w:rsidRPr="0072035D">
        <w:rPr>
          <w:rStyle w:val="StyleUnderline"/>
        </w:rPr>
        <w:t xml:space="preserve">interpret instructions from the top in ways that suit their own institutional interests. </w:t>
      </w:r>
    </w:p>
    <w:p w:rsidR="00F44AB8" w:rsidRDefault="00FB5256" w:rsidP="00FB5256">
      <w:r>
        <w:t xml:space="preserve">Within the Chinese government, </w:t>
      </w:r>
      <w:r w:rsidRPr="0072035D">
        <w:rPr>
          <w:rStyle w:val="StyleUnderline"/>
        </w:rPr>
        <w:t>the Ministry of Foreign Affairs</w:t>
      </w:r>
      <w:r>
        <w:t xml:space="preserve"> (MFA) </w:t>
      </w:r>
      <w:r w:rsidRPr="0072035D">
        <w:rPr>
          <w:rStyle w:val="StyleUnderline"/>
        </w:rPr>
        <w:t>used to be regarded as the leading entity on foreign policy. Today the MFA faces competition for influence from among other bodies:</w:t>
      </w:r>
      <w:r>
        <w:t xml:space="preserve"> </w:t>
      </w:r>
      <w:proofErr w:type="gramStart"/>
      <w:r>
        <w:t>the</w:t>
      </w:r>
      <w:proofErr w:type="gramEnd"/>
      <w:r>
        <w:t xml:space="preserve"> Ministry of Commerce (</w:t>
      </w:r>
      <w:r w:rsidRPr="0072035D">
        <w:rPr>
          <w:rStyle w:val="StyleUnderline"/>
        </w:rPr>
        <w:t>MOFCOM</w:t>
      </w:r>
      <w:r>
        <w:t>), the National Development and Reform Commission (</w:t>
      </w:r>
      <w:r w:rsidRPr="0072035D">
        <w:rPr>
          <w:rStyle w:val="StyleUnderline"/>
        </w:rPr>
        <w:t>NDRC), the Ministry of Finance, the Ministry of State Security, the Ministry of Public Security, People’s Bank of China, and China’s Development Bank. Each of these government bodies has expanded its international outreach in its respective field, which has resulted in intense rivalry both with the MFA and with other official foreign policy actors</w:t>
      </w:r>
      <w:r>
        <w:t>.</w:t>
      </w:r>
    </w:p>
    <w:p w:rsidR="00F44AB8" w:rsidRDefault="00F44AB8" w:rsidP="00F44AB8">
      <w:pPr>
        <w:pStyle w:val="Heading4"/>
      </w:pPr>
      <w:r>
        <w:t>Even if China says yes – the plan gets circumvented – bureaucracy makes miscalculation inevitable</w:t>
      </w:r>
    </w:p>
    <w:p w:rsidR="00F44AB8" w:rsidRDefault="00F44AB8" w:rsidP="00F44AB8">
      <w:r>
        <w:t xml:space="preserve">Linda </w:t>
      </w:r>
      <w:proofErr w:type="spellStart"/>
      <w:r w:rsidRPr="0072035D">
        <w:rPr>
          <w:rStyle w:val="Style13ptBold"/>
        </w:rPr>
        <w:t>Jakobson</w:t>
      </w:r>
      <w:proofErr w:type="spellEnd"/>
      <w:r>
        <w:t xml:space="preserve"> (visiting professor at the US Studies Centre at the University of Sydney, formerly East Asia Program Director of the Lowy Institute for International Policy) </w:t>
      </w:r>
      <w:r w:rsidRPr="0072035D">
        <w:rPr>
          <w:rStyle w:val="Style13ptBold"/>
        </w:rPr>
        <w:t>2016</w:t>
      </w:r>
      <w:r>
        <w:t xml:space="preserve"> “Domestic Actors and the Fragmentation of China’s Foreign Policy”</w:t>
      </w:r>
      <w:r w:rsidRPr="00457D10">
        <w:t xml:space="preserve"> </w:t>
      </w:r>
      <w:r>
        <w:t>in China in the Era of Xi Jinping, Georgetown University Press 140-2</w:t>
      </w:r>
    </w:p>
    <w:p w:rsidR="00F44AB8" w:rsidRDefault="00F44AB8" w:rsidP="00F44AB8">
      <w:r>
        <w:t xml:space="preserve">Over the past few years </w:t>
      </w:r>
      <w:r w:rsidRPr="00F55D42">
        <w:rPr>
          <w:rStyle w:val="StyleUnderline"/>
        </w:rPr>
        <w:t>Chinese scholars have begun to pay more attention to the</w:t>
      </w:r>
      <w:r>
        <w:t xml:space="preserve"> phenomenon of </w:t>
      </w:r>
      <w:r w:rsidRPr="00F55D42">
        <w:rPr>
          <w:rStyle w:val="StyleUnderline"/>
        </w:rPr>
        <w:t>fragmentation in foreign policy formulation</w:t>
      </w:r>
      <w:r>
        <w:t xml:space="preserve">.5 They do not explicitly use the term “fractured authority”; rather, they describe a process of fragmentation in foreign policy decision making that has accelerated over the past decade. In open-source literature they refer to the need for weighing the interests of </w:t>
      </w:r>
      <w:proofErr w:type="spellStart"/>
      <w:r>
        <w:t>nonstate</w:t>
      </w:r>
      <w:proofErr w:type="spellEnd"/>
      <w:r>
        <w:t xml:space="preserve"> actors (</w:t>
      </w:r>
      <w:proofErr w:type="spellStart"/>
      <w:r>
        <w:t>fei</w:t>
      </w:r>
      <w:proofErr w:type="spellEnd"/>
      <w:r>
        <w:t xml:space="preserve"> </w:t>
      </w:r>
      <w:proofErr w:type="spellStart"/>
      <w:r>
        <w:t>guojia</w:t>
      </w:r>
      <w:proofErr w:type="spellEnd"/>
      <w:r>
        <w:t xml:space="preserve"> </w:t>
      </w:r>
      <w:proofErr w:type="spellStart"/>
      <w:r>
        <w:t>xingwei</w:t>
      </w:r>
      <w:proofErr w:type="spellEnd"/>
      <w:r>
        <w:t xml:space="preserve"> </w:t>
      </w:r>
      <w:proofErr w:type="spellStart"/>
      <w:r>
        <w:t>ti</w:t>
      </w:r>
      <w:proofErr w:type="spellEnd"/>
      <w:r>
        <w:t xml:space="preserve">) when considering the multifaceted challenges that policy makers face, and they note that “conflicting interests are a common occurrence.”6 In a 2015 opinion piece, Zhao </w:t>
      </w:r>
      <w:proofErr w:type="spellStart"/>
      <w:r>
        <w:t>Kejin</w:t>
      </w:r>
      <w:proofErr w:type="spellEnd"/>
      <w:r>
        <w:t xml:space="preserve"> of Tsinghua University encourages the delegates of the Chinese People’s Political Consultative Conference to dare to speak out on diplomatic affairs, noting that the more globalized a country is, the more fragmented the voices are regarding foreign affairs and the more likely it is to hear differing voices.7 Wang </w:t>
      </w:r>
      <w:proofErr w:type="spellStart"/>
      <w:r w:rsidRPr="00F55D42">
        <w:rPr>
          <w:rStyle w:val="StyleUnderline"/>
        </w:rPr>
        <w:t>Yizhou</w:t>
      </w:r>
      <w:proofErr w:type="spellEnd"/>
      <w:r w:rsidRPr="00F55D42">
        <w:rPr>
          <w:rStyle w:val="StyleUnderline"/>
        </w:rPr>
        <w:t xml:space="preserve"> of Peking University writes about an “ever-increasing level of autonomy and overseas contact for all levels of local government.” He differentiates between “core diplomacy” and all other kinds of diplomacy,</w:t>
      </w:r>
      <w:r>
        <w:t xml:space="preserve"> such as “energy diplomacy,” “cross-border diplomacy,” “party diplomacy,” “military diplomacy,” “sports diplomacy,” “economic diplomacy,” “people to people </w:t>
      </w:r>
      <w:r>
        <w:lastRenderedPageBreak/>
        <w:t xml:space="preserve">diplomacy,” “public diplomacy,” “community diplomacy,” “union diplomacy,” and “women’s federation diplomacy.” </w:t>
      </w:r>
      <w:r w:rsidRPr="00F55D42">
        <w:rPr>
          <w:rStyle w:val="StyleUnderline"/>
        </w:rPr>
        <w:t>In principle</w:t>
      </w:r>
      <w:r>
        <w:t>, Wang writes</w:t>
      </w:r>
      <w:r w:rsidRPr="00F55D42">
        <w:rPr>
          <w:rStyle w:val="StyleUnderline"/>
        </w:rPr>
        <w:t>, all organizations conducting diplomacy are meant to report to the Ministry of Foreign Affairs to receive “recognition and guidance.” In actual practice, however, there is little oversight of these organizations’ actions. They fill the space left open by the often too-busy Ministry of Foreign Affairs and use it to achieve their own interests. It is only natural that contradictions and conflicts arise due to differing interests and perspectives</w:t>
      </w:r>
      <w:r>
        <w:t xml:space="preserve">.8 </w:t>
      </w:r>
      <w:r w:rsidRPr="00F55D42">
        <w:rPr>
          <w:rStyle w:val="StyleUnderline"/>
        </w:rPr>
        <w:t>The vague policy guidelines emanating from the CPC central agencies and the central government versus the imperative for individual government agencies to make routine policy decisions create a diverse range of policies that are at times contradictory</w:t>
      </w:r>
      <w:r>
        <w:t xml:space="preserve">. As Wang </w:t>
      </w:r>
      <w:proofErr w:type="spellStart"/>
      <w:r>
        <w:t>Jisi</w:t>
      </w:r>
      <w:proofErr w:type="spellEnd"/>
      <w:r>
        <w:t xml:space="preserve"> of Peking University notes, “Defining China’s core interests according to the three prongs of sovereignty, security, and development, which sometimes are in tension, means that it is almost impossible to devise a straightforward organizing principle [to guide foreign policy]. And the variety of views among Chinese political elites complicates efforts to devise any such grand strategy based on political consensus.”9 In an article written in 2011, Cui </w:t>
      </w:r>
      <w:proofErr w:type="spellStart"/>
      <w:r w:rsidRPr="00F55D42">
        <w:rPr>
          <w:rStyle w:val="StyleUnderline"/>
        </w:rPr>
        <w:t>Liru</w:t>
      </w:r>
      <w:proofErr w:type="spellEnd"/>
      <w:r w:rsidRPr="00F55D42">
        <w:rPr>
          <w:rStyle w:val="StyleUnderline"/>
        </w:rPr>
        <w:t xml:space="preserve"> of the China Institutes of Contemporary International Relations refers to this dilemma and laments a lack of strategic coordination in China’s diplomacy and foreign policy</w:t>
      </w:r>
      <w:r>
        <w:t>. He stresses that “China’s strategic thinking should move from fuzziness to clarity.” Cui writes that “clearly articulated plans, ideas, theories, doctrines, goals and means are needed to link philosophical ideals with concrete actions</w:t>
      </w:r>
      <w:r w:rsidRPr="00F55D42">
        <w:rPr>
          <w:rStyle w:val="StyleUnderline"/>
        </w:rPr>
        <w:t>. Both external and internal coordination are necessary for an extensive diplomatic strategy</w:t>
      </w:r>
      <w:r>
        <w:t xml:space="preserve">.”10 </w:t>
      </w:r>
      <w:r w:rsidRPr="00F55D42">
        <w:rPr>
          <w:rStyle w:val="StyleUnderline"/>
        </w:rPr>
        <w:t>In private conversations Chinese policy makers today, more so than a decade ago, refer to fragmentation to explain turf battles between ministries and the push-pull dynamic between the central government and the provinces and municipalities. Anecdotes about the weakened power of the Ministry of Foreign Affairs abound.</w:t>
      </w:r>
      <w:r>
        <w:t xml:space="preserve">11 </w:t>
      </w:r>
      <w:r w:rsidRPr="00F55D42">
        <w:rPr>
          <w:rStyle w:val="StyleUnderline"/>
        </w:rPr>
        <w:t>The MFA lacks the power to effectively enforce its mandate to coordinate among the various foreign policy actors. One concrete example of the dysfunctionality of decision making in China is the 2012 decision by the</w:t>
      </w:r>
      <w:r>
        <w:t xml:space="preserve"> Ministry of Public Security (</w:t>
      </w:r>
      <w:r w:rsidRPr="00F55D42">
        <w:rPr>
          <w:rStyle w:val="StyleUnderline"/>
        </w:rPr>
        <w:t>MPS</w:t>
      </w:r>
      <w:r>
        <w:t xml:space="preserve">) </w:t>
      </w:r>
      <w:r w:rsidRPr="00F55D42">
        <w:rPr>
          <w:rStyle w:val="StyleUnderline"/>
        </w:rPr>
        <w:t>to issue new passports with maps that show disputed islands as Chinese territory. Predictably, this caused an outcry by neighboring countries. The foreign ministry had not been consulted on the decision ahead of time</w:t>
      </w:r>
      <w:r>
        <w:t xml:space="preserve">, and then– foreign minister Yang </w:t>
      </w:r>
      <w:proofErr w:type="spellStart"/>
      <w:r>
        <w:t>Jiechi</w:t>
      </w:r>
      <w:proofErr w:type="spellEnd"/>
      <w:r>
        <w:t xml:space="preserve"> was described as being “furious” upon hearing the news.12 Zhu Feng of Peking University said he thought </w:t>
      </w:r>
      <w:r w:rsidRPr="00F55D42">
        <w:rPr>
          <w:rStyle w:val="StyleUnderline"/>
        </w:rPr>
        <w:t>the MPS saw the need “to do something to show their support for China’s sovereign claim.</w:t>
      </w:r>
      <w:r>
        <w:t xml:space="preserve">”13 The MPS issues passports for ordinary citizens. The MFA issues passports for government officials and these official passports remain unchanged and carry no map. An examination of </w:t>
      </w:r>
      <w:r w:rsidRPr="00F55D42">
        <w:rPr>
          <w:rStyle w:val="StyleUnderline"/>
        </w:rPr>
        <w:t>the events leading up to the controversial passports being issued by the MPS</w:t>
      </w:r>
      <w:r>
        <w:t xml:space="preserve"> </w:t>
      </w:r>
      <w:r w:rsidRPr="00F55D42">
        <w:rPr>
          <w:rStyle w:val="StyleUnderline"/>
        </w:rPr>
        <w:t>appear not only to reflect a total lack of communication between the MFA and the MPS but also a signal of the desire by the MPS to repudiate a MFA stance</w:t>
      </w:r>
      <w:r>
        <w:t xml:space="preserve">. Speaking at the MFA press conference on February 29, 2012, spokesperson Hong Lei said: “At the core of the South China Sea dispute are the territorial sovereignty dispute over some of the </w:t>
      </w:r>
      <w:proofErr w:type="spellStart"/>
      <w:r>
        <w:t>Nansha</w:t>
      </w:r>
      <w:proofErr w:type="spellEnd"/>
      <w:r>
        <w:t xml:space="preserve"> Islands and the demarcation dispute over part of the waters of the South China Sea. What should be pointed out is that neither China nor any other country lays claim to the entire South China Sea.” Many foreign observers interpreted this as a sign that China was slightly softening its stance and acknowledging the damage it was doing to itself by speaking in public about the nine-dash line as though it laid claim to all the territory within it. Three months later the MPS started to produce the passports with maps containing the nine-dash line.14 </w:t>
      </w:r>
      <w:r w:rsidRPr="003E552B">
        <w:rPr>
          <w:rStyle w:val="StyleUnderline"/>
        </w:rPr>
        <w:t>Due to the MFA’s weak standing within the Chinese foreign policy decision-making apparatus, the MFA is often not informed by other agencies about incidents or decisions pertaining to China’s international relations despite the fact that the MFA is the agency tasked with responding to queries by foreign diplomats and the international media</w:t>
      </w:r>
      <w:r>
        <w:t xml:space="preserve">. For example, </w:t>
      </w:r>
      <w:r w:rsidRPr="003E552B">
        <w:rPr>
          <w:rStyle w:val="StyleUnderline"/>
        </w:rPr>
        <w:t xml:space="preserve">the MFA was reportedly not informed in November 2012 about Hainan province’s new maritime security regulations </w:t>
      </w:r>
      <w:r w:rsidRPr="003E552B">
        <w:rPr>
          <w:rStyle w:val="StyleUnderline"/>
        </w:rPr>
        <w:lastRenderedPageBreak/>
        <w:t>that authorized the border public security organs to board and search foreign vessels. Exactly what authority the maritime law enforcement organ possesses remains open to interpretation</w:t>
      </w:r>
      <w:r>
        <w:t>. The frequently used terms “territorial waters” (</w:t>
      </w:r>
      <w:proofErr w:type="spellStart"/>
      <w:r>
        <w:t>linghai</w:t>
      </w:r>
      <w:proofErr w:type="spellEnd"/>
      <w:r>
        <w:t>) and “littoral waters” (</w:t>
      </w:r>
      <w:proofErr w:type="spellStart"/>
      <w:r>
        <w:t>yanhai</w:t>
      </w:r>
      <w:proofErr w:type="spellEnd"/>
      <w:r>
        <w:t xml:space="preserve">) appear to refer to Hainan-administered waters, but no clear distinction has ever been made between the customary twelve nautical miles (where domestic law applies) versus the two hundred nautical miles covered by the exclusive economic zone (where China already has a history of boarding and inspecting foreign vessels). Hainan’s new regulations entered into effect some months before the realignment of China’s various maritime law enforcement agencies. Hence, areas of authority were further blurred when no reference was made to a specific agency and only to “public security frontier </w:t>
      </w:r>
      <w:proofErr w:type="spellStart"/>
      <w:r>
        <w:t>defence</w:t>
      </w:r>
      <w:proofErr w:type="spellEnd"/>
      <w:r>
        <w:t xml:space="preserve"> organs” (</w:t>
      </w:r>
      <w:proofErr w:type="spellStart"/>
      <w:r>
        <w:t>gong’an</w:t>
      </w:r>
      <w:proofErr w:type="spellEnd"/>
      <w:r>
        <w:t xml:space="preserve"> </w:t>
      </w:r>
      <w:proofErr w:type="spellStart"/>
      <w:r>
        <w:t>bianfang</w:t>
      </w:r>
      <w:proofErr w:type="spellEnd"/>
      <w:r>
        <w:t xml:space="preserve"> </w:t>
      </w:r>
      <w:proofErr w:type="spellStart"/>
      <w:r>
        <w:t>jiguan</w:t>
      </w:r>
      <w:proofErr w:type="spellEnd"/>
      <w:r>
        <w:t xml:space="preserve">).15 </w:t>
      </w:r>
      <w:r w:rsidRPr="003E552B">
        <w:rPr>
          <w:rStyle w:val="StyleUnderline"/>
        </w:rPr>
        <w:t>When diplomats from other countries sought clarification about the Hainan provincial government’s new regulations, the ministry was unaware and unprepared</w:t>
      </w:r>
      <w:r>
        <w:t xml:space="preserve">.16 </w:t>
      </w:r>
      <w:r w:rsidRPr="003E552B">
        <w:rPr>
          <w:rStyle w:val="StyleUnderline"/>
        </w:rPr>
        <w:t>More important, from the viewpoint of assessing fragmentation in foreign policy decision making, the Hainan government reportedly did not even seek approval from the central government before issuing the regulations</w:t>
      </w:r>
      <w:r>
        <w:t xml:space="preserve">.17 </w:t>
      </w:r>
      <w:r w:rsidRPr="003E552B">
        <w:rPr>
          <w:rStyle w:val="StyleUnderline"/>
        </w:rPr>
        <w:t>The Ministry of Public Security’s decision to issue the controversial map and the Hainan government’s new regulations underline the damage a single government entity can cause for China’s international relations.</w:t>
      </w:r>
      <w:r>
        <w:t xml:space="preserve"> In the case of the passports</w:t>
      </w:r>
      <w:r w:rsidRPr="003E552B">
        <w:rPr>
          <w:rStyle w:val="StyleUnderline"/>
        </w:rPr>
        <w:t>, the top leadership was presumably caught unaware by a decision taken at some lower level. But even if a senior leader had not approved of the new passports and map it would have been extremely difficult for that leader to publicly retract the decision after the fact.</w:t>
      </w:r>
      <w:r>
        <w:t xml:space="preserve"> China does, after all, officially claim maritime rights in the waters within the so-called nine-dash line, so issuing a directive that would nullify a decision to promote the nine-dash line would be interpreted as China bowing to outside pressure.18</w:t>
      </w:r>
    </w:p>
    <w:p w:rsidR="00F44AB8" w:rsidRDefault="00F44AB8" w:rsidP="00F44AB8">
      <w:pPr>
        <w:pStyle w:val="Heading4"/>
      </w:pPr>
      <w:r>
        <w:t>Foreign policy buffs in the CPC hold no government post – the plan cannot fiat engagement with them</w:t>
      </w:r>
    </w:p>
    <w:p w:rsidR="00F44AB8" w:rsidRDefault="00F44AB8" w:rsidP="00F44AB8">
      <w:r>
        <w:t xml:space="preserve">Linda </w:t>
      </w:r>
      <w:proofErr w:type="spellStart"/>
      <w:r w:rsidRPr="0072035D">
        <w:rPr>
          <w:rStyle w:val="Style13ptBold"/>
        </w:rPr>
        <w:t>Jakobson</w:t>
      </w:r>
      <w:proofErr w:type="spellEnd"/>
      <w:r>
        <w:t xml:space="preserve"> (visiting professor at the US Studies Centre at the University of Sydney, formerly East Asia Program Director of the Lowy Institute for International Policy) </w:t>
      </w:r>
      <w:r w:rsidRPr="0072035D">
        <w:rPr>
          <w:rStyle w:val="Style13ptBold"/>
        </w:rPr>
        <w:t>2016</w:t>
      </w:r>
      <w:r>
        <w:t xml:space="preserve"> “Domestic Actors and the Fragmentation of China’s Foreign Policy”</w:t>
      </w:r>
      <w:r w:rsidRPr="00457D10">
        <w:t xml:space="preserve"> </w:t>
      </w:r>
      <w:r>
        <w:t>in China in the Era of Xi Jinping, Georgetown University Press p. 142-3</w:t>
      </w:r>
    </w:p>
    <w:p w:rsidR="00F44AB8" w:rsidRDefault="00F44AB8" w:rsidP="00FB5256">
      <w:r>
        <w:t xml:space="preserve">Appointments at the Eighteenth Party Congress and Twelfth National People’s Congress confirmed the weak standing of the MFA and suggested that foreign policy is not the highest priority of the CPC leadership. Those hoping to see a Politburo member placed in charge of foreign policy were disappointed. Instead and yet again, a “mere” central committee (CC) member (Yang </w:t>
      </w:r>
      <w:proofErr w:type="spellStart"/>
      <w:r>
        <w:t>Jiechi</w:t>
      </w:r>
      <w:proofErr w:type="spellEnd"/>
      <w:r>
        <w:t xml:space="preserve">) was appointed to the post of state councilor in charge of foreign affairs. (The new foreign minister, Wang Yi, is also a member of the CC.) </w:t>
      </w:r>
      <w:r w:rsidRPr="003E552B">
        <w:rPr>
          <w:rStyle w:val="StyleUnderline"/>
        </w:rPr>
        <w:t>In this regard the Xi Jinping era represents a continuation of the Hu</w:t>
      </w:r>
      <w:r>
        <w:t xml:space="preserve"> Jintao </w:t>
      </w:r>
      <w:r w:rsidRPr="003E552B">
        <w:rPr>
          <w:rStyle w:val="StyleUnderline"/>
        </w:rPr>
        <w:t xml:space="preserve">era; not since Qian </w:t>
      </w:r>
      <w:proofErr w:type="spellStart"/>
      <w:r w:rsidRPr="003E552B">
        <w:rPr>
          <w:rStyle w:val="StyleUnderline"/>
        </w:rPr>
        <w:t>Qichen</w:t>
      </w:r>
      <w:proofErr w:type="spellEnd"/>
      <w:r w:rsidRPr="003E552B">
        <w:rPr>
          <w:rStyle w:val="StyleUnderline"/>
        </w:rPr>
        <w:t>,</w:t>
      </w:r>
      <w:r>
        <w:t xml:space="preserve"> who was a Politburo member from 1992 to 2002, </w:t>
      </w:r>
      <w:r w:rsidRPr="003E552B">
        <w:rPr>
          <w:rStyle w:val="StyleUnderline"/>
        </w:rPr>
        <w:t>has China’s top diplomat wielded considerable political power within</w:t>
      </w:r>
      <w:r>
        <w:rPr>
          <w:rStyle w:val="StyleUnderline"/>
        </w:rPr>
        <w:t xml:space="preserve"> </w:t>
      </w:r>
      <w:r w:rsidRPr="003E552B">
        <w:rPr>
          <w:rStyle w:val="StyleUnderline"/>
        </w:rPr>
        <w:t>the Party.</w:t>
      </w:r>
      <w:r>
        <w:t xml:space="preserve">19 </w:t>
      </w:r>
      <w:r w:rsidRPr="003E552B">
        <w:rPr>
          <w:rStyle w:val="StyleUnderline"/>
        </w:rPr>
        <w:t xml:space="preserve">Yang </w:t>
      </w:r>
      <w:proofErr w:type="spellStart"/>
      <w:r w:rsidRPr="003E552B">
        <w:rPr>
          <w:rStyle w:val="StyleUnderline"/>
        </w:rPr>
        <w:t>Jiechi</w:t>
      </w:r>
      <w:proofErr w:type="spellEnd"/>
      <w:r w:rsidRPr="003E552B">
        <w:rPr>
          <w:rStyle w:val="StyleUnderline"/>
        </w:rPr>
        <w:t xml:space="preserve"> is only one among 205 CC members</w:t>
      </w:r>
      <w:r>
        <w:t xml:space="preserve">. </w:t>
      </w:r>
      <w:r w:rsidRPr="003E552B">
        <w:rPr>
          <w:rStyle w:val="StyleUnderline"/>
        </w:rPr>
        <w:t>In the Party</w:t>
      </w:r>
      <w:r>
        <w:rPr>
          <w:rStyle w:val="StyleUnderline"/>
        </w:rPr>
        <w:t xml:space="preserve"> </w:t>
      </w:r>
      <w:r w:rsidRPr="003E552B">
        <w:rPr>
          <w:rStyle w:val="StyleUnderline"/>
        </w:rPr>
        <w:t>hierarchy, each of the 25 Politburo members outranks Yang</w:t>
      </w:r>
      <w:r>
        <w:t xml:space="preserve">, </w:t>
      </w:r>
      <w:r w:rsidRPr="003E552B">
        <w:rPr>
          <w:rStyle w:val="StyleUnderline"/>
        </w:rPr>
        <w:t>which means</w:t>
      </w:r>
      <w:r>
        <w:rPr>
          <w:rStyle w:val="StyleUnderline"/>
        </w:rPr>
        <w:t xml:space="preserve"> </w:t>
      </w:r>
      <w:r w:rsidRPr="003E552B">
        <w:rPr>
          <w:rStyle w:val="StyleUnderline"/>
        </w:rPr>
        <w:t>that they can overrule any of Yang’s decisions.</w:t>
      </w:r>
      <w:r>
        <w:t xml:space="preserve"> For example, Yang must heed the views of at least five provincial leaders who are significant foreign policy actors “on the margins.”20 The Party secretaries of Beijing, Chongqing, Guangdong, Shanghai, and Xinjiang were all appointed to the Politburo at the Eighteenth National Congress and they all outrank Yang as well. This structure represents a continuation from the Hu era. The Politburo appointed by the Seventeenth CPC Party Congress had six Party secretaries of major provinces or municipalities. </w:t>
      </w:r>
      <w:r w:rsidRPr="003E552B">
        <w:rPr>
          <w:rStyle w:val="StyleUnderline"/>
        </w:rPr>
        <w:t>Because the CPC’s authority is supreme over the government, some</w:t>
      </w:r>
      <w:r>
        <w:rPr>
          <w:rStyle w:val="StyleUnderline"/>
        </w:rPr>
        <w:t xml:space="preserve"> </w:t>
      </w:r>
      <w:r w:rsidRPr="003E552B">
        <w:rPr>
          <w:rStyle w:val="StyleUnderline"/>
        </w:rPr>
        <w:lastRenderedPageBreak/>
        <w:t>important official decision makers do not necessarily even have a government</w:t>
      </w:r>
      <w:r>
        <w:rPr>
          <w:rStyle w:val="StyleUnderline"/>
        </w:rPr>
        <w:t xml:space="preserve"> </w:t>
      </w:r>
      <w:r w:rsidRPr="003E552B">
        <w:rPr>
          <w:rStyle w:val="StyleUnderline"/>
        </w:rPr>
        <w:t xml:space="preserve">post. For example, Wang </w:t>
      </w:r>
      <w:proofErr w:type="spellStart"/>
      <w:r w:rsidRPr="003E552B">
        <w:rPr>
          <w:rStyle w:val="StyleUnderline"/>
        </w:rPr>
        <w:t>Jiarui</w:t>
      </w:r>
      <w:proofErr w:type="spellEnd"/>
      <w:r w:rsidRPr="003E552B">
        <w:rPr>
          <w:rStyle w:val="StyleUnderline"/>
        </w:rPr>
        <w:t>, the head of the CPC Central Committee’s</w:t>
      </w:r>
      <w:r>
        <w:rPr>
          <w:rStyle w:val="StyleUnderline"/>
        </w:rPr>
        <w:t xml:space="preserve"> </w:t>
      </w:r>
      <w:r w:rsidRPr="003E552B">
        <w:rPr>
          <w:rStyle w:val="StyleUnderline"/>
        </w:rPr>
        <w:t>Organizational Department since 2003 and a consequential decision</w:t>
      </w:r>
      <w:r>
        <w:rPr>
          <w:rStyle w:val="StyleUnderline"/>
        </w:rPr>
        <w:t xml:space="preserve"> </w:t>
      </w:r>
      <w:r w:rsidRPr="003E552B">
        <w:rPr>
          <w:rStyle w:val="StyleUnderline"/>
        </w:rPr>
        <w:t>maker on China’s North Korea policy, has not held a government post since</w:t>
      </w:r>
      <w:r>
        <w:rPr>
          <w:rStyle w:val="StyleUnderline"/>
        </w:rPr>
        <w:t xml:space="preserve"> </w:t>
      </w:r>
      <w:r w:rsidRPr="003E552B">
        <w:rPr>
          <w:rStyle w:val="StyleUnderline"/>
        </w:rPr>
        <w:t>2000</w:t>
      </w:r>
      <w:r>
        <w:t xml:space="preserve">.21 </w:t>
      </w:r>
      <w:r w:rsidRPr="003E552B">
        <w:rPr>
          <w:rStyle w:val="StyleUnderline"/>
        </w:rPr>
        <w:t xml:space="preserve">Politburo member Wang </w:t>
      </w:r>
      <w:proofErr w:type="spellStart"/>
      <w:r w:rsidRPr="003E552B">
        <w:rPr>
          <w:rStyle w:val="StyleUnderline"/>
        </w:rPr>
        <w:t>Huning</w:t>
      </w:r>
      <w:proofErr w:type="spellEnd"/>
      <w:r w:rsidRPr="003E552B">
        <w:rPr>
          <w:rStyle w:val="StyleUnderline"/>
        </w:rPr>
        <w:t xml:space="preserve"> has no government title either, but</w:t>
      </w:r>
      <w:r>
        <w:rPr>
          <w:rStyle w:val="StyleUnderline"/>
        </w:rPr>
        <w:t xml:space="preserve"> </w:t>
      </w:r>
      <w:r w:rsidRPr="003E552B">
        <w:rPr>
          <w:rStyle w:val="StyleUnderline"/>
        </w:rPr>
        <w:t>he is regarded as a key foreign policy advisor to Xi Jinping</w:t>
      </w:r>
      <w:r>
        <w:t xml:space="preserve">. Ever since 1995, when he was moved by Jiang Zemin to Beijing from </w:t>
      </w:r>
      <w:proofErr w:type="spellStart"/>
      <w:r>
        <w:t>Fudan</w:t>
      </w:r>
      <w:proofErr w:type="spellEnd"/>
      <w:r>
        <w:t xml:space="preserve"> University, he has been considered the intellectual driver of the CC policy research office. As a Politburo member, Wang is certainly Yang </w:t>
      </w:r>
      <w:proofErr w:type="spellStart"/>
      <w:r>
        <w:t>Jiechi’s</w:t>
      </w:r>
      <w:proofErr w:type="spellEnd"/>
      <w:r>
        <w:t xml:space="preserve"> superior. Wang was prominently seated beside Xi Jinping at the June 2013 </w:t>
      </w:r>
      <w:proofErr w:type="spellStart"/>
      <w:r>
        <w:t>Sunnylands</w:t>
      </w:r>
      <w:proofErr w:type="spellEnd"/>
      <w:r>
        <w:t xml:space="preserve"> Summit with Barack Obama. </w:t>
      </w:r>
      <w:r w:rsidRPr="003E552B">
        <w:rPr>
          <w:rStyle w:val="StyleUnderline"/>
        </w:rPr>
        <w:t xml:space="preserve">Another Politburo member, Li </w:t>
      </w:r>
      <w:proofErr w:type="spellStart"/>
      <w:r w:rsidRPr="003E552B">
        <w:rPr>
          <w:rStyle w:val="StyleUnderline"/>
        </w:rPr>
        <w:t>Zhanshu</w:t>
      </w:r>
      <w:proofErr w:type="spellEnd"/>
      <w:r w:rsidRPr="003E552B">
        <w:rPr>
          <w:rStyle w:val="StyleUnderline"/>
        </w:rPr>
        <w:t>, heads the CPC Central Committee</w:t>
      </w:r>
      <w:r>
        <w:rPr>
          <w:rStyle w:val="StyleUnderline"/>
        </w:rPr>
        <w:t xml:space="preserve"> </w:t>
      </w:r>
      <w:r w:rsidRPr="003E552B">
        <w:rPr>
          <w:rStyle w:val="StyleUnderline"/>
        </w:rPr>
        <w:t>General Office, which is significant because it controls the flow of</w:t>
      </w:r>
      <w:r>
        <w:rPr>
          <w:rStyle w:val="StyleUnderline"/>
        </w:rPr>
        <w:t xml:space="preserve"> </w:t>
      </w:r>
      <w:r w:rsidRPr="003E552B">
        <w:rPr>
          <w:rStyle w:val="StyleUnderline"/>
        </w:rPr>
        <w:t>information to senior leaders and manages their schedules</w:t>
      </w:r>
      <w:r>
        <w:t xml:space="preserve">. Li is believed to be a personal friend of Xi.22 </w:t>
      </w:r>
      <w:r w:rsidRPr="003E552B">
        <w:rPr>
          <w:rStyle w:val="StyleUnderline"/>
        </w:rPr>
        <w:t>A third Politburo member without a government</w:t>
      </w:r>
      <w:r>
        <w:rPr>
          <w:rStyle w:val="StyleUnderline"/>
        </w:rPr>
        <w:t xml:space="preserve"> </w:t>
      </w:r>
      <w:r w:rsidRPr="003E552B">
        <w:rPr>
          <w:rStyle w:val="StyleUnderline"/>
        </w:rPr>
        <w:t xml:space="preserve">position, Liu </w:t>
      </w:r>
      <w:proofErr w:type="spellStart"/>
      <w:r w:rsidRPr="003E552B">
        <w:rPr>
          <w:rStyle w:val="StyleUnderline"/>
        </w:rPr>
        <w:t>Qibao</w:t>
      </w:r>
      <w:proofErr w:type="spellEnd"/>
      <w:r w:rsidRPr="003E552B">
        <w:rPr>
          <w:rStyle w:val="StyleUnderline"/>
        </w:rPr>
        <w:t>, is head of the Central Committee Propaganda</w:t>
      </w:r>
      <w:r>
        <w:rPr>
          <w:rStyle w:val="StyleUnderline"/>
        </w:rPr>
        <w:t xml:space="preserve"> </w:t>
      </w:r>
      <w:r w:rsidRPr="003E552B">
        <w:rPr>
          <w:rStyle w:val="StyleUnderline"/>
        </w:rPr>
        <w:t>Department and responsible for shaping China’s public rhetoric on foreign</w:t>
      </w:r>
      <w:r>
        <w:rPr>
          <w:rStyle w:val="StyleUnderline"/>
        </w:rPr>
        <w:t xml:space="preserve"> </w:t>
      </w:r>
      <w:r w:rsidRPr="003E552B">
        <w:rPr>
          <w:rStyle w:val="StyleUnderline"/>
        </w:rPr>
        <w:t>policy</w:t>
      </w:r>
      <w:r>
        <w:t>, its actions around the globe, and its international image. What Chinese citizens and the rest of the world read in the People’s Daily or from Xinhua News Agency are what Liu and the leadership want anyone to know and how they desire us to understand events and the Chinese government’s intentions.</w:t>
      </w:r>
    </w:p>
    <w:p w:rsidR="003769FD" w:rsidRDefault="003769FD" w:rsidP="003769FD">
      <w:pPr>
        <w:pStyle w:val="Heading4"/>
      </w:pPr>
      <w:r>
        <w:t xml:space="preserve">The Chinese Communist party is distinct from the Chinese Government </w:t>
      </w:r>
    </w:p>
    <w:p w:rsidR="003769FD" w:rsidRPr="008551D7" w:rsidRDefault="003769FD" w:rsidP="003769FD">
      <w:pPr>
        <w:rPr>
          <w:sz w:val="16"/>
        </w:rPr>
      </w:pPr>
      <w:r w:rsidRPr="008551D7">
        <w:rPr>
          <w:b/>
        </w:rPr>
        <w:t>Shirk 92</w:t>
      </w:r>
      <w:r w:rsidRPr="008551D7">
        <w:rPr>
          <w:sz w:val="16"/>
        </w:rPr>
        <w:t xml:space="preserve"> Susan L., Deputy Assistant Secretary of State in the Bureau of East Asian Affairs during the [Bill] Clinton Administration. "The Chinese Political System and the Political Strategy of Economic Reform."</w:t>
      </w:r>
      <w:r w:rsidRPr="008551D7">
        <w:rPr>
          <w:i/>
          <w:sz w:val="16"/>
        </w:rPr>
        <w:t xml:space="preserve">  Bureaucracy, Politics, and Decision Making in Post-Mao China.</w:t>
      </w:r>
      <w:r w:rsidRPr="008551D7">
        <w:rPr>
          <w:sz w:val="16"/>
        </w:rPr>
        <w:t xml:space="preserve"> Edited by Kenneth G. </w:t>
      </w:r>
      <w:proofErr w:type="spellStart"/>
      <w:r w:rsidRPr="008551D7">
        <w:rPr>
          <w:sz w:val="16"/>
        </w:rPr>
        <w:t>Lieberthal</w:t>
      </w:r>
      <w:proofErr w:type="spellEnd"/>
      <w:r w:rsidRPr="008551D7">
        <w:rPr>
          <w:sz w:val="16"/>
        </w:rPr>
        <w:t xml:space="preserve"> and David M. </w:t>
      </w:r>
      <w:proofErr w:type="spellStart"/>
      <w:r w:rsidRPr="008551D7">
        <w:rPr>
          <w:sz w:val="16"/>
        </w:rPr>
        <w:t>Lampton</w:t>
      </w:r>
      <w:proofErr w:type="spellEnd"/>
      <w:r w:rsidRPr="008551D7">
        <w:rPr>
          <w:sz w:val="16"/>
        </w:rPr>
        <w:t xml:space="preserve">. </w:t>
      </w:r>
      <w:proofErr w:type="spellStart"/>
      <w:r w:rsidRPr="008551D7">
        <w:rPr>
          <w:sz w:val="16"/>
        </w:rPr>
        <w:t>Pg</w:t>
      </w:r>
      <w:proofErr w:type="spellEnd"/>
      <w:r w:rsidRPr="008551D7">
        <w:rPr>
          <w:sz w:val="16"/>
        </w:rPr>
        <w:t xml:space="preserve"> 60-61.  publishing.cdlib.org/ucpressebooks/view?docId=ft0k40035t&amp;chunk.id=d0e2122&amp;toc.depth=100&amp;toc.id=d0e2122&amp;brand=ucpress</w:t>
      </w:r>
    </w:p>
    <w:p w:rsidR="003769FD" w:rsidRDefault="003769FD" w:rsidP="003769FD">
      <w:pPr>
        <w:rPr>
          <w:sz w:val="16"/>
        </w:rPr>
      </w:pPr>
      <w:r w:rsidRPr="008551D7">
        <w:rPr>
          <w:sz w:val="16"/>
        </w:rPr>
        <w:t xml:space="preserve">The relationship between the Communist Party and the government is at the core of any Leninist political system. </w:t>
      </w:r>
      <w:r w:rsidRPr="0001038C">
        <w:rPr>
          <w:rStyle w:val="StyleUnderline"/>
        </w:rPr>
        <w:t xml:space="preserve">The Party </w:t>
      </w:r>
      <w:r w:rsidRPr="008551D7">
        <w:rPr>
          <w:sz w:val="16"/>
        </w:rPr>
        <w:t>is "the organized expression of the will of society" (</w:t>
      </w:r>
      <w:proofErr w:type="spellStart"/>
      <w:r w:rsidRPr="008551D7">
        <w:rPr>
          <w:sz w:val="16"/>
        </w:rPr>
        <w:t>Schurmann</w:t>
      </w:r>
      <w:proofErr w:type="spellEnd"/>
      <w:r w:rsidRPr="008551D7">
        <w:rPr>
          <w:sz w:val="16"/>
        </w:rPr>
        <w:t xml:space="preserve"> 1968, 110). It </w:t>
      </w:r>
      <w:r w:rsidRPr="0001038C">
        <w:rPr>
          <w:rStyle w:val="StyleUnderline"/>
        </w:rPr>
        <w:t>leads the work of the government</w:t>
      </w:r>
      <w:r w:rsidRPr="008551D7">
        <w:rPr>
          <w:sz w:val="16"/>
        </w:rPr>
        <w:t xml:space="preserve"> (usually called by Chinese the "state," </w:t>
      </w:r>
      <w:proofErr w:type="spellStart"/>
      <w:proofErr w:type="gramStart"/>
      <w:r w:rsidRPr="008551D7">
        <w:rPr>
          <w:sz w:val="16"/>
        </w:rPr>
        <w:t>guojia</w:t>
      </w:r>
      <w:proofErr w:type="spellEnd"/>
      <w:r w:rsidRPr="008551D7">
        <w:rPr>
          <w:sz w:val="16"/>
        </w:rPr>
        <w:t xml:space="preserve"> )</w:t>
      </w:r>
      <w:proofErr w:type="gramEnd"/>
      <w:r w:rsidRPr="008551D7">
        <w:rPr>
          <w:sz w:val="16"/>
        </w:rPr>
        <w:t xml:space="preserve">, </w:t>
      </w:r>
      <w:r w:rsidRPr="0001038C">
        <w:rPr>
          <w:rStyle w:val="StyleUnderline"/>
        </w:rPr>
        <w:t>but remains distinct from the government. Although the Chinese Communist Party (CCP) is intertwined with the state</w:t>
      </w:r>
      <w:r w:rsidRPr="008551D7">
        <w:rPr>
          <w:sz w:val="16"/>
        </w:rPr>
        <w:t xml:space="preserve"> and with the society, </w:t>
      </w:r>
      <w:r w:rsidRPr="0001038C">
        <w:rPr>
          <w:rStyle w:val="StyleUnderline"/>
        </w:rPr>
        <w:t xml:space="preserve">it is a distinct political </w:t>
      </w:r>
      <w:proofErr w:type="gramStart"/>
      <w:r w:rsidRPr="0001038C">
        <w:rPr>
          <w:rStyle w:val="StyleUnderline"/>
        </w:rPr>
        <w:t>institution.</w:t>
      </w:r>
      <w:r w:rsidRPr="008551D7">
        <w:rPr>
          <w:sz w:val="16"/>
        </w:rPr>
        <w:t>[</w:t>
      </w:r>
      <w:proofErr w:type="gramEnd"/>
      <w:r w:rsidRPr="008551D7">
        <w:rPr>
          <w:sz w:val="16"/>
        </w:rPr>
        <w:t xml:space="preserve">1] The CCP is an elite membership organization with 47.75 million members, less than 5 percent of China's total population (Xinhua , 17 June 1988). Most Party members are employed as workers, farmers, professionals, and so forth and only participate in Party activities part-time. Yet they are required to obey the direction of Party committees within their work unit and at higher levels. </w:t>
      </w:r>
      <w:r w:rsidRPr="002347D4">
        <w:rPr>
          <w:rStyle w:val="StyleUnderline"/>
        </w:rPr>
        <w:t>When I talk about the "Party" I am referring to it as a formal bureaucratic institution with over 1 million professional, full-time staff called Party cadres and a permanent structure at all levels of the political system.</w:t>
      </w:r>
      <w:r w:rsidRPr="008551D7">
        <w:rPr>
          <w:sz w:val="16"/>
        </w:rPr>
        <w:t xml:space="preserve"> </w:t>
      </w:r>
      <w:r w:rsidRPr="002347D4">
        <w:rPr>
          <w:rStyle w:val="StyleUnderline"/>
        </w:rPr>
        <w:t>At the apex of the CCP is the national Party organization headed by the Standing Committee of the Politburo, the Politburo, and the Central Committee, which are served by a Secretariat and other departments</w:t>
      </w:r>
      <w:r w:rsidRPr="008551D7">
        <w:rPr>
          <w:sz w:val="16"/>
        </w:rPr>
        <w:t xml:space="preserve">. At provincial, municipal, and county levels there are similar leadership bodies (CCP committees) and staff offices. Every agency of the national, provincial, and county governments has within it a Party committee and, until recently, a Party leading group. </w:t>
      </w:r>
      <w:r w:rsidRPr="002347D4">
        <w:rPr>
          <w:rStyle w:val="StyleUnderline"/>
        </w:rPr>
        <w:t>Although some members of these Party oversight bodies play two roles, as both government and Party officials, these bodies are clearly defined as part of the Communist Party</w:t>
      </w:r>
      <w:r w:rsidRPr="008551D7">
        <w:rPr>
          <w:sz w:val="16"/>
        </w:rPr>
        <w:t>. The language of Western institutional economics is useful for conceptualizing the formal authority relationship between Communist Party and government: It is an "agency relationship" in which the Communist Party is the "principal" and the government is the "agent." The Party has formal political authority over the government, which does the actual work of administering the country. The Party's authority over the government is based primarily on its authority to appoint and promote government officials (</w:t>
      </w:r>
      <w:proofErr w:type="spellStart"/>
      <w:proofErr w:type="gramStart"/>
      <w:r w:rsidRPr="008551D7">
        <w:rPr>
          <w:sz w:val="16"/>
        </w:rPr>
        <w:t>nomenklatura</w:t>
      </w:r>
      <w:proofErr w:type="spellEnd"/>
      <w:r w:rsidRPr="008551D7">
        <w:rPr>
          <w:sz w:val="16"/>
        </w:rPr>
        <w:t xml:space="preserve"> )</w:t>
      </w:r>
      <w:proofErr w:type="gramEnd"/>
      <w:r w:rsidRPr="008551D7">
        <w:rPr>
          <w:sz w:val="16"/>
        </w:rPr>
        <w:t xml:space="preserve"> (Burns 1987).[2] The Party also sets the general policy line (</w:t>
      </w:r>
      <w:proofErr w:type="spellStart"/>
      <w:r w:rsidRPr="008551D7">
        <w:rPr>
          <w:sz w:val="16"/>
        </w:rPr>
        <w:t>luxian</w:t>
      </w:r>
      <w:proofErr w:type="spellEnd"/>
      <w:r w:rsidRPr="008551D7">
        <w:rPr>
          <w:sz w:val="16"/>
        </w:rPr>
        <w:t xml:space="preserve"> ), which the government implements, and oversees the work of the government. Finally, it is responsible for the ideological remolding of government cadres and of all other members of </w:t>
      </w:r>
      <w:proofErr w:type="gramStart"/>
      <w:r w:rsidRPr="008551D7">
        <w:rPr>
          <w:sz w:val="16"/>
        </w:rPr>
        <w:t>society.[</w:t>
      </w:r>
      <w:proofErr w:type="gramEnd"/>
      <w:r w:rsidRPr="008551D7">
        <w:rPr>
          <w:sz w:val="16"/>
        </w:rPr>
        <w:t xml:space="preserve">3] </w:t>
      </w:r>
      <w:r w:rsidRPr="002347D4">
        <w:rPr>
          <w:rStyle w:val="StyleUnderline"/>
        </w:rPr>
        <w:t>The relationship is analogous to the relationship between the ruling party and the government bureaucracy in a democratic system</w:t>
      </w:r>
      <w:r w:rsidRPr="008551D7">
        <w:rPr>
          <w:sz w:val="16"/>
        </w:rPr>
        <w:t>. (In a parliamentary democracy, the majority party in Parliament appoints the cabinet and directs the work of the bureaucracy. In a presidential democracy, two principals, the president and Congress, lead the bureaucracy</w:t>
      </w:r>
      <w:proofErr w:type="gramStart"/>
      <w:r w:rsidRPr="008551D7">
        <w:rPr>
          <w:sz w:val="16"/>
        </w:rPr>
        <w:t>.)[</w:t>
      </w:r>
      <w:proofErr w:type="gramEnd"/>
      <w:r w:rsidRPr="008551D7">
        <w:rPr>
          <w:sz w:val="16"/>
        </w:rPr>
        <w:t xml:space="preserve">4] The Party politicians oversee the work of the government bureaucracy. The bureaucrats may appear to work autonomously, because the politicians intervene infrequently. But the bureaucrats know that they cannot stray too far from the preferences of their principals. If they do, they will be publicly criticized and fired by their political masters, a lesson that Ann </w:t>
      </w:r>
      <w:proofErr w:type="spellStart"/>
      <w:r w:rsidRPr="008551D7">
        <w:rPr>
          <w:sz w:val="16"/>
        </w:rPr>
        <w:t>Burford</w:t>
      </w:r>
      <w:proofErr w:type="spellEnd"/>
      <w:r w:rsidRPr="008551D7">
        <w:rPr>
          <w:sz w:val="16"/>
        </w:rPr>
        <w:t xml:space="preserve"> (head of the U.S. Environmental Protection Agency) and Yang </w:t>
      </w:r>
      <w:proofErr w:type="spellStart"/>
      <w:r w:rsidRPr="008551D7">
        <w:rPr>
          <w:sz w:val="16"/>
        </w:rPr>
        <w:t>Zhong</w:t>
      </w:r>
      <w:proofErr w:type="spellEnd"/>
      <w:r w:rsidRPr="008551D7">
        <w:rPr>
          <w:sz w:val="16"/>
        </w:rPr>
        <w:t xml:space="preserve"> (PRC Minister of Forests) learned the hard way.</w:t>
      </w:r>
    </w:p>
    <w:p w:rsidR="00F44AB8" w:rsidRDefault="003769FD" w:rsidP="003769FD">
      <w:pPr>
        <w:pStyle w:val="Heading3"/>
      </w:pPr>
      <w:r>
        <w:lastRenderedPageBreak/>
        <w:t>A2 CCP ≠ PRC</w:t>
      </w:r>
    </w:p>
    <w:p w:rsidR="00F44AB8" w:rsidRPr="00457D10" w:rsidRDefault="00F44AB8" w:rsidP="00F44AB8">
      <w:pPr>
        <w:pStyle w:val="Heading4"/>
      </w:pPr>
      <w:r>
        <w:t xml:space="preserve">Party and state are functionally integrated – their interpretation makes the topic unworkable – recent reforms </w:t>
      </w:r>
      <w:proofErr w:type="gramStart"/>
      <w:r>
        <w:t>proves</w:t>
      </w:r>
      <w:proofErr w:type="gramEnd"/>
    </w:p>
    <w:p w:rsidR="00F44AB8" w:rsidRDefault="00F44AB8" w:rsidP="00F44AB8">
      <w:pPr>
        <w:rPr>
          <w:rStyle w:val="StyleUnderline"/>
        </w:rPr>
      </w:pPr>
      <w:r>
        <w:t xml:space="preserve">Zheng </w:t>
      </w:r>
      <w:proofErr w:type="spellStart"/>
      <w:r w:rsidRPr="00457D10">
        <w:rPr>
          <w:rStyle w:val="Style13ptBold"/>
        </w:rPr>
        <w:t>Yongnian</w:t>
      </w:r>
      <w:proofErr w:type="spellEnd"/>
      <w:r>
        <w:t xml:space="preserve"> (professor and the director of the East Asian Institute at the National University of Singapore) </w:t>
      </w:r>
      <w:r w:rsidRPr="00457D10">
        <w:rPr>
          <w:rStyle w:val="Style13ptBold"/>
        </w:rPr>
        <w:t>and</w:t>
      </w:r>
      <w:r>
        <w:t xml:space="preserve"> </w:t>
      </w:r>
      <w:proofErr w:type="spellStart"/>
      <w:r>
        <w:t>Weng</w:t>
      </w:r>
      <w:proofErr w:type="spellEnd"/>
      <w:r>
        <w:t xml:space="preserve"> </w:t>
      </w:r>
      <w:proofErr w:type="spellStart"/>
      <w:r w:rsidRPr="00457D10">
        <w:rPr>
          <w:rStyle w:val="Style13ptBold"/>
        </w:rPr>
        <w:t>Cuifen</w:t>
      </w:r>
      <w:proofErr w:type="spellEnd"/>
      <w:r>
        <w:t xml:space="preserve"> (doctoral program in management and organization at the business school of the University of New South Wales, Australia) </w:t>
      </w:r>
      <w:r w:rsidRPr="00457D10">
        <w:rPr>
          <w:rStyle w:val="Style13ptBold"/>
        </w:rPr>
        <w:t>2016</w:t>
      </w:r>
      <w:r>
        <w:t xml:space="preserve"> “The Development of China’s Formal Political Structures” in China in the Era of Xi Jinping, Georgetown University Press, p. 41-42</w:t>
      </w:r>
    </w:p>
    <w:p w:rsidR="003769FD" w:rsidRDefault="00F44AB8" w:rsidP="003769FD">
      <w:r w:rsidRPr="00457D10">
        <w:rPr>
          <w:rStyle w:val="StyleUnderline"/>
        </w:rPr>
        <w:t>China’s recent practices show that although it is difficult to separate the Party from the state or vice versa, it is possible to observe functional division between the two</w:t>
      </w:r>
      <w:r w:rsidRPr="00457D10">
        <w:t>. However, though the division of labor between the Party</w:t>
      </w:r>
      <w:r>
        <w:t xml:space="preserve"> </w:t>
      </w:r>
      <w:r w:rsidRPr="00457D10">
        <w:t>and the state seems to work well at the central level, this divide has caused</w:t>
      </w:r>
      <w:r>
        <w:t xml:space="preserve"> </w:t>
      </w:r>
      <w:r w:rsidRPr="00457D10">
        <w:t>increasing conflict at the local level</w:t>
      </w:r>
      <w:r>
        <w:t xml:space="preserve"> </w:t>
      </w:r>
      <w:proofErr w:type="gramStart"/>
      <w:r w:rsidRPr="00457D10">
        <w:rPr>
          <w:rStyle w:val="StyleUnderline"/>
        </w:rPr>
        <w:t>In</w:t>
      </w:r>
      <w:proofErr w:type="gramEnd"/>
      <w:r w:rsidRPr="00457D10">
        <w:rPr>
          <w:rStyle w:val="StyleUnderline"/>
        </w:rPr>
        <w:t xml:space="preserve"> recent years some localities,</w:t>
      </w:r>
      <w:r>
        <w:t xml:space="preserve"> particularly in the eastern coastal provinces, </w:t>
      </w:r>
      <w:r w:rsidRPr="00457D10">
        <w:rPr>
          <w:rStyle w:val="StyleUnderline"/>
        </w:rPr>
        <w:t>have begun to better coordinate the functions and responsibilities among the</w:t>
      </w:r>
      <w:r>
        <w:rPr>
          <w:rStyle w:val="StyleUnderline"/>
        </w:rPr>
        <w:t xml:space="preserve"> </w:t>
      </w:r>
      <w:r w:rsidRPr="00457D10">
        <w:rPr>
          <w:rStyle w:val="StyleUnderline"/>
        </w:rPr>
        <w:t>Party and the state. Reforms in Guangdong province are significant</w:t>
      </w:r>
      <w:r>
        <w:t xml:space="preserve">, specifically reforms in </w:t>
      </w:r>
      <w:proofErr w:type="spellStart"/>
      <w:r>
        <w:t>Shunde</w:t>
      </w:r>
      <w:proofErr w:type="spellEnd"/>
      <w:r>
        <w:t xml:space="preserve">. </w:t>
      </w:r>
      <w:proofErr w:type="spellStart"/>
      <w:r w:rsidRPr="00457D10">
        <w:rPr>
          <w:rStyle w:val="StyleUnderline"/>
        </w:rPr>
        <w:t>Shunde</w:t>
      </w:r>
      <w:proofErr w:type="spellEnd"/>
      <w:r w:rsidRPr="00457D10">
        <w:rPr>
          <w:rStyle w:val="StyleUnderline"/>
        </w:rPr>
        <w:t>, a county-level government, has made institutional</w:t>
      </w:r>
      <w:r>
        <w:rPr>
          <w:rStyle w:val="StyleUnderline"/>
        </w:rPr>
        <w:t xml:space="preserve"> </w:t>
      </w:r>
      <w:r w:rsidRPr="00457D10">
        <w:rPr>
          <w:rStyle w:val="StyleUnderline"/>
        </w:rPr>
        <w:t>innovations to gradually form a Party-state integration system.</w:t>
      </w:r>
      <w:r>
        <w:t xml:space="preserve"> For example, the six agencies of the Party committee are integrated into corresponding government agencies at the same level. </w:t>
      </w:r>
      <w:r w:rsidRPr="00457D10">
        <w:rPr>
          <w:rStyle w:val="StyleUnderline"/>
        </w:rPr>
        <w:t>Hypothetically the relations</w:t>
      </w:r>
      <w:r>
        <w:rPr>
          <w:rStyle w:val="StyleUnderline"/>
        </w:rPr>
        <w:t xml:space="preserve"> </w:t>
      </w:r>
      <w:r w:rsidRPr="00457D10">
        <w:rPr>
          <w:rStyle w:val="StyleUnderline"/>
        </w:rPr>
        <w:t>between the Party and the state are the same at all administrative levels</w:t>
      </w:r>
      <w:r>
        <w:t xml:space="preserve">. However, </w:t>
      </w:r>
      <w:r w:rsidRPr="00457D10">
        <w:rPr>
          <w:rStyle w:val="StyleUnderline"/>
        </w:rPr>
        <w:t>although there is a trend toward clearer “division of functions” between</w:t>
      </w:r>
      <w:r>
        <w:rPr>
          <w:rStyle w:val="StyleUnderline"/>
        </w:rPr>
        <w:t xml:space="preserve"> </w:t>
      </w:r>
      <w:r w:rsidRPr="00457D10">
        <w:rPr>
          <w:rStyle w:val="StyleUnderline"/>
        </w:rPr>
        <w:t>the Party and the state at the central level, the boundary between the two</w:t>
      </w:r>
      <w:r>
        <w:rPr>
          <w:rStyle w:val="StyleUnderline"/>
        </w:rPr>
        <w:t xml:space="preserve"> </w:t>
      </w:r>
      <w:r w:rsidRPr="00457D10">
        <w:rPr>
          <w:rStyle w:val="StyleUnderline"/>
        </w:rPr>
        <w:t>bodies at the local/county level has been increasingly blurred</w:t>
      </w:r>
      <w:r>
        <w:t xml:space="preserve">. At the county level, both the Party and the state are faced with daily issues of people’s livelihoods. </w:t>
      </w:r>
      <w:r w:rsidRPr="00457D10">
        <w:rPr>
          <w:rStyle w:val="StyleUnderline"/>
        </w:rPr>
        <w:t>The infighting of power caused by the parallel Party-and-state system</w:t>
      </w:r>
      <w:r>
        <w:rPr>
          <w:rStyle w:val="StyleUnderline"/>
        </w:rPr>
        <w:t xml:space="preserve"> </w:t>
      </w:r>
      <w:r w:rsidRPr="00457D10">
        <w:rPr>
          <w:rStyle w:val="StyleUnderline"/>
        </w:rPr>
        <w:t>at the local level has severely hindered administrative efficiencies and has</w:t>
      </w:r>
      <w:r>
        <w:rPr>
          <w:rStyle w:val="StyleUnderline"/>
        </w:rPr>
        <w:t xml:space="preserve"> </w:t>
      </w:r>
      <w:r w:rsidRPr="00457D10">
        <w:rPr>
          <w:rStyle w:val="StyleUnderline"/>
        </w:rPr>
        <w:t>served to alienate the Party and state from the people</w:t>
      </w:r>
      <w:r>
        <w:t xml:space="preserve">. </w:t>
      </w:r>
      <w:proofErr w:type="spellStart"/>
      <w:r>
        <w:t>Shunde’s</w:t>
      </w:r>
      <w:proofErr w:type="spellEnd"/>
      <w:r>
        <w:t xml:space="preserve"> experiment of Party-state integration has aimed at improving governance efficiency while at the same time effectively </w:t>
      </w:r>
    </w:p>
    <w:p w:rsidR="003769FD" w:rsidRDefault="003769FD" w:rsidP="003769FD">
      <w:pPr>
        <w:pStyle w:val="Heading4"/>
      </w:pPr>
      <w:r>
        <w:t xml:space="preserve">Their distinction is arbitrary – the CCP controls PRC activities </w:t>
      </w:r>
    </w:p>
    <w:p w:rsidR="003769FD" w:rsidRPr="0099007A" w:rsidRDefault="003769FD" w:rsidP="003769FD">
      <w:pPr>
        <w:rPr>
          <w:sz w:val="16"/>
        </w:rPr>
      </w:pPr>
      <w:r w:rsidRPr="0099007A">
        <w:rPr>
          <w:b/>
        </w:rPr>
        <w:t>Select Committee of the House of Representatives 99</w:t>
      </w:r>
      <w:r w:rsidRPr="0099007A">
        <w:rPr>
          <w:sz w:val="16"/>
        </w:rPr>
        <w:t xml:space="preserve"> "PRC Acquisition of US Technology." Jan 3,1999. www.house.gov/coxreport/chapfs/ch1.html</w:t>
      </w:r>
    </w:p>
    <w:p w:rsidR="003769FD" w:rsidRPr="0099007A" w:rsidRDefault="003769FD" w:rsidP="003769FD">
      <w:pPr>
        <w:rPr>
          <w:sz w:val="16"/>
        </w:rPr>
      </w:pPr>
      <w:r w:rsidRPr="0034011F">
        <w:rPr>
          <w:rStyle w:val="StyleUnderline"/>
        </w:rPr>
        <w:t>The</w:t>
      </w:r>
      <w:r w:rsidRPr="0099007A">
        <w:rPr>
          <w:sz w:val="16"/>
        </w:rPr>
        <w:t xml:space="preserve"> political, governmental, military, and commercial </w:t>
      </w:r>
      <w:r w:rsidRPr="0034011F">
        <w:rPr>
          <w:rStyle w:val="StyleUnderline"/>
        </w:rPr>
        <w:t>activities of the P</w:t>
      </w:r>
      <w:r w:rsidRPr="0099007A">
        <w:rPr>
          <w:sz w:val="16"/>
        </w:rPr>
        <w:t xml:space="preserve">eople's </w:t>
      </w:r>
      <w:r w:rsidRPr="0034011F">
        <w:rPr>
          <w:rStyle w:val="StyleUnderline"/>
        </w:rPr>
        <w:t>R</w:t>
      </w:r>
      <w:r w:rsidRPr="0099007A">
        <w:rPr>
          <w:sz w:val="16"/>
        </w:rPr>
        <w:t xml:space="preserve">epublic of </w:t>
      </w:r>
      <w:r w:rsidRPr="0034011F">
        <w:rPr>
          <w:rStyle w:val="StyleUnderline"/>
        </w:rPr>
        <w:t>C</w:t>
      </w:r>
      <w:r w:rsidRPr="0099007A">
        <w:rPr>
          <w:sz w:val="16"/>
        </w:rPr>
        <w:t xml:space="preserve">hina </w:t>
      </w:r>
      <w:r w:rsidRPr="0034011F">
        <w:rPr>
          <w:rStyle w:val="StyleUnderline"/>
        </w:rPr>
        <w:t xml:space="preserve">are controlled by three directly overlapping bureaucracies: </w:t>
      </w:r>
      <w:proofErr w:type="gramStart"/>
      <w:r w:rsidRPr="0034011F">
        <w:rPr>
          <w:rStyle w:val="StyleUnderline"/>
        </w:rPr>
        <w:t>the</w:t>
      </w:r>
      <w:proofErr w:type="gramEnd"/>
      <w:r w:rsidRPr="0034011F">
        <w:rPr>
          <w:rStyle w:val="StyleUnderline"/>
        </w:rPr>
        <w:t xml:space="preserve"> Communist Party, the State, and the P</w:t>
      </w:r>
      <w:r w:rsidRPr="0099007A">
        <w:rPr>
          <w:sz w:val="16"/>
        </w:rPr>
        <w:t xml:space="preserve">eople's </w:t>
      </w:r>
      <w:r w:rsidRPr="0034011F">
        <w:rPr>
          <w:rStyle w:val="StyleUnderline"/>
        </w:rPr>
        <w:t>L</w:t>
      </w:r>
      <w:r w:rsidRPr="0099007A">
        <w:rPr>
          <w:sz w:val="16"/>
        </w:rPr>
        <w:t xml:space="preserve">iberation </w:t>
      </w:r>
      <w:r w:rsidRPr="0034011F">
        <w:rPr>
          <w:rStyle w:val="StyleUnderline"/>
        </w:rPr>
        <w:t>A</w:t>
      </w:r>
      <w:r w:rsidRPr="0099007A">
        <w:rPr>
          <w:sz w:val="16"/>
        </w:rPr>
        <w:t xml:space="preserve">rmy. Foremost of these, and </w:t>
      </w:r>
      <w:r w:rsidRPr="0034011F">
        <w:rPr>
          <w:rStyle w:val="StyleUnderline"/>
        </w:rPr>
        <w:t xml:space="preserve">in ultimate control of all state, military, commercial, and political activities in the PRC, is the </w:t>
      </w:r>
      <w:r w:rsidRPr="0099007A">
        <w:rPr>
          <w:sz w:val="16"/>
        </w:rPr>
        <w:t>Chinese Communist Party (</w:t>
      </w:r>
      <w:r w:rsidRPr="0034011F">
        <w:rPr>
          <w:rStyle w:val="StyleUnderline"/>
        </w:rPr>
        <w:t>CCP</w:t>
      </w:r>
      <w:r w:rsidRPr="0099007A">
        <w:rPr>
          <w:sz w:val="16"/>
        </w:rPr>
        <w:t xml:space="preserve">).1 </w:t>
      </w:r>
      <w:r w:rsidRPr="0034011F">
        <w:rPr>
          <w:rStyle w:val="StyleUnderline"/>
        </w:rPr>
        <w:t>The Communist Party Secretary</w:t>
      </w:r>
      <w:r w:rsidRPr="0099007A">
        <w:rPr>
          <w:sz w:val="16"/>
        </w:rPr>
        <w:t xml:space="preserve">, Jiang Zemin, </w:t>
      </w:r>
      <w:r w:rsidRPr="0034011F">
        <w:rPr>
          <w:rStyle w:val="StyleUnderline"/>
        </w:rPr>
        <w:t>chairs both the Politburo and its</w:t>
      </w:r>
      <w:r w:rsidRPr="0099007A">
        <w:rPr>
          <w:sz w:val="16"/>
        </w:rPr>
        <w:t xml:space="preserve"> powerful </w:t>
      </w:r>
      <w:r w:rsidRPr="0034011F">
        <w:rPr>
          <w:rStyle w:val="StyleUnderline"/>
        </w:rPr>
        <w:t>executive group</w:t>
      </w:r>
      <w:r w:rsidRPr="0099007A">
        <w:rPr>
          <w:sz w:val="16"/>
        </w:rPr>
        <w:t xml:space="preserve">, the Politburo Standing Committee. The Politburo, in turn, is supported by the CCP Secretariat. </w:t>
      </w:r>
      <w:r w:rsidRPr="0034011F">
        <w:rPr>
          <w:rStyle w:val="StyleUnderline"/>
        </w:rPr>
        <w:t>The State governmental apparatus is under the direct control of the Communist Party Secretary</w:t>
      </w:r>
      <w:r w:rsidRPr="0099007A">
        <w:rPr>
          <w:sz w:val="16"/>
        </w:rPr>
        <w:t xml:space="preserve">, Jiang Zemin, who </w:t>
      </w:r>
      <w:r w:rsidRPr="0034011F">
        <w:rPr>
          <w:rStyle w:val="StyleUnderline"/>
        </w:rPr>
        <w:t xml:space="preserve">in his role as President serves as the official head of the State as well. </w:t>
      </w:r>
      <w:r w:rsidRPr="0099007A">
        <w:rPr>
          <w:sz w:val="16"/>
        </w:rPr>
        <w:t xml:space="preserve">Subordinate to the CCP Secretary in state affairs is the State Council, presided over by Premier Zhu </w:t>
      </w:r>
      <w:proofErr w:type="spellStart"/>
      <w:r w:rsidRPr="0099007A">
        <w:rPr>
          <w:sz w:val="16"/>
        </w:rPr>
        <w:t>Rongji</w:t>
      </w:r>
      <w:proofErr w:type="spellEnd"/>
      <w:r w:rsidRPr="0099007A">
        <w:rPr>
          <w:sz w:val="16"/>
        </w:rPr>
        <w:t xml:space="preserve">, also a high-ranking member of the Communist Party. </w:t>
      </w:r>
      <w:r w:rsidRPr="0034011F">
        <w:rPr>
          <w:rStyle w:val="StyleUnderline"/>
        </w:rPr>
        <w:t>The</w:t>
      </w:r>
      <w:r w:rsidRPr="0099007A">
        <w:rPr>
          <w:sz w:val="16"/>
        </w:rPr>
        <w:t xml:space="preserve"> People's Liberation Army (</w:t>
      </w:r>
      <w:r w:rsidRPr="0034011F">
        <w:rPr>
          <w:rStyle w:val="StyleUnderline"/>
        </w:rPr>
        <w:t>PLA) is also directly under the control of the Communist Party</w:t>
      </w:r>
      <w:r w:rsidRPr="0099007A">
        <w:rPr>
          <w:sz w:val="16"/>
        </w:rPr>
        <w:t xml:space="preserve">. The top level of PLA authority is the CCP's Central Military Commission (CMC), of which Jiang Zemin, the CCP Secretary, is also the Chairman. The CMC's routine work is directed by its two Vice-Chairmen, Generals Zhang </w:t>
      </w:r>
      <w:proofErr w:type="spellStart"/>
      <w:r w:rsidRPr="0099007A">
        <w:rPr>
          <w:sz w:val="16"/>
        </w:rPr>
        <w:t>Wannian</w:t>
      </w:r>
      <w:proofErr w:type="spellEnd"/>
      <w:r w:rsidRPr="0099007A">
        <w:rPr>
          <w:sz w:val="16"/>
        </w:rPr>
        <w:t xml:space="preserve"> and Chi </w:t>
      </w:r>
      <w:proofErr w:type="spellStart"/>
      <w:r w:rsidRPr="0099007A">
        <w:rPr>
          <w:sz w:val="16"/>
        </w:rPr>
        <w:t>Haotian</w:t>
      </w:r>
      <w:proofErr w:type="spellEnd"/>
      <w:r w:rsidRPr="0099007A">
        <w:rPr>
          <w:sz w:val="16"/>
        </w:rPr>
        <w:t>.</w:t>
      </w:r>
    </w:p>
    <w:p w:rsidR="00EE60E4" w:rsidRDefault="000F490B" w:rsidP="00EE60E4">
      <w:pPr>
        <w:pStyle w:val="Heading3"/>
      </w:pPr>
      <w:r>
        <w:lastRenderedPageBreak/>
        <w:t>A2 Diplomatic Engagement ≠ Military</w:t>
      </w:r>
    </w:p>
    <w:p w:rsidR="00EE60E4" w:rsidRDefault="00EE60E4" w:rsidP="00EE60E4">
      <w:bookmarkStart w:id="0" w:name="_GoBack"/>
      <w:bookmarkEnd w:id="0"/>
    </w:p>
    <w:p w:rsidR="00EE60E4" w:rsidRDefault="00EE60E4" w:rsidP="00EE60E4">
      <w:pPr>
        <w:pStyle w:val="Heading4"/>
      </w:pPr>
      <w:r>
        <w:t>Deterrence counts as diplomatic engagement – the foreign policy/diplomacy binary is flawed</w:t>
      </w:r>
    </w:p>
    <w:p w:rsidR="00EE60E4" w:rsidRDefault="00EE60E4" w:rsidP="00EE60E4">
      <w:r>
        <w:t xml:space="preserve">Anne </w:t>
      </w:r>
      <w:proofErr w:type="spellStart"/>
      <w:r w:rsidRPr="000D6B74">
        <w:rPr>
          <w:rStyle w:val="Style13ptBold"/>
        </w:rPr>
        <w:t>Sartori</w:t>
      </w:r>
      <w:proofErr w:type="spellEnd"/>
      <w:r>
        <w:t xml:space="preserve"> (Research Scientist at the Sloan School of Management and Visiting Scholar in the Political Science Department, MIT. Visiting Associate Professor in the Government Department, Harvard University, former Associate Professor of Political Science at Northwestern University and in the Managerial Economics and Decision Sciences Department at the Kellogg School of Management, former faculty at Princeton University and the University of Wisconsin-Madison) </w:t>
      </w:r>
      <w:r w:rsidRPr="000D6B74">
        <w:rPr>
          <w:rStyle w:val="Style13ptBold"/>
        </w:rPr>
        <w:t>2013</w:t>
      </w:r>
      <w:r>
        <w:t xml:space="preserve"> “Deterrence by Diplomacy” Princeton University Press, p. 3-5</w:t>
      </w:r>
    </w:p>
    <w:p w:rsidR="00EE60E4" w:rsidRDefault="00EE60E4" w:rsidP="00EE60E4">
      <w:r>
        <w:t xml:space="preserve">This book is about deterrence and diplomacy. </w:t>
      </w:r>
      <w:r w:rsidRPr="000D6B74">
        <w:rPr>
          <w:rStyle w:val="StyleUnderline"/>
        </w:rPr>
        <w:t>An attempt at deterrence</w:t>
      </w:r>
      <w:r>
        <w:t xml:space="preserve"> is a counter-threat. It </w:t>
      </w:r>
      <w:r w:rsidRPr="000D6B74">
        <w:rPr>
          <w:rStyle w:val="StyleUnderline"/>
        </w:rPr>
        <w:t>is a threat by one state to use military force if</w:t>
      </w:r>
      <w:r>
        <w:rPr>
          <w:rStyle w:val="StyleUnderline"/>
        </w:rPr>
        <w:t xml:space="preserve"> </w:t>
      </w:r>
      <w:r w:rsidRPr="000D6B74">
        <w:rPr>
          <w:rStyle w:val="StyleUnderline"/>
        </w:rPr>
        <w:t>another state does not refrain from some undesired, threatened action.</w:t>
      </w:r>
      <w:r>
        <w:rPr>
          <w:rStyle w:val="StyleUnderline"/>
        </w:rPr>
        <w:t xml:space="preserve"> </w:t>
      </w:r>
      <w:r>
        <w:t xml:space="preserve">For example, a state may threaten to invade another state or to subject it to an economic blockade. </w:t>
      </w:r>
      <w:r w:rsidRPr="000D6B74">
        <w:rPr>
          <w:rStyle w:val="StyleUnderline"/>
        </w:rPr>
        <w:t>The threatened state may attempt deterrence</w:t>
      </w:r>
      <w:r>
        <w:rPr>
          <w:rStyle w:val="StyleUnderline"/>
        </w:rPr>
        <w:t xml:space="preserve"> </w:t>
      </w:r>
      <w:r w:rsidRPr="000D6B74">
        <w:rPr>
          <w:rStyle w:val="StyleUnderline"/>
        </w:rPr>
        <w:t>by counter-threatening to start a war if the first state goes through with</w:t>
      </w:r>
      <w:r>
        <w:rPr>
          <w:rStyle w:val="StyleUnderline"/>
        </w:rPr>
        <w:t xml:space="preserve"> </w:t>
      </w:r>
      <w:r w:rsidRPr="000D6B74">
        <w:rPr>
          <w:rStyle w:val="StyleUnderline"/>
        </w:rPr>
        <w:t>the invasion or blockade.</w:t>
      </w:r>
      <w:r>
        <w:rPr>
          <w:rStyle w:val="StyleUnderline"/>
        </w:rPr>
        <w:t xml:space="preserve"> </w:t>
      </w:r>
      <w:r>
        <w:t xml:space="preserve">At a casual glance, it is not clear that deterrent threats ever should succeed, because states that do not intend to fight have strong incentives to bluff. In the early 1990s, prior to NATO military intervention in the Yugoslav War, the Bush and Clinton </w:t>
      </w:r>
      <w:proofErr w:type="spellStart"/>
      <w:r>
        <w:t>administra</w:t>
      </w:r>
      <w:proofErr w:type="spellEnd"/>
      <w:r>
        <w:t xml:space="preserve"> </w:t>
      </w:r>
      <w:proofErr w:type="spellStart"/>
      <w:r>
        <w:t>tions</w:t>
      </w:r>
      <w:proofErr w:type="spellEnd"/>
      <w:r>
        <w:t xml:space="preserve">, the European Com- munity, and the United Nations threatened to impose sanctions and then to use force to influence the behavior of Serb president Slobodan Milo </w:t>
      </w:r>
      <w:proofErr w:type="spellStart"/>
      <w:r>
        <w:t>sevic</w:t>
      </w:r>
      <w:proofErr w:type="spellEnd"/>
      <w:r>
        <w:t>. If the threats had worked as intended, they would have prevented the slaughter of many civilians and perhaps made NATO participation in the war unnecessary (</w:t>
      </w:r>
      <w:proofErr w:type="spellStart"/>
      <w:r>
        <w:t>Keesing's</w:t>
      </w:r>
      <w:proofErr w:type="spellEnd"/>
      <w:r>
        <w:t xml:space="preserve"> Contemporary Archives 1992, 1993; Silber and Little 1997). The United States and others had an incentive to claim a willingness to take actions that they were, in fact, proven </w:t>
      </w:r>
      <w:proofErr w:type="spellStart"/>
      <w:r>
        <w:t>unwill</w:t>
      </w:r>
      <w:proofErr w:type="spellEnd"/>
      <w:r>
        <w:t xml:space="preserve">- </w:t>
      </w:r>
      <w:proofErr w:type="spellStart"/>
      <w:r>
        <w:t>ing</w:t>
      </w:r>
      <w:proofErr w:type="spellEnd"/>
      <w:r>
        <w:t xml:space="preserve"> to take, at least in the short run. Similarly, when Turkey threatened to invade Cyprus in June 1964, President Johnson sent a "brutal note" to deter this </w:t>
      </w:r>
      <w:proofErr w:type="spellStart"/>
      <w:proofErr w:type="gramStart"/>
      <w:r>
        <w:t>attack.l</w:t>
      </w:r>
      <w:proofErr w:type="spellEnd"/>
      <w:proofErr w:type="gramEnd"/>
      <w:r>
        <w:t xml:space="preserve"> This time, deterrence worked. But Johnson, too, had an incentive to bluff if he did not intend to take action; a successful bluff would have changed Turkey's behavior in exactly the same way as a gen- </w:t>
      </w:r>
      <w:proofErr w:type="spellStart"/>
      <w:r>
        <w:t>uine</w:t>
      </w:r>
      <w:proofErr w:type="spellEnd"/>
      <w:r>
        <w:t xml:space="preserve"> threat. When states' leaders hear a threat, they must ask themselves, "Is this a bluff, or is my adversary truly willing to do what its leaders </w:t>
      </w:r>
      <w:proofErr w:type="gramStart"/>
      <w:r>
        <w:t>As</w:t>
      </w:r>
      <w:proofErr w:type="gramEnd"/>
      <w:r>
        <w:t xml:space="preserve"> the saying goes, talk is cheap. So why do leaders pay so much </w:t>
      </w:r>
      <w:proofErr w:type="spellStart"/>
      <w:r>
        <w:t>atten</w:t>
      </w:r>
      <w:proofErr w:type="spellEnd"/>
      <w:r>
        <w:t xml:space="preserve">- </w:t>
      </w:r>
      <w:proofErr w:type="spellStart"/>
      <w:r>
        <w:t>tion</w:t>
      </w:r>
      <w:proofErr w:type="spellEnd"/>
      <w:r>
        <w:t xml:space="preserve"> to each other's threats? Why does deterrence ever succeed? When is it more likely to work, and when is it more likely to fail? In this book, </w:t>
      </w:r>
      <w:r w:rsidRPr="000D6B74">
        <w:rPr>
          <w:rStyle w:val="StyleUnderline"/>
        </w:rPr>
        <w:t>I study deterrence as a form of diplomacy. Diplomacy</w:t>
      </w:r>
      <w:r>
        <w:rPr>
          <w:rStyle w:val="StyleUnderline"/>
        </w:rPr>
        <w:t xml:space="preserve"> </w:t>
      </w:r>
      <w:r w:rsidRPr="000D6B74">
        <w:rPr>
          <w:rStyle w:val="StyleUnderline"/>
        </w:rPr>
        <w:t>is the use of language and other signals by one state in an attempt to</w:t>
      </w:r>
      <w:r>
        <w:rPr>
          <w:rStyle w:val="StyleUnderline"/>
        </w:rPr>
        <w:t xml:space="preserve"> </w:t>
      </w:r>
      <w:r w:rsidRPr="000D6B74">
        <w:rPr>
          <w:rStyle w:val="StyleUnderline"/>
        </w:rPr>
        <w:t>convey information to another. It is a kind of communication—the use of</w:t>
      </w:r>
      <w:r>
        <w:rPr>
          <w:rStyle w:val="StyleUnderline"/>
        </w:rPr>
        <w:t xml:space="preserve"> </w:t>
      </w:r>
      <w:r w:rsidRPr="000D6B74">
        <w:rPr>
          <w:rStyle w:val="StyleUnderline"/>
        </w:rPr>
        <w:t>language by representatives of one state, aimed at influencing the actions</w:t>
      </w:r>
      <w:r>
        <w:rPr>
          <w:rStyle w:val="StyleUnderline"/>
        </w:rPr>
        <w:t xml:space="preserve"> </w:t>
      </w:r>
      <w:r w:rsidRPr="000D6B74">
        <w:rPr>
          <w:rStyle w:val="StyleUnderline"/>
        </w:rPr>
        <w:t>of one or more others. Deterrence is the use of a particular subset of</w:t>
      </w:r>
      <w:r>
        <w:rPr>
          <w:rStyle w:val="StyleUnderline"/>
        </w:rPr>
        <w:t xml:space="preserve"> </w:t>
      </w:r>
      <w:r w:rsidRPr="000D6B74">
        <w:rPr>
          <w:rStyle w:val="StyleUnderline"/>
        </w:rPr>
        <w:t>language—deterrent threats—to attempt to convey the information that</w:t>
      </w:r>
      <w:r>
        <w:rPr>
          <w:rStyle w:val="StyleUnderline"/>
        </w:rPr>
        <w:t xml:space="preserve"> </w:t>
      </w:r>
      <w:r w:rsidRPr="000D6B74">
        <w:rPr>
          <w:rStyle w:val="StyleUnderline"/>
        </w:rPr>
        <w:t>a state is willing to fight over a disputed issue or issues</w:t>
      </w:r>
      <w:r>
        <w:t>.</w:t>
      </w:r>
      <w:r w:rsidRPr="000D6B74">
        <w:rPr>
          <w:rStyle w:val="StyleUnderline"/>
        </w:rPr>
        <w:t>2 Thus, deterrent</w:t>
      </w:r>
      <w:r>
        <w:rPr>
          <w:rStyle w:val="StyleUnderline"/>
        </w:rPr>
        <w:t xml:space="preserve"> </w:t>
      </w:r>
      <w:r w:rsidRPr="000D6B74">
        <w:rPr>
          <w:rStyle w:val="StyleUnderline"/>
        </w:rPr>
        <w:t>threats are a form of diplomacy.</w:t>
      </w:r>
      <w:r>
        <w:rPr>
          <w:rStyle w:val="StyleUnderline"/>
        </w:rPr>
        <w:t xml:space="preserve"> </w:t>
      </w:r>
      <w:r>
        <w:t xml:space="preserve">I study deterrence in order to shed light on the question of why diplo- </w:t>
      </w:r>
      <w:proofErr w:type="spellStart"/>
      <w:r>
        <w:t>macy</w:t>
      </w:r>
      <w:proofErr w:type="spellEnd"/>
      <w:r>
        <w:t xml:space="preserve"> so often is effective. Studying deterrence leads me to a theory of communication between states. Thinking of deterrence as a form of talk also leads to insights into why deterrence itself is effective and when and why it is likely to succeed.3 </w:t>
      </w:r>
      <w:r w:rsidRPr="000D6B74">
        <w:rPr>
          <w:rStyle w:val="StyleUnderline"/>
        </w:rPr>
        <w:t>Many of the existing books about diplomacy are written by professional</w:t>
      </w:r>
      <w:r>
        <w:rPr>
          <w:rStyle w:val="StyleUnderline"/>
        </w:rPr>
        <w:t xml:space="preserve"> </w:t>
      </w:r>
      <w:r w:rsidRPr="000D6B74">
        <w:rPr>
          <w:rStyle w:val="StyleUnderline"/>
        </w:rPr>
        <w:t>diplomats, whose studies are concerned primarily with the activities of the</w:t>
      </w:r>
      <w:r>
        <w:rPr>
          <w:rStyle w:val="StyleUnderline"/>
        </w:rPr>
        <w:t xml:space="preserve"> </w:t>
      </w:r>
      <w:r w:rsidRPr="000D6B74">
        <w:rPr>
          <w:rStyle w:val="StyleUnderline"/>
        </w:rPr>
        <w:t>diplomatic corps</w:t>
      </w:r>
      <w:r>
        <w:t xml:space="preserve"> (e.g., Nicolson 1939; de </w:t>
      </w:r>
      <w:proofErr w:type="spellStart"/>
      <w:r>
        <w:t>Calliéres</w:t>
      </w:r>
      <w:proofErr w:type="spellEnd"/>
      <w:r>
        <w:t xml:space="preserve"> 1919; Stearns 1996). </w:t>
      </w:r>
      <w:r w:rsidRPr="000D6B74">
        <w:rPr>
          <w:rStyle w:val="StyleUnderline"/>
        </w:rPr>
        <w:t>Like many of those authors, I see a distinction between the making of</w:t>
      </w:r>
      <w:r>
        <w:rPr>
          <w:rStyle w:val="StyleUnderline"/>
        </w:rPr>
        <w:t xml:space="preserve"> </w:t>
      </w:r>
      <w:r w:rsidRPr="000D6B74">
        <w:rPr>
          <w:rStyle w:val="StyleUnderline"/>
        </w:rPr>
        <w:t>foreign policy</w:t>
      </w:r>
      <w:r>
        <w:t xml:space="preserve"> on the one hand, </w:t>
      </w:r>
      <w:r w:rsidRPr="000D6B74">
        <w:rPr>
          <w:rStyle w:val="StyleUnderline"/>
        </w:rPr>
        <w:t xml:space="preserve">and diplomacy </w:t>
      </w:r>
      <w:r>
        <w:t xml:space="preserve">on the other; diplomacy concerns the implementation of foreign policy. </w:t>
      </w:r>
      <w:r w:rsidRPr="000D6B74">
        <w:rPr>
          <w:rStyle w:val="StyleUnderline"/>
        </w:rPr>
        <w:t>4 However, I would argue</w:t>
      </w:r>
      <w:r>
        <w:rPr>
          <w:rStyle w:val="StyleUnderline"/>
        </w:rPr>
        <w:t xml:space="preserve"> </w:t>
      </w:r>
      <w:r w:rsidRPr="000D6B74">
        <w:rPr>
          <w:rStyle w:val="StyleUnderline"/>
        </w:rPr>
        <w:t xml:space="preserve">that </w:t>
      </w:r>
      <w:r w:rsidRPr="000D6B74">
        <w:rPr>
          <w:rStyle w:val="StyleUnderline"/>
        </w:rPr>
        <w:lastRenderedPageBreak/>
        <w:t>diplomacy includes the work of top foreign-policy leaders as well as of</w:t>
      </w:r>
      <w:r>
        <w:rPr>
          <w:rStyle w:val="StyleUnderline"/>
        </w:rPr>
        <w:t xml:space="preserve"> </w:t>
      </w:r>
      <w:r w:rsidRPr="000D6B74">
        <w:rPr>
          <w:rStyle w:val="StyleUnderline"/>
        </w:rPr>
        <w:t>members of the diplomatic corps. A nation's top foreign-policy leadership</w:t>
      </w:r>
      <w:r>
        <w:rPr>
          <w:rStyle w:val="StyleUnderline"/>
        </w:rPr>
        <w:t xml:space="preserve"> </w:t>
      </w:r>
      <w:r w:rsidRPr="000D6B74">
        <w:rPr>
          <w:rStyle w:val="StyleUnderline"/>
        </w:rPr>
        <w:t>formulates and implements policy. For example, when a foreign minister</w:t>
      </w:r>
      <w:r>
        <w:rPr>
          <w:rStyle w:val="StyleUnderline"/>
        </w:rPr>
        <w:t xml:space="preserve"> </w:t>
      </w:r>
      <w:r w:rsidRPr="000D6B74">
        <w:rPr>
          <w:rStyle w:val="StyleUnderline"/>
        </w:rPr>
        <w:t>announces to the press that her country is likely to join a war, she is</w:t>
      </w:r>
      <w:r>
        <w:rPr>
          <w:rStyle w:val="StyleUnderline"/>
        </w:rPr>
        <w:t xml:space="preserve"> </w:t>
      </w:r>
      <w:r w:rsidRPr="000D6B74">
        <w:rPr>
          <w:rStyle w:val="StyleUnderline"/>
        </w:rPr>
        <w:t>implementing a policy</w:t>
      </w:r>
      <w:r>
        <w:t xml:space="preserve"> (which may be broader than the decision to join the war</w:t>
      </w:r>
      <w:r w:rsidRPr="000D6B74">
        <w:rPr>
          <w:rStyle w:val="StyleUnderline"/>
        </w:rPr>
        <w:t>). Such a statement never is purely policy formulation</w:t>
      </w:r>
      <w:r>
        <w:t xml:space="preserve">. </w:t>
      </w:r>
      <w:r w:rsidRPr="000D6B74">
        <w:rPr>
          <w:rStyle w:val="StyleUnderline"/>
        </w:rPr>
        <w:t>Deterrence is an important phenomenon</w:t>
      </w:r>
      <w:r>
        <w:t xml:space="preserve"> in its own right. States some- times attain their foreign-policy goals, while at other times they achieve little of what they desire. States' allies sometimes remain safe, while at others they are conquered. States sometimes themselves lose territory, at others gain. When states gain territory, this process may be peaceful, it may involve a long and bloody war. </w:t>
      </w:r>
      <w:r w:rsidRPr="000D6B74">
        <w:rPr>
          <w:rStyle w:val="StyleUnderline"/>
        </w:rPr>
        <w:t>In order to understand the foundations of foreign-policy success and the</w:t>
      </w:r>
      <w:r>
        <w:rPr>
          <w:rStyle w:val="StyleUnderline"/>
        </w:rPr>
        <w:t xml:space="preserve"> </w:t>
      </w:r>
      <w:r w:rsidRPr="000D6B74">
        <w:rPr>
          <w:rStyle w:val="StyleUnderline"/>
        </w:rPr>
        <w:t>causes of war, we must understand what leads states to try and to succeed</w:t>
      </w:r>
      <w:r>
        <w:rPr>
          <w:rStyle w:val="StyleUnderline"/>
        </w:rPr>
        <w:t xml:space="preserve"> </w:t>
      </w:r>
      <w:r w:rsidRPr="000D6B74">
        <w:rPr>
          <w:rStyle w:val="StyleUnderline"/>
        </w:rPr>
        <w:t xml:space="preserve">in deterrence. </w:t>
      </w:r>
      <w:r>
        <w:t>To change the status quo, a state usually makes a demand of another state. If one state makes a demand accompanied by a threat and the recipient of the demand does not try deterrence, then the first state gains something and the second loses something. The most famous example of "deterrence not tried" is Britain's and France's acquiescence to Hitler's demands at Munich. If the threatened state tries to deter an attack but fails, then either the states go to war, or the aggressor gains at the expense of its foe. However, if the threatened state tries to deter an attack and succeeds, then the state that is trying to change the status quo fails to attain its goal</w:t>
      </w:r>
      <w:r w:rsidRPr="000D6B74">
        <w:rPr>
          <w:rStyle w:val="StyleUnderline"/>
        </w:rPr>
        <w:t>. To understand which states get what, and when,</w:t>
      </w:r>
      <w:r>
        <w:rPr>
          <w:rStyle w:val="StyleUnderline"/>
        </w:rPr>
        <w:t xml:space="preserve"> </w:t>
      </w:r>
      <w:r w:rsidRPr="000D6B74">
        <w:rPr>
          <w:rStyle w:val="StyleUnderline"/>
        </w:rPr>
        <w:t>one must study deterrence. Similarly, one must study deterrence to know</w:t>
      </w:r>
      <w:r>
        <w:rPr>
          <w:rStyle w:val="StyleUnderline"/>
        </w:rPr>
        <w:t xml:space="preserve"> </w:t>
      </w:r>
      <w:r w:rsidRPr="000D6B74">
        <w:rPr>
          <w:rStyle w:val="StyleUnderline"/>
        </w:rPr>
        <w:t>what leads to its failure and to war.</w:t>
      </w:r>
      <w:r>
        <w:rPr>
          <w:rStyle w:val="StyleUnderline"/>
        </w:rPr>
        <w:t xml:space="preserve"> </w:t>
      </w:r>
      <w:r>
        <w:t xml:space="preserve">Though the details of this book are about deterrence, statesmen and members of the diplomatic corps face the same credibility problem when they engage in other forms of diplomacy. Diplomacy is particularly </w:t>
      </w:r>
      <w:proofErr w:type="spellStart"/>
      <w:r>
        <w:t>nec</w:t>
      </w:r>
      <w:proofErr w:type="spellEnd"/>
      <w:r>
        <w:t xml:space="preserve">- </w:t>
      </w:r>
      <w:proofErr w:type="spellStart"/>
      <w:r>
        <w:t>essary</w:t>
      </w:r>
      <w:proofErr w:type="spellEnd"/>
      <w:r>
        <w:t xml:space="preserve"> when states' interests are not perfectly aligned, when leaders have something to "work out" and often something to hide. For example, in trade, environmental, or arms control negotiations, diplomats usually have an incentive to dissemble about precisely how much their state is willing to give up; pretending to be unmovable can result in a more favor- able bargain. Negotiating partners must ask, "Is this a bluff, or is my negotiating partner truly willing to walk away from the table if s/he does not get this bargain? Should I believe this promise, or does my </w:t>
      </w:r>
      <w:proofErr w:type="spellStart"/>
      <w:r>
        <w:t>negoti</w:t>
      </w:r>
      <w:proofErr w:type="spellEnd"/>
      <w:r>
        <w:t xml:space="preserve">- </w:t>
      </w:r>
      <w:proofErr w:type="spellStart"/>
      <w:r>
        <w:t>ating</w:t>
      </w:r>
      <w:proofErr w:type="spellEnd"/>
      <w:r>
        <w:t xml:space="preserve"> partner have some ulterior motive for making it? Will s/he renege somewhere down the line?" For this reason, </w:t>
      </w:r>
      <w:r w:rsidRPr="000D6B74">
        <w:rPr>
          <w:rStyle w:val="StyleUnderline"/>
        </w:rPr>
        <w:t>it is not clear that diplomacy ever should be an effective</w:t>
      </w:r>
      <w:r>
        <w:rPr>
          <w:rStyle w:val="StyleUnderline"/>
        </w:rPr>
        <w:t xml:space="preserve"> </w:t>
      </w:r>
      <w:r w:rsidRPr="000D6B74">
        <w:rPr>
          <w:rStyle w:val="StyleUnderline"/>
        </w:rPr>
        <w:t>tool of state.</w:t>
      </w:r>
      <w:r>
        <w:t xml:space="preserve"> Yet leaders spend hours in conversation, and most countries employ extensive diplomatic corps. Why does diplomacy ever succeed? When is it more and less likely to work? </w:t>
      </w:r>
    </w:p>
    <w:p w:rsidR="00EE60E4" w:rsidRPr="00284D00" w:rsidRDefault="00EE60E4" w:rsidP="00EE60E4"/>
    <w:p w:rsidR="00EE60E4" w:rsidRPr="00B55AD5" w:rsidRDefault="00EE60E4" w:rsidP="00B55AD5"/>
    <w:sectPr w:rsidR="00EE60E4"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FB5256"/>
    <w:rsid w:val="000139A3"/>
    <w:rsid w:val="0004454B"/>
    <w:rsid w:val="000F490B"/>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769FD"/>
    <w:rsid w:val="0038158C"/>
    <w:rsid w:val="003902BA"/>
    <w:rsid w:val="003A09E2"/>
    <w:rsid w:val="00407037"/>
    <w:rsid w:val="00454683"/>
    <w:rsid w:val="004605D6"/>
    <w:rsid w:val="004C60E8"/>
    <w:rsid w:val="004E3579"/>
    <w:rsid w:val="004E728B"/>
    <w:rsid w:val="004F39E0"/>
    <w:rsid w:val="00537BD5"/>
    <w:rsid w:val="0057268A"/>
    <w:rsid w:val="005B12BF"/>
    <w:rsid w:val="005D2912"/>
    <w:rsid w:val="006065BD"/>
    <w:rsid w:val="00645FA9"/>
    <w:rsid w:val="00647866"/>
    <w:rsid w:val="00665003"/>
    <w:rsid w:val="006A2AD0"/>
    <w:rsid w:val="006C2375"/>
    <w:rsid w:val="006D4ECC"/>
    <w:rsid w:val="00722258"/>
    <w:rsid w:val="007243E5"/>
    <w:rsid w:val="00766EA0"/>
    <w:rsid w:val="007A2226"/>
    <w:rsid w:val="007D2EDE"/>
    <w:rsid w:val="007F5B66"/>
    <w:rsid w:val="00823A1C"/>
    <w:rsid w:val="00845B9D"/>
    <w:rsid w:val="00860984"/>
    <w:rsid w:val="008B3ECB"/>
    <w:rsid w:val="008B4E85"/>
    <w:rsid w:val="008C1B2E"/>
    <w:rsid w:val="0090609C"/>
    <w:rsid w:val="00911CCF"/>
    <w:rsid w:val="0091627E"/>
    <w:rsid w:val="0097032B"/>
    <w:rsid w:val="009C6334"/>
    <w:rsid w:val="009D2EAD"/>
    <w:rsid w:val="009D54B2"/>
    <w:rsid w:val="009E1922"/>
    <w:rsid w:val="009F7ED2"/>
    <w:rsid w:val="00A93661"/>
    <w:rsid w:val="00A95652"/>
    <w:rsid w:val="00AC0AB8"/>
    <w:rsid w:val="00B23F93"/>
    <w:rsid w:val="00B33C6D"/>
    <w:rsid w:val="00B4508F"/>
    <w:rsid w:val="00B55AD5"/>
    <w:rsid w:val="00B8057C"/>
    <w:rsid w:val="00BD6238"/>
    <w:rsid w:val="00BF593B"/>
    <w:rsid w:val="00BF773A"/>
    <w:rsid w:val="00BF7E81"/>
    <w:rsid w:val="00C13773"/>
    <w:rsid w:val="00C17CC8"/>
    <w:rsid w:val="00C83417"/>
    <w:rsid w:val="00C9604F"/>
    <w:rsid w:val="00CA19AA"/>
    <w:rsid w:val="00CB4358"/>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0337"/>
    <w:rsid w:val="00E5262C"/>
    <w:rsid w:val="00EC7DC4"/>
    <w:rsid w:val="00ED30CF"/>
    <w:rsid w:val="00EE60E4"/>
    <w:rsid w:val="00F176EF"/>
    <w:rsid w:val="00F44AB8"/>
    <w:rsid w:val="00F45E10"/>
    <w:rsid w:val="00F6364A"/>
    <w:rsid w:val="00F7160F"/>
    <w:rsid w:val="00F9113A"/>
    <w:rsid w:val="00FB5256"/>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A08DD"/>
  <w15:chartTrackingRefBased/>
  <w15:docId w15:val="{7F253CB2-987E-4DFC-91FB-AB86EA7B5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3">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0F490B"/>
    <w:rPr>
      <w:rFonts w:ascii="Calibri" w:hAnsi="Calibri"/>
    </w:rPr>
  </w:style>
  <w:style w:type="paragraph" w:styleId="Heading1">
    <w:name w:val="heading 1"/>
    <w:aliases w:val="Pocket"/>
    <w:basedOn w:val="Normal"/>
    <w:next w:val="Normal"/>
    <w:link w:val="Heading1Char"/>
    <w:qFormat/>
    <w:rsid w:val="000F490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F490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F490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0F490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F49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490B"/>
  </w:style>
  <w:style w:type="character" w:customStyle="1" w:styleId="Heading1Char">
    <w:name w:val="Heading 1 Char"/>
    <w:aliases w:val="Pocket Char"/>
    <w:basedOn w:val="DefaultParagraphFont"/>
    <w:link w:val="Heading1"/>
    <w:rsid w:val="000F490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F490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F490B"/>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0F490B"/>
    <w:rPr>
      <w:rFonts w:ascii="Calibri" w:eastAsiaTheme="majorEastAsia" w:hAnsi="Calibri" w:cstheme="majorBidi"/>
      <w:b/>
      <w:iCs/>
      <w:sz w:val="26"/>
    </w:rPr>
  </w:style>
  <w:style w:type="character" w:styleId="Emphasis">
    <w:name w:val="Emphasis"/>
    <w:basedOn w:val="DefaultParagraphFont"/>
    <w:uiPriority w:val="7"/>
    <w:qFormat/>
    <w:rsid w:val="000F490B"/>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0F490B"/>
    <w:rPr>
      <w:b/>
      <w:bCs/>
      <w:sz w:val="26"/>
      <w:u w:val="none"/>
    </w:rPr>
  </w:style>
  <w:style w:type="character" w:customStyle="1" w:styleId="StyleUnderline">
    <w:name w:val="Style Underline"/>
    <w:aliases w:val="Underline,Style Bold Underline"/>
    <w:basedOn w:val="DefaultParagraphFont"/>
    <w:uiPriority w:val="6"/>
    <w:qFormat/>
    <w:rsid w:val="000F490B"/>
    <w:rPr>
      <w:b w:val="0"/>
      <w:sz w:val="22"/>
      <w:u w:val="single"/>
    </w:rPr>
  </w:style>
  <w:style w:type="character" w:styleId="Hyperlink">
    <w:name w:val="Hyperlink"/>
    <w:basedOn w:val="DefaultParagraphFont"/>
    <w:uiPriority w:val="99"/>
    <w:semiHidden/>
    <w:unhideWhenUsed/>
    <w:rsid w:val="000F490B"/>
    <w:rPr>
      <w:color w:val="auto"/>
      <w:u w:val="none"/>
    </w:rPr>
  </w:style>
  <w:style w:type="character" w:styleId="FollowedHyperlink">
    <w:name w:val="FollowedHyperlink"/>
    <w:basedOn w:val="DefaultParagraphFont"/>
    <w:uiPriority w:val="99"/>
    <w:semiHidden/>
    <w:unhideWhenUsed/>
    <w:rsid w:val="000F490B"/>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rdan%20Fol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84F41C-2330-4070-BB26-EA48131CCF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101</TotalTime>
  <Pages>11</Pages>
  <Words>5266</Words>
  <Characters>30020</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Foley</dc:creator>
  <cp:keywords>5.1.1</cp:keywords>
  <dc:description/>
  <cp:lastModifiedBy>Jordan Foley</cp:lastModifiedBy>
  <cp:revision>1</cp:revision>
  <dcterms:created xsi:type="dcterms:W3CDTF">2016-07-21T15:24:00Z</dcterms:created>
  <dcterms:modified xsi:type="dcterms:W3CDTF">2016-07-25T06:24:00Z</dcterms:modified>
</cp:coreProperties>
</file>