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CDA" w:rsidRDefault="00633CDA" w:rsidP="00633CDA">
      <w:pPr>
        <w:pStyle w:val="Heading2"/>
      </w:pPr>
      <w:r>
        <w:t xml:space="preserve">at: hollow hope </w:t>
      </w:r>
    </w:p>
    <w:p w:rsidR="00F30B4C" w:rsidRDefault="00F30B4C" w:rsidP="00633CDA">
      <w:pPr>
        <w:pStyle w:val="Heading3"/>
      </w:pPr>
      <w:r>
        <w:t xml:space="preserve">at: hollow hope – 2ac </w:t>
      </w:r>
    </w:p>
    <w:p w:rsidR="00F30B4C" w:rsidRPr="00F30B4C" w:rsidRDefault="00631CC6" w:rsidP="00F30B4C">
      <w:pPr>
        <w:pStyle w:val="Heading4"/>
      </w:pPr>
      <w:r>
        <w:t xml:space="preserve">There is follow through on legislation – </w:t>
      </w:r>
      <w:r w:rsidR="005D7826">
        <w:t>social change comes from action</w:t>
      </w:r>
    </w:p>
    <w:p w:rsidR="00F30B4C" w:rsidRDefault="00F30B4C" w:rsidP="00F30B4C">
      <w:r w:rsidRPr="00F30B4C">
        <w:rPr>
          <w:rStyle w:val="Style13ptBold"/>
        </w:rPr>
        <w:t>Delgado 8 –</w:t>
      </w:r>
      <w:r>
        <w:t xml:space="preserve"> Richard Delgado, University Distinguished Professor of Law &amp; Derrick Bell Fellow, University of Pittsburgh School of Law; University Professor of Law Designate, Seattle University (beginning fall 2008). J.D., U.C. Berkeley School of Law (</w:t>
      </w:r>
      <w:proofErr w:type="spellStart"/>
      <w:r>
        <w:t>Boalt</w:t>
      </w:r>
      <w:proofErr w:type="spellEnd"/>
      <w:r>
        <w:t xml:space="preserve"> Hall), 1974. A COMMENT ON ROSENBERG’S NEW EDITION OF THE HOLLOW HOPE</w:t>
      </w:r>
      <w:r w:rsidR="006E7E93">
        <w:t xml:space="preserve"> KKC</w:t>
      </w:r>
      <w:bookmarkStart w:id="0" w:name="_GoBack"/>
      <w:bookmarkEnd w:id="0"/>
    </w:p>
    <w:p w:rsidR="00F30B4C" w:rsidRDefault="00F30B4C" w:rsidP="006E7E93">
      <w:pPr>
        <w:rPr>
          <w:sz w:val="16"/>
        </w:rPr>
      </w:pPr>
      <w:r w:rsidRPr="006E7E93">
        <w:rPr>
          <w:u w:val="single"/>
        </w:rPr>
        <w:t>Civil disobedience might appear to be a narrow exception to the rule that law generally shapes behavior.14 But the civil disobedient breaks the law openly, nonviolently, and prepared to suffer the consequences.</w:t>
      </w:r>
      <w:r w:rsidRPr="00631CC6">
        <w:rPr>
          <w:sz w:val="16"/>
        </w:rPr>
        <w:t xml:space="preserve">15 </w:t>
      </w:r>
      <w:r w:rsidRPr="006E7E93">
        <w:rPr>
          <w:u w:val="single"/>
        </w:rPr>
        <w:t>Although one could think of it as illustrating law’s inefficacy, civil disobedience occurs rarely enough that it does not shake our faith in the system</w:t>
      </w:r>
      <w:r w:rsidRPr="00631CC6">
        <w:rPr>
          <w:sz w:val="16"/>
        </w:rPr>
        <w:t xml:space="preserve">. And because the violator is prepared to accept punishment, </w:t>
      </w:r>
      <w:r w:rsidRPr="006E7E93">
        <w:rPr>
          <w:u w:val="single"/>
        </w:rPr>
        <w:t>it is scarcely a frontal challenge to that system as a whole</w:t>
      </w:r>
      <w:r w:rsidRPr="00631CC6">
        <w:rPr>
          <w:sz w:val="16"/>
        </w:rPr>
        <w:t xml:space="preserve">. </w:t>
      </w:r>
      <w:r w:rsidR="006E7E93" w:rsidRPr="00631CC6">
        <w:rPr>
          <w:sz w:val="16"/>
        </w:rPr>
        <w:t xml:space="preserve">law openly, nonviolently, and prepared to suffer the consequences.15 </w:t>
      </w:r>
      <w:r w:rsidR="006E7E93" w:rsidRPr="006E7E93">
        <w:rPr>
          <w:rStyle w:val="StyleUnderline"/>
        </w:rPr>
        <w:t xml:space="preserve">Although one could think of it as illustrating law’s inefficacy, civil disobedience occurs rarely enough that </w:t>
      </w:r>
      <w:r w:rsidR="006E7E93" w:rsidRPr="006E7E93">
        <w:rPr>
          <w:rStyle w:val="Emphasis"/>
        </w:rPr>
        <w:t>it does not shake our faith in the system</w:t>
      </w:r>
      <w:r w:rsidR="006E7E93" w:rsidRPr="00631CC6">
        <w:rPr>
          <w:sz w:val="16"/>
        </w:rPr>
        <w:t xml:space="preserve">. And because the violator is prepared to accept punishment, it is scarcely a frontal challenge to that system as a whole. </w:t>
      </w:r>
      <w:r w:rsidR="006E7E93" w:rsidRPr="006E7E93">
        <w:rPr>
          <w:rStyle w:val="Emphasis"/>
        </w:rPr>
        <w:t>The same is true for cases in which a minority group believes the law is both unjust and unlikely to change anytime soon. Then the group may seek actively to frustrate enforcement.</w:t>
      </w:r>
      <w:r w:rsidR="006E7E93" w:rsidRPr="00631CC6">
        <w:rPr>
          <w:sz w:val="16"/>
        </w:rPr>
        <w:t xml:space="preserve"> Anti-snitching campaigns in the black community or efforts by Latino organizations to provide sanctuary or supplies to undocumented immigrants crossing the desert on foot are recent examples.16 But even here, the law exhibits a kind of efficacy—</w:t>
      </w:r>
      <w:r w:rsidR="006E7E93" w:rsidRPr="006E7E93">
        <w:rPr>
          <w:rStyle w:val="Emphasis"/>
        </w:rPr>
        <w:t>the group seeking to nullify it has to go through great efforts and incur considerable risk to do so.</w:t>
      </w:r>
      <w:r w:rsidR="006E7E93" w:rsidRPr="00631CC6">
        <w:rPr>
          <w:sz w:val="16"/>
        </w:rPr>
        <w:t xml:space="preserve"> Everyday experience with cases like these, then, conveys the impression that law ―really </w:t>
      </w:r>
      <w:proofErr w:type="gramStart"/>
      <w:r w:rsidR="006E7E93" w:rsidRPr="00631CC6">
        <w:rPr>
          <w:sz w:val="16"/>
        </w:rPr>
        <w:t>works.‖</w:t>
      </w:r>
      <w:proofErr w:type="gramEnd"/>
      <w:r w:rsidR="006E7E93" w:rsidRPr="00631CC6">
        <w:rPr>
          <w:sz w:val="16"/>
        </w:rPr>
        <w:t xml:space="preserve"> </w:t>
      </w:r>
      <w:r w:rsidR="006E7E93" w:rsidRPr="006E7E93">
        <w:rPr>
          <w:rStyle w:val="Emphasis"/>
        </w:rPr>
        <w:t>How could Rosenberg seemingly maintain the opposite? The reason is that he is really not talking about individual, relatively routine cases where the only question is enforcement. Instead, he explores whether legal rules effectively change broad social attitudes, mores, and practices</w:t>
      </w:r>
      <w:r w:rsidR="006E7E93" w:rsidRPr="00631CC6">
        <w:rPr>
          <w:sz w:val="16"/>
        </w:rPr>
        <w:t xml:space="preserve">. When Brown v. Board of Education came down, did Americans begin thinking about and acting toward blacks differently? By and large they did not; Rosenberg provides impressive evidence on this point.17 When the Supreme Court decided Roe </w:t>
      </w:r>
      <w:proofErr w:type="gramStart"/>
      <w:r w:rsidR="006E7E93" w:rsidRPr="00631CC6">
        <w:rPr>
          <w:sz w:val="16"/>
        </w:rPr>
        <w:t>v.</w:t>
      </w:r>
      <w:proofErr w:type="gramEnd"/>
      <w:r w:rsidR="006E7E93" w:rsidRPr="00631CC6">
        <w:rPr>
          <w:sz w:val="16"/>
        </w:rPr>
        <w:t xml:space="preserve"> Wade, did a woman’s access to abortion services improve? Again, no; social disapproval did the work that an explicit legal prohibition formerly did, so that women desiring abortions were little better off than before.18 And we find the same in other areas where law-reform advocates secure a breakthrough victory.19 Rulings like those upholding same-sex marriage were soon rolled back by narrow construction, administrative foot-dragging, or delay resulting in little progress for the ―victorious‖ group.20</w:t>
      </w:r>
    </w:p>
    <w:p w:rsidR="005D7826" w:rsidRDefault="005D7826" w:rsidP="006E7E93">
      <w:pPr>
        <w:rPr>
          <w:sz w:val="16"/>
        </w:rPr>
      </w:pPr>
    </w:p>
    <w:p w:rsidR="00633CDA" w:rsidRDefault="00F613C1" w:rsidP="00633CDA">
      <w:pPr>
        <w:pStyle w:val="Heading4"/>
      </w:pPr>
      <w:r>
        <w:t xml:space="preserve">Critics were wrong – </w:t>
      </w:r>
      <w:r w:rsidR="00633CDA">
        <w:t>litigation</w:t>
      </w:r>
      <w:r w:rsidR="0059763C">
        <w:t xml:space="preserve"> over </w:t>
      </w:r>
      <w:r w:rsidR="00633CDA">
        <w:t xml:space="preserve">expands broader judicial power and </w:t>
      </w:r>
      <w:r w:rsidR="0059763C">
        <w:t xml:space="preserve">masses significant social reform </w:t>
      </w:r>
      <w:r w:rsidR="00633CDA">
        <w:t xml:space="preserve">for follow through – brown v board proves </w:t>
      </w:r>
    </w:p>
    <w:p w:rsidR="00633CDA" w:rsidRDefault="00633CDA" w:rsidP="00633CDA">
      <w:pPr>
        <w:pStyle w:val="ListParagraph"/>
        <w:numPr>
          <w:ilvl w:val="0"/>
          <w:numId w:val="13"/>
        </w:numPr>
      </w:pPr>
      <w:r w:rsidRPr="00633CDA">
        <w:t xml:space="preserve">Brown v board = massive </w:t>
      </w:r>
      <w:proofErr w:type="spellStart"/>
      <w:r w:rsidR="0059763C">
        <w:t>munnnniees</w:t>
      </w:r>
      <w:proofErr w:type="spellEnd"/>
      <w:r w:rsidR="0059763C">
        <w:t xml:space="preserve"> $$$$$$</w:t>
      </w:r>
      <w:r w:rsidRPr="00633CDA">
        <w:t xml:space="preserve">  </w:t>
      </w:r>
    </w:p>
    <w:p w:rsidR="00633CDA" w:rsidRPr="0059763C" w:rsidRDefault="00633CDA" w:rsidP="00B55AD5">
      <w:r w:rsidRPr="00633CDA">
        <w:rPr>
          <w:rStyle w:val="Style13ptBold"/>
        </w:rPr>
        <w:t xml:space="preserve">Bernstein and </w:t>
      </w:r>
      <w:proofErr w:type="spellStart"/>
      <w:r w:rsidRPr="00633CDA">
        <w:rPr>
          <w:rStyle w:val="Style13ptBold"/>
        </w:rPr>
        <w:t>Somin</w:t>
      </w:r>
      <w:proofErr w:type="spellEnd"/>
      <w:r w:rsidRPr="00633CDA">
        <w:rPr>
          <w:rStyle w:val="Style13ptBold"/>
        </w:rPr>
        <w:t>, 4 –</w:t>
      </w:r>
      <w:r>
        <w:rPr>
          <w:rStyle w:val="Style13ptBold"/>
        </w:rPr>
        <w:t xml:space="preserve"> </w:t>
      </w:r>
      <w:r w:rsidRPr="0059763C">
        <w:t xml:space="preserve">David E. Bernstein, Professor, George Mason University School of Law; B.A., Brandeis University, 1988; J.D., Yale Law School, 1991. and Ilya </w:t>
      </w:r>
      <w:proofErr w:type="spellStart"/>
      <w:r w:rsidRPr="0059763C">
        <w:t>Somin</w:t>
      </w:r>
      <w:proofErr w:type="spellEnd"/>
      <w:r w:rsidRPr="0059763C">
        <w:t xml:space="preserve">, Assistant Professor of Law, George Mason University School of Law; B.A., Amherst College, 1995; J.D., Yale Law School, 2001; M.A., Harvard University Department of Government, 1997, Ph.D. expected. Michael </w:t>
      </w:r>
      <w:proofErr w:type="spellStart"/>
      <w:r w:rsidRPr="0059763C">
        <w:t>Abramowicz</w:t>
      </w:r>
      <w:proofErr w:type="spellEnd"/>
      <w:r w:rsidRPr="0059763C">
        <w:t xml:space="preserve">, Charles Bolton, Jim Ely, Richard Friedman, Michael </w:t>
      </w:r>
      <w:proofErr w:type="spellStart"/>
      <w:r w:rsidRPr="0059763C">
        <w:t>Klarman</w:t>
      </w:r>
      <w:proofErr w:type="spellEnd"/>
      <w:r w:rsidRPr="0059763C">
        <w:t xml:space="preserve">, John McGinnis, and Mark </w:t>
      </w:r>
      <w:proofErr w:type="spellStart"/>
      <w:r w:rsidRPr="0059763C">
        <w:t>Tushnet</w:t>
      </w:r>
      <w:proofErr w:type="spellEnd"/>
      <w:r w:rsidRPr="0059763C">
        <w:t xml:space="preserve"> provided helpful comments and suggestions. Yale Law Journal Company Yale Law Journal December, 2004 Yale Law Journal 114 Yale L.J. 591 KKC</w:t>
      </w:r>
    </w:p>
    <w:p w:rsidR="00633CDA" w:rsidRDefault="00633CDA" w:rsidP="00B55AD5">
      <w:r>
        <w:t xml:space="preserve">A. Brown's Neglected Anticipatory Impact </w:t>
      </w:r>
    </w:p>
    <w:p w:rsidR="00633CDA" w:rsidRDefault="00633CDA" w:rsidP="00B55AD5">
      <w:pPr>
        <w:rPr>
          <w:rStyle w:val="StyleUnderline"/>
        </w:rPr>
      </w:pPr>
      <w:proofErr w:type="spellStart"/>
      <w:r w:rsidRPr="00633CDA">
        <w:rPr>
          <w:rStyle w:val="StyleUnderline"/>
        </w:rPr>
        <w:t>Klarman</w:t>
      </w:r>
      <w:proofErr w:type="spellEnd"/>
      <w:r w:rsidRPr="00633CDA">
        <w:rPr>
          <w:rStyle w:val="StyleUnderline"/>
        </w:rPr>
        <w:t xml:space="preserve"> and other Brown skeptics have almost completely ignored the striking fact that the case had a major positive impact on the education of Southern blacks even before it was decided.</w:t>
      </w:r>
      <w:r w:rsidRPr="0059763C">
        <w:rPr>
          <w:sz w:val="12"/>
        </w:rPr>
        <w:t xml:space="preserve"> As </w:t>
      </w:r>
      <w:proofErr w:type="spellStart"/>
      <w:r w:rsidRPr="0059763C">
        <w:rPr>
          <w:sz w:val="12"/>
        </w:rPr>
        <w:t>Klarman</w:t>
      </w:r>
      <w:proofErr w:type="spellEnd"/>
      <w:r w:rsidRPr="0059763C">
        <w:rPr>
          <w:sz w:val="12"/>
        </w:rPr>
        <w:t xml:space="preserve"> recognizes, several Southern states, including staunchly segregationist South Carolina and Mississippi, adopted "crash equalization programs that promised rapid redress of educational inequalities in black schools." n329 </w:t>
      </w:r>
      <w:proofErr w:type="spellStart"/>
      <w:r w:rsidRPr="0059763C">
        <w:rPr>
          <w:sz w:val="12"/>
        </w:rPr>
        <w:t>Klarman</w:t>
      </w:r>
      <w:proofErr w:type="spellEnd"/>
      <w:r w:rsidRPr="0059763C">
        <w:rPr>
          <w:sz w:val="12"/>
        </w:rPr>
        <w:t xml:space="preserve"> acknowledges in passing that these measures were in part "a response . . . to the threat of desegregation litigation," n330 </w:t>
      </w:r>
      <w:r w:rsidRPr="00633CDA">
        <w:rPr>
          <w:rStyle w:val="StyleUnderline"/>
        </w:rPr>
        <w:t>but fails to consider the implications of this fact for his broader theory of judicial power.</w:t>
      </w:r>
      <w:r w:rsidRPr="0059763C">
        <w:rPr>
          <w:sz w:val="12"/>
        </w:rPr>
        <w:t xml:space="preserve"> </w:t>
      </w:r>
      <w:r w:rsidRPr="00633CDA">
        <w:rPr>
          <w:rStyle w:val="Emphasis"/>
        </w:rPr>
        <w:t>This evidence conflicts with the revisionist claim that seeking social justice through litigation is a purely "hollow hope."</w:t>
      </w:r>
      <w:r w:rsidRPr="0059763C">
        <w:rPr>
          <w:sz w:val="12"/>
        </w:rPr>
        <w:t xml:space="preserve"> n331 </w:t>
      </w:r>
      <w:proofErr w:type="gramStart"/>
      <w:r w:rsidRPr="00633CDA">
        <w:rPr>
          <w:rStyle w:val="Emphasis"/>
        </w:rPr>
        <w:t>At</w:t>
      </w:r>
      <w:proofErr w:type="gramEnd"/>
      <w:r w:rsidRPr="00633CDA">
        <w:rPr>
          <w:rStyle w:val="Emphasis"/>
        </w:rPr>
        <w:t xml:space="preserve"> the very least, the Brown litigation was bound to cause a massive increase in spending on the public schools most blacks attended.</w:t>
      </w:r>
      <w:r w:rsidR="0059763C">
        <w:rPr>
          <w:rStyle w:val="Emphasis"/>
        </w:rPr>
        <w:t xml:space="preserve"> </w:t>
      </w:r>
      <w:r w:rsidRPr="0059763C">
        <w:rPr>
          <w:sz w:val="12"/>
        </w:rPr>
        <w:t xml:space="preserve">In </w:t>
      </w:r>
      <w:r w:rsidRPr="00633CDA">
        <w:rPr>
          <w:rStyle w:val="StyleUnderline"/>
        </w:rPr>
        <w:t>South Carolina in 1951</w:t>
      </w:r>
      <w:r w:rsidRPr="0059763C">
        <w:rPr>
          <w:sz w:val="12"/>
        </w:rPr>
        <w:t xml:space="preserve">, Governor James </w:t>
      </w:r>
      <w:r w:rsidRPr="00633CDA">
        <w:rPr>
          <w:rStyle w:val="Emphasis"/>
        </w:rPr>
        <w:t>Byrnes persuaded the state legislature to pass a seventy-five-million-dollar education spending package that he said was intended to ""provide for the races substantial equality in school facilities.'"</w:t>
      </w:r>
      <w:r w:rsidRPr="0059763C">
        <w:rPr>
          <w:sz w:val="12"/>
        </w:rPr>
        <w:t xml:space="preserve"> n332 This school equalization legislation was closely coordinated with South Carolina's legal strategy in the ongoing case of Briggs v. Elliott, the South Carolina school desegregation case that eventually became one of five desegregation cases consolidated into Brown. n333 Moreover, it is important to note that Byrnes not only promised an increase in spending, but actually implemented it. Spending on black schools in South Carolina and some other states "rose greatly between 1950 and 1954," the period during which Brown and related cases were making their way to the Supreme Court. n334</w:t>
      </w:r>
      <w:r w:rsidR="0059763C" w:rsidRPr="0059763C">
        <w:rPr>
          <w:sz w:val="12"/>
        </w:rPr>
        <w:t xml:space="preserve"> </w:t>
      </w:r>
      <w:r w:rsidRPr="0059763C">
        <w:rPr>
          <w:sz w:val="12"/>
        </w:rPr>
        <w:t>[*648]</w:t>
      </w:r>
      <w:r w:rsidR="0059763C" w:rsidRPr="0059763C">
        <w:rPr>
          <w:sz w:val="12"/>
        </w:rPr>
        <w:t xml:space="preserve"> </w:t>
      </w:r>
      <w:r w:rsidRPr="0059763C">
        <w:rPr>
          <w:u w:val="single"/>
        </w:rPr>
        <w:t>An almost equally large school equalization spending program was adopted by Mississippi</w:t>
      </w:r>
      <w:r w:rsidRPr="0059763C">
        <w:rPr>
          <w:sz w:val="12"/>
        </w:rPr>
        <w:t xml:space="preserve">. n335 Despite many shortcomings, the program did increase spending on black schools and raise the salaries of black teachers from thirty-nine percent of white salaries in 1950 to fifty-six percent in 1953-1954. n336 Like South Carolina's program, Mississippi's was adopted for the explicit purpose of heading off a federal court decision ordering desegregation. n337 </w:t>
      </w:r>
      <w:r w:rsidRPr="0059763C">
        <w:rPr>
          <w:u w:val="single"/>
        </w:rPr>
        <w:t>Both programs represented a major departure from earlier policies.</w:t>
      </w:r>
      <w:r w:rsidR="0059763C" w:rsidRPr="0059763C">
        <w:rPr>
          <w:sz w:val="12"/>
        </w:rPr>
        <w:t xml:space="preserve"> </w:t>
      </w:r>
      <w:r w:rsidRPr="0059763C">
        <w:rPr>
          <w:sz w:val="12"/>
        </w:rPr>
        <w:t xml:space="preserve">Although this Review is by no means the only scholarly work to discuss these events, </w:t>
      </w:r>
      <w:r w:rsidRPr="0059763C">
        <w:rPr>
          <w:rStyle w:val="Emphasis"/>
        </w:rPr>
        <w:t xml:space="preserve">their implications for debates about Brown and judicial power have not been appreciated either by </w:t>
      </w:r>
      <w:proofErr w:type="spellStart"/>
      <w:r w:rsidRPr="0059763C">
        <w:rPr>
          <w:rStyle w:val="Emphasis"/>
        </w:rPr>
        <w:t>Klarman</w:t>
      </w:r>
      <w:proofErr w:type="spellEnd"/>
      <w:r w:rsidRPr="0059763C">
        <w:rPr>
          <w:rStyle w:val="Emphasis"/>
        </w:rPr>
        <w:t xml:space="preserve"> or his predecessors</w:t>
      </w:r>
      <w:r w:rsidRPr="0059763C">
        <w:rPr>
          <w:sz w:val="12"/>
        </w:rPr>
        <w:t xml:space="preserve">. The South Carolina and Mississippi programs, as well as similar though </w:t>
      </w:r>
      <w:r w:rsidRPr="0059763C">
        <w:rPr>
          <w:rStyle w:val="StyleUnderline"/>
        </w:rPr>
        <w:t>smaller efforts in other states</w:t>
      </w:r>
      <w:r w:rsidRPr="0059763C">
        <w:rPr>
          <w:sz w:val="12"/>
        </w:rPr>
        <w:t xml:space="preserve">, n338 </w:t>
      </w:r>
      <w:r w:rsidRPr="0059763C">
        <w:rPr>
          <w:rStyle w:val="Emphasis"/>
        </w:rPr>
        <w:t>were clearly caused by fear of federal judicial intervention rather than by autonomous political or social forces within the affected states themselves</w:t>
      </w:r>
      <w:r w:rsidRPr="0059763C">
        <w:rPr>
          <w:sz w:val="12"/>
        </w:rPr>
        <w:t>. While Byrnes was a relatively moderate segregationist who "opposed the more blatant forms of white repression" of blacks, n339 the timing of his school equalization program, its close coordination with the state's litigation strategy in Brown, and Byrnes's own private explanations of his motives n340 make it clear that staving off federal judicial involvement was his primary objective.</w:t>
      </w:r>
      <w:r w:rsidR="0059763C" w:rsidRPr="0059763C">
        <w:rPr>
          <w:sz w:val="12"/>
        </w:rPr>
        <w:t xml:space="preserve"> </w:t>
      </w:r>
      <w:r w:rsidRPr="0059763C">
        <w:rPr>
          <w:sz w:val="12"/>
        </w:rPr>
        <w:t xml:space="preserve">As for Mississippi, the South's poorest and perhaps most vehemently racist state n341 would not have undertaken large expenditures intended to reduce the massive inequalities between black and white schools on its own independent initiative. Thus, it is clear that the mere threat of a Brown decision had a large and beneficial impact on Southern black education as much as several years before the Supreme Court actually reached its decision. In this context, Derrick Bell's well-known argument that the Brown Court should have given up on desegregation and instead required state governments to fairly implement Plessy-style "separate but equal" schooling seems unintentionally ironic. n342 It was precisely the threat </w:t>
      </w:r>
      <w:proofErr w:type="gramStart"/>
      <w:r w:rsidRPr="0059763C">
        <w:rPr>
          <w:sz w:val="12"/>
        </w:rPr>
        <w:t>of  [</w:t>
      </w:r>
      <w:proofErr w:type="gramEnd"/>
      <w:r w:rsidRPr="0059763C">
        <w:rPr>
          <w:sz w:val="12"/>
        </w:rPr>
        <w:t xml:space="preserve">*649]  desegregation that at long last made possible even partial realization of the promise of "equality" under the "separate but equal" standard. </w:t>
      </w:r>
      <w:r w:rsidRPr="0059763C">
        <w:rPr>
          <w:rStyle w:val="StyleUnderline"/>
        </w:rPr>
        <w:t>Obviously, the funding equalization programs instituted by several Southern states could not and did not eliminate the inequality inherent in Jim Crow segregated education</w:t>
      </w:r>
      <w:r w:rsidRPr="0059763C">
        <w:rPr>
          <w:sz w:val="12"/>
        </w:rPr>
        <w:t xml:space="preserve">. n343 </w:t>
      </w:r>
      <w:r w:rsidRPr="0059763C">
        <w:rPr>
          <w:rStyle w:val="StyleUnderline"/>
        </w:rPr>
        <w:t>They did, however, mark a significant improvement over the prior status quo.</w:t>
      </w:r>
    </w:p>
    <w:p w:rsidR="00F613C1" w:rsidRDefault="00F613C1" w:rsidP="00F613C1">
      <w:pPr>
        <w:pStyle w:val="Heading4"/>
      </w:pPr>
      <w:r>
        <w:t xml:space="preserve">Court action can spur change – gay rights proves </w:t>
      </w:r>
    </w:p>
    <w:p w:rsidR="00F613C1" w:rsidRDefault="00F613C1" w:rsidP="00F613C1">
      <w:proofErr w:type="spellStart"/>
      <w:r w:rsidRPr="00F3676F">
        <w:rPr>
          <w:rStyle w:val="Style13ptBold"/>
        </w:rPr>
        <w:t>Stoutenborough</w:t>
      </w:r>
      <w:proofErr w:type="spellEnd"/>
      <w:r w:rsidRPr="00F3676F">
        <w:rPr>
          <w:rStyle w:val="Style13ptBold"/>
        </w:rPr>
        <w:t xml:space="preserve"> et. Al. 6 –</w:t>
      </w:r>
      <w:r>
        <w:t xml:space="preserve"> James W. </w:t>
      </w:r>
      <w:proofErr w:type="spellStart"/>
      <w:r>
        <w:t>Stoutenborough</w:t>
      </w:r>
      <w:proofErr w:type="spellEnd"/>
      <w:r>
        <w:t xml:space="preserve">, Donald P. </w:t>
      </w:r>
      <w:proofErr w:type="spellStart"/>
      <w:r>
        <w:t>Haider</w:t>
      </w:r>
      <w:proofErr w:type="spellEnd"/>
      <w:r>
        <w:t xml:space="preserve">-Markel and </w:t>
      </w:r>
      <w:proofErr w:type="spellStart"/>
      <w:r>
        <w:t>Mahalley</w:t>
      </w:r>
      <w:proofErr w:type="spellEnd"/>
      <w:r>
        <w:t xml:space="preserve"> D. Allen Source: Political Research Quarterly, Vol. 59, No. 3 (Sep., 2006), pp. 419-433, University of Utah, http://www.jstor.org/stable/4148043</w:t>
      </w:r>
    </w:p>
    <w:p w:rsidR="00F613C1" w:rsidRDefault="00F613C1" w:rsidP="00F613C1">
      <w:r>
        <w:t xml:space="preserve">SUPREME COURT DECISIONS ON GAY CIVIL RIGHTS AND PUBLIC OPINION </w:t>
      </w:r>
    </w:p>
    <w:p w:rsidR="00F613C1" w:rsidRPr="00F3676F" w:rsidRDefault="00F613C1" w:rsidP="00F613C1">
      <w:r w:rsidRPr="00F3676F">
        <w:rPr>
          <w:rStyle w:val="StyleUnderline"/>
        </w:rPr>
        <w:t xml:space="preserve">The U.S. Supreme Court has heard arguments on four significant cases on gay civil rights: Bowers v. </w:t>
      </w:r>
      <w:proofErr w:type="spellStart"/>
      <w:r w:rsidRPr="00F3676F">
        <w:rPr>
          <w:rStyle w:val="StyleUnderline"/>
        </w:rPr>
        <w:t>Hardmck</w:t>
      </w:r>
      <w:proofErr w:type="spellEnd"/>
      <w:r>
        <w:t xml:space="preserve"> (Georgia 1986h </w:t>
      </w:r>
      <w:proofErr w:type="spellStart"/>
      <w:r>
        <w:t>Romer</w:t>
      </w:r>
      <w:proofErr w:type="spellEnd"/>
      <w:r>
        <w:t xml:space="preserve"> v. Evans (Colorado, 1996); Boy Scouts </w:t>
      </w:r>
      <w:proofErr w:type="gramStart"/>
      <w:r>
        <w:t>Of</w:t>
      </w:r>
      <w:proofErr w:type="gramEnd"/>
      <w:r>
        <w:t xml:space="preserve"> America v. Dale (New Jersey, 2000); and Lawrence v. Texas (Texas. 2003). In Bowers v. Hardwick, the Supreme Court upheld sodomy law in a 5-4 vote, </w:t>
      </w:r>
      <w:r w:rsidRPr="005E4680">
        <w:rPr>
          <w:u w:val="single"/>
        </w:rPr>
        <w:t>ruli</w:t>
      </w:r>
      <w:r w:rsidRPr="005E4680">
        <w:rPr>
          <w:rStyle w:val="StyleUnderline"/>
        </w:rPr>
        <w:t xml:space="preserve">ng that the Constitution does not confer upon homosexuals a fundamental right to engage </w:t>
      </w:r>
      <w:proofErr w:type="gramStart"/>
      <w:r w:rsidRPr="005E4680">
        <w:rPr>
          <w:rStyle w:val="StyleUnderline"/>
        </w:rPr>
        <w:t>In</w:t>
      </w:r>
      <w:proofErr w:type="gramEnd"/>
      <w:r w:rsidRPr="005E4680">
        <w:rPr>
          <w:rStyle w:val="StyleUnderline"/>
        </w:rPr>
        <w:t xml:space="preserve"> sodomy In the second case, </w:t>
      </w:r>
      <w:proofErr w:type="spellStart"/>
      <w:r w:rsidRPr="005E4680">
        <w:rPr>
          <w:rStyle w:val="StyleUnderline"/>
        </w:rPr>
        <w:t>Romer</w:t>
      </w:r>
      <w:proofErr w:type="spellEnd"/>
      <w:r w:rsidRPr="005E4680">
        <w:rPr>
          <w:rStyle w:val="StyleUnderline"/>
        </w:rPr>
        <w:t xml:space="preserve"> v, Evans. </w:t>
      </w:r>
      <w:r>
        <w:t xml:space="preserve">the Court, with a </w:t>
      </w:r>
      <w:proofErr w:type="spellStart"/>
      <w:r>
        <w:t>sivvote</w:t>
      </w:r>
      <w:proofErr w:type="spellEnd"/>
      <w:r>
        <w:t xml:space="preserve"> </w:t>
      </w:r>
      <w:proofErr w:type="spellStart"/>
      <w:r>
        <w:t>maoority</w:t>
      </w:r>
      <w:proofErr w:type="spellEnd"/>
      <w:r>
        <w:t xml:space="preserve">, struck down a Colorado state constitutional amendment that pro• </w:t>
      </w:r>
      <w:proofErr w:type="spellStart"/>
      <w:r>
        <w:t>hibited</w:t>
      </w:r>
      <w:proofErr w:type="spellEnd"/>
      <w:r>
        <w:t xml:space="preserve"> civil rights protections for gays and lesbians. In Boy Scouts of America Dale, the Court upheld, in a 54 vote, a Boy Scout policy excluding gays from joining the </w:t>
      </w:r>
      <w:proofErr w:type="spellStart"/>
      <w:r>
        <w:t>organiza</w:t>
      </w:r>
      <w:proofErr w:type="spellEnd"/>
      <w:r>
        <w:t xml:space="preserve">- </w:t>
      </w:r>
      <w:proofErr w:type="spellStart"/>
      <w:r>
        <w:t>tion</w:t>
      </w:r>
      <w:proofErr w:type="spellEnd"/>
      <w:r>
        <w:t xml:space="preserve">, ruling that a New Jersey law requiring the Boy Scouts to admit gays violated their First Amendment </w:t>
      </w:r>
      <w:proofErr w:type="spellStart"/>
      <w:r>
        <w:t>nght</w:t>
      </w:r>
      <w:proofErr w:type="spellEnd"/>
      <w:r>
        <w:t xml:space="preserve"> </w:t>
      </w:r>
      <w:proofErr w:type="gramStart"/>
      <w:r>
        <w:t>Of</w:t>
      </w:r>
      <w:proofErr w:type="gramEnd"/>
      <w:r>
        <w:t xml:space="preserve"> expressive association. In the last case, Lawrence v. Texas, the Court overruled its decision in Bowers (5-3, with O'Connor concurring) and struck down all state sodomy laws, including laws that banned both homosexual and het- </w:t>
      </w:r>
      <w:proofErr w:type="spellStart"/>
      <w:r>
        <w:t>erosexual</w:t>
      </w:r>
      <w:proofErr w:type="spellEnd"/>
      <w:r>
        <w:t xml:space="preserve"> sodomy, as well as those that only banned homo- sexual sodomy. finding that they did not further a legitimate State </w:t>
      </w:r>
      <w:proofErr w:type="gramStart"/>
      <w:r>
        <w:t>interest</w:t>
      </w:r>
      <w:proofErr w:type="gramEnd"/>
      <w:r>
        <w:t xml:space="preserve"> The majority opinion also stated that the right to liberty and privacy under the Fourteenth Due Process Clause gives citizens the right to engage in </w:t>
      </w:r>
      <w:proofErr w:type="spellStart"/>
      <w:r>
        <w:t>pri</w:t>
      </w:r>
      <w:proofErr w:type="spellEnd"/>
      <w:r>
        <w:t xml:space="preserve">- </w:t>
      </w:r>
      <w:proofErr w:type="spellStart"/>
      <w:r>
        <w:t>vate</w:t>
      </w:r>
      <w:proofErr w:type="spellEnd"/>
      <w:r>
        <w:t xml:space="preserve"> sexual conduct without government intervention. Based on case-specific context. each of these cases could be argued to involve gender or privacy issues and could therefore result in significant shifts in opinion. </w:t>
      </w:r>
      <w:proofErr w:type="gramStart"/>
      <w:r>
        <w:t>Likewise</w:t>
      </w:r>
      <w:proofErr w:type="gramEnd"/>
      <w:r>
        <w:t xml:space="preserve">. in each of these cases the Court issued full. written opinions. providing an additional condition under which opinion However, none of these cases involved a unanimous </w:t>
      </w:r>
      <w:proofErr w:type="spellStart"/>
      <w:r>
        <w:t>deci</w:t>
      </w:r>
      <w:proofErr w:type="spellEnd"/>
      <w:r>
        <w:t xml:space="preserve">- </w:t>
      </w:r>
      <w:proofErr w:type="spellStart"/>
      <w:r>
        <w:t>sion</w:t>
      </w:r>
      <w:proofErr w:type="spellEnd"/>
      <w:r>
        <w:t xml:space="preserve">, and each tended to reflect a divided Court, making public opinion shifts less likely. In terms of the legitimation hypothesis, in order for the public to be persuaded by Court decisions the public must first have confidence in the Court or have favorable views toward the Court. An examination of Gallup and Pew polls on favorability the year prior to each of the four cases pro- </w:t>
      </w:r>
      <w:proofErr w:type="spellStart"/>
      <w:r>
        <w:t>duces</w:t>
      </w:r>
      <w:proofErr w:type="spellEnd"/>
      <w:r>
        <w:t xml:space="preserve"> the following: 1985, 64 percent; 1995, 75 percent; 1999, 65 percent; and 2002, 60 percent. Thus, prior to decisions in each case a significant majority of the public had favorable attitudes toward the Court, which meets a conditional element of the legitimation hypothesis. The next condition is that the public be knowledgeable about a decision. Although we do not have consistent data on public knowledge of these cases, we can presume greater public knowledge when media coverage of a case is high. Table I displays national newspaper coverage of each case. The table also includes the coverage in the state capital newspaper for which each case originated. Overall we know that coverage of gay rights cases by the national and local media has increased significantly since the 1970s (</w:t>
      </w:r>
      <w:proofErr w:type="spellStart"/>
      <w:r>
        <w:t>Haider</w:t>
      </w:r>
      <w:proofErr w:type="spellEnd"/>
      <w:r>
        <w:t xml:space="preserve">- Markel 1999b), and this pattern is reflected in Table l. We can also determine from Table I that each case received a fair amount of coverage and that coverage has tended to increase over time. This pattern suggests that Court </w:t>
      </w:r>
      <w:proofErr w:type="spellStart"/>
      <w:r>
        <w:t>deci</w:t>
      </w:r>
      <w:proofErr w:type="spellEnd"/>
      <w:r>
        <w:t xml:space="preserve">- </w:t>
      </w:r>
      <w:proofErr w:type="spellStart"/>
      <w:r>
        <w:t>sions</w:t>
      </w:r>
      <w:proofErr w:type="spellEnd"/>
      <w:r>
        <w:t xml:space="preserve"> in these cases were highly salient in the media, making it more likely that citizens were aware of the decisions (Hoekstra 2003). </w:t>
      </w:r>
    </w:p>
    <w:p w:rsidR="0059763C" w:rsidRPr="0059763C" w:rsidRDefault="0059763C" w:rsidP="0059763C">
      <w:pPr>
        <w:pStyle w:val="Heading3"/>
      </w:pPr>
      <w:r>
        <w:t xml:space="preserve">at: </w:t>
      </w:r>
      <w:proofErr w:type="spellStart"/>
      <w:r w:rsidRPr="0059763C">
        <w:t>K</w:t>
      </w:r>
      <w:r>
        <w:t>larman</w:t>
      </w:r>
      <w:proofErr w:type="spellEnd"/>
      <w:r>
        <w:t xml:space="preserve">, Rosenberg, Bell, </w:t>
      </w:r>
      <w:proofErr w:type="spellStart"/>
      <w:r>
        <w:t>etc</w:t>
      </w:r>
      <w:proofErr w:type="spellEnd"/>
      <w:r>
        <w:t xml:space="preserve"> – desegregation</w:t>
      </w:r>
    </w:p>
    <w:p w:rsidR="0059763C" w:rsidRDefault="00F613C1" w:rsidP="0059763C">
      <w:pPr>
        <w:pStyle w:val="Heading4"/>
      </w:pPr>
      <w:proofErr w:type="spellStart"/>
      <w:r>
        <w:t>Klarman</w:t>
      </w:r>
      <w:proofErr w:type="spellEnd"/>
      <w:r>
        <w:t xml:space="preserve">, Rosenberg, bell </w:t>
      </w:r>
      <w:proofErr w:type="spellStart"/>
      <w:r>
        <w:t>etc</w:t>
      </w:r>
      <w:proofErr w:type="spellEnd"/>
      <w:r>
        <w:t xml:space="preserve"> are all </w:t>
      </w:r>
      <w:r w:rsidR="0059763C">
        <w:t>wrong – desegregation efforts do stimulate desegregation – Brown v Board proves</w:t>
      </w:r>
    </w:p>
    <w:p w:rsidR="0059763C" w:rsidRPr="0059763C" w:rsidRDefault="0059763C" w:rsidP="00B55AD5">
      <w:r w:rsidRPr="00633CDA">
        <w:rPr>
          <w:rStyle w:val="Style13ptBold"/>
        </w:rPr>
        <w:t xml:space="preserve">Bernstein and </w:t>
      </w:r>
      <w:proofErr w:type="spellStart"/>
      <w:r w:rsidRPr="00633CDA">
        <w:rPr>
          <w:rStyle w:val="Style13ptBold"/>
        </w:rPr>
        <w:t>Somin</w:t>
      </w:r>
      <w:proofErr w:type="spellEnd"/>
      <w:r w:rsidRPr="00633CDA">
        <w:rPr>
          <w:rStyle w:val="Style13ptBold"/>
        </w:rPr>
        <w:t>, 4 –</w:t>
      </w:r>
      <w:r>
        <w:rPr>
          <w:rStyle w:val="Style13ptBold"/>
        </w:rPr>
        <w:t xml:space="preserve"> </w:t>
      </w:r>
      <w:r w:rsidRPr="0059763C">
        <w:t xml:space="preserve">David E. Bernstein, Professor, George Mason University School of Law; B.A., Brandeis University, 1988; J.D., Yale Law School, 1991. and Ilya </w:t>
      </w:r>
      <w:proofErr w:type="spellStart"/>
      <w:r w:rsidRPr="0059763C">
        <w:t>Somin</w:t>
      </w:r>
      <w:proofErr w:type="spellEnd"/>
      <w:r w:rsidRPr="0059763C">
        <w:t xml:space="preserve">, Assistant Professor of Law, George Mason University School of Law; B.A., Amherst College, 1995; J.D., Yale Law School, 2001; M.A., Harvard University Department of Government, 1997, Ph.D. expected. Michael </w:t>
      </w:r>
      <w:proofErr w:type="spellStart"/>
      <w:r w:rsidRPr="0059763C">
        <w:t>Abramowicz</w:t>
      </w:r>
      <w:proofErr w:type="spellEnd"/>
      <w:r w:rsidRPr="0059763C">
        <w:t xml:space="preserve">, Charles Bolton, Jim Ely, Richard Friedman, Michael </w:t>
      </w:r>
      <w:proofErr w:type="spellStart"/>
      <w:r w:rsidRPr="0059763C">
        <w:t>Klarman</w:t>
      </w:r>
      <w:proofErr w:type="spellEnd"/>
      <w:r w:rsidRPr="0059763C">
        <w:t xml:space="preserve">, John McGinnis, and Mark </w:t>
      </w:r>
      <w:proofErr w:type="spellStart"/>
      <w:r w:rsidRPr="0059763C">
        <w:t>Tushnet</w:t>
      </w:r>
      <w:proofErr w:type="spellEnd"/>
      <w:r w:rsidRPr="0059763C">
        <w:t xml:space="preserve"> provided helpful comments and suggestions. Yale Law Journal Company Yale Law Journal December, 2004 Yale Law Journal 114 Yale L.J. 591 KKC</w:t>
      </w:r>
    </w:p>
    <w:p w:rsidR="00A95652" w:rsidRDefault="00633CDA" w:rsidP="00B55AD5">
      <w:pPr>
        <w:rPr>
          <w:sz w:val="14"/>
        </w:rPr>
      </w:pPr>
      <w:r w:rsidRPr="00F30B4C">
        <w:rPr>
          <w:rStyle w:val="Emphasis"/>
        </w:rPr>
        <w:t xml:space="preserve">There is an even more important implication of the equalization programs for the debate over Brown's efficacy. </w:t>
      </w:r>
      <w:proofErr w:type="spellStart"/>
      <w:r w:rsidRPr="00F30B4C">
        <w:rPr>
          <w:rStyle w:val="Emphasis"/>
        </w:rPr>
        <w:t>Klarman</w:t>
      </w:r>
      <w:proofErr w:type="spellEnd"/>
      <w:r w:rsidRPr="00F30B4C">
        <w:rPr>
          <w:rStyle w:val="Emphasis"/>
        </w:rPr>
        <w:t>, Rosenberg, Bell, and other critics have repeatedly argued that Brown was largely ineffective in stimulating desegregation</w:t>
      </w:r>
      <w:r w:rsidRPr="00F30B4C">
        <w:rPr>
          <w:sz w:val="14"/>
        </w:rPr>
        <w:t xml:space="preserve">. Yet James </w:t>
      </w:r>
      <w:r w:rsidRPr="00F30B4C">
        <w:rPr>
          <w:rStyle w:val="StyleUnderline"/>
        </w:rPr>
        <w:t>Byrnes and other segregationist political leaders clearly were not so sanguine as they contemplated the prospect of a pro-integration decision by the Supreme Court</w:t>
      </w:r>
      <w:r w:rsidRPr="00F30B4C">
        <w:rPr>
          <w:sz w:val="14"/>
        </w:rPr>
        <w:t xml:space="preserve">. Had they expected such a decision to be ineffective, they would not have tried to head it off by allocating public expenditures for the benefit of blacks, most of whom still lacked the vote or any other form of political power. </w:t>
      </w:r>
      <w:r w:rsidRPr="00F30B4C">
        <w:rPr>
          <w:rStyle w:val="StyleUnderline"/>
        </w:rPr>
        <w:t>Rather</w:t>
      </w:r>
      <w:r w:rsidRPr="00F30B4C">
        <w:rPr>
          <w:sz w:val="14"/>
        </w:rPr>
        <w:t xml:space="preserve">, </w:t>
      </w:r>
      <w:r w:rsidRPr="00F30B4C">
        <w:rPr>
          <w:rStyle w:val="StyleUnderline"/>
        </w:rPr>
        <w:t>these politicians probably would have preferred to spend the money on white constituencies that could help them win reelection.</w:t>
      </w:r>
      <w:r w:rsidRPr="00F30B4C">
        <w:rPr>
          <w:sz w:val="14"/>
        </w:rPr>
        <w:t xml:space="preserve"> </w:t>
      </w:r>
      <w:r w:rsidRPr="00F30B4C">
        <w:rPr>
          <w:rStyle w:val="Emphasis"/>
        </w:rPr>
        <w:t>The belief of Byrnes and other Southern leaders that a Supreme Court decision in favor of school integration would have significant consequences - and even more so their willingness to back that belief with large public expenditures that otherwise could have been spent on politically powerful white interests rather than powerless blacks</w:t>
      </w:r>
      <w:r w:rsidRPr="00F30B4C">
        <w:rPr>
          <w:sz w:val="14"/>
        </w:rPr>
        <w:t xml:space="preserve"> - </w:t>
      </w:r>
      <w:r w:rsidRPr="00F30B4C">
        <w:rPr>
          <w:rStyle w:val="StyleUnderline"/>
        </w:rPr>
        <w:t>should give pause to scholars who claim that the Court had little ability to force Southern states to integrate.</w:t>
      </w:r>
      <w:r w:rsidR="00F30B4C">
        <w:rPr>
          <w:rStyle w:val="StyleUnderline"/>
        </w:rPr>
        <w:t xml:space="preserve"> </w:t>
      </w:r>
      <w:r w:rsidRPr="00F30B4C">
        <w:rPr>
          <w:sz w:val="14"/>
        </w:rPr>
        <w:t>The equalization programs also provide further support for the cost minimization theory of judicial impact. n344 Obviously, equalization was a much more expensive way to maintain segregation than the previous policy of simply assigning blacks to grossly inferior schools without making any effort at all to make them equal to white schools. It is also significant that white political leaders were willing to pay these costs in order to avoid the even greater costs (from their point of view) that were likely to be imposed by a Supreme Court decision mandating integration.</w:t>
      </w:r>
      <w:r w:rsidR="00F30B4C" w:rsidRPr="00F30B4C">
        <w:rPr>
          <w:sz w:val="14"/>
        </w:rPr>
        <w:t xml:space="preserve"> </w:t>
      </w:r>
      <w:r w:rsidRPr="00F30B4C">
        <w:rPr>
          <w:sz w:val="14"/>
        </w:rPr>
        <w:t>Southern leaders' expectations of the likely effects of federal court decisions on desegregation is a critical issue that we can only scratch the surface of here. Our analysis is not definitive, but it does cast serious new doubt on the claim that Brown had little direct impact.</w:t>
      </w:r>
    </w:p>
    <w:p w:rsidR="005D7826" w:rsidRPr="00F30B4C" w:rsidRDefault="005D7826" w:rsidP="005D7826">
      <w:pPr>
        <w:pStyle w:val="Heading3"/>
      </w:pPr>
      <w:r>
        <w:t>Empathic fallacy?</w:t>
      </w:r>
    </w:p>
    <w:p w:rsidR="005D7826" w:rsidRPr="005D7826" w:rsidRDefault="005D7826" w:rsidP="005D7826">
      <w:pPr>
        <w:pStyle w:val="Heading4"/>
      </w:pPr>
      <w:r>
        <w:t xml:space="preserve">Empathic fallacy </w:t>
      </w:r>
    </w:p>
    <w:p w:rsidR="005D7826" w:rsidRDefault="005D7826" w:rsidP="005D7826">
      <w:r w:rsidRPr="00F30B4C">
        <w:rPr>
          <w:rStyle w:val="Style13ptBold"/>
        </w:rPr>
        <w:t>Delgado 8 –</w:t>
      </w:r>
      <w:r>
        <w:t xml:space="preserve"> Richard Delgado, University Distinguished Professor of Law &amp; Derrick Bell Fellow, University of Pittsburgh School of Law; University Professor of Law Designate, Seattle University (beginning fall 2008). J.D., U.C. Berkeley School of Law (</w:t>
      </w:r>
      <w:proofErr w:type="spellStart"/>
      <w:r>
        <w:t>Boalt</w:t>
      </w:r>
      <w:proofErr w:type="spellEnd"/>
      <w:r>
        <w:t xml:space="preserve"> Hall), 1974. A COMMENT ON ROSENBERG’S NEW EDITION OF THE HOLLOW HOPE KKC</w:t>
      </w:r>
    </w:p>
    <w:p w:rsidR="005D7826" w:rsidRPr="005D7826" w:rsidRDefault="005D7826" w:rsidP="005D7826">
      <w:r>
        <w:t>Immediately after a law-reform ruling like Brown, public authorities will confront a host of questions like those just listed. And because the new ruling appears to go against the grain, authorities, even those with good will, likely will conclude that the Supreme Court could not have meant that. 32 In the end, the surprising new ruling will end up meaning very little.33</w:t>
      </w:r>
    </w:p>
    <w:p w:rsidR="005D7826" w:rsidRPr="005D7826" w:rsidRDefault="005D7826" w:rsidP="005D7826">
      <w:r w:rsidRPr="005D7826">
        <w:t xml:space="preserve">One way to understand this mechanism is by means of a device that narrative theorist Jean </w:t>
      </w:r>
      <w:proofErr w:type="spellStart"/>
      <w:r w:rsidRPr="005D7826">
        <w:t>Stefancic</w:t>
      </w:r>
      <w:proofErr w:type="spellEnd"/>
      <w:r w:rsidRPr="005D7826">
        <w:t xml:space="preserve"> and I have called the―empathic </w:t>
      </w:r>
      <w:proofErr w:type="gramStart"/>
      <w:r w:rsidRPr="005D7826">
        <w:t>fallacy.‖</w:t>
      </w:r>
      <w:proofErr w:type="gramEnd"/>
      <w:r w:rsidRPr="005D7826">
        <w:t xml:space="preserve"> 34 A counterpart of the ―pathetic fallacy,‖ familiar from literary theory, the empathic fallacy is the mistaken belief that one can change another’s beliefs and attitudes through words alone. In literature, the pathetic fallacy holds that nature is like us with moods, feelings, and intentions that we can read and understand. The poet, seeing rain, writes ―The world weeps with </w:t>
      </w:r>
      <w:proofErr w:type="gramStart"/>
      <w:r w:rsidRPr="005D7826">
        <w:t>me.‖</w:t>
      </w:r>
      <w:proofErr w:type="gramEnd"/>
      <w:r w:rsidRPr="005D7826">
        <w:t xml:space="preserve"> 35 The empathic fallacy, which we coin, holds that narratives are of relatively slight use in dispelling pre-existing ones. A reader confronted with a new narrative—a black heroine, for example, when she has come to believe that blacks are lascivious and lazy, the opposite of heroic—will disbelieve it, or else pronounce the present case an exception. We are, in a sense, our stock of narratives.36 These long held narratives form the basis against which we judge and interpret new ones, such as ones about intelligent African Americans; brave, resourceful women; energetic, hardworking undocumented aliens; or loving parents who are gay or lesbian. Unless the new narrative is unusually clever, calculated to resonate with another that we already hold, we tend to reject it as outrageous, extreme, or wrong.37 Supreme Court opinions are, of course, narratives—stories—and thus subject to both mechanisms. Over the course of history, a few Supreme Court opinions have contained such memorable language (―Poor </w:t>
      </w:r>
      <w:proofErr w:type="gramStart"/>
      <w:r w:rsidRPr="005D7826">
        <w:t>Joshua,‖</w:t>
      </w:r>
      <w:proofErr w:type="gramEnd"/>
      <w:r w:rsidRPr="005D7826">
        <w:t>38 ―There is no caste here‖ 39) that they have moved significant numbers of readers and hastened reform. Rosenberg correctly notes their rarity, although he would be wrong if he maintains that the number is zero.</w:t>
      </w:r>
    </w:p>
    <w:p w:rsidR="005D7826" w:rsidRDefault="005D7826">
      <w:pPr>
        <w:rPr>
          <w:rFonts w:asciiTheme="minorHAnsi" w:hAnsiTheme="minorHAnsi" w:cstheme="minorBidi"/>
        </w:rPr>
      </w:pPr>
    </w:p>
    <w:sectPr w:rsidR="005D7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86919"/>
    <w:multiLevelType w:val="hybridMultilevel"/>
    <w:tmpl w:val="AAC61DA0"/>
    <w:lvl w:ilvl="0" w:tplc="6BC27F2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E36A6"/>
    <w:multiLevelType w:val="hybridMultilevel"/>
    <w:tmpl w:val="631CB902"/>
    <w:lvl w:ilvl="0" w:tplc="48AEBBFC">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DC742B"/>
    <w:multiLevelType w:val="hybridMultilevel"/>
    <w:tmpl w:val="D898D966"/>
    <w:lvl w:ilvl="0" w:tplc="F9A48C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33CDA"/>
    <w:rsid w:val="000139A3"/>
    <w:rsid w:val="0009488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9763C"/>
    <w:rsid w:val="005D2912"/>
    <w:rsid w:val="005D7826"/>
    <w:rsid w:val="005E4680"/>
    <w:rsid w:val="006065BD"/>
    <w:rsid w:val="00631CC6"/>
    <w:rsid w:val="00633CDA"/>
    <w:rsid w:val="00645FA9"/>
    <w:rsid w:val="00647866"/>
    <w:rsid w:val="00665003"/>
    <w:rsid w:val="006A2AD0"/>
    <w:rsid w:val="006C2375"/>
    <w:rsid w:val="006D4ECC"/>
    <w:rsid w:val="006E7E93"/>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33F4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55DA"/>
    <w:rsid w:val="00D6691E"/>
    <w:rsid w:val="00D71170"/>
    <w:rsid w:val="00DA1C92"/>
    <w:rsid w:val="00DA25D4"/>
    <w:rsid w:val="00DA6538"/>
    <w:rsid w:val="00E15E75"/>
    <w:rsid w:val="00E5262C"/>
    <w:rsid w:val="00EC7DC4"/>
    <w:rsid w:val="00ED30CF"/>
    <w:rsid w:val="00F176EF"/>
    <w:rsid w:val="00F30B4C"/>
    <w:rsid w:val="00F3676F"/>
    <w:rsid w:val="00F45E10"/>
    <w:rsid w:val="00F613C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05A7"/>
  <w15:chartTrackingRefBased/>
  <w15:docId w15:val="{4F4BFC20-D9AC-4F75-96F9-A46446CB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13C1"/>
    <w:rPr>
      <w:rFonts w:ascii="Calibri" w:hAnsi="Calibri" w:cs="Calibri"/>
    </w:rPr>
  </w:style>
  <w:style w:type="paragraph" w:styleId="Heading1">
    <w:name w:val="heading 1"/>
    <w:aliases w:val="Pocket"/>
    <w:basedOn w:val="Normal"/>
    <w:next w:val="Normal"/>
    <w:link w:val="Heading1Char"/>
    <w:qFormat/>
    <w:rsid w:val="00F613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13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13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13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13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3C1"/>
  </w:style>
  <w:style w:type="character" w:customStyle="1" w:styleId="Heading1Char">
    <w:name w:val="Heading 1 Char"/>
    <w:aliases w:val="Pocket Char"/>
    <w:basedOn w:val="DefaultParagraphFont"/>
    <w:link w:val="Heading1"/>
    <w:rsid w:val="00F613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13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13C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613C1"/>
    <w:rPr>
      <w:rFonts w:ascii="Calibri" w:eastAsiaTheme="majorEastAsia" w:hAnsi="Calibri" w:cstheme="majorBidi"/>
      <w:b/>
      <w:iCs/>
      <w:sz w:val="26"/>
    </w:rPr>
  </w:style>
  <w:style w:type="character" w:styleId="Emphasis">
    <w:name w:val="Emphasis"/>
    <w:basedOn w:val="DefaultParagraphFont"/>
    <w:uiPriority w:val="7"/>
    <w:qFormat/>
    <w:rsid w:val="00F613C1"/>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F613C1"/>
    <w:rPr>
      <w:b/>
      <w:bCs/>
      <w:sz w:val="26"/>
      <w:u w:val="none"/>
    </w:rPr>
  </w:style>
  <w:style w:type="character" w:customStyle="1" w:styleId="StyleUnderline">
    <w:name w:val="Style Underline"/>
    <w:aliases w:val="Underline"/>
    <w:basedOn w:val="DefaultParagraphFont"/>
    <w:uiPriority w:val="6"/>
    <w:qFormat/>
    <w:rsid w:val="00F613C1"/>
    <w:rPr>
      <w:b w:val="0"/>
      <w:sz w:val="22"/>
      <w:u w:val="single"/>
    </w:rPr>
  </w:style>
  <w:style w:type="character" w:styleId="Hyperlink">
    <w:name w:val="Hyperlink"/>
    <w:basedOn w:val="DefaultParagraphFont"/>
    <w:uiPriority w:val="99"/>
    <w:semiHidden/>
    <w:unhideWhenUsed/>
    <w:rsid w:val="00F613C1"/>
    <w:rPr>
      <w:color w:val="auto"/>
      <w:u w:val="none"/>
    </w:rPr>
  </w:style>
  <w:style w:type="character" w:styleId="FollowedHyperlink">
    <w:name w:val="FollowedHyperlink"/>
    <w:basedOn w:val="DefaultParagraphFont"/>
    <w:uiPriority w:val="99"/>
    <w:semiHidden/>
    <w:unhideWhenUsed/>
    <w:rsid w:val="00F613C1"/>
    <w:rPr>
      <w:color w:val="auto"/>
      <w:u w:val="none"/>
    </w:rPr>
  </w:style>
  <w:style w:type="paragraph" w:styleId="ListParagraph">
    <w:name w:val="List Paragraph"/>
    <w:basedOn w:val="Normal"/>
    <w:uiPriority w:val="99"/>
    <w:unhideWhenUsed/>
    <w:qFormat/>
    <w:rsid w:val="00633C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98368">
      <w:bodyDiv w:val="1"/>
      <w:marLeft w:val="0"/>
      <w:marRight w:val="0"/>
      <w:marTop w:val="0"/>
      <w:marBottom w:val="0"/>
      <w:divBdr>
        <w:top w:val="none" w:sz="0" w:space="0" w:color="auto"/>
        <w:left w:val="none" w:sz="0" w:space="0" w:color="auto"/>
        <w:bottom w:val="none" w:sz="0" w:space="0" w:color="auto"/>
        <w:right w:val="none" w:sz="0" w:space="0" w:color="auto"/>
      </w:divBdr>
    </w:div>
    <w:div w:id="190861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1A45F-2D6A-48DB-AD9F-F8413E357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TotalTime>
  <Pages>1</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3</cp:revision>
  <dcterms:created xsi:type="dcterms:W3CDTF">2017-07-28T00:19:00Z</dcterms:created>
  <dcterms:modified xsi:type="dcterms:W3CDTF">2017-07-30T05:11:00Z</dcterms:modified>
</cp:coreProperties>
</file>