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3911E7" w14:textId="77777777" w:rsidR="00A95652" w:rsidRPr="009C7BA3" w:rsidRDefault="00D075EF" w:rsidP="00D075EF">
      <w:pPr>
        <w:pStyle w:val="Heading1"/>
        <w:rPr>
          <w:rFonts w:cs="Arial"/>
        </w:rPr>
      </w:pPr>
      <w:bookmarkStart w:id="0" w:name="_GoBack"/>
      <w:bookmarkEnd w:id="0"/>
      <w:r w:rsidRPr="009C7BA3">
        <w:rPr>
          <w:rFonts w:cs="Arial"/>
        </w:rPr>
        <w:t>aff supplement – EER lab</w:t>
      </w:r>
    </w:p>
    <w:p w14:paraId="6A70947F" w14:textId="77777777" w:rsidR="00D075EF" w:rsidRPr="009C7BA3" w:rsidRDefault="00D075EF" w:rsidP="00D075EF"/>
    <w:p w14:paraId="7BFDB435" w14:textId="77777777" w:rsidR="00D02B7D" w:rsidRPr="009C7BA3" w:rsidRDefault="00D02B7D" w:rsidP="00D02B7D">
      <w:pPr>
        <w:pStyle w:val="Heading2"/>
        <w:rPr>
          <w:rFonts w:cs="Arial"/>
        </w:rPr>
      </w:pPr>
      <w:r w:rsidRPr="009C7BA3">
        <w:rPr>
          <w:rFonts w:cs="Arial"/>
        </w:rPr>
        <w:t>notes</w:t>
      </w:r>
    </w:p>
    <w:p w14:paraId="4EF760EB" w14:textId="77777777" w:rsidR="00D02B7D" w:rsidRPr="009C7BA3" w:rsidRDefault="00D02B7D" w:rsidP="00D02B7D">
      <w:pPr>
        <w:pStyle w:val="Heading3"/>
        <w:rPr>
          <w:rFonts w:cs="Arial"/>
        </w:rPr>
      </w:pPr>
      <w:r w:rsidRPr="009C7BA3">
        <w:rPr>
          <w:rFonts w:cs="Arial"/>
        </w:rPr>
        <w:t>notes from Michael</w:t>
      </w:r>
    </w:p>
    <w:p w14:paraId="034E0765" w14:textId="77777777" w:rsidR="00D02B7D" w:rsidRPr="009C7BA3" w:rsidRDefault="00D02B7D" w:rsidP="00D02B7D"/>
    <w:p w14:paraId="637E5002" w14:textId="77777777" w:rsidR="00D02B7D" w:rsidRPr="009C7BA3" w:rsidRDefault="00D02B7D" w:rsidP="00D02B7D">
      <w:r w:rsidRPr="009C7BA3">
        <w:t>CX strategy vs. Deschooling</w:t>
      </w:r>
    </w:p>
    <w:p w14:paraId="7FD03DE8" w14:textId="77777777" w:rsidR="00D02B7D" w:rsidRPr="009C7BA3" w:rsidRDefault="00D02B7D" w:rsidP="00D02B7D">
      <w:r w:rsidRPr="009C7BA3">
        <w:t xml:space="preserve">Nail down in cross ex that there will still be teachers in these community groups. Then, all of the reasons why the institution of the school is bad with regard to teachers are reasons why the alt would also be bad. Then ask about the following Perm: Teach cultural competency to whoever leads these groups. </w:t>
      </w:r>
    </w:p>
    <w:p w14:paraId="72E3F4AD" w14:textId="77777777" w:rsidR="00D02B7D" w:rsidRPr="009C7BA3" w:rsidRDefault="00D02B7D" w:rsidP="00D02B7D"/>
    <w:p w14:paraId="2E2E7361" w14:textId="77777777" w:rsidR="00D02B7D" w:rsidRPr="009C7BA3" w:rsidRDefault="00D02B7D" w:rsidP="00D02B7D">
      <w:r w:rsidRPr="009C7BA3">
        <w:t xml:space="preserve">If children are confined to learning within their own communities and networks, wouldn’t that just limit out the perspectives of groups that aren’t a part of that child’s community? </w:t>
      </w:r>
    </w:p>
    <w:p w14:paraId="470D24AF" w14:textId="77777777" w:rsidR="00D02B7D" w:rsidRPr="009C7BA3" w:rsidRDefault="00D02B7D" w:rsidP="00D02B7D">
      <w:r w:rsidRPr="009C7BA3">
        <w:t>Offense vs. Alt</w:t>
      </w:r>
    </w:p>
    <w:p w14:paraId="5E451C3F" w14:textId="77777777" w:rsidR="00D02B7D" w:rsidRPr="009C7BA3" w:rsidRDefault="00D02B7D" w:rsidP="00D02B7D"/>
    <w:p w14:paraId="1C599274" w14:textId="77777777" w:rsidR="00D02B7D" w:rsidRPr="009C7BA3" w:rsidRDefault="00D02B7D" w:rsidP="00D02B7D">
      <w:r w:rsidRPr="009C7BA3">
        <w:t>Offense vs. Deschooling Alt</w:t>
      </w:r>
    </w:p>
    <w:p w14:paraId="33541F65" w14:textId="77777777" w:rsidR="00D02B7D" w:rsidRPr="009C7BA3" w:rsidRDefault="00D02B7D" w:rsidP="00D02B7D">
      <w:r w:rsidRPr="009C7BA3">
        <w:t>Insularity DA: Is learning going to be the same in high income communities as it is in low income communities? This just makes the polarity among learning experienced based on where you live much, much worse. The alt makes the current property tax funding system look good in comparison to the inequality in resources and educational tools that will result from insular learning experiences.</w:t>
      </w:r>
    </w:p>
    <w:p w14:paraId="3D452275" w14:textId="77777777" w:rsidR="00D075EF" w:rsidRPr="009C7BA3" w:rsidRDefault="00D075EF" w:rsidP="00D075EF"/>
    <w:p w14:paraId="2047C842" w14:textId="77777777" w:rsidR="00D075EF" w:rsidRPr="009C7BA3" w:rsidRDefault="00D075EF" w:rsidP="00D075EF"/>
    <w:p w14:paraId="7CDA5913" w14:textId="77777777" w:rsidR="00D075EF" w:rsidRPr="009C7BA3" w:rsidRDefault="00D075EF" w:rsidP="00D075EF"/>
    <w:p w14:paraId="5F982A95" w14:textId="77777777" w:rsidR="00D075EF" w:rsidRPr="009C7BA3" w:rsidRDefault="00D075EF" w:rsidP="00D075EF">
      <w:pPr>
        <w:pStyle w:val="Heading2"/>
        <w:rPr>
          <w:rFonts w:cs="Arial"/>
        </w:rPr>
      </w:pPr>
    </w:p>
    <w:p w14:paraId="6BA6798E" w14:textId="77777777" w:rsidR="00FE190D" w:rsidRPr="009C7BA3" w:rsidRDefault="00FE190D" w:rsidP="00FE190D">
      <w:pPr>
        <w:pStyle w:val="Heading2"/>
        <w:rPr>
          <w:rFonts w:cs="Arial"/>
        </w:rPr>
      </w:pPr>
      <w:r w:rsidRPr="009C7BA3">
        <w:rPr>
          <w:rFonts w:cs="Arial"/>
        </w:rPr>
        <w:t>solvency</w:t>
      </w:r>
    </w:p>
    <w:p w14:paraId="6C923E36" w14:textId="77777777" w:rsidR="00FE190D" w:rsidRPr="009C7BA3" w:rsidRDefault="00FE190D" w:rsidP="00FE190D">
      <w:pPr>
        <w:pStyle w:val="Heading3"/>
        <w:rPr>
          <w:rFonts w:cs="Arial"/>
        </w:rPr>
      </w:pPr>
      <w:r w:rsidRPr="009C7BA3">
        <w:rPr>
          <w:rFonts w:cs="Arial"/>
        </w:rPr>
        <w:t xml:space="preserve">solvency </w:t>
      </w:r>
      <w:r w:rsidR="00B543B9" w:rsidRPr="009C7BA3">
        <w:rPr>
          <w:rFonts w:cs="Arial"/>
        </w:rPr>
        <w:t>–</w:t>
      </w:r>
      <w:r w:rsidRPr="009C7BA3">
        <w:rPr>
          <w:rFonts w:cs="Arial"/>
        </w:rPr>
        <w:t xml:space="preserve"> bias</w:t>
      </w:r>
    </w:p>
    <w:p w14:paraId="416980BF" w14:textId="77777777" w:rsidR="00FE190D" w:rsidRPr="009C7BA3" w:rsidRDefault="00FE190D" w:rsidP="00FE190D"/>
    <w:p w14:paraId="077D0538" w14:textId="77777777" w:rsidR="00FE190D" w:rsidRPr="009C7BA3" w:rsidRDefault="00FE190D" w:rsidP="00FE190D">
      <w:pPr>
        <w:pStyle w:val="Heading4"/>
        <w:rPr>
          <w:rFonts w:cs="Arial"/>
        </w:rPr>
      </w:pPr>
      <w:r w:rsidRPr="009C7BA3">
        <w:rPr>
          <w:rFonts w:cs="Arial"/>
        </w:rPr>
        <w:t>Culturally competent teachers resolve student biases—no alt causes</w:t>
      </w:r>
    </w:p>
    <w:p w14:paraId="623DE30C" w14:textId="77777777" w:rsidR="00FE190D" w:rsidRPr="009C7BA3" w:rsidRDefault="00FE190D" w:rsidP="00FE190D">
      <w:pPr>
        <w:rPr>
          <w:sz w:val="16"/>
        </w:rPr>
      </w:pPr>
      <w:r w:rsidRPr="009C7BA3">
        <w:rPr>
          <w:rStyle w:val="Style13ptBold"/>
        </w:rPr>
        <w:t>Acquah and Commins 16</w:t>
      </w:r>
      <w:r w:rsidRPr="009C7BA3">
        <w:rPr>
          <w:sz w:val="16"/>
        </w:rPr>
        <w:t xml:space="preserve"> Emmanuel O. Acquah, Centre for Learning Research and Department of Teacher Education, University of Turku, Turku, Finland. Nancy L. Commins, Culturally and Linguistically Diverse Education, School of Education and Human Development, University of Colorado, Denver, CO, USA. Teaching in Higher Education: “Methods that matter in addressing cultural diversity with teacher candidates.” 22:5, 502-503. December 27, 2016. </w:t>
      </w:r>
      <w:hyperlink r:id="rId6" w:history="1">
        <w:r w:rsidRPr="009C7BA3">
          <w:rPr>
            <w:rStyle w:val="Hyperlink"/>
            <w:sz w:val="16"/>
          </w:rPr>
          <w:t>http://srhe.tandfonline.com/doi/pdf/10.1080/13562517.2016.1273217?needAccess=true</w:t>
        </w:r>
      </w:hyperlink>
      <w:r w:rsidRPr="009C7BA3">
        <w:rPr>
          <w:sz w:val="16"/>
        </w:rPr>
        <w:t>. Yoest.</w:t>
      </w:r>
    </w:p>
    <w:p w14:paraId="7B3C3BEA" w14:textId="77777777" w:rsidR="00FE190D" w:rsidRPr="009C7BA3" w:rsidRDefault="00FE190D" w:rsidP="00FE190D">
      <w:pPr>
        <w:rPr>
          <w:sz w:val="16"/>
        </w:rPr>
      </w:pPr>
      <w:r w:rsidRPr="009C7BA3">
        <w:rPr>
          <w:rStyle w:val="StyleUnderline"/>
          <w:highlight w:val="green"/>
        </w:rPr>
        <w:t>It is widely acknowledged that the mainly white</w:t>
      </w:r>
      <w:r w:rsidRPr="009C7BA3">
        <w:rPr>
          <w:rStyle w:val="StyleUnderline"/>
        </w:rPr>
        <w:t xml:space="preserve">/mainstream </w:t>
      </w:r>
      <w:r w:rsidRPr="009C7BA3">
        <w:rPr>
          <w:rStyle w:val="StyleUnderline"/>
          <w:highlight w:val="green"/>
        </w:rPr>
        <w:t>teacher candidates</w:t>
      </w:r>
      <w:r w:rsidRPr="009C7BA3">
        <w:rPr>
          <w:rStyle w:val="StyleUnderline"/>
        </w:rPr>
        <w:t xml:space="preserve"> in teacher education programmes </w:t>
      </w:r>
      <w:r w:rsidRPr="009C7BA3">
        <w:rPr>
          <w:rStyle w:val="StyleUnderline"/>
          <w:highlight w:val="green"/>
        </w:rPr>
        <w:t>bring limited background experiences</w:t>
      </w:r>
      <w:r w:rsidRPr="009C7BA3">
        <w:rPr>
          <w:rStyle w:val="StyleUnderline"/>
        </w:rPr>
        <w:t xml:space="preserve">, prior socialisation, </w:t>
      </w:r>
      <w:r w:rsidRPr="009C7BA3">
        <w:rPr>
          <w:rStyle w:val="StyleUnderline"/>
          <w:highlight w:val="green"/>
        </w:rPr>
        <w:t>and skills about diversity</w:t>
      </w:r>
      <w:r w:rsidRPr="009C7BA3">
        <w:rPr>
          <w:sz w:val="16"/>
        </w:rPr>
        <w:t xml:space="preserve"> (Ladson-Billings 2009; Gay 2010; Lucas and Villegas 2013). In addition, these teacher candidates often hold deficit notions about diverse students (Valencia 2012). Deficit theories presume that some students fail in education because of their own deficiencies (perceived lack of ability, linguistic inferiority, and family dysfunction) not because of unfair school policies or differential treatment from teachers (Valencia 2012). Consequently, </w:t>
      </w:r>
      <w:r w:rsidRPr="009C7BA3">
        <w:rPr>
          <w:rStyle w:val="Emphasis"/>
          <w:highlight w:val="green"/>
        </w:rPr>
        <w:t>most teacher candidates need to analyse their tacit assumptions and</w:t>
      </w:r>
      <w:r w:rsidRPr="009C7BA3">
        <w:rPr>
          <w:rStyle w:val="Emphasis"/>
        </w:rPr>
        <w:t xml:space="preserve"> beliefs and </w:t>
      </w:r>
      <w:r w:rsidRPr="009C7BA3">
        <w:rPr>
          <w:rStyle w:val="Emphasis"/>
          <w:highlight w:val="green"/>
        </w:rPr>
        <w:t>confront biases</w:t>
      </w:r>
      <w:r w:rsidRPr="009C7BA3">
        <w:rPr>
          <w:rStyle w:val="Emphasis"/>
        </w:rPr>
        <w:t xml:space="preserve"> that have influenced their value system. </w:t>
      </w:r>
      <w:r w:rsidRPr="009C7BA3">
        <w:rPr>
          <w:rStyle w:val="Emphasis"/>
          <w:highlight w:val="green"/>
        </w:rPr>
        <w:t>Teacher educators recommend helping teacher candidates examine their own attitudes, assumptions and values as a basic foundation from which to learn to become culturally competent</w:t>
      </w:r>
      <w:r w:rsidRPr="009C7BA3">
        <w:rPr>
          <w:sz w:val="16"/>
        </w:rPr>
        <w:t xml:space="preserve"> (Ladson-Billings 2009; Banks 2010; Gay 2010), and multicultural teacher education courses (or experiences) are an important means towards this end. But as noted by Trent and Artiles (1998), Ramsey (2000), and Ukpokodu (2011), </w:t>
      </w:r>
      <w:r w:rsidRPr="009C7BA3">
        <w:rPr>
          <w:rStyle w:val="Emphasis"/>
          <w:highlight w:val="green"/>
        </w:rPr>
        <w:t>fostering students’ cultural awareness can be challenging and requires deliberate, intentional, and clear efforts and strategies. This involves using instructional strategies that</w:t>
      </w:r>
      <w:r w:rsidRPr="009C7BA3">
        <w:rPr>
          <w:rStyle w:val="Emphasis"/>
        </w:rPr>
        <w:t xml:space="preserve"> create exciting active learning opportunities that </w:t>
      </w:r>
      <w:r w:rsidRPr="009C7BA3">
        <w:rPr>
          <w:rStyle w:val="Emphasis"/>
          <w:highlight w:val="green"/>
        </w:rPr>
        <w:t>put theory into practice, provide first-hand cultural interactions and experiences, and spaces for students to reflect on their identities and those of diverse others, as well as create a classroom atmosphere conducive for such learning to occur.</w:t>
      </w:r>
      <w:r w:rsidRPr="009C7BA3">
        <w:rPr>
          <w:rStyle w:val="Emphasis"/>
        </w:rPr>
        <w:t xml:space="preserve"> </w:t>
      </w:r>
      <w:r w:rsidRPr="009C7BA3">
        <w:rPr>
          <w:sz w:val="16"/>
        </w:rPr>
        <w:t xml:space="preserve">Strategies identified in the literature as fostering such conditions and atmosphere for learning include </w:t>
      </w:r>
      <w:r w:rsidRPr="009C7BA3">
        <w:rPr>
          <w:rStyle w:val="StyleUnderline"/>
        </w:rPr>
        <w:t>critical reflection, writing autobiographies, structured field experiences combined with post experience reflection, preparing individual action plans for implementing multicultural education, case study analysis, and discussions around issues of diversity</w:t>
      </w:r>
      <w:r w:rsidRPr="009C7BA3">
        <w:rPr>
          <w:sz w:val="16"/>
        </w:rPr>
        <w:t xml:space="preserve"> (Sleeter and Owuor 2011). Acquah and Commins (2015), Dray and Wisneski (2011), and Garmon (1998) suggest that critical reflection challenges teacher candidates to examine their own beliefs and attitudes. Ukpokodu (2011) found that writing autobiographies allowed teacher candidates to examine their assumptions and transform their attitudes. Lastrapes and Negishi (2012) and Bowles (2011) observed that structured field experiences combined with post experience reflection fostered teacher candidates’ cultural awareness while Ramsey (2000) demonstrates that </w:t>
      </w:r>
      <w:r w:rsidRPr="009C7BA3">
        <w:rPr>
          <w:rStyle w:val="StyleUnderline"/>
          <w:highlight w:val="green"/>
        </w:rPr>
        <w:t>engaging teacher candidates in discussions around issues of diversity provides space for them to reflect on and question assumptions and experiences</w:t>
      </w:r>
      <w:r w:rsidRPr="009C7BA3">
        <w:rPr>
          <w:rStyle w:val="StyleUnderline"/>
        </w:rPr>
        <w:t xml:space="preserve">. </w:t>
      </w:r>
      <w:r w:rsidRPr="009C7BA3">
        <w:rPr>
          <w:sz w:val="16"/>
        </w:rPr>
        <w:t>Consistent across this research, diversity courses that transformed teacher candidates’ beliefs and dispositions towards diverse students employed multiple strategies (Sleeter and Owuor 2011; Acquah and Commins 2013). Informed by these findings, the framework presented in this research incorporated a number of these theory-driven teaching strategies.</w:t>
      </w:r>
    </w:p>
    <w:p w14:paraId="50D38A2D" w14:textId="77777777" w:rsidR="00FE190D" w:rsidRPr="009C7BA3" w:rsidRDefault="00FE190D" w:rsidP="00FE190D"/>
    <w:p w14:paraId="5E68B816" w14:textId="77777777" w:rsidR="00FE190D" w:rsidRPr="009C7BA3" w:rsidRDefault="00FE190D" w:rsidP="00FE190D">
      <w:pPr>
        <w:pStyle w:val="Heading3"/>
        <w:rPr>
          <w:rFonts w:cs="Arial"/>
        </w:rPr>
      </w:pPr>
      <w:r w:rsidRPr="009C7BA3">
        <w:rPr>
          <w:rFonts w:cs="Arial"/>
        </w:rPr>
        <w:t>solvency – spillover</w:t>
      </w:r>
    </w:p>
    <w:p w14:paraId="726B18BA" w14:textId="77777777" w:rsidR="00FE190D" w:rsidRPr="009C7BA3" w:rsidRDefault="00FE190D" w:rsidP="00FE190D"/>
    <w:p w14:paraId="11A097A0" w14:textId="77777777" w:rsidR="00FE190D" w:rsidRPr="009C7BA3" w:rsidRDefault="00FE190D" w:rsidP="00FE190D">
      <w:pPr>
        <w:pStyle w:val="Heading4"/>
        <w:rPr>
          <w:rFonts w:cs="Arial"/>
        </w:rPr>
      </w:pPr>
      <w:r w:rsidRPr="009C7BA3">
        <w:rPr>
          <w:rFonts w:cs="Arial"/>
        </w:rPr>
        <w:t>Cultural competence spills over to create more supportive classroom environments</w:t>
      </w:r>
    </w:p>
    <w:p w14:paraId="58E598EF" w14:textId="77777777" w:rsidR="00FE190D" w:rsidRPr="009C7BA3" w:rsidRDefault="00FE190D" w:rsidP="00FE190D">
      <w:pPr>
        <w:rPr>
          <w:rStyle w:val="Style13ptBold"/>
        </w:rPr>
      </w:pPr>
      <w:r w:rsidRPr="009C7BA3">
        <w:rPr>
          <w:rStyle w:val="Style13ptBold"/>
        </w:rPr>
        <w:t>Bonner et al. 17</w:t>
      </w:r>
    </w:p>
    <w:p w14:paraId="7B28F16C" w14:textId="77777777" w:rsidR="00FE190D" w:rsidRPr="009C7BA3" w:rsidRDefault="00FE190D" w:rsidP="00FE190D">
      <w:pPr>
        <w:rPr>
          <w:sz w:val="16"/>
          <w:szCs w:val="16"/>
        </w:rPr>
      </w:pPr>
      <w:r w:rsidRPr="009C7BA3">
        <w:rPr>
          <w:sz w:val="16"/>
          <w:szCs w:val="16"/>
        </w:rPr>
        <w:t xml:space="preserve">Patricia J. Bonner, PhD, served as faculty and administrator at Azusa Pacific University for 29 years and is currently professor emerita in the School of Education. She has presented and published in the areas of culturally responsive teaching, diversity in education, multicultural education, parental roles in education, self-regulated learning, and self-determination theory. Susan R. Warren, PhD, director of Diversity Programs at Azusa Pacific University, served 22 years as a PK-12 teacher/principal and directed MA programs in schools of education for 15 years. She has presented and published on topics of equity, social justice, teacher and multicultural education, school reform, and family engagement. Ying Hong Jiang, PhD, is a professor in the doctoral studies in education leadership department in the School of Education of Azusa Pacific University. Her main research interests include culturally responsive teaching and cross-cultural studies of covariates of self-regulated learning strategies in K-12 settings. “Voices From Urban Classrooms: Teachers’ Perceptions on Instructing Diverse Students and Using Culturally Responsive Teaching.” pgs. 4-6. June 15, 2017. </w:t>
      </w:r>
      <w:hyperlink r:id="rId7" w:history="1">
        <w:r w:rsidRPr="009C7BA3">
          <w:rPr>
            <w:rStyle w:val="Hyperlink"/>
            <w:sz w:val="16"/>
            <w:szCs w:val="16"/>
          </w:rPr>
          <w:t>http://journals.sagepub.com/doi/pdf/10.1177/0013124517713820</w:t>
        </w:r>
      </w:hyperlink>
      <w:r w:rsidRPr="009C7BA3">
        <w:rPr>
          <w:sz w:val="16"/>
          <w:szCs w:val="16"/>
        </w:rPr>
        <w:t>. Yoest.</w:t>
      </w:r>
    </w:p>
    <w:p w14:paraId="6CC2ABF3" w14:textId="77777777" w:rsidR="00FE190D" w:rsidRPr="009C7BA3" w:rsidRDefault="00FE190D" w:rsidP="00FE190D">
      <w:pPr>
        <w:rPr>
          <w:sz w:val="16"/>
        </w:rPr>
      </w:pPr>
      <w:r w:rsidRPr="009C7BA3">
        <w:rPr>
          <w:rStyle w:val="StyleUnderline"/>
        </w:rPr>
        <w:t>CRT evolved from a growing body of research that originated in the 1970s and 1980s (Boykin, 1986; Edmonds, 1986; Ramirez &amp; Castaneda, 1974) and was further developed beginning in the 1990s by cultural difference theorists</w:t>
      </w:r>
      <w:r w:rsidRPr="009C7BA3">
        <w:rPr>
          <w:sz w:val="16"/>
        </w:rPr>
        <w:t xml:space="preserve"> (Au, 1993; Delpit, 2006; Irvine, 2003; Ladson-Billings, 1995; Moll &amp; Gonzalez, 2004; Nieto, 2010). Cultural difference ideology critiques and offers an alternative to the cultural deficit paradigm that depicts the cultural capital in the homes and communities of minority and low-income students as limited and the major factor causing their low achievement in school. </w:t>
      </w:r>
      <w:r w:rsidRPr="009C7BA3">
        <w:rPr>
          <w:rStyle w:val="Emphasis"/>
          <w:highlight w:val="green"/>
        </w:rPr>
        <w:t>Little consideration is given in the deficit model to the impact of the structures within schools or</w:t>
      </w:r>
      <w:r w:rsidRPr="009C7BA3">
        <w:rPr>
          <w:rStyle w:val="Emphasis"/>
        </w:rPr>
        <w:t xml:space="preserve"> the political economy of </w:t>
      </w:r>
      <w:r w:rsidRPr="009C7BA3">
        <w:rPr>
          <w:rStyle w:val="Emphasis"/>
          <w:highlight w:val="green"/>
        </w:rPr>
        <w:t>the greater society on the achievement of low achieving, diverse students. Instead, the victims are blamed for their</w:t>
      </w:r>
      <w:r w:rsidRPr="009C7BA3">
        <w:rPr>
          <w:rStyle w:val="Emphasis"/>
        </w:rPr>
        <w:t xml:space="preserve"> dreadful educational status and </w:t>
      </w:r>
      <w:r w:rsidRPr="009C7BA3">
        <w:rPr>
          <w:rStyle w:val="Emphasis"/>
          <w:highlight w:val="green"/>
        </w:rPr>
        <w:t>structural exclusion</w:t>
      </w:r>
      <w:r w:rsidRPr="009C7BA3">
        <w:rPr>
          <w:sz w:val="16"/>
        </w:rPr>
        <w:t xml:space="preserve"> (Banks, 2010). </w:t>
      </w:r>
      <w:r w:rsidRPr="009C7BA3">
        <w:rPr>
          <w:rStyle w:val="StyleUnderline"/>
          <w:highlight w:val="green"/>
        </w:rPr>
        <w:t>This viewpoint</w:t>
      </w:r>
      <w:r w:rsidRPr="009C7BA3">
        <w:rPr>
          <w:rStyle w:val="StyleUnderline"/>
        </w:rPr>
        <w:t xml:space="preserve"> has continued to affect America’s schools and </w:t>
      </w:r>
      <w:r w:rsidRPr="009C7BA3">
        <w:rPr>
          <w:rStyle w:val="StyleUnderline"/>
          <w:highlight w:val="green"/>
        </w:rPr>
        <w:t>is still held by many educators, resulting in uninspiring teaching and</w:t>
      </w:r>
      <w:r w:rsidRPr="009C7BA3">
        <w:rPr>
          <w:rStyle w:val="StyleUnderline"/>
        </w:rPr>
        <w:t xml:space="preserve"> teachers’ </w:t>
      </w:r>
      <w:r w:rsidRPr="009C7BA3">
        <w:rPr>
          <w:rStyle w:val="StyleUnderline"/>
          <w:highlight w:val="green"/>
        </w:rPr>
        <w:t>low expectations</w:t>
      </w:r>
      <w:r w:rsidRPr="009C7BA3">
        <w:rPr>
          <w:rStyle w:val="StyleUnderline"/>
        </w:rPr>
        <w:t xml:space="preserve"> for students, </w:t>
      </w:r>
      <w:r w:rsidRPr="009C7BA3">
        <w:rPr>
          <w:rStyle w:val="StyleUnderline"/>
          <w:highlight w:val="green"/>
        </w:rPr>
        <w:t>particularly in inner-city classrooms with high populations of socioeconomically disadvantaged African American and Latino students</w:t>
      </w:r>
      <w:r w:rsidRPr="009C7BA3">
        <w:rPr>
          <w:sz w:val="16"/>
        </w:rPr>
        <w:t xml:space="preserve"> (Greene, 2009). Cultural difference theory, in contrast, focuses on the strengths and resilience of the cultures, families, and communities of students from diverse ethnic, racial, and linguistic backgrounds (Wang &amp; Gordon, 1994). Theorists with this ideology believe that the discontinuities between the home and community cultures of students of color as well as socioeconomically disadvantaged students and the school culture greatly contribute to low academic achievement. Therefore, these </w:t>
      </w:r>
      <w:r w:rsidRPr="009C7BA3">
        <w:rPr>
          <w:rStyle w:val="Emphasis"/>
          <w:highlight w:val="green"/>
        </w:rPr>
        <w:t>students will be more academically successful if educators and schools respect and utilize their language and cultural strengths</w:t>
      </w:r>
      <w:r w:rsidRPr="009C7BA3">
        <w:rPr>
          <w:rStyle w:val="Emphasis"/>
        </w:rPr>
        <w:t>.</w:t>
      </w:r>
      <w:r w:rsidRPr="009C7BA3">
        <w:rPr>
          <w:sz w:val="16"/>
        </w:rPr>
        <w:t xml:space="preserve"> This is the essence of CRT (Banks, 2010). </w:t>
      </w:r>
      <w:r w:rsidRPr="009C7BA3">
        <w:rPr>
          <w:rStyle w:val="StyleUnderline"/>
          <w:highlight w:val="green"/>
        </w:rPr>
        <w:t>Culturally responsive teachers understand</w:t>
      </w:r>
      <w:r w:rsidRPr="009C7BA3">
        <w:rPr>
          <w:rStyle w:val="StyleUnderline"/>
        </w:rPr>
        <w:t xml:space="preserve"> the powerful role of culture in the educational system and place culture at the center as they analyze techniques for improving the performance of underachieving students of color. They largely believe </w:t>
      </w:r>
      <w:r w:rsidRPr="009C7BA3">
        <w:rPr>
          <w:rStyle w:val="StyleUnderline"/>
          <w:highlight w:val="green"/>
        </w:rPr>
        <w:t>that patterns in academic achievement</w:t>
      </w:r>
      <w:r w:rsidRPr="009C7BA3">
        <w:rPr>
          <w:rStyle w:val="StyleUnderline"/>
        </w:rPr>
        <w:t xml:space="preserve"> among groups of students in the United States </w:t>
      </w:r>
      <w:r w:rsidRPr="009C7BA3">
        <w:rPr>
          <w:rStyle w:val="StyleUnderline"/>
          <w:highlight w:val="green"/>
        </w:rPr>
        <w:t>are not a result of individual limitations but rather due to the impact of institutional assumptions, structures, procedures, and operational styles</w:t>
      </w:r>
      <w:r w:rsidRPr="009C7BA3">
        <w:rPr>
          <w:rStyle w:val="StyleUnderline"/>
        </w:rPr>
        <w:t xml:space="preserve"> of schools, classrooms, and the greater society</w:t>
      </w:r>
      <w:r w:rsidRPr="009C7BA3">
        <w:rPr>
          <w:sz w:val="16"/>
        </w:rPr>
        <w:t xml:space="preserve"> (Gay, 2010). </w:t>
      </w:r>
      <w:r w:rsidRPr="009C7BA3">
        <w:rPr>
          <w:rStyle w:val="Emphasis"/>
          <w:highlight w:val="green"/>
        </w:rPr>
        <w:t>Teachers who are culturally competent purposefully incorporate the experiences</w:t>
      </w:r>
      <w:r w:rsidRPr="009C7BA3">
        <w:rPr>
          <w:rStyle w:val="Emphasis"/>
        </w:rPr>
        <w:t xml:space="preserve"> and cultural orientations </w:t>
      </w:r>
      <w:r w:rsidRPr="009C7BA3">
        <w:rPr>
          <w:rStyle w:val="Emphasis"/>
          <w:highlight w:val="green"/>
        </w:rPr>
        <w:t>of students from diverse racial, ethnic, and economic backgrounds into their teaching strategies</w:t>
      </w:r>
      <w:r w:rsidRPr="009C7BA3">
        <w:rPr>
          <w:sz w:val="16"/>
          <w:highlight w:val="green"/>
        </w:rPr>
        <w:t>.</w:t>
      </w:r>
      <w:r w:rsidRPr="009C7BA3">
        <w:rPr>
          <w:sz w:val="16"/>
        </w:rPr>
        <w:t xml:space="preserve"> These educators honor their students and their families and seek to develop the talent potential of underachieving diverse students, placing them at promise instead of at risk (Boykin, 2002). Several scholars have introduced frameworks for CRT (Gay, 2002, 2010; Ladson-Billings, 2001; Phuntsog, 2001; Villegas &amp; Lucas, 2002) outlining the essential elements. For the purposes of this research, Gay’s (2010) framework will be used. At the heart of Gay’s model of CRT are four dynamic components that are interwoven: caring, communication, curriculum, and instruction. </w:t>
      </w:r>
      <w:r w:rsidRPr="009C7BA3">
        <w:rPr>
          <w:rStyle w:val="StyleUnderline"/>
        </w:rPr>
        <w:t>Culturally responsive caring, the ideological grounding of CRT, refers to how teachers relate to their students.</w:t>
      </w:r>
      <w:r w:rsidRPr="009C7BA3">
        <w:rPr>
          <w:sz w:val="16"/>
        </w:rPr>
        <w:t xml:space="preserve"> The classroom interactions between teachers and students and among students often determine whether learning will be a success or failure for diverse students. Teachers’ attitudes and expectations (academic, personal, social, and ethical dimensions) as well as their pedagogical skills determine the tone, structure, and quality of instruction. “Caring teachers expect (highly), relate (genuinely), and facilitate (relentlessly)” (Gay, 2010, p. 47). They place their students at the center of the learning process with their strengths and personal interests used as opportunities for academic success. </w:t>
      </w:r>
      <w:r w:rsidRPr="009C7BA3">
        <w:rPr>
          <w:rStyle w:val="Emphasis"/>
          <w:highlight w:val="green"/>
        </w:rPr>
        <w:t>Culturally competent educators</w:t>
      </w:r>
      <w:r w:rsidRPr="009C7BA3">
        <w:rPr>
          <w:rStyle w:val="Emphasis"/>
        </w:rPr>
        <w:t xml:space="preserve"> acquire a knowledge base about ethnic and cultural diversity as it relates to education and </w:t>
      </w:r>
      <w:r w:rsidRPr="009C7BA3">
        <w:rPr>
          <w:rStyle w:val="Emphasis"/>
          <w:highlight w:val="green"/>
        </w:rPr>
        <w:t>are continually culturally self-aware and conscious about what they do in the classroom as well as the effects of the educational system on their diverse students</w:t>
      </w:r>
      <w:r w:rsidRPr="009C7BA3">
        <w:rPr>
          <w:rStyle w:val="Emphasis"/>
        </w:rPr>
        <w:t>.</w:t>
      </w:r>
      <w:r w:rsidRPr="009C7BA3">
        <w:rPr>
          <w:sz w:val="16"/>
        </w:rPr>
        <w:t xml:space="preserve"> They grow to view CRT as a moral mandate for teaching culturally and linguistically diverse students (Gay, 2010). Effective communication, the tool of CRT, is also essential for quality instruction in the classroom yet many teachers carry with them misconceptions and confusions about their diverse students that cause them to struggle in communicating. </w:t>
      </w:r>
      <w:r w:rsidRPr="009C7BA3">
        <w:rPr>
          <w:rStyle w:val="StyleUnderline"/>
        </w:rPr>
        <w:t>While complex and challenging, educators who practice CRT incorporate elements of different cultural communication styles into classroom instruction</w:t>
      </w:r>
      <w:r w:rsidRPr="009C7BA3">
        <w:rPr>
          <w:sz w:val="16"/>
        </w:rPr>
        <w:t xml:space="preserve">. They analyze their own preferred discourse modes and compare them with those of their students to better understand how well their students negotiate the teaching. Using this information, culturally competent teachers seek ways to better communicate with their culturally and linguistically diverse students (Gay, 2010). Curriculum that is culturally diverse and accessible to students is additionally critical for their success. Effective teaching and learning for diverse students must allow all students access to knowledge that is regarded as high quality and prestigious with a guarantee that they become literate in the core subjects. Curriculum, the resource of CRT, should be multicultural and accurately recognize the worth of the knowledge various ethnic groups have contributed. </w:t>
      </w:r>
      <w:r w:rsidRPr="009C7BA3">
        <w:rPr>
          <w:rStyle w:val="Emphasis"/>
          <w:highlight w:val="green"/>
        </w:rPr>
        <w:t>Culturally competent teachers ensure that the curriculum is meaningful and relevant</w:t>
      </w:r>
      <w:r w:rsidRPr="009C7BA3">
        <w:rPr>
          <w:rStyle w:val="Emphasis"/>
        </w:rPr>
        <w:t xml:space="preserve"> to students’ lives and that they are included in curriculum decision-making</w:t>
      </w:r>
      <w:r w:rsidRPr="009C7BA3">
        <w:rPr>
          <w:sz w:val="16"/>
        </w:rPr>
        <w:t xml:space="preserve"> (Gay, 2010). Finally, CRT acknowledges the importance of incorporating aspects of the cultural systems of diverse groups into instruction. Instruction, the praxis of CRT, addresses the dialectic discourse, interaction, and engagement of students and teachers throughout the teaching and learning processes. Academic achievement improves when the processes of teaching correspond with the learning styles (participation, thinking, mental schemata), work habits, and experiences that diverse students bring to the classroom. </w:t>
      </w:r>
      <w:r w:rsidRPr="009C7BA3">
        <w:rPr>
          <w:rStyle w:val="Emphasis"/>
          <w:highlight w:val="green"/>
        </w:rPr>
        <w:t>Culturally competent teachers ensure that instructional processes are congruent with the learning styles</w:t>
      </w:r>
      <w:r w:rsidRPr="009C7BA3">
        <w:rPr>
          <w:rStyle w:val="Emphasis"/>
        </w:rPr>
        <w:t xml:space="preserve">, cultural orientations, </w:t>
      </w:r>
      <w:r w:rsidRPr="009C7BA3">
        <w:rPr>
          <w:rStyle w:val="Emphasis"/>
          <w:highlight w:val="green"/>
        </w:rPr>
        <w:t>and experiences of their marginalized students and create learning spaces for this to occur</w:t>
      </w:r>
      <w:r w:rsidRPr="009C7BA3">
        <w:rPr>
          <w:rStyle w:val="Emphasis"/>
        </w:rPr>
        <w:t xml:space="preserve"> </w:t>
      </w:r>
      <w:r w:rsidRPr="009C7BA3">
        <w:rPr>
          <w:sz w:val="16"/>
        </w:rPr>
        <w:t>(Gay, 2010).</w:t>
      </w:r>
    </w:p>
    <w:p w14:paraId="034B82E4" w14:textId="77777777" w:rsidR="00FE190D" w:rsidRPr="009C7BA3" w:rsidRDefault="00FE190D" w:rsidP="00FE190D"/>
    <w:p w14:paraId="02E910D1" w14:textId="77777777" w:rsidR="00B543B9" w:rsidRPr="009C7BA3" w:rsidRDefault="00B543B9" w:rsidP="00B543B9">
      <w:pPr>
        <w:pStyle w:val="Heading4"/>
        <w:rPr>
          <w:rStyle w:val="StyleUnderline"/>
          <w:rFonts w:cs="Arial"/>
          <w:sz w:val="28"/>
          <w:szCs w:val="28"/>
          <w:u w:val="none"/>
        </w:rPr>
      </w:pPr>
      <w:r w:rsidRPr="009C7BA3">
        <w:rPr>
          <w:rStyle w:val="StyleUnderline"/>
          <w:rFonts w:cs="Arial"/>
          <w:sz w:val="28"/>
          <w:szCs w:val="28"/>
          <w:u w:val="none"/>
        </w:rPr>
        <w:t>A culturally competent classroom opens positive dialogue about race both among teachers and students</w:t>
      </w:r>
    </w:p>
    <w:p w14:paraId="4236C6F1" w14:textId="77777777" w:rsidR="00B543B9" w:rsidRPr="009C7BA3" w:rsidRDefault="00B543B9" w:rsidP="00B543B9">
      <w:pPr>
        <w:pStyle w:val="NoSpacing"/>
        <w:rPr>
          <w:rFonts w:ascii="Arial" w:hAnsi="Arial" w:cs="Arial"/>
          <w:shd w:val="clear" w:color="auto" w:fill="FFFFFF"/>
        </w:rPr>
      </w:pPr>
      <w:r w:rsidRPr="009C7BA3">
        <w:rPr>
          <w:rFonts w:ascii="Arial" w:hAnsi="Arial" w:cs="Arial"/>
          <w:b/>
          <w:sz w:val="24"/>
        </w:rPr>
        <w:t>Cohen 16</w:t>
      </w:r>
      <w:r w:rsidRPr="009C7BA3">
        <w:rPr>
          <w:rFonts w:ascii="Arial" w:hAnsi="Arial" w:cs="Arial"/>
        </w:rPr>
        <w:t xml:space="preserve"> (</w:t>
      </w:r>
      <w:r w:rsidRPr="009C7BA3">
        <w:rPr>
          <w:rFonts w:ascii="Arial" w:hAnsi="Arial" w:cs="Arial"/>
          <w:shd w:val="clear" w:color="auto" w:fill="FFFFFF"/>
        </w:rPr>
        <w:t>David B. Cohen is a National Board Certified English Teacher and the Blog Editor of</w:t>
      </w:r>
      <w:r w:rsidRPr="009C7BA3">
        <w:rPr>
          <w:rFonts w:ascii="Arial" w:hAnsi="Arial" w:cs="Arial"/>
          <w:i/>
          <w:iCs/>
          <w:bdr w:val="none" w:sz="0" w:space="0" w:color="auto" w:frame="1"/>
          <w:shd w:val="clear" w:color="auto" w:fill="FFFFFF"/>
        </w:rPr>
        <w:t> The Standard. </w:t>
      </w:r>
      <w:r w:rsidRPr="009C7BA3">
        <w:rPr>
          <w:rFonts w:ascii="Arial" w:hAnsi="Arial" w:cs="Arial"/>
          <w:shd w:val="clear" w:color="auto" w:fill="FFFFFF"/>
        </w:rPr>
        <w:t>Cohen taught</w:t>
      </w:r>
      <w:r w:rsidRPr="009C7BA3">
        <w:rPr>
          <w:rFonts w:ascii="Arial" w:hAnsi="Arial" w:cs="Arial"/>
          <w:i/>
          <w:iCs/>
          <w:bdr w:val="none" w:sz="0" w:space="0" w:color="auto" w:frame="1"/>
          <w:shd w:val="clear" w:color="auto" w:fill="FFFFFF"/>
        </w:rPr>
        <w:t> </w:t>
      </w:r>
      <w:r w:rsidRPr="009C7BA3">
        <w:rPr>
          <w:rFonts w:ascii="Arial" w:hAnsi="Arial" w:cs="Arial"/>
          <w:shd w:val="clear" w:color="auto" w:fill="FFFFFF"/>
        </w:rPr>
        <w:t xml:space="preserve">high school English for 12 years in Palo Alto, Ca. For several years, Cohen co-directed a teacher leadership network called Accomplished California Teachers (ACT), “What does a culturally competent classroom look like?”, March 13, 2016, </w:t>
      </w:r>
      <w:hyperlink r:id="rId8" w:history="1">
        <w:r w:rsidRPr="009C7BA3">
          <w:rPr>
            <w:rStyle w:val="Hyperlink"/>
            <w:rFonts w:ascii="Arial" w:hAnsi="Arial" w:cs="Arial"/>
            <w:shd w:val="clear" w:color="auto" w:fill="FFFFFF"/>
          </w:rPr>
          <w:t>http://boardcertifiedteachers.org/blog/culturally-competence-in-schools)</w:t>
        </w:r>
      </w:hyperlink>
    </w:p>
    <w:p w14:paraId="4A7AF20C" w14:textId="77777777" w:rsidR="00B543B9" w:rsidRPr="009C7BA3" w:rsidRDefault="00B543B9" w:rsidP="00B543B9">
      <w:pPr>
        <w:pStyle w:val="NoSpacing"/>
        <w:rPr>
          <w:rFonts w:ascii="Arial" w:hAnsi="Arial" w:cs="Arial"/>
          <w:sz w:val="24"/>
        </w:rPr>
      </w:pPr>
    </w:p>
    <w:p w14:paraId="69A49B23" w14:textId="77777777" w:rsidR="00B543B9" w:rsidRPr="009C7BA3" w:rsidRDefault="00B543B9" w:rsidP="00B543B9">
      <w:r w:rsidRPr="009C7BA3">
        <w:t xml:space="preserve">What does a culturally competent classroom look like? David B. Cohen, NBCT | March 13, 2016 The Saturday [March 12] morning plenary session at the National Board's Teaching and Learning Conference offered a powerful conversation about race and education. While I’m sure it benefitted everyone in attendance, I found it particularly powerful because it shows some continuity in focus from the National Board. Last year’s conference featured a similar panel discussion on cultural competency. During the summer academy in Scottsdale, National Board helped network leaders from around the country go deeper into those conversations. David Johns reprised his role as moderator extraordinaire, keeping the conversation balanced and well-paced, and engaging a large audience effectively as well. The panel featured educators, Linda Darling-Hammond, Jose Vilson, Renee Moore, Ali Michael, and students, Marley Dias and Maria Salmon. Johns emphasized the value - the necessity - of having students featured in the conversations about education, and began the session with questions for both students on the panel. Dias has made a splash on the national stage with her #1000BlackGirlBooks campaign, advocating for the use and elevation of more diverse literature after a steady diet of school readings about "white boys and their dogs." She deftly jumped into the conversation later to emphasize the importance of thinking not about “the black experience,” but rather, “experiences.” Salmon leads a minority scholars program in her high school, and spoke about the complexity of cultural identity, citing her own multi-ethnic background as a source of strength. </w:t>
      </w:r>
      <w:r w:rsidRPr="009C7BA3">
        <w:rPr>
          <w:u w:val="single"/>
        </w:rPr>
        <w:t>Later she mentioned how her parents have encouraged her to see differences as something interesting and valuable, something to seek rather than shun</w:t>
      </w:r>
      <w:r w:rsidRPr="009C7BA3">
        <w:t xml:space="preserve">. Linda Darling-Hammond provided a more academic and scholarly frame for addressing cultural competence. </w:t>
      </w:r>
      <w:r w:rsidRPr="009C7BA3">
        <w:rPr>
          <w:u w:val="single"/>
        </w:rPr>
        <w:t xml:space="preserve">She addressed the intentional design of a teacher education program that has equity and social justice foremost among its guiding principles. </w:t>
      </w:r>
      <w:r w:rsidRPr="009C7BA3">
        <w:t xml:space="preserve">Teaching candidates at Stanford Teacher Education Program receive explicit teaching around these issues from the moment they begin their studies. They are placed in schools that are functional and addressing these issues, and have a full-year experience with mentor teachers who can show how it’s done in the classroom. Michael talked about the challenge of developing cultural competence and understanding of race when, early in life, white children (she cited her own experience) receive mixed messages: on one hand we’re told everyone is the same inside, everyone is equal, and then society shows us all the ways that some people are better than others, some are to be celebrated, some feared. </w:t>
      </w:r>
      <w:r w:rsidRPr="009C7BA3">
        <w:rPr>
          <w:u w:val="single"/>
        </w:rPr>
        <w:t>Her work serves to help educators understand and discuss race more productively in schools and among ourselves.</w:t>
      </w:r>
      <w:r w:rsidRPr="009C7BA3">
        <w:t xml:space="preserve"> Renee Moore focused on the Teacher Leadership Initiative, a joint effort involving the National Educators Association, Center for Teaching Quality, and National Board. The project aims to develop teacher leaders who are culturally competent. Too many teachers in the Mississippi Delta are unprepared, unskilled, but they can learn. We want to find teacher leaders, train them. The false notion of color-blindness is not just about teacher to student, but also within the profession. Teachers of color have been marginalized. To drive change, Moore said we can start by looking at the standards that guide National Board Certification. Every certificate area addresses equity, diversity, and social justice. </w:t>
      </w:r>
      <w:r w:rsidRPr="009C7BA3">
        <w:rPr>
          <w:u w:val="single"/>
        </w:rPr>
        <w:t>Those standards can help people understand and improve practice</w:t>
      </w:r>
      <w:r w:rsidRPr="009C7BA3">
        <w:t xml:space="preserve">. We also need to elevate the voices of our teachers of color. Seek them out, listen to them, value them. </w:t>
      </w:r>
      <w:r w:rsidRPr="009C7BA3">
        <w:rPr>
          <w:u w:val="single"/>
        </w:rPr>
        <w:t>Moore suggested that we must change the conversations to change the profession, then we’ll do a better job teaching children. Johns pushed for more specifics: how do we know what a culturally competent classroom looks like?</w:t>
      </w:r>
      <w:r w:rsidRPr="009C7BA3">
        <w:t xml:space="preserve"> At this point, an essential theme of the morning came through clearly, as Moore made it sound fairly simple</w:t>
      </w:r>
      <w:r w:rsidRPr="009C7BA3">
        <w:rPr>
          <w:u w:val="single"/>
        </w:rPr>
        <w:t>: you get to know your students and community. You know your subject and how to teach it to those specific students.</w:t>
      </w:r>
      <w:r w:rsidRPr="009C7BA3">
        <w:t xml:space="preserve"> Moore cited the importance of mentorship early in her career, specifically the mentorship of African-American teachers. Revisiting an idea Dias had raised earlier, Moore said that being a black teacher didn’t mean she was ready from day one to work with her students. Coming from Detroit, Moore had to learn about students from the Mississippi Delta. It’s not the same. Context matters. Johns pulled out another thread in the conversation, citing the idea of community before turning the conversation to #educolor - a community of educators building a movement for equity and liberation through activism, particularly in the sphere of education. Vilson offered some background: “We have a problem: how do we start critical conversations about race, class, and gender in classrooms?” Some people think those conversations are too risky, too difficult. Educolor said, “this is how you do it” - by </w:t>
      </w:r>
      <w:r w:rsidRPr="009C7BA3">
        <w:rPr>
          <w:u w:val="single"/>
        </w:rPr>
        <w:t>providing resources and readings around current events and real experiences. Building competence in these areas is work for everyone to do, as some of the troubling examples of violence and inequity happen in spaces where we have teachers and principals of color too.</w:t>
      </w:r>
      <w:r w:rsidRPr="009C7BA3">
        <w:t xml:space="preserve"> Asked for a short, Tweet-length piece of advice about how to make progress in this work, Vilson said, “Decenter yourself, and center the children.” Asked later about role models for African-American males, Vilson suggested that young men may have role models that they don’t speak about, and that teachers can draw out their students if they can manage to “just be cool.” Again, the idea of listening, creating safe spaces came through. It’s not a radical new pedagogy, but rather, a way of approaching our relationships with students that opens doors to important conversations and new learning. There were several questions about improving the cultural competence of schools and our profession by improving our recruitment of teachers of color. Moore suggested that recruitment will be easier and more effective if we start by treating teachers of color with respect. She cited a variety of ways in which education systems have marginalized teachers of color, or pushed them out entirely. Few people looking from the outside in will want to be part of that. In the question and answer portion of the event, there were many more specific concerns, but the answers shared common threads and themes from the whole morning. I emerged from the plenary optimistic that the work of improving education equity and cultural competence has no barriers we can’t address</w:t>
      </w:r>
      <w:r w:rsidRPr="009C7BA3">
        <w:rPr>
          <w:u w:val="single"/>
        </w:rPr>
        <w:t xml:space="preserve">. It comes down to some basic ideas: knowing, respecting, valuing, elevating different people and perspectives. </w:t>
      </w:r>
      <w:r w:rsidRPr="009C7BA3">
        <w:t>David Johns reduced it to a few basic points. Meet students with love. Listen to them. Be there for them. “Sometimes we overcomplicate things.” Johns pointedly ended the panel discussion by turning again to the students, asking them why and how they’re brilliant. Salmon talked about coming to the U.S. for a reason, for opportunity, and sounded confident and determined that she’s on the path already, taking advantage of her opportunities. Dias said the key is that she knows who she is and why she’s special, but she also knows not to take that idea too far in relating to others. “I can change the world,” she said, “but so can everyone else.”</w:t>
      </w:r>
    </w:p>
    <w:p w14:paraId="6AE07351" w14:textId="77777777" w:rsidR="00B543B9" w:rsidRPr="009C7BA3" w:rsidRDefault="00B543B9" w:rsidP="00B543B9"/>
    <w:p w14:paraId="3FB4CFF4" w14:textId="77777777" w:rsidR="00A7381B" w:rsidRPr="009C7BA3" w:rsidRDefault="00A7381B" w:rsidP="00A7687B">
      <w:pPr>
        <w:pStyle w:val="Heading4"/>
        <w:rPr>
          <w:rFonts w:cs="Arial"/>
        </w:rPr>
      </w:pPr>
      <w:r w:rsidRPr="009C7BA3">
        <w:rPr>
          <w:rFonts w:cs="Arial"/>
        </w:rPr>
        <w:t xml:space="preserve">With the rising demographic in culture, cultural competency is essential in school- numerous benefits to passing plan </w:t>
      </w:r>
    </w:p>
    <w:p w14:paraId="169AA247" w14:textId="77777777" w:rsidR="00A7381B" w:rsidRPr="009C7BA3" w:rsidRDefault="00A7381B" w:rsidP="00A7687B">
      <w:pPr>
        <w:rPr>
          <w:rStyle w:val="Style13ptBold"/>
        </w:rPr>
      </w:pPr>
      <w:r w:rsidRPr="009C7BA3">
        <w:rPr>
          <w:rStyle w:val="Style13ptBold"/>
        </w:rPr>
        <w:t xml:space="preserve">NASP No Date </w:t>
      </w:r>
    </w:p>
    <w:p w14:paraId="45504114" w14:textId="77777777" w:rsidR="00A7381B" w:rsidRPr="009C7BA3" w:rsidRDefault="00A7381B" w:rsidP="00A7687B">
      <w:r w:rsidRPr="009C7BA3">
        <w:t xml:space="preserve">National Association of School Psychologists, ( The Importance of Cultural Competence, Colby, S.L. &amp; Ortman, J. M. (2014). Projections of the size and composition of the U.S. population: 2014 to 2060, Current Population Reports, P25-1143, U.S. Census Bureau, Washington, DC, 2014. Retrieved from </w:t>
      </w:r>
      <w:hyperlink r:id="rId9" w:history="1">
        <w:r w:rsidRPr="009C7BA3">
          <w:rPr>
            <w:rStyle w:val="Hyperlink"/>
          </w:rPr>
          <w:t>https://www.census.gov/content/dam/Census/library/publications/2015/demo/p25-1143.pdf</w:t>
        </w:r>
      </w:hyperlink>
    </w:p>
    <w:p w14:paraId="32DD7A74" w14:textId="77777777" w:rsidR="00A7381B" w:rsidRPr="009C7BA3" w:rsidRDefault="00A7381B" w:rsidP="00A7381B">
      <w:pPr>
        <w:rPr>
          <w:sz w:val="16"/>
          <w:szCs w:val="16"/>
        </w:rPr>
      </w:pPr>
      <w:r w:rsidRPr="009C7BA3">
        <w:rPr>
          <w:sz w:val="16"/>
          <w:szCs w:val="16"/>
        </w:rPr>
        <w:t>Jones, J. (2014). Best practices in providing culturally responsive interventions, In P.L. Harrison &amp; A. Thomas (Eds.), Best Practices in School Psychology (pp. 49-60). Bethesda, MD: National Association of School Psychologists.</w:t>
      </w:r>
    </w:p>
    <w:p w14:paraId="75AF73FA" w14:textId="77777777" w:rsidR="00A7381B" w:rsidRPr="009C7BA3" w:rsidRDefault="00A7381B" w:rsidP="00A7381B">
      <w:pPr>
        <w:rPr>
          <w:sz w:val="16"/>
          <w:szCs w:val="16"/>
        </w:rPr>
      </w:pPr>
      <w:r w:rsidRPr="009C7BA3">
        <w:rPr>
          <w:sz w:val="16"/>
          <w:szCs w:val="16"/>
        </w:rPr>
        <w:t>Mancoske, R. J., Lewis, M. L., Bowers-Stevens, C., &amp; Ford, A. (2012). Cultural competence and children’s mental health service outcomes. Journal of Ethnic &amp; Cultural Diversity in Social Work, 21, 195–211.</w:t>
      </w:r>
    </w:p>
    <w:p w14:paraId="670134BB" w14:textId="77777777" w:rsidR="00A7381B" w:rsidRPr="009C7BA3" w:rsidRDefault="00A7381B" w:rsidP="00A7381B">
      <w:pPr>
        <w:rPr>
          <w:sz w:val="16"/>
          <w:szCs w:val="16"/>
        </w:rPr>
      </w:pPr>
      <w:r w:rsidRPr="009C7BA3">
        <w:rPr>
          <w:sz w:val="16"/>
          <w:szCs w:val="16"/>
        </w:rPr>
        <w:t>Miranda, A.H. (2014). Best practices in increasing cross-cultural competency, In P.L. Harrison &amp; A. Thomas (Eds.), Best Practices in School Psychology (pp. 9-19). Bethesda, MD: National Association of School Psychologists.</w:t>
      </w:r>
    </w:p>
    <w:p w14:paraId="3450CDF7" w14:textId="77777777" w:rsidR="00A7381B" w:rsidRPr="009C7BA3" w:rsidRDefault="00A7381B" w:rsidP="00A7381B">
      <w:pPr>
        <w:rPr>
          <w:sz w:val="16"/>
          <w:szCs w:val="16"/>
        </w:rPr>
      </w:pPr>
      <w:r w:rsidRPr="009C7BA3">
        <w:rPr>
          <w:sz w:val="16"/>
          <w:szCs w:val="16"/>
        </w:rPr>
        <w:t xml:space="preserve">National Association of School Psychologists. (2010). Model for Comprehensive and Integrative School Psychological Services. Bethesda, MD: Author. Retrieved from </w:t>
      </w:r>
      <w:hyperlink r:id="rId10" w:history="1">
        <w:r w:rsidRPr="009C7BA3">
          <w:rPr>
            <w:rStyle w:val="Hyperlink"/>
            <w:sz w:val="16"/>
            <w:szCs w:val="16"/>
          </w:rPr>
          <w:t>http://www.nasponline.org/Documents/Standards and Certification/Standards/2_PracticeModel.pdf</w:t>
        </w:r>
      </w:hyperlink>
      <w:r w:rsidRPr="009C7BA3">
        <w:rPr>
          <w:sz w:val="16"/>
          <w:szCs w:val="16"/>
        </w:rPr>
        <w:t xml:space="preserve"> ) </w:t>
      </w:r>
    </w:p>
    <w:p w14:paraId="1AFA4304" w14:textId="77777777" w:rsidR="00A7381B" w:rsidRPr="009C7BA3" w:rsidRDefault="00A7381B" w:rsidP="00A7381B">
      <w:pPr>
        <w:rPr>
          <w:sz w:val="16"/>
        </w:rPr>
      </w:pPr>
      <w:r w:rsidRPr="009C7BA3">
        <w:rPr>
          <w:sz w:val="16"/>
        </w:rPr>
        <w:t xml:space="preserve">With the ever-evolving demographics of our country, </w:t>
      </w:r>
      <w:r w:rsidRPr="009C7BA3">
        <w:rPr>
          <w:rStyle w:val="StyleUnderline"/>
          <w:highlight w:val="yellow"/>
        </w:rPr>
        <w:t xml:space="preserve">cultural competence </w:t>
      </w:r>
      <w:r w:rsidRPr="009C7BA3">
        <w:t>has become</w:t>
      </w:r>
      <w:r w:rsidRPr="009C7BA3">
        <w:rPr>
          <w:rStyle w:val="StyleUnderline"/>
        </w:rPr>
        <w:t xml:space="preserve"> </w:t>
      </w:r>
      <w:r w:rsidRPr="009C7BA3">
        <w:rPr>
          <w:rStyle w:val="StyleUnderline"/>
          <w:highlight w:val="yellow"/>
        </w:rPr>
        <w:t>an essential ingredient in</w:t>
      </w:r>
      <w:r w:rsidRPr="009C7BA3">
        <w:rPr>
          <w:rStyle w:val="StyleUnderline"/>
        </w:rPr>
        <w:t xml:space="preserve"> </w:t>
      </w:r>
      <w:r w:rsidRPr="009C7BA3">
        <w:t>the</w:t>
      </w:r>
      <w:r w:rsidRPr="009C7BA3">
        <w:rPr>
          <w:rStyle w:val="StyleUnderline"/>
        </w:rPr>
        <w:t xml:space="preserve"> </w:t>
      </w:r>
      <w:r w:rsidRPr="009C7BA3">
        <w:rPr>
          <w:rStyle w:val="StyleUnderline"/>
          <w:highlight w:val="yellow"/>
        </w:rPr>
        <w:t xml:space="preserve">creation of </w:t>
      </w:r>
      <w:r w:rsidRPr="009C7BA3">
        <w:t>a</w:t>
      </w:r>
      <w:r w:rsidRPr="009C7BA3">
        <w:rPr>
          <w:rStyle w:val="StyleUnderline"/>
        </w:rPr>
        <w:t xml:space="preserve"> </w:t>
      </w:r>
      <w:r w:rsidRPr="009C7BA3">
        <w:rPr>
          <w:rStyle w:val="StyleUnderline"/>
          <w:highlight w:val="yellow"/>
        </w:rPr>
        <w:t>positive school climate</w:t>
      </w:r>
      <w:r w:rsidRPr="009C7BA3">
        <w:rPr>
          <w:sz w:val="16"/>
        </w:rPr>
        <w:t xml:space="preserve">. Cultural competence is the </w:t>
      </w:r>
      <w:r w:rsidRPr="009C7BA3">
        <w:rPr>
          <w:rStyle w:val="StyleUnderline"/>
        </w:rPr>
        <w:t>ability to work effectively with people from a variety of cultural, ethnic, economic, and religious backgrounds (Miranda, 2014).</w:t>
      </w:r>
      <w:r w:rsidRPr="009C7BA3">
        <w:rPr>
          <w:sz w:val="16"/>
        </w:rPr>
        <w:t xml:space="preserve"> Cultural competence </w:t>
      </w:r>
      <w:r w:rsidRPr="009C7BA3">
        <w:rPr>
          <w:rStyle w:val="StyleUnderline"/>
          <w:highlight w:val="yellow"/>
        </w:rPr>
        <w:t>occurs when members of the school community honor, respect, and value diversity in theory and in practice</w:t>
      </w:r>
      <w:r w:rsidRPr="009C7BA3">
        <w:rPr>
          <w:sz w:val="16"/>
        </w:rPr>
        <w:t xml:space="preserve">; and teaching and learning are made relevant and accessible to students of various cultures, races, and ethnicities. There are </w:t>
      </w:r>
      <w:r w:rsidRPr="009C7BA3">
        <w:rPr>
          <w:rStyle w:val="StyleUnderline"/>
          <w:highlight w:val="yellow"/>
        </w:rPr>
        <w:t>numerous benefits</w:t>
      </w:r>
      <w:r w:rsidRPr="009C7BA3">
        <w:rPr>
          <w:sz w:val="16"/>
        </w:rPr>
        <w:t xml:space="preserve"> related to culturally competent practice </w:t>
      </w:r>
      <w:r w:rsidRPr="009C7BA3">
        <w:rPr>
          <w:rStyle w:val="StyleUnderline"/>
          <w:highlight w:val="yellow"/>
        </w:rPr>
        <w:t>including: promoting mental wellness and positive behavior, supporting academic and behavioral success, ensuring access to the full range of school services and activities to all students, and engaging students and their families in the school community</w:t>
      </w:r>
      <w:r w:rsidRPr="009C7BA3">
        <w:rPr>
          <w:sz w:val="16"/>
          <w:highlight w:val="yellow"/>
        </w:rPr>
        <w:t>.</w:t>
      </w:r>
    </w:p>
    <w:p w14:paraId="0DE9B278" w14:textId="77777777" w:rsidR="00A7381B" w:rsidRPr="009C7BA3" w:rsidRDefault="00A7381B" w:rsidP="00A7381B">
      <w:pPr>
        <w:rPr>
          <w:rFonts w:eastAsia="Times New Roman"/>
          <w:color w:val="222222"/>
          <w:sz w:val="16"/>
        </w:rPr>
      </w:pPr>
      <w:r w:rsidRPr="009C7BA3">
        <w:rPr>
          <w:rFonts w:eastAsia="Times New Roman"/>
          <w:color w:val="222222"/>
          <w:sz w:val="16"/>
        </w:rPr>
        <w:t>Brief Research Facts and Cultural Considerations</w:t>
      </w:r>
    </w:p>
    <w:p w14:paraId="59705A0B" w14:textId="77777777" w:rsidR="00A7381B" w:rsidRPr="009C7BA3" w:rsidRDefault="00A7381B" w:rsidP="00A7381B">
      <w:pPr>
        <w:rPr>
          <w:rFonts w:eastAsia="Times New Roman"/>
          <w:sz w:val="16"/>
        </w:rPr>
      </w:pPr>
      <w:r w:rsidRPr="009C7BA3">
        <w:rPr>
          <w:rFonts w:eastAsia="Times New Roman"/>
          <w:sz w:val="16"/>
        </w:rPr>
        <w:t xml:space="preserve">By </w:t>
      </w:r>
      <w:r w:rsidRPr="009C7BA3">
        <w:rPr>
          <w:rStyle w:val="StyleUnderline"/>
        </w:rPr>
        <w:t>2060, 64% of children under 18 in the U.S. are projected to belong to racial and ethnic minorities</w:t>
      </w:r>
      <w:r w:rsidRPr="009C7BA3">
        <w:rPr>
          <w:rFonts w:eastAsia="Times New Roman"/>
          <w:sz w:val="16"/>
        </w:rPr>
        <w:t>, as compared to 48% of children in 2014 (Colby &amp; Ortman, 2014).</w:t>
      </w:r>
    </w:p>
    <w:p w14:paraId="463B3788" w14:textId="77777777" w:rsidR="00A7381B" w:rsidRPr="009C7BA3" w:rsidRDefault="00A7381B" w:rsidP="00A7381B">
      <w:pPr>
        <w:rPr>
          <w:rFonts w:eastAsia="Times New Roman"/>
          <w:sz w:val="16"/>
        </w:rPr>
      </w:pPr>
      <w:r w:rsidRPr="009C7BA3">
        <w:rPr>
          <w:rStyle w:val="StyleUnderline"/>
        </w:rPr>
        <w:t xml:space="preserve">Greater cultural competence of mental health service providers is </w:t>
      </w:r>
      <w:r w:rsidRPr="009C7BA3">
        <w:rPr>
          <w:rStyle w:val="StyleUnderline"/>
          <w:highlight w:val="yellow"/>
        </w:rPr>
        <w:t>associated with better overall outcomes</w:t>
      </w:r>
      <w:r w:rsidRPr="009C7BA3">
        <w:rPr>
          <w:rFonts w:eastAsia="Times New Roman"/>
          <w:sz w:val="16"/>
        </w:rPr>
        <w:t xml:space="preserve"> (access, participation, satisfaction, and service outcomes) </w:t>
      </w:r>
      <w:r w:rsidRPr="009C7BA3">
        <w:rPr>
          <w:rStyle w:val="StyleUnderline"/>
          <w:highlight w:val="yellow"/>
        </w:rPr>
        <w:t>for African American youth and their families</w:t>
      </w:r>
      <w:r w:rsidRPr="009C7BA3">
        <w:rPr>
          <w:rFonts w:eastAsia="Times New Roman"/>
          <w:sz w:val="16"/>
        </w:rPr>
        <w:t xml:space="preserve"> (Mancoske, Lewis, Bower-Stevens, &amp; Ford, 2012).</w:t>
      </w:r>
    </w:p>
    <w:p w14:paraId="68CE2695" w14:textId="77777777" w:rsidR="00A7381B" w:rsidRPr="009C7BA3" w:rsidRDefault="00A7381B" w:rsidP="00A7381B">
      <w:pPr>
        <w:rPr>
          <w:rFonts w:eastAsia="Times New Roman"/>
          <w:sz w:val="16"/>
        </w:rPr>
      </w:pPr>
      <w:r w:rsidRPr="009C7BA3">
        <w:rPr>
          <w:rStyle w:val="StyleUnderline"/>
          <w:highlight w:val="yellow"/>
        </w:rPr>
        <w:t>Culture plays a crucial role in learning.</w:t>
      </w:r>
      <w:r w:rsidRPr="009C7BA3">
        <w:rPr>
          <w:rFonts w:eastAsia="Times New Roman"/>
          <w:sz w:val="16"/>
        </w:rPr>
        <w:t xml:space="preserve"> School psychologists who are knowledgeable and sensitive to students’ unique cultural backgrounds are better equipped to offer relevant academic, behavioral, and mental health interventions.</w:t>
      </w:r>
    </w:p>
    <w:p w14:paraId="47AB1B96" w14:textId="77777777" w:rsidR="00A7381B" w:rsidRPr="009C7BA3" w:rsidRDefault="00A7381B" w:rsidP="00A7381B">
      <w:pPr>
        <w:rPr>
          <w:rFonts w:eastAsia="Times New Roman"/>
          <w:sz w:val="16"/>
        </w:rPr>
      </w:pPr>
      <w:r w:rsidRPr="009C7BA3">
        <w:rPr>
          <w:rFonts w:eastAsia="Times New Roman"/>
          <w:sz w:val="16"/>
        </w:rPr>
        <w:t>School psychologists with skills in providing culturally responsive interventions work with students through a cultural frame of reference, recognize the complexity of culture, and incorporate individual differences in intervention planning (Jones, 2014).</w:t>
      </w:r>
    </w:p>
    <w:p w14:paraId="0A4E3432" w14:textId="77777777" w:rsidR="00A7381B" w:rsidRPr="009C7BA3" w:rsidRDefault="00A7381B" w:rsidP="00A7381B">
      <w:pPr>
        <w:rPr>
          <w:rFonts w:eastAsia="Times New Roman"/>
          <w:color w:val="222222"/>
          <w:sz w:val="16"/>
        </w:rPr>
      </w:pPr>
      <w:r w:rsidRPr="009C7BA3">
        <w:rPr>
          <w:rFonts w:eastAsia="Times New Roman"/>
          <w:color w:val="222222"/>
          <w:sz w:val="16"/>
        </w:rPr>
        <w:t>What Can Be Done to Enhance Cultural Competence?</w:t>
      </w:r>
    </w:p>
    <w:p w14:paraId="75350873" w14:textId="77777777" w:rsidR="00A7381B" w:rsidRPr="009C7BA3" w:rsidRDefault="00A7381B" w:rsidP="00A7381B">
      <w:pPr>
        <w:rPr>
          <w:sz w:val="16"/>
        </w:rPr>
      </w:pPr>
      <w:r w:rsidRPr="009C7BA3">
        <w:rPr>
          <w:sz w:val="16"/>
        </w:rPr>
        <w:t xml:space="preserve">It’s important to remember that cultural competence </w:t>
      </w:r>
      <w:r w:rsidRPr="009C7BA3">
        <w:rPr>
          <w:rStyle w:val="StyleUnderline"/>
        </w:rPr>
        <w:t xml:space="preserve">starts by recognizing that </w:t>
      </w:r>
      <w:r w:rsidRPr="009C7BA3">
        <w:rPr>
          <w:rStyle w:val="StyleUnderline"/>
          <w:highlight w:val="yellow"/>
        </w:rPr>
        <w:t>every cultural group brings values</w:t>
      </w:r>
      <w:r w:rsidRPr="009C7BA3">
        <w:rPr>
          <w:rStyle w:val="StyleUnderline"/>
        </w:rPr>
        <w:t xml:space="preserve"> which help define the concept of a true community</w:t>
      </w:r>
      <w:r w:rsidRPr="009C7BA3">
        <w:rPr>
          <w:sz w:val="16"/>
        </w:rPr>
        <w:t>. The following strategies (excerpted from Jones, 2014) can be utilized to begin making a connection:</w:t>
      </w:r>
    </w:p>
    <w:p w14:paraId="0E921D04" w14:textId="77777777" w:rsidR="00A7381B" w:rsidRPr="009C7BA3" w:rsidRDefault="00A7381B" w:rsidP="00A7381B">
      <w:pPr>
        <w:rPr>
          <w:rFonts w:eastAsia="Times New Roman"/>
          <w:sz w:val="16"/>
        </w:rPr>
      </w:pPr>
      <w:r w:rsidRPr="009C7BA3">
        <w:rPr>
          <w:rFonts w:eastAsia="Times New Roman"/>
          <w:sz w:val="16"/>
        </w:rPr>
        <w:t>Continue exploring your own culture, beliefs, and values.</w:t>
      </w:r>
    </w:p>
    <w:p w14:paraId="166FD209" w14:textId="77777777" w:rsidR="00A7381B" w:rsidRPr="009C7BA3" w:rsidRDefault="00A7381B" w:rsidP="00A7381B">
      <w:pPr>
        <w:rPr>
          <w:rFonts w:eastAsia="Times New Roman"/>
          <w:sz w:val="16"/>
        </w:rPr>
      </w:pPr>
      <w:r w:rsidRPr="009C7BA3">
        <w:rPr>
          <w:rFonts w:eastAsia="Times New Roman"/>
          <w:sz w:val="16"/>
        </w:rPr>
        <w:t>Believe you can serve individuals of a different race or ethnicity.</w:t>
      </w:r>
    </w:p>
    <w:p w14:paraId="5AD963DB" w14:textId="77777777" w:rsidR="00A7381B" w:rsidRPr="009C7BA3" w:rsidRDefault="00A7381B" w:rsidP="00A7381B">
      <w:pPr>
        <w:rPr>
          <w:rFonts w:eastAsia="Times New Roman"/>
          <w:sz w:val="16"/>
        </w:rPr>
      </w:pPr>
      <w:r w:rsidRPr="009C7BA3">
        <w:rPr>
          <w:rFonts w:eastAsia="Times New Roman"/>
          <w:sz w:val="16"/>
        </w:rPr>
        <w:t>Develop a list of professionals for consultation on multicultural issues.</w:t>
      </w:r>
    </w:p>
    <w:p w14:paraId="60D8B86D" w14:textId="77777777" w:rsidR="00A7381B" w:rsidRPr="009C7BA3" w:rsidRDefault="00A7381B" w:rsidP="00A7381B">
      <w:pPr>
        <w:rPr>
          <w:rFonts w:eastAsia="Times New Roman"/>
          <w:sz w:val="16"/>
        </w:rPr>
      </w:pPr>
      <w:r w:rsidRPr="009C7BA3">
        <w:rPr>
          <w:rFonts w:eastAsia="Times New Roman"/>
          <w:sz w:val="16"/>
        </w:rPr>
        <w:t>Engage in dialogue with colleagues and continue to increase cultural literacy.</w:t>
      </w:r>
    </w:p>
    <w:p w14:paraId="75280EB4" w14:textId="77777777" w:rsidR="00A7381B" w:rsidRPr="009C7BA3" w:rsidRDefault="00A7381B" w:rsidP="00A7381B">
      <w:pPr>
        <w:rPr>
          <w:rFonts w:eastAsia="Times New Roman"/>
          <w:sz w:val="16"/>
        </w:rPr>
      </w:pPr>
      <w:r w:rsidRPr="009C7BA3">
        <w:rPr>
          <w:rFonts w:eastAsia="Times New Roman"/>
          <w:sz w:val="16"/>
        </w:rPr>
        <w:t>Assume that there is heterogeneity within an ethnic group, but that the foundation of cultural values is likely to be homogenous.</w:t>
      </w:r>
    </w:p>
    <w:p w14:paraId="1CC8F8D1" w14:textId="77777777" w:rsidR="00A7381B" w:rsidRPr="009C7BA3" w:rsidRDefault="00A7381B" w:rsidP="00A7381B">
      <w:pPr>
        <w:rPr>
          <w:rFonts w:eastAsia="Times New Roman"/>
          <w:sz w:val="16"/>
        </w:rPr>
      </w:pPr>
      <w:r w:rsidRPr="009C7BA3">
        <w:rPr>
          <w:rFonts w:eastAsia="Times New Roman"/>
          <w:sz w:val="16"/>
        </w:rPr>
        <w:t>Keep the family active in planning educational interventions and progress monitoring.</w:t>
      </w:r>
    </w:p>
    <w:p w14:paraId="64FE3347" w14:textId="77777777" w:rsidR="00A7381B" w:rsidRPr="009C7BA3" w:rsidRDefault="00A7381B" w:rsidP="00A7381B">
      <w:pPr>
        <w:rPr>
          <w:rFonts w:eastAsia="Times New Roman"/>
          <w:sz w:val="16"/>
        </w:rPr>
      </w:pPr>
      <w:r w:rsidRPr="009C7BA3">
        <w:rPr>
          <w:rFonts w:eastAsia="Times New Roman"/>
          <w:sz w:val="16"/>
        </w:rPr>
        <w:t>Learn more about the culture of the child through the child and family.</w:t>
      </w:r>
    </w:p>
    <w:p w14:paraId="07022455" w14:textId="77777777" w:rsidR="00A7381B" w:rsidRPr="009C7BA3" w:rsidRDefault="00A7381B" w:rsidP="00A7381B">
      <w:pPr>
        <w:rPr>
          <w:rFonts w:eastAsia="Times New Roman"/>
          <w:sz w:val="16"/>
        </w:rPr>
      </w:pPr>
      <w:r w:rsidRPr="009C7BA3">
        <w:rPr>
          <w:rFonts w:eastAsia="Times New Roman"/>
          <w:sz w:val="16"/>
        </w:rPr>
        <w:t>Always work from a strength-based perspective.</w:t>
      </w:r>
    </w:p>
    <w:p w14:paraId="783875D1" w14:textId="77777777" w:rsidR="00A7381B" w:rsidRPr="009C7BA3" w:rsidRDefault="00A7381B" w:rsidP="00A7381B">
      <w:pPr>
        <w:rPr>
          <w:rFonts w:eastAsia="Times New Roman"/>
          <w:color w:val="222222"/>
          <w:sz w:val="16"/>
        </w:rPr>
      </w:pPr>
      <w:r w:rsidRPr="009C7BA3">
        <w:rPr>
          <w:rFonts w:eastAsia="Times New Roman"/>
          <w:color w:val="222222"/>
          <w:sz w:val="16"/>
        </w:rPr>
        <w:t>The Role of the School Psychologist</w:t>
      </w:r>
    </w:p>
    <w:p w14:paraId="290CC1D2" w14:textId="77777777" w:rsidR="00A7381B" w:rsidRPr="009C7BA3" w:rsidRDefault="00A7381B" w:rsidP="00A7381B">
      <w:pPr>
        <w:rPr>
          <w:rStyle w:val="StyleUnderline"/>
        </w:rPr>
      </w:pPr>
      <w:r w:rsidRPr="009C7BA3">
        <w:rPr>
          <w:rStyle w:val="StyleUnderline"/>
          <w:highlight w:val="yellow"/>
        </w:rPr>
        <w:t>School psychologists who engage in culturally competent practice have greater self-awareness, better understanding of the cultural characteristics of groups, and an increased likelihood of successful interventions and support in the context of a student’s culture</w:t>
      </w:r>
      <w:r w:rsidRPr="009C7BA3">
        <w:rPr>
          <w:rStyle w:val="StyleUnderline"/>
        </w:rPr>
        <w:t xml:space="preserve"> </w:t>
      </w:r>
      <w:r w:rsidRPr="009C7BA3">
        <w:rPr>
          <w:sz w:val="16"/>
        </w:rPr>
        <w:t xml:space="preserve">(Jones, 2014). </w:t>
      </w:r>
      <w:r w:rsidRPr="009C7BA3">
        <w:rPr>
          <w:rStyle w:val="StyleUnderline"/>
        </w:rPr>
        <w:t>The NASP Practice Model includes diversity in development and learning as one of the foundations of school psychological service delivery</w:t>
      </w:r>
      <w:r w:rsidRPr="009C7BA3">
        <w:rPr>
          <w:sz w:val="16"/>
        </w:rPr>
        <w:t xml:space="preserve">. </w:t>
      </w:r>
      <w:r w:rsidRPr="009C7BA3">
        <w:rPr>
          <w:rStyle w:val="StyleUnderline"/>
        </w:rPr>
        <w:t>School psychologists bring this understanding of culture and individual student differences to the work they do in schools to help ensure that all students experience success in school, at home, and in life.</w:t>
      </w:r>
    </w:p>
    <w:p w14:paraId="69746888" w14:textId="77777777" w:rsidR="00A7381B" w:rsidRPr="009C7BA3" w:rsidRDefault="00A7381B" w:rsidP="00A7381B">
      <w:pPr>
        <w:rPr>
          <w:rFonts w:eastAsia="Times New Roman"/>
          <w:szCs w:val="20"/>
        </w:rPr>
      </w:pPr>
    </w:p>
    <w:p w14:paraId="31DB220B" w14:textId="77777777" w:rsidR="00A7381B" w:rsidRPr="009C7BA3" w:rsidRDefault="00A7381B" w:rsidP="00A7381B">
      <w:pPr>
        <w:rPr>
          <w:sz w:val="16"/>
        </w:rPr>
      </w:pPr>
    </w:p>
    <w:p w14:paraId="3EB5C468" w14:textId="77777777" w:rsidR="00B543B9" w:rsidRPr="009C7BA3" w:rsidRDefault="00B543B9" w:rsidP="00FE190D"/>
    <w:p w14:paraId="5E3C9D66" w14:textId="77777777" w:rsidR="00B543B9" w:rsidRPr="009C7BA3" w:rsidRDefault="00B543B9" w:rsidP="00FE190D"/>
    <w:p w14:paraId="566F472B" w14:textId="77777777" w:rsidR="00FE190D" w:rsidRPr="009C7BA3" w:rsidRDefault="00B543B9" w:rsidP="00B543B9">
      <w:pPr>
        <w:pStyle w:val="Heading3"/>
        <w:rPr>
          <w:rFonts w:cs="Arial"/>
        </w:rPr>
      </w:pPr>
      <w:r w:rsidRPr="009C7BA3">
        <w:rPr>
          <w:rFonts w:cs="Arial"/>
        </w:rPr>
        <w:t>solvency – teachers</w:t>
      </w:r>
    </w:p>
    <w:p w14:paraId="060A12CB" w14:textId="77777777" w:rsidR="00B543B9" w:rsidRPr="009C7BA3" w:rsidRDefault="00B543B9" w:rsidP="00B543B9"/>
    <w:p w14:paraId="4B7FA4E0" w14:textId="77777777" w:rsidR="00CE4E94" w:rsidRPr="009C7BA3" w:rsidRDefault="00CE4E94" w:rsidP="00CE4E94">
      <w:pPr>
        <w:pStyle w:val="Heading4"/>
        <w:rPr>
          <w:rStyle w:val="StyleUnderline"/>
          <w:rFonts w:cs="Arial"/>
          <w:u w:val="none"/>
        </w:rPr>
      </w:pPr>
      <w:r w:rsidRPr="009C7BA3">
        <w:rPr>
          <w:rStyle w:val="StyleUnderline"/>
          <w:rFonts w:cs="Arial"/>
          <w:u w:val="none"/>
        </w:rPr>
        <w:t>Teaching cultural competency can be learned and practiced and will work in the educational system as a whole- the aff is a step into solving</w:t>
      </w:r>
    </w:p>
    <w:p w14:paraId="7AE508E0" w14:textId="77777777" w:rsidR="00CE4E94" w:rsidRPr="009C7BA3" w:rsidRDefault="00CE4E94" w:rsidP="00CE4E94">
      <w:pPr>
        <w:rPr>
          <w:rStyle w:val="Style13ptBold"/>
        </w:rPr>
      </w:pPr>
      <w:r w:rsidRPr="009C7BA3">
        <w:rPr>
          <w:rStyle w:val="Style13ptBold"/>
        </w:rPr>
        <w:t xml:space="preserve">NEA No date </w:t>
      </w:r>
    </w:p>
    <w:p w14:paraId="3F9281F8" w14:textId="77777777" w:rsidR="00CE4E94" w:rsidRPr="009C7BA3" w:rsidRDefault="00CE4E94" w:rsidP="00CE4E94">
      <w:r w:rsidRPr="009C7BA3">
        <w:t xml:space="preserve">National Education Association (Diversity Toolkit: Cultural Competence for Educators, </w:t>
      </w:r>
      <w:hyperlink r:id="rId11" w:history="1">
        <w:r w:rsidRPr="009C7BA3">
          <w:rPr>
            <w:rStyle w:val="Hyperlink"/>
          </w:rPr>
          <w:t>http://www.nea.org/tools/30402.htm</w:t>
        </w:r>
      </w:hyperlink>
      <w:r w:rsidRPr="009C7BA3">
        <w:t>, date accessed- 7-22-2017)</w:t>
      </w:r>
    </w:p>
    <w:p w14:paraId="7290E606" w14:textId="77777777" w:rsidR="00CE4E94" w:rsidRPr="009C7BA3" w:rsidRDefault="00CE4E94" w:rsidP="00CE4E94"/>
    <w:p w14:paraId="3BD579B4" w14:textId="77777777" w:rsidR="00CE4E94" w:rsidRPr="009C7BA3" w:rsidRDefault="00CE4E94" w:rsidP="00CE4E94">
      <w:pPr>
        <w:rPr>
          <w:rStyle w:val="StyleUnderline"/>
        </w:rPr>
      </w:pPr>
      <w:r w:rsidRPr="009C7BA3">
        <w:rPr>
          <w:rStyle w:val="StyleUnderline"/>
          <w:highlight w:val="green"/>
        </w:rPr>
        <w:t>Cultural competence</w:t>
      </w:r>
      <w:r w:rsidRPr="009C7BA3">
        <w:rPr>
          <w:sz w:val="16"/>
          <w:shd w:val="clear" w:color="auto" w:fill="FFFFFF"/>
        </w:rPr>
        <w:t xml:space="preserve"> is the </w:t>
      </w:r>
      <w:r w:rsidRPr="009C7BA3">
        <w:rPr>
          <w:rStyle w:val="StyleUnderline"/>
          <w:highlight w:val="green"/>
        </w:rPr>
        <w:t>key to thriving</w:t>
      </w:r>
      <w:r w:rsidRPr="009C7BA3">
        <w:rPr>
          <w:rStyle w:val="StyleUnderline"/>
        </w:rPr>
        <w:t xml:space="preserve"> </w:t>
      </w:r>
      <w:r w:rsidRPr="009C7BA3">
        <w:rPr>
          <w:rStyle w:val="StyleUnderline"/>
          <w:highlight w:val="green"/>
        </w:rPr>
        <w:t>in</w:t>
      </w:r>
      <w:r w:rsidRPr="009C7BA3">
        <w:rPr>
          <w:sz w:val="16"/>
          <w:shd w:val="clear" w:color="auto" w:fill="FFFFFF"/>
        </w:rPr>
        <w:t xml:space="preserve"> culturally diverse classrooms and </w:t>
      </w:r>
      <w:r w:rsidRPr="009C7BA3">
        <w:rPr>
          <w:rStyle w:val="StyleUnderline"/>
          <w:highlight w:val="green"/>
        </w:rPr>
        <w:t>schools</w:t>
      </w:r>
      <w:r w:rsidRPr="009C7BA3">
        <w:rPr>
          <w:sz w:val="16"/>
          <w:shd w:val="clear" w:color="auto" w:fill="FFFFFF"/>
        </w:rPr>
        <w:t xml:space="preserve"> - and it </w:t>
      </w:r>
      <w:r w:rsidRPr="009C7BA3">
        <w:rPr>
          <w:rStyle w:val="Emphasis"/>
          <w:highlight w:val="green"/>
        </w:rPr>
        <w:t>can be learned, practiced, and institutionalized to better serve diverse students, their families, and their communities</w:t>
      </w:r>
      <w:r w:rsidRPr="009C7BA3">
        <w:rPr>
          <w:sz w:val="16"/>
          <w:shd w:val="clear" w:color="auto" w:fill="FFFFFF"/>
        </w:rPr>
        <w:t xml:space="preserve">. </w:t>
      </w:r>
      <w:r w:rsidRPr="009C7BA3">
        <w:rPr>
          <w:rStyle w:val="StyleUnderline"/>
        </w:rPr>
        <w:t xml:space="preserve">Cultural competence is the ability to successfully teach students who come from a culture or cultures other than our own. </w:t>
      </w:r>
      <w:r w:rsidRPr="009C7BA3">
        <w:rPr>
          <w:rStyle w:val="StyleUnderline"/>
          <w:highlight w:val="green"/>
        </w:rPr>
        <w:t>It entails developing certain personal and interpersonal awareness and sensitivities, understanding certain bodies of cultural knowledge, and mastering a set of skills that, taken together, underlie effective cross-cultural teaching and culturally responsive teaching.</w:t>
      </w:r>
    </w:p>
    <w:p w14:paraId="07AABC3F" w14:textId="77777777" w:rsidR="00CE4E94" w:rsidRPr="009C7BA3" w:rsidRDefault="00CE4E94" w:rsidP="00CE4E94">
      <w:pPr>
        <w:rPr>
          <w:sz w:val="16"/>
          <w:shd w:val="clear" w:color="auto" w:fill="FFFFFF"/>
        </w:rPr>
      </w:pPr>
      <w:r w:rsidRPr="009C7BA3">
        <w:rPr>
          <w:sz w:val="16"/>
          <w:shd w:val="clear" w:color="auto" w:fill="FFFFFF"/>
        </w:rPr>
        <w:t>Cultural competence doesn't occur as a result of a single day of training, or reading a book, or taking a course. Educators become culturally competent over time, but researchers suggest some places to start.</w:t>
      </w:r>
    </w:p>
    <w:p w14:paraId="3C0465CC" w14:textId="77777777" w:rsidR="00CE4E94" w:rsidRPr="009C7BA3" w:rsidRDefault="00CE4E94" w:rsidP="00CE4E94">
      <w:pPr>
        <w:rPr>
          <w:rFonts w:eastAsia="Times New Roman"/>
          <w:color w:val="000000"/>
          <w:sz w:val="16"/>
        </w:rPr>
      </w:pPr>
      <w:bookmarkStart w:id="1" w:name="MI"/>
      <w:bookmarkEnd w:id="1"/>
      <w:r w:rsidRPr="009C7BA3">
        <w:rPr>
          <w:rFonts w:eastAsia="Times New Roman"/>
          <w:color w:val="000000"/>
          <w:sz w:val="16"/>
        </w:rPr>
        <w:t>Main Issues</w:t>
      </w:r>
    </w:p>
    <w:p w14:paraId="0FC223B2" w14:textId="77777777" w:rsidR="00CE4E94" w:rsidRPr="009C7BA3" w:rsidRDefault="00CE4E94" w:rsidP="00CE4E94">
      <w:pPr>
        <w:rPr>
          <w:rStyle w:val="StyleUnderline"/>
        </w:rPr>
      </w:pPr>
      <w:r w:rsidRPr="009C7BA3">
        <w:rPr>
          <w:sz w:val="16"/>
        </w:rPr>
        <w:t xml:space="preserve">We all have a culture that shapes us personally and professionally. According to NEA's C.A.R.E. Strategies for Closing the Achievement Gaps, "Culture is the sum total of experiences, knowledge, skills, beliefs, values, and interests represented by the diversity of students and adults in our schools. While culture is often defined and perceived by schools as the celebration of important people, religions, traditions, and holidays, as well as an appreciation of the customs of different groups, it is also more than that. Culture is as much, or as little, as the everyday experiences, people, events, smells, sounds, and habits of behavior that characterize students' and educators' lives. </w:t>
      </w:r>
      <w:r w:rsidRPr="009C7BA3">
        <w:rPr>
          <w:rStyle w:val="StyleUnderline"/>
          <w:highlight w:val="green"/>
        </w:rPr>
        <w:t>Culture shapes a person's sense of who he or she is and where he or she fits in the family, community, and society</w:t>
      </w:r>
      <w:r w:rsidRPr="009C7BA3">
        <w:rPr>
          <w:rStyle w:val="StyleUnderline"/>
        </w:rPr>
        <w:t>."</w:t>
      </w:r>
    </w:p>
    <w:p w14:paraId="25E01C50" w14:textId="77777777" w:rsidR="00CE4E94" w:rsidRPr="009C7BA3" w:rsidRDefault="00CE4E94" w:rsidP="00CE4E94">
      <w:pPr>
        <w:rPr>
          <w:rStyle w:val="Emphasis"/>
        </w:rPr>
      </w:pPr>
      <w:r w:rsidRPr="009C7BA3">
        <w:rPr>
          <w:rStyle w:val="StyleUnderline"/>
        </w:rPr>
        <w:t xml:space="preserve">Understanding </w:t>
      </w:r>
      <w:r w:rsidRPr="009C7BA3">
        <w:rPr>
          <w:sz w:val="16"/>
        </w:rPr>
        <w:t>our</w:t>
      </w:r>
      <w:r w:rsidRPr="009C7BA3">
        <w:rPr>
          <w:rStyle w:val="StyleUnderline"/>
        </w:rPr>
        <w:t xml:space="preserve"> culture is important so that we understand how we interact with individuals from cultures that are different from ours. This </w:t>
      </w:r>
      <w:r w:rsidRPr="009C7BA3">
        <w:rPr>
          <w:rStyle w:val="Emphasis"/>
          <w:highlight w:val="green"/>
        </w:rPr>
        <w:t>understanding helps us see our students and their families more clearly, and shape policies and practice in ways that will help our students to succeed.</w:t>
      </w:r>
    </w:p>
    <w:p w14:paraId="21AAE8D4" w14:textId="77777777" w:rsidR="00CE4E94" w:rsidRPr="009C7BA3" w:rsidRDefault="00CE4E94" w:rsidP="00CE4E94">
      <w:pPr>
        <w:rPr>
          <w:sz w:val="16"/>
        </w:rPr>
      </w:pPr>
      <w:r w:rsidRPr="009C7BA3">
        <w:rPr>
          <w:rStyle w:val="StyleUnderline"/>
        </w:rPr>
        <w:t xml:space="preserve">There are </w:t>
      </w:r>
      <w:r w:rsidRPr="009C7BA3">
        <w:rPr>
          <w:rStyle w:val="StyleUnderline"/>
          <w:highlight w:val="green"/>
        </w:rPr>
        <w:t>five basic cultural competence skill</w:t>
      </w:r>
      <w:r w:rsidRPr="009C7BA3">
        <w:rPr>
          <w:sz w:val="16"/>
        </w:rPr>
        <w:t xml:space="preserve"> areas. They apply to individual educators as well as the schools </w:t>
      </w:r>
      <w:r w:rsidRPr="009C7BA3">
        <w:rPr>
          <w:rStyle w:val="StyleUnderline"/>
          <w:highlight w:val="green"/>
        </w:rPr>
        <w:t>they work in and the educational system as a whole</w:t>
      </w:r>
      <w:r w:rsidRPr="009C7BA3">
        <w:rPr>
          <w:rStyle w:val="Emphasis"/>
          <w:highlight w:val="green"/>
        </w:rPr>
        <w:t>. Growth in one area tends to support growth in another</w:t>
      </w:r>
      <w:r w:rsidRPr="009C7BA3">
        <w:rPr>
          <w:rStyle w:val="StyleUnderline"/>
        </w:rPr>
        <w:t xml:space="preserve"> </w:t>
      </w:r>
      <w:r w:rsidRPr="009C7BA3">
        <w:rPr>
          <w:sz w:val="16"/>
        </w:rPr>
        <w:t>(Adapted from Diller and Moule, Cultural Competence: A Primer for Educators, Thomson Wadsworth 2005):</w:t>
      </w:r>
    </w:p>
    <w:p w14:paraId="34B2D699" w14:textId="77777777" w:rsidR="00CE4E94" w:rsidRPr="009C7BA3" w:rsidRDefault="00CE4E94" w:rsidP="00CE4E94">
      <w:pPr>
        <w:rPr>
          <w:rFonts w:eastAsia="Times New Roman"/>
          <w:sz w:val="16"/>
        </w:rPr>
      </w:pPr>
      <w:r w:rsidRPr="009C7BA3">
        <w:rPr>
          <w:rStyle w:val="StyleUnderline"/>
          <w:highlight w:val="green"/>
        </w:rPr>
        <w:t>Valuing Diversity.</w:t>
      </w:r>
      <w:r w:rsidRPr="009C7BA3">
        <w:rPr>
          <w:rFonts w:eastAsia="Times New Roman"/>
          <w:sz w:val="16"/>
        </w:rPr>
        <w:t xml:space="preserve"> Accepting and respecting differences—different cultural backgrounds and customs, different ways of communicating, and different traditions and values.</w:t>
      </w:r>
    </w:p>
    <w:p w14:paraId="4BDF6D4B" w14:textId="77777777" w:rsidR="00CE4E94" w:rsidRPr="009C7BA3" w:rsidRDefault="00CE4E94" w:rsidP="00CE4E94">
      <w:pPr>
        <w:rPr>
          <w:rFonts w:eastAsia="Times New Roman"/>
          <w:sz w:val="16"/>
        </w:rPr>
      </w:pPr>
      <w:r w:rsidRPr="009C7BA3">
        <w:rPr>
          <w:rStyle w:val="StyleUnderline"/>
          <w:highlight w:val="green"/>
        </w:rPr>
        <w:t>Being Culturally Self-Aware</w:t>
      </w:r>
      <w:r w:rsidRPr="009C7BA3">
        <w:rPr>
          <w:sz w:val="16"/>
        </w:rPr>
        <w:t>.</w:t>
      </w:r>
      <w:r w:rsidRPr="009C7BA3">
        <w:rPr>
          <w:rFonts w:eastAsia="Times New Roman"/>
          <w:sz w:val="16"/>
        </w:rPr>
        <w:t xml:space="preserve"> Culture—the sum total of an individual's experiences, knowledge, skills, beliefs, values, and interests—shapes educators' sense of who they are and where they fit in their family, school, community, and society.</w:t>
      </w:r>
    </w:p>
    <w:p w14:paraId="5570BB8C" w14:textId="77777777" w:rsidR="00CE4E94" w:rsidRPr="009C7BA3" w:rsidRDefault="00CE4E94" w:rsidP="00CE4E94">
      <w:pPr>
        <w:rPr>
          <w:rFonts w:eastAsia="Times New Roman"/>
          <w:sz w:val="16"/>
        </w:rPr>
      </w:pPr>
      <w:r w:rsidRPr="009C7BA3">
        <w:rPr>
          <w:rStyle w:val="StyleUnderline"/>
          <w:highlight w:val="green"/>
        </w:rPr>
        <w:t>Dynamics of Difference</w:t>
      </w:r>
      <w:r w:rsidRPr="009C7BA3">
        <w:rPr>
          <w:rFonts w:eastAsia="Times New Roman"/>
          <w:sz w:val="16"/>
        </w:rPr>
        <w:t>. Knowing what can go wrong in cross-cultural communication and how to respond to these situations.</w:t>
      </w:r>
    </w:p>
    <w:p w14:paraId="60D7D9E0" w14:textId="77777777" w:rsidR="00CE4E94" w:rsidRPr="009C7BA3" w:rsidRDefault="00CE4E94" w:rsidP="00CE4E94">
      <w:pPr>
        <w:rPr>
          <w:rFonts w:eastAsia="Times New Roman"/>
          <w:sz w:val="16"/>
        </w:rPr>
      </w:pPr>
      <w:r w:rsidRPr="009C7BA3">
        <w:rPr>
          <w:rStyle w:val="StyleUnderline"/>
          <w:highlight w:val="green"/>
        </w:rPr>
        <w:t>Knowledge of Students' Culture</w:t>
      </w:r>
      <w:r w:rsidRPr="009C7BA3">
        <w:rPr>
          <w:rFonts w:eastAsia="Times New Roman"/>
          <w:sz w:val="16"/>
        </w:rPr>
        <w:t>. Educators must have some base knowledge of their students' culture so that student behaviors can be understood in their proper cultural context.</w:t>
      </w:r>
    </w:p>
    <w:p w14:paraId="53CE556B" w14:textId="77777777" w:rsidR="00CE4E94" w:rsidRPr="009C7BA3" w:rsidRDefault="00CE4E94" w:rsidP="00CE4E94">
      <w:pPr>
        <w:rPr>
          <w:rFonts w:eastAsia="Times New Roman"/>
          <w:sz w:val="16"/>
        </w:rPr>
      </w:pPr>
      <w:r w:rsidRPr="009C7BA3">
        <w:rPr>
          <w:rStyle w:val="StyleUnderline"/>
          <w:highlight w:val="green"/>
        </w:rPr>
        <w:t>Institutionalizing Cultural Knowledge and Adapting to Diversity</w:t>
      </w:r>
      <w:r w:rsidRPr="009C7BA3">
        <w:rPr>
          <w:rStyle w:val="StyleUnderline"/>
        </w:rPr>
        <w:t>.</w:t>
      </w:r>
      <w:r w:rsidRPr="009C7BA3">
        <w:rPr>
          <w:rFonts w:eastAsia="Times New Roman"/>
          <w:sz w:val="16"/>
        </w:rPr>
        <w:t xml:space="preserve"> Culturally competent educators, and the institutions they work in, can take a step further by institutionalizing cultural knowledge so they can adapt to diversity and better serve diverse populations.</w:t>
      </w:r>
    </w:p>
    <w:p w14:paraId="2DAFCB0E" w14:textId="77777777" w:rsidR="00CE4E94" w:rsidRPr="009C7BA3" w:rsidRDefault="00CE4E94" w:rsidP="00CE4E94">
      <w:pPr>
        <w:rPr>
          <w:rFonts w:eastAsia="Times New Roman"/>
          <w:color w:val="000000"/>
          <w:sz w:val="16"/>
        </w:rPr>
      </w:pPr>
      <w:bookmarkStart w:id="2" w:name="S"/>
      <w:bookmarkEnd w:id="2"/>
      <w:r w:rsidRPr="009C7BA3">
        <w:rPr>
          <w:rFonts w:eastAsia="Times New Roman"/>
          <w:color w:val="000000"/>
          <w:sz w:val="16"/>
        </w:rPr>
        <w:t>Strategies</w:t>
      </w:r>
    </w:p>
    <w:p w14:paraId="4C0DA21D" w14:textId="77777777" w:rsidR="00CE4E94" w:rsidRPr="009C7BA3" w:rsidRDefault="00CE4E94" w:rsidP="00CE4E94">
      <w:pPr>
        <w:rPr>
          <w:sz w:val="16"/>
        </w:rPr>
      </w:pPr>
      <w:r w:rsidRPr="009C7BA3">
        <w:rPr>
          <w:sz w:val="16"/>
        </w:rPr>
        <w:t>Culturally responsive teaching is how instructional staff (and schools) demonstrate—or implement—their cultural competence. Geneva Gaye, in her essential text, Culturally Responsive Teaching: Theory, Research and Practice, published by Teachers College Press in 2000, defines culturally responsive teaching as using the cultural knowledge, prior experiences, and performance styles of diverse students to make learning more appropriate and effective for them; it teaches to and through students' strengths.</w:t>
      </w:r>
    </w:p>
    <w:p w14:paraId="42111E0F" w14:textId="77777777" w:rsidR="00CE4E94" w:rsidRPr="009C7BA3" w:rsidRDefault="00CE4E94" w:rsidP="00CE4E94">
      <w:pPr>
        <w:rPr>
          <w:rStyle w:val="StyleUnderline"/>
        </w:rPr>
      </w:pPr>
      <w:r w:rsidRPr="009C7BA3">
        <w:rPr>
          <w:sz w:val="16"/>
        </w:rPr>
        <w:t xml:space="preserve">According to researchers at Brown University, </w:t>
      </w:r>
      <w:r w:rsidRPr="009C7BA3">
        <w:rPr>
          <w:rStyle w:val="StyleUnderline"/>
        </w:rPr>
        <w:t>culturally responsive teaching is characterized by:</w:t>
      </w:r>
    </w:p>
    <w:p w14:paraId="25BAF207" w14:textId="77777777" w:rsidR="00CE4E94" w:rsidRPr="009C7BA3" w:rsidRDefault="00CE4E94" w:rsidP="00CE4E94">
      <w:pPr>
        <w:rPr>
          <w:rStyle w:val="StyleUnderline"/>
        </w:rPr>
      </w:pPr>
      <w:r w:rsidRPr="009C7BA3">
        <w:rPr>
          <w:rStyle w:val="StyleUnderline"/>
        </w:rPr>
        <w:t>Communicating high expectations</w:t>
      </w:r>
    </w:p>
    <w:p w14:paraId="0FE3C273" w14:textId="77777777" w:rsidR="00CE4E94" w:rsidRPr="009C7BA3" w:rsidRDefault="00CE4E94" w:rsidP="00CE4E94">
      <w:pPr>
        <w:rPr>
          <w:rStyle w:val="StyleUnderline"/>
        </w:rPr>
      </w:pPr>
      <w:r w:rsidRPr="009C7BA3">
        <w:rPr>
          <w:rStyle w:val="StyleUnderline"/>
        </w:rPr>
        <w:t>Learning within the context of culture</w:t>
      </w:r>
    </w:p>
    <w:p w14:paraId="2FA76954" w14:textId="77777777" w:rsidR="00CE4E94" w:rsidRPr="009C7BA3" w:rsidRDefault="00CE4E94" w:rsidP="00CE4E94">
      <w:pPr>
        <w:rPr>
          <w:rStyle w:val="StyleUnderline"/>
        </w:rPr>
      </w:pPr>
      <w:r w:rsidRPr="009C7BA3">
        <w:rPr>
          <w:rStyle w:val="StyleUnderline"/>
        </w:rPr>
        <w:t>Culturally-responsive curriculum</w:t>
      </w:r>
    </w:p>
    <w:p w14:paraId="44809428" w14:textId="77777777" w:rsidR="00CE4E94" w:rsidRPr="009C7BA3" w:rsidRDefault="00CE4E94" w:rsidP="00CE4E94">
      <w:pPr>
        <w:rPr>
          <w:rStyle w:val="StyleUnderline"/>
        </w:rPr>
      </w:pPr>
      <w:r w:rsidRPr="009C7BA3">
        <w:rPr>
          <w:rStyle w:val="StyleUnderline"/>
        </w:rPr>
        <w:t>Teachers as facilitators</w:t>
      </w:r>
    </w:p>
    <w:p w14:paraId="13C097CD" w14:textId="77777777" w:rsidR="00CE4E94" w:rsidRPr="009C7BA3" w:rsidRDefault="00CE4E94" w:rsidP="00CE4E94">
      <w:pPr>
        <w:rPr>
          <w:rStyle w:val="StyleUnderline"/>
        </w:rPr>
      </w:pPr>
      <w:r w:rsidRPr="009C7BA3">
        <w:rPr>
          <w:rStyle w:val="StyleUnderline"/>
        </w:rPr>
        <w:t>Student-centered instruction</w:t>
      </w:r>
    </w:p>
    <w:p w14:paraId="5E8C6212" w14:textId="77777777" w:rsidR="00CE4E94" w:rsidRPr="009C7BA3" w:rsidRDefault="00CE4E94" w:rsidP="00CE4E94">
      <w:pPr>
        <w:rPr>
          <w:rFonts w:eastAsia="Times New Roman"/>
          <w:sz w:val="16"/>
        </w:rPr>
      </w:pPr>
      <w:r w:rsidRPr="009C7BA3">
        <w:rPr>
          <w:rStyle w:val="StyleUnderline"/>
        </w:rPr>
        <w:t>Positive perspectives on parents and families</w:t>
      </w:r>
      <w:r w:rsidRPr="009C7BA3">
        <w:rPr>
          <w:rFonts w:eastAsia="Times New Roman"/>
          <w:sz w:val="16"/>
        </w:rPr>
        <w:t>.</w:t>
      </w:r>
    </w:p>
    <w:p w14:paraId="4A9B3B22" w14:textId="77777777" w:rsidR="00CE4E94" w:rsidRPr="009C7BA3" w:rsidRDefault="00CE4E94" w:rsidP="00CE4E94"/>
    <w:p w14:paraId="40386516" w14:textId="77777777" w:rsidR="00B543B9" w:rsidRPr="009C7BA3" w:rsidRDefault="00B543B9" w:rsidP="00CE4E94">
      <w:pPr>
        <w:pStyle w:val="Heading4"/>
        <w:rPr>
          <w:rFonts w:cs="Arial"/>
        </w:rPr>
      </w:pPr>
      <w:r w:rsidRPr="009C7BA3">
        <w:rPr>
          <w:rFonts w:cs="Arial"/>
        </w:rPr>
        <w:t xml:space="preserve">Culturally competent teachers are able to be more effective to students in the classroom  </w:t>
      </w:r>
    </w:p>
    <w:p w14:paraId="4E8ADFBF" w14:textId="77777777" w:rsidR="00B543B9" w:rsidRPr="009C7BA3" w:rsidRDefault="00B543B9" w:rsidP="00CE4E94">
      <w:r w:rsidRPr="009C7BA3">
        <w:rPr>
          <w:rStyle w:val="Style13ptBold"/>
        </w:rPr>
        <w:t>NEA 08</w:t>
      </w:r>
      <w:r w:rsidRPr="009C7BA3">
        <w:t xml:space="preserve"> (The National Education Association (NEA), the nation's largest professional employee organization, is committed to advancing the cause of public education. NEA's 3 million members work at every level of education—from pre-school to university graduate programs. NEA has affiliate organizations in every state and in more than 14,000 communities across the United States. July 2, 2008, “Teacher Training”, http://www.nea.org/tools/30402.htm )</w:t>
      </w:r>
    </w:p>
    <w:p w14:paraId="40B68BA9" w14:textId="77777777" w:rsidR="00B543B9" w:rsidRPr="009C7BA3" w:rsidRDefault="00B543B9" w:rsidP="00B543B9">
      <w:pPr>
        <w:rPr>
          <w:rStyle w:val="Style13ptBold"/>
        </w:rPr>
      </w:pPr>
    </w:p>
    <w:p w14:paraId="3618B41A" w14:textId="77777777" w:rsidR="00B543B9" w:rsidRPr="009C7BA3" w:rsidRDefault="00B543B9" w:rsidP="00B543B9">
      <w:r w:rsidRPr="009C7BA3">
        <w:t xml:space="preserve">Diversity Toolkit: Cultural Competence for Educators Found in: Teaching Strategies Share722 Main Issues Strategies Cultural competence is the key to thriving in culturally diverse classrooms and schools - and it can be learned, practiced, and institutionalized to better serve diverse students, their families, and their communities. </w:t>
      </w:r>
      <w:r w:rsidRPr="009C7BA3">
        <w:rPr>
          <w:u w:val="single"/>
        </w:rPr>
        <w:t>Cultural competence is the ability to successfully teach students who come from a culture or cultures other than our own.</w:t>
      </w:r>
      <w:r w:rsidRPr="009C7BA3">
        <w:t xml:space="preserve"> It entails </w:t>
      </w:r>
      <w:r w:rsidRPr="009C7BA3">
        <w:rPr>
          <w:u w:val="single"/>
        </w:rPr>
        <w:t>developing certain personal and interpersonal awareness and sensitivities, understanding certain bodies of cultural knowledge, and mastering a set of skills that, taken together, underlie effective cross-cultural teaching and culturally responsive teaching</w:t>
      </w:r>
      <w:r w:rsidRPr="009C7BA3">
        <w:t>. Cultural competence doesn't occur as a result of a single day of training, or reading a book, or taking a course. Educators become culturally competent over time, but researchers suggest some places to start. Main Issues We all have a culture that shapes us personally and professionally. According to NEA's C.A.R.E. Strategies for Closing the Achievement Gaps, "Culture is the sum total of experiences, knowledge, skills, beliefs, values, and interests represented by the diversity of students and adults in our schools. While culture is often defined and perceived by schools as the celebration of important people, religions, traditions, and holidays, as well as an appreciation of the customs of different groups, it is also more than that</w:t>
      </w:r>
      <w:r w:rsidRPr="009C7BA3">
        <w:rPr>
          <w:u w:val="single"/>
        </w:rPr>
        <w:t>. Culture is as much, or as little, as the everyday experiences, people, events, smells, sounds, and habits of behavior that characterize students' and educators' lives. Culture shapes a person's sense of who he or she is and where he or she fits in the family, community, and society</w:t>
      </w:r>
      <w:r w:rsidRPr="009C7BA3">
        <w:t>." Understanding our culture is important so that we understand how we interact with individuals from cultures that are different from ours. This understanding helps us see our students and their families more clearly, and shape policies and practice in ways that will help our students to succeed</w:t>
      </w:r>
      <w:r w:rsidRPr="009C7BA3">
        <w:rPr>
          <w:u w:val="single"/>
        </w:rPr>
        <w:t>. There are five basic cultural competence skill areas</w:t>
      </w:r>
      <w:r w:rsidRPr="009C7BA3">
        <w:t xml:space="preserve">. They apply to individual educators as well as the schools they work in and the educational system as a whole. Growth in one area tends to support growth in another (Adapted from Diller and Moule, Cultural Competence: A Primer for Educators, Thomson Wadsworth 2005): </w:t>
      </w:r>
      <w:r w:rsidRPr="009C7BA3">
        <w:rPr>
          <w:b/>
          <w:u w:val="single"/>
        </w:rPr>
        <w:t>Valuing Diversity. Accepting and respecting differences—different cultural backgrounds and customs, different ways of communicating, and different traditions and values.</w:t>
      </w:r>
      <w:r w:rsidRPr="009C7BA3">
        <w:t xml:space="preserve"> Being Culturally Self-Aware. Culture—the sum total of an individual's experiences, knowledge, skills, beliefs, values, and interests—shapes educators' sense of who they are and where they fit in their family, school, community, and society. Dynamics of Difference. Knowing what can go wrong in cross-cultural communication and how to respond to these situations. Knowledge of Students' Culture. Educators must have some base knowledge of their students' culture so that student behaviors can be understood in their proper cultural context. Institutionalizing Cultural Knowledge and Adapting to Diversity. Culturally competent educators, and the institutions they work in, can take a step further by institutionalizing cultural knowledge so they can adapt to diversity and better serve diverse populations. Strategies Culturally responsive teaching is how instructional staff (and schools) demonstrate—or implement—their cultural competence. Geneva Gaye, in her essential text, Culturally Responsive Teaching: Theory, Research and Practice, published by Teachers College Press in 2000, defines culturally responsive teaching as using the cultural knowledge, prior experiences, and p</w:t>
      </w:r>
      <w:r w:rsidRPr="009C7BA3">
        <w:rPr>
          <w:u w:val="single"/>
        </w:rPr>
        <w:t>erformance styles of diverse students to make learning more appropriate and effective for them; it teaches to and through students' strengths. According to researchers at Brown University, culturally responsive teaching is characterized by: Communicating high expectations Learning within the context of culture Culturally-responsive curriculum</w:t>
      </w:r>
      <w:r w:rsidRPr="009C7BA3">
        <w:t xml:space="preserve"> Teachers as facilitators Student-centered instruction Positive perspectives on parents and families.</w:t>
      </w:r>
    </w:p>
    <w:p w14:paraId="6CC21DE3" w14:textId="77777777" w:rsidR="00CE4E94" w:rsidRPr="009C7BA3" w:rsidRDefault="00CE4E94" w:rsidP="00B543B9"/>
    <w:p w14:paraId="6E018280" w14:textId="77777777" w:rsidR="00B543B9" w:rsidRPr="009C7BA3" w:rsidRDefault="00B543B9" w:rsidP="00CE4E94">
      <w:pPr>
        <w:pStyle w:val="Heading4"/>
        <w:rPr>
          <w:rFonts w:cs="Arial"/>
        </w:rPr>
      </w:pPr>
      <w:r w:rsidRPr="009C7BA3">
        <w:rPr>
          <w:rFonts w:cs="Arial"/>
        </w:rPr>
        <w:t>Cultural competence allows teachers to become aware of racist stigmas surrounding the school environment and opens the door for discussion</w:t>
      </w:r>
    </w:p>
    <w:p w14:paraId="4AF85E36" w14:textId="77777777" w:rsidR="00B543B9" w:rsidRPr="009C7BA3" w:rsidRDefault="00B543B9" w:rsidP="00CE4E94">
      <w:r w:rsidRPr="009C7BA3">
        <w:rPr>
          <w:rStyle w:val="Style13ptBold"/>
        </w:rPr>
        <w:t>Romo 16</w:t>
      </w:r>
      <w:r w:rsidRPr="009C7BA3">
        <w:t xml:space="preserve"> (Vanessa Romo is a freelance education reporter based in Los Angeles. She has written for LA School Report, TakePart, Southern California Public Radio, NPR, Marketplace, and the California Report., “How to Change white Teachers’ Lenses”, </w:t>
      </w:r>
      <w:hyperlink r:id="rId12" w:history="1">
        <w:r w:rsidRPr="009C7BA3">
          <w:rPr>
            <w:rStyle w:val="Hyperlink"/>
          </w:rPr>
          <w:t>http://www.slate.com/authors.vanessa_romo.html</w:t>
        </w:r>
      </w:hyperlink>
      <w:r w:rsidRPr="009C7BA3">
        <w:t>, June 7, 2016)</w:t>
      </w:r>
    </w:p>
    <w:p w14:paraId="3543253E" w14:textId="77777777" w:rsidR="00B543B9" w:rsidRPr="009C7BA3" w:rsidRDefault="00B543B9" w:rsidP="00CE4E94"/>
    <w:p w14:paraId="6BF89D61" w14:textId="77777777" w:rsidR="00B543B9" w:rsidRPr="009C7BA3" w:rsidRDefault="00B543B9" w:rsidP="00B543B9">
      <w:r w:rsidRPr="009C7BA3">
        <w:t xml:space="preserve">How to Change White Teachers’ Lenses America’s students are now majority-minority, but its teachers are not. That’s why they need to be “culturally competent.” By Vanessa Romo LOS ANGELES—When she began teaching a class of second-graders in South Los Angeles in 2002, Amy Davis expected she’d occasionally hit snags with issues like lesson planning. But she figured she’d have little trouble relating to her mostly low-income black and Latino students. After all, she was raised nearby, in a household headed by a single mother who for years survived on welfare and food stamps. Like her students, Davis knew what it was like to grow up poor. But Davis, who is white, struggled to connect with several of the children—particularly a 7-year-old black student named Patrick. If Patrick came to school in good spirits, Davis’ day generally went smoothly. But if he showed up in a sullen or angry mood, Davis knew there was a good chance he would derail her plans for the class. She couldn’t control his meltdowns, which could be triggered by both his classmates and his schoolwork. On those days, she’d often end up crying throughout the car ride home. It took months of worrying, and the advice of a veteran colleague in the classroom next door, for Davis to have an epiphany: Despite her own experiences as a child, she was now, unlike her students, a firmly established member of the middle class. </w:t>
      </w:r>
      <w:r w:rsidRPr="009C7BA3">
        <w:rPr>
          <w:u w:val="single"/>
        </w:rPr>
        <w:t>The leap from economic insecurity to stability had created an inevitable chasm</w:t>
      </w:r>
      <w:r w:rsidRPr="009C7BA3">
        <w:t xml:space="preserve">. Davis, now 48, marks that moment as the beginning of her efforts to become a more “culturally competent” teacher, someone who strives to understand where her students are coming from—literally and metaphorically. In the most basic terms, Davis represents the quintessential American teacher: white, middle-class, female. But where Davis approaches teaching as a social-justice mission, and has painstakingly worked to build influential relationships with her students, countless other well-intentioned educators never succeed in forging similar bonds. Yet they are charged with changing lives and boosting test scores in some of the nation’s poorest and most struggling schools. It’s a disconnect that’s raising alarms for educators and parents alike at a time when minority children now account for more than half of all students in public schools and the teacher workforce remains more than 80 percent white. And so teacher-training programs are increasingly trying to figure out how to bridge this divide. </w:t>
      </w:r>
      <w:r w:rsidRPr="009C7BA3">
        <w:rPr>
          <w:u w:val="single"/>
        </w:rPr>
        <w:t>The goal is to help make teachers more aware of their own biases and enable them to understand more fully their students’ lives outside of the classroom</w:t>
      </w:r>
      <w:r w:rsidRPr="009C7BA3">
        <w:t xml:space="preserve">. In recent years, training programs focused on cultural competency have proliferated. Davis’ alma mater, </w:t>
      </w:r>
      <w:r w:rsidRPr="009C7BA3">
        <w:rPr>
          <w:u w:val="single"/>
        </w:rPr>
        <w:t>University of California, Los Angeles’ Graduate School of Education and Information Studies, created the Center X in 1992 following the Los Angeles riots</w:t>
      </w:r>
      <w:r w:rsidRPr="009C7BA3">
        <w:t xml:space="preserve">, with the mission of transforming teachers into “social justice educators in urban settings.” And newly certified teachers heading into the Houston Independent School District, where more than 60 percent of teachers are white (while nearly 70 percent of students are not) are now automatically enrolled in a series of courses designed to help them address the diverse needs of the city’s public school students. Among the topics covered are how-tos for effective communication between schools and families and guided instruction on addressing misunderstanding in the classroom. Teach for America also launched a pilot program, Education for Justice, that helped college seniors interested in teaching learn more about culturally relevant instruction—though the organization recently ended the pilot as part of a broader reorganization. Becoming a culturally competent white teacher means a lot more than setting a few Shakespeare sonnets to a hip-hop beat. It certainly takes more than a plucky attitude and tireless will to buck the system, the way we often see it depicted in movies featuring attractive white educators who swoop into rough low-income neighborhoods and save their hard-to-reach students, like Michelle Pfeiffer in Dangerous Minds. When pursued with genuine commitment, it’s really about removing the white, middle-class lens through which brown and black children are often judged. </w:t>
      </w:r>
      <w:r w:rsidRPr="009C7BA3">
        <w:rPr>
          <w:u w:val="single"/>
        </w:rPr>
        <w:t>Becoming a culturally competent white teacher takes more than a plucky attitude and tireless will to buck the system. While these programs vary in focus and duration—they can range from several weeks to two years—they all focus on producing educators with an awareness of personal and institutional biases, and a willingness to immerse themselves in the communities where they will work. For instance, Teach for America’s Education for Justice program included a yearlong virtual course. Students were asked to shadow a student for a day, interview a parent, and plan and deliver a “culturally relevant” lesson that was recorded and analyzed</w:t>
      </w:r>
      <w:r w:rsidRPr="009C7BA3">
        <w:t xml:space="preserve">. The purpose of the exercises was to provide “authentic and humanizing interactions” that help prepare college seniors of all backgrounds for the diversity of the classroom, says Jamie Jenkins, former managing director of pre-corps development for TFA. Despite recently eliminating several high-level positions, including TFA’s chief diversity officer and 15 percent of its national staff, TFA is designing a three-year plan to scale up the lessons learned through Education for Justice, which, until this year, reached only about 1 percent of corps members. </w:t>
      </w:r>
      <w:r w:rsidRPr="009C7BA3">
        <w:rPr>
          <w:u w:val="single"/>
        </w:rPr>
        <w:t>The first step toward becoming a culturally sensitive teacher is understanding one’s own culture</w:t>
      </w:r>
      <w:r w:rsidRPr="009C7BA3">
        <w:t xml:space="preserve">, says Gloria Ladson-Billings, author of The Dreamkeepers: Successful Teachers of African American Children who coined the term culturally relevant pedagogy and is a professor at the University of Wisconsin–Madison’s School of Education. </w:t>
      </w:r>
      <w:r w:rsidRPr="009C7BA3">
        <w:rPr>
          <w:u w:val="single"/>
        </w:rPr>
        <w:t>She says many of her (mostly white, middle-class, and young) student teachers are oblivious to their own cultural practices.</w:t>
      </w:r>
      <w:r w:rsidRPr="009C7BA3">
        <w:t xml:space="preserve"> To change that, she assigns a daily journal in which would-be teachers record their routines for a week, including meals, study habits, and TV consumption. After a handful of days they begin to share their seemingly mundane records with the class. But Ladson-Billings says, without fail, “at the end they’re shocked that not everybody is just like them.” One mistake white teachers often make is conflating culture or race with social class, says Ladson-Billings. Several years ago, a student teacher made the observation that most of her students came from single-parent households—calling that a common phenomenon within “black culture.” Ladson-Billings calmly corrected her, explaining that single-parent households became much more common among poor black families in the 1960s, after the federal government revised the Aid to Families with Dependent Children program—the chief instrument of welfare—to exclude two-parent households from receiving financial assistance. “I was able to change that young teacher’s mind in one conversation—probably something she believed her whole life,” Ladson-Billings says. The University of Wisconsin is one of a number of programs that weaves social policy history into its teacher-training coursework. That means teaching how housing policies have helped shape public school systems since the beginning of the 20th century and how racial segregation has lingered in school systems. Ladson-Billings believes everyone has the capacity to become a culturally competent teacher. But she says it can be challenging for white educators because they fear conversations about their own whiteness and privilege—and the advantages they do not share with their students. Her trainees “think they are, in their words, ‘just normal.’ So what does that make everybody else?” she scoffs. “It makes them ‘other.’ ” While her trainees appear to understand the damaging effects of that attitude toward children of color, Ladson-Billings encourages young teachers to treat their newfound wisdom like a delicate plant requiring ample nurturing and care. “What I do is just plant the seed. It’s up to them to continue to care for it,” she says. When she was 3, Davis and her mother moved from New Orleans to South Central L.A. They lived on welfare and food stamps for several years until her mother went back to school and earned a bachelor’s degree. After her mother landed an administrative job with the school district, they made the leap from “poor to kind of middle-class,” says Davis. </w:t>
      </w:r>
      <w:r w:rsidRPr="009C7BA3">
        <w:rPr>
          <w:u w:val="single"/>
        </w:rPr>
        <w:t>As a child, Davis was one of just a smattering of white students at 61st Street Elementary, a predominantly black school where Davis’ skin color was never discussed.</w:t>
      </w:r>
      <w:r w:rsidRPr="009C7BA3">
        <w:t xml:space="preserve"> But shortly before middle school, she was forced into the district’s court-mandated busing program and began making an hourlong journey into the San Fernando Valley. The transition was painful. “It was the first time I was surrounded by mostly white people and I didn’t fit in,” she says. Other girls mocked the way she dressed and talked. “</w:t>
      </w:r>
      <w:r w:rsidRPr="009C7BA3">
        <w:rPr>
          <w:u w:val="single"/>
        </w:rPr>
        <w:t>They said I tried to act black. That I sounded black. That I was a ‘wannabe</w:t>
      </w:r>
      <w:r w:rsidRPr="009C7BA3">
        <w:t xml:space="preserve">.’ ” Only a few months into the school year, Davis begged her mother to enroll her in private school—by then a financial possibility. That set her on a path to Mount St. Mary’s, a women’s college in L.A.’s tony Brentwood neighborhood. As a college student, Davis began working for a telecommunications company, rising through the ranks from a part-time customer service representative in her teens to an executive in her early 30s. By then, she owned a modest two-bedroom house in a mostly white suburb of L.A. In her early 20s, one of Davis’s bosses, an older white woman, had told her to “stop talking like a black girl,” so she resolved to start “talking white,” she says. It wasn’t so much what she said but how she said it. The cadence of Davis’s speech still followed the patterns of African American Vernacular, which she’d picked up as a child. She would often drop the hard consonant sounds at the end of words. So spent became spen. </w:t>
      </w:r>
      <w:r w:rsidRPr="009C7BA3">
        <w:rPr>
          <w:u w:val="single"/>
        </w:rPr>
        <w:t xml:space="preserve">It took Davis at least three years of teaching in South L.A. before she began to feel truly confident in her relationships with her students and their families. Without explicitly saying so, Davis’ boss sent an old but familiar message: Sounding black is bad. </w:t>
      </w:r>
      <w:r w:rsidRPr="009C7BA3">
        <w:t xml:space="preserve">Although at the time she was a little ashamed and hurt, </w:t>
      </w:r>
      <w:r w:rsidRPr="009C7BA3">
        <w:rPr>
          <w:u w:val="single"/>
        </w:rPr>
        <w:t>Davis now views the experience as an early lesson in how not to be culturally competent: stating or implying that someone’s language, race, or culture are somehow wrong.</w:t>
      </w:r>
      <w:r w:rsidRPr="009C7BA3">
        <w:t xml:space="preserve"> And as fond as she is of her old boss, Davis is certain that none of her black colleagues were encouraged to change their speech—nor were they offered the same professional opportunities. “I had doors opened for me even when I didn’t have as much experience as my African American counterparts,” Davis says. After 15 years, Davis left the corporate world when her company asked her to relocate to Chicago. A single mother with a son on the cusp of high school, she was daunted by the upheaval of moving to a new city. She decided to become a teacher. In the late 1990s, the Los Angeles school district faced a severe teacher shortage. Anyone with a bachelor’s degree could teach with an emergency credential or proof of enrollment in a teacher-training program. Davis applied to UCLA’s teacher credentialing program. Six weeks later, she found herself back in South L.A., a few miles from her childhood home, underprepared and standing in front of a room full of second-graders. After struggles with students like Patrick forced Davis to recognize her relative economic security and racial privilege, she began devoting much more time to understanding the home lives of her students. She stopped taking it for granted that most of the children got a good night’s sleep, had their own beds to sleep in, and ate enough before arriving at school. With Patrick, she began scheduling regular phone calls with his mother. “I had to cultivate that relationship, but when he found out we talked almost once a week, he started changing his behavior,” Davis says. It took Davis at least three years of teaching in South L.A. before she began to feel truly confident in her relationships with her students and their families. She sought advice from veteran mentor teachers and signed up for as many professional development sessions as she could fit into her schedule. She learned to scour catalogs for books featuring black American and Latino protagonists that looked like her students. </w:t>
      </w:r>
      <w:r w:rsidRPr="009C7BA3">
        <w:rPr>
          <w:u w:val="single"/>
        </w:rPr>
        <w:t>She adopted classroom management techniques that didn’t disproportionately single out black boys, an unfair but common practice in urban schools. And she figured out how to talk to her students about the beauty and linguistic variations of the language they spoke at home—usually African American Vernacular</w:t>
      </w:r>
      <w:r w:rsidRPr="009C7BA3">
        <w:t xml:space="preserve"> </w:t>
      </w:r>
    </w:p>
    <w:p w14:paraId="3BBA749F" w14:textId="77777777" w:rsidR="00B543B9" w:rsidRPr="009C7BA3" w:rsidRDefault="00B543B9" w:rsidP="00B543B9"/>
    <w:p w14:paraId="7B18BE44" w14:textId="77777777" w:rsidR="00B543B9" w:rsidRPr="009C7BA3" w:rsidRDefault="00B543B9" w:rsidP="00FE190D"/>
    <w:p w14:paraId="7F4833FB" w14:textId="77777777" w:rsidR="00A25C54" w:rsidRPr="00375596" w:rsidRDefault="00A25C54" w:rsidP="00A25C54">
      <w:pPr>
        <w:rPr>
          <w:rFonts w:ascii="Verdana" w:hAnsi="Verdana"/>
          <w:sz w:val="18"/>
          <w:szCs w:val="18"/>
        </w:rPr>
      </w:pPr>
      <w:r>
        <w:rPr>
          <w:rFonts w:ascii="Verdana" w:hAnsi="Verdana"/>
          <w:sz w:val="18"/>
          <w:szCs w:val="18"/>
        </w:rPr>
        <w:t xml:space="preserve">Cultural competence allows for solution suggestions that can help marginalized students cope with their realities </w:t>
      </w:r>
    </w:p>
    <w:p w14:paraId="0FFF1900" w14:textId="77777777" w:rsidR="00A25C54" w:rsidRDefault="00A25C54" w:rsidP="00A25C54">
      <w:pPr>
        <w:rPr>
          <w:sz w:val="16"/>
          <w:szCs w:val="16"/>
        </w:rPr>
      </w:pPr>
      <w:r>
        <w:rPr>
          <w:rFonts w:ascii="Verdana" w:hAnsi="Verdana"/>
          <w:b/>
          <w:sz w:val="24"/>
          <w:szCs w:val="24"/>
        </w:rPr>
        <w:t xml:space="preserve">LEVY </w:t>
      </w:r>
      <w:r>
        <w:rPr>
          <w:rFonts w:ascii="Verdana" w:hAnsi="Verdana"/>
          <w:b/>
          <w:sz w:val="16"/>
          <w:szCs w:val="16"/>
        </w:rPr>
        <w:t>Et Al</w:t>
      </w:r>
      <w:r>
        <w:rPr>
          <w:rFonts w:ascii="Verdana" w:hAnsi="Verdana"/>
          <w:b/>
          <w:sz w:val="24"/>
          <w:szCs w:val="24"/>
        </w:rPr>
        <w:t xml:space="preserve"> </w:t>
      </w:r>
      <w:r>
        <w:rPr>
          <w:rFonts w:ascii="Verdana" w:hAnsi="Verdana"/>
          <w:b/>
          <w:sz w:val="16"/>
          <w:szCs w:val="16"/>
        </w:rPr>
        <w:t xml:space="preserve">Professor of Psychology @ Northwestern University </w:t>
      </w:r>
      <w:r>
        <w:rPr>
          <w:rFonts w:ascii="Verdana" w:hAnsi="Verdana"/>
          <w:b/>
          <w:sz w:val="24"/>
          <w:szCs w:val="24"/>
        </w:rPr>
        <w:t xml:space="preserve">2k16                                     </w:t>
      </w:r>
      <w:r>
        <w:rPr>
          <w:sz w:val="16"/>
          <w:szCs w:val="16"/>
        </w:rPr>
        <w:t>Dorainne J.”</w:t>
      </w:r>
      <w:r>
        <w:t xml:space="preserve"> </w:t>
      </w:r>
      <w:r>
        <w:rPr>
          <w:sz w:val="16"/>
          <w:szCs w:val="16"/>
        </w:rPr>
        <w:t>Psychological and Biological Responses to Race-Based Social Stress as Pathways to Disparities in Educational Outcomes” American Psychologist © 2016 American Psychological Association 2016, Vol. 71, No. 6, 455–473</w:t>
      </w:r>
    </w:p>
    <w:p w14:paraId="486ECF5E" w14:textId="77777777" w:rsidR="00A25C54" w:rsidRDefault="00A25C54" w:rsidP="00A25C54">
      <w:pPr>
        <w:rPr>
          <w:rFonts w:ascii="Verdana" w:hAnsi="Verdana"/>
          <w:b/>
          <w:sz w:val="18"/>
          <w:szCs w:val="18"/>
          <w:u w:val="single"/>
        </w:rPr>
      </w:pPr>
      <w:r w:rsidRPr="00795DE1">
        <w:rPr>
          <w:sz w:val="16"/>
          <w:szCs w:val="16"/>
        </w:rPr>
        <w:t>In addition to these shifts in psychological connection with the academic domain</w:t>
      </w:r>
      <w:r>
        <w:rPr>
          <w:sz w:val="16"/>
          <w:szCs w:val="16"/>
        </w:rPr>
        <w:t xml:space="preserve">, </w:t>
      </w:r>
      <w:r w:rsidRPr="00795DE1">
        <w:rPr>
          <w:rFonts w:ascii="Verdana" w:hAnsi="Verdana"/>
          <w:b/>
          <w:sz w:val="18"/>
          <w:szCs w:val="18"/>
          <w:u w:val="single"/>
        </w:rPr>
        <w:t>recent work has begun to examine the effects of how individuals manage their emotional reactions to race-based stressors on any number of important outcomes.</w:t>
      </w:r>
      <w:r w:rsidRPr="00795DE1">
        <w:rPr>
          <w:sz w:val="16"/>
          <w:szCs w:val="16"/>
        </w:rPr>
        <w:t xml:space="preserve"> Across a broad range of psychological stressors, </w:t>
      </w:r>
      <w:r w:rsidRPr="00375596">
        <w:rPr>
          <w:rFonts w:ascii="Verdana" w:hAnsi="Verdana"/>
          <w:b/>
          <w:sz w:val="18"/>
          <w:szCs w:val="18"/>
          <w:u w:val="single"/>
        </w:rPr>
        <w:t>research suggests that certain emotion regulation strategies (e.g., cognitive reappraisal) lead to more adaptive emotional, cardiovascular, and cognitive stress responses compared with other emotion regulation strategies (e.g., expressive suppression or rumination</w:t>
      </w:r>
      <w:r w:rsidRPr="00795DE1">
        <w:rPr>
          <w:sz w:val="16"/>
          <w:szCs w:val="16"/>
        </w:rPr>
        <w:t xml:space="preserve">; Gross, 2002; Jamieson, Nock, &amp; Mendes, 2012; Webb, Miles, &amp; Sheeran, 2012). </w:t>
      </w:r>
      <w:r w:rsidRPr="00375596">
        <w:rPr>
          <w:rFonts w:ascii="Verdana" w:hAnsi="Verdana"/>
          <w:b/>
          <w:sz w:val="18"/>
          <w:szCs w:val="18"/>
          <w:u w:val="single"/>
        </w:rPr>
        <w:t>Reappraisal involves the reframing or reinterpretation of anxiety and/or physiological stress responses in a more positive light</w:t>
      </w:r>
      <w:r w:rsidRPr="00795DE1">
        <w:rPr>
          <w:sz w:val="16"/>
          <w:szCs w:val="16"/>
        </w:rPr>
        <w:t xml:space="preserve"> (Gross, 2002; Jamieson et al., 2012) and has been found to buffer the negative effects of stereotype threat. Johns, Inzlicht, and Schmader (2008) found, </w:t>
      </w:r>
      <w:r w:rsidRPr="00375596">
        <w:rPr>
          <w:rFonts w:ascii="Verdana" w:hAnsi="Verdana"/>
          <w:b/>
          <w:sz w:val="18"/>
          <w:szCs w:val="18"/>
          <w:u w:val="single"/>
        </w:rPr>
        <w:t>for instance,</w:t>
      </w:r>
      <w:r w:rsidRPr="00795DE1">
        <w:rPr>
          <w:sz w:val="16"/>
          <w:szCs w:val="16"/>
        </w:rPr>
        <w:t xml:space="preserve"> that </w:t>
      </w:r>
      <w:r w:rsidRPr="00375596">
        <w:rPr>
          <w:rFonts w:ascii="Verdana" w:hAnsi="Verdana"/>
          <w:b/>
          <w:sz w:val="18"/>
          <w:szCs w:val="18"/>
          <w:u w:val="single"/>
        </w:rPr>
        <w:t xml:space="preserve">stigmatized college students who were told that anxiety helps performance on certain tasks prior to completing math and working memory tasks performed better than individuals who did not receive the reappraisal instructions or those who were told to suppress their emotions. Researchers posit that engaging in this type of reappraisal reduces the burden of stereotype threat on working memory, thereby reducing negative performance outcomes </w:t>
      </w:r>
      <w:r w:rsidRPr="00795DE1">
        <w:rPr>
          <w:sz w:val="16"/>
          <w:szCs w:val="16"/>
        </w:rPr>
        <w:t xml:space="preserve">(Inzlicht &amp; Kang, 2010; Schmader, 2010). Consistent with this work, </w:t>
      </w:r>
      <w:r w:rsidRPr="00375596">
        <w:rPr>
          <w:rFonts w:ascii="Verdana" w:hAnsi="Verdana"/>
          <w:b/>
          <w:sz w:val="16"/>
          <w:szCs w:val="16"/>
          <w:u w:val="single"/>
        </w:rPr>
        <w:t xml:space="preserve">reappraisal has been found to </w:t>
      </w:r>
      <w:r w:rsidRPr="00795DE1">
        <w:rPr>
          <w:sz w:val="16"/>
          <w:szCs w:val="16"/>
        </w:rPr>
        <w:t xml:space="preserve">boost working memory and improve reading comprehension among middle-school children (Autin &amp; Croizet, 2012). Taken together, this work suggests that reappraisal in response to race-based stressors might help to </w:t>
      </w:r>
      <w:r w:rsidRPr="00375596">
        <w:rPr>
          <w:rFonts w:ascii="Verdana" w:hAnsi="Verdana"/>
          <w:b/>
          <w:sz w:val="18"/>
          <w:szCs w:val="18"/>
          <w:u w:val="single"/>
        </w:rPr>
        <w:t>alleviate the negative impact of these experiences on academic outcomes.</w:t>
      </w:r>
    </w:p>
    <w:p w14:paraId="5E163618" w14:textId="77777777" w:rsidR="00B543B9" w:rsidRPr="009C7BA3" w:rsidRDefault="00B543B9" w:rsidP="00FE190D"/>
    <w:p w14:paraId="1526149B" w14:textId="77777777" w:rsidR="00FE190D" w:rsidRPr="009C7BA3" w:rsidRDefault="00FE190D" w:rsidP="00D075EF">
      <w:pPr>
        <w:pStyle w:val="Heading2"/>
        <w:rPr>
          <w:rFonts w:cs="Arial"/>
        </w:rPr>
      </w:pPr>
    </w:p>
    <w:p w14:paraId="70F148A3" w14:textId="77777777" w:rsidR="00A25C54" w:rsidRDefault="00A25C54" w:rsidP="00D075EF">
      <w:pPr>
        <w:pStyle w:val="Heading2"/>
        <w:rPr>
          <w:rFonts w:cs="Arial"/>
        </w:rPr>
      </w:pPr>
      <w:r>
        <w:rPr>
          <w:rFonts w:cs="Arial"/>
        </w:rPr>
        <w:t>Impact</w:t>
      </w:r>
    </w:p>
    <w:p w14:paraId="737C763F" w14:textId="77777777" w:rsidR="00A25C54" w:rsidRDefault="00A25C54" w:rsidP="00A25C54"/>
    <w:p w14:paraId="08D1316C" w14:textId="77777777" w:rsidR="00A25C54" w:rsidRPr="00305F64" w:rsidRDefault="00A25C54" w:rsidP="00A25C54">
      <w:pPr>
        <w:rPr>
          <w:rFonts w:ascii="Verdana" w:hAnsi="Verdana"/>
          <w:b/>
          <w:sz w:val="16"/>
          <w:szCs w:val="16"/>
        </w:rPr>
      </w:pPr>
      <w:r w:rsidRPr="00305F64">
        <w:rPr>
          <w:rFonts w:ascii="Verdana" w:hAnsi="Verdana"/>
          <w:b/>
          <w:sz w:val="16"/>
          <w:szCs w:val="16"/>
        </w:rPr>
        <w:t xml:space="preserve">THERE IS A MORAL IMPERATIVE TO ALLEVIATE PSYCHOLOGICAL PAIN OF STUDENTS OF COLOR </w:t>
      </w:r>
    </w:p>
    <w:p w14:paraId="5C61AA50" w14:textId="77777777" w:rsidR="00A25C54" w:rsidRDefault="00A25C54" w:rsidP="00A25C54">
      <w:pPr>
        <w:rPr>
          <w:rFonts w:ascii="Verdana" w:hAnsi="Verdana"/>
        </w:rPr>
      </w:pPr>
      <w:r>
        <w:rPr>
          <w:rFonts w:ascii="Verdana" w:hAnsi="Verdana"/>
        </w:rPr>
        <w:t xml:space="preserve">Structural inequalities abound in the educational system that make the achievement gap that favors white over ethnic minorities a daily reality. What is just as bad is the psychological toll that racism takes on students of color stress to perform well in order to not affirm negative stereotypes of one’s group, these sorts of stresses affect cognitive processes such as attention, memory, and executive functioning, all of which are associated with academic achievement. </w:t>
      </w:r>
    </w:p>
    <w:p w14:paraId="29CFB41A" w14:textId="77777777" w:rsidR="00A25C54" w:rsidRDefault="00A25C54" w:rsidP="00A25C54">
      <w:pPr>
        <w:rPr>
          <w:sz w:val="16"/>
          <w:szCs w:val="16"/>
        </w:rPr>
      </w:pPr>
      <w:r>
        <w:rPr>
          <w:rFonts w:ascii="Verdana" w:hAnsi="Verdana"/>
          <w:b/>
          <w:sz w:val="24"/>
          <w:szCs w:val="24"/>
        </w:rPr>
        <w:t xml:space="preserve">LEVY </w:t>
      </w:r>
      <w:r w:rsidRPr="00D06F76">
        <w:rPr>
          <w:rFonts w:ascii="Verdana" w:hAnsi="Verdana"/>
          <w:b/>
          <w:sz w:val="16"/>
          <w:szCs w:val="16"/>
        </w:rPr>
        <w:t>Et Al</w:t>
      </w:r>
      <w:r>
        <w:rPr>
          <w:rFonts w:ascii="Verdana" w:hAnsi="Verdana"/>
          <w:b/>
          <w:sz w:val="24"/>
          <w:szCs w:val="24"/>
        </w:rPr>
        <w:t xml:space="preserve"> </w:t>
      </w:r>
      <w:r>
        <w:rPr>
          <w:rFonts w:ascii="Verdana" w:hAnsi="Verdana"/>
          <w:b/>
          <w:sz w:val="16"/>
          <w:szCs w:val="16"/>
        </w:rPr>
        <w:t xml:space="preserve">Professor of Psychology @ Northwestern University </w:t>
      </w:r>
      <w:r>
        <w:rPr>
          <w:rFonts w:ascii="Verdana" w:hAnsi="Verdana"/>
          <w:b/>
          <w:sz w:val="24"/>
          <w:szCs w:val="24"/>
        </w:rPr>
        <w:t xml:space="preserve">2k16                                     </w:t>
      </w:r>
      <w:r w:rsidRPr="00D06F76">
        <w:rPr>
          <w:sz w:val="16"/>
          <w:szCs w:val="16"/>
        </w:rPr>
        <w:t>Dorainne J.</w:t>
      </w:r>
      <w:r>
        <w:rPr>
          <w:sz w:val="16"/>
          <w:szCs w:val="16"/>
        </w:rPr>
        <w:t>”</w:t>
      </w:r>
      <w:r w:rsidRPr="00D06F76">
        <w:t xml:space="preserve"> </w:t>
      </w:r>
      <w:r w:rsidRPr="00D06F76">
        <w:rPr>
          <w:sz w:val="16"/>
          <w:szCs w:val="16"/>
        </w:rPr>
        <w:t>Psychological and Biological Responses to Race-Based Social Stress as Pathways to Disparities in Educational Outcomes</w:t>
      </w:r>
      <w:r>
        <w:rPr>
          <w:sz w:val="16"/>
          <w:szCs w:val="16"/>
        </w:rPr>
        <w:t xml:space="preserve">” </w:t>
      </w:r>
      <w:r w:rsidRPr="00D06F76">
        <w:rPr>
          <w:sz w:val="16"/>
          <w:szCs w:val="16"/>
        </w:rPr>
        <w:t>American Psychologist © 2016 American Psychological Association 2016, Vol. 71, No. 6, 455–473</w:t>
      </w:r>
    </w:p>
    <w:p w14:paraId="203D18A6" w14:textId="77777777" w:rsidR="00A25C54" w:rsidRDefault="00A25C54" w:rsidP="00A25C54">
      <w:pPr>
        <w:rPr>
          <w:rFonts w:ascii="Verdana" w:hAnsi="Verdana"/>
          <w:b/>
          <w:sz w:val="18"/>
          <w:szCs w:val="18"/>
          <w:u w:val="single"/>
        </w:rPr>
      </w:pPr>
      <w:r w:rsidRPr="00551057">
        <w:rPr>
          <w:sz w:val="16"/>
          <w:szCs w:val="16"/>
        </w:rPr>
        <w:t xml:space="preserve">Since the landmark findings published in the Coleman Report in 1966 (Coleman et al., 1966), </w:t>
      </w:r>
      <w:r w:rsidRPr="00551057">
        <w:rPr>
          <w:rFonts w:ascii="Verdana" w:hAnsi="Verdana"/>
          <w:b/>
          <w:sz w:val="18"/>
          <w:szCs w:val="18"/>
          <w:u w:val="single"/>
        </w:rPr>
        <w:t>research has proliferated on the topic of the educational disparities between Whites and disadvantaged racial/ethnic minorities (e.g., Blacks and Latinos).</w:t>
      </w:r>
      <w:r w:rsidRPr="00551057">
        <w:rPr>
          <w:rFonts w:ascii="Verdana" w:hAnsi="Verdana"/>
          <w:sz w:val="18"/>
          <w:szCs w:val="18"/>
        </w:rPr>
        <w:t xml:space="preserve"> </w:t>
      </w:r>
      <w:r w:rsidRPr="00551057">
        <w:rPr>
          <w:rFonts w:ascii="Verdana" w:hAnsi="Verdana"/>
          <w:b/>
          <w:sz w:val="18"/>
          <w:szCs w:val="18"/>
          <w:u w:val="single"/>
        </w:rPr>
        <w:t>Educational disparities</w:t>
      </w:r>
      <w:r w:rsidRPr="00551057">
        <w:rPr>
          <w:sz w:val="16"/>
          <w:szCs w:val="16"/>
        </w:rPr>
        <w:t xml:space="preserve"> between Whites and racial/ethnic minorities </w:t>
      </w:r>
      <w:r w:rsidRPr="00551057">
        <w:rPr>
          <w:rFonts w:ascii="Verdana" w:hAnsi="Verdana"/>
          <w:b/>
          <w:sz w:val="18"/>
          <w:szCs w:val="18"/>
          <w:u w:val="single"/>
        </w:rPr>
        <w:t>are observed on a number of indicators, including test performance, high school graduation rates, and college enrollment</w:t>
      </w:r>
      <w:r w:rsidRPr="00551057">
        <w:rPr>
          <w:sz w:val="16"/>
          <w:szCs w:val="16"/>
        </w:rPr>
        <w:t xml:space="preserve"> (Burchinal et al., 2011; Snyder &amp; Dillow, 2012). </w:t>
      </w:r>
      <w:r w:rsidRPr="00551057">
        <w:rPr>
          <w:rFonts w:ascii="Verdana" w:hAnsi="Verdana"/>
          <w:b/>
          <w:sz w:val="18"/>
          <w:szCs w:val="18"/>
          <w:u w:val="single"/>
        </w:rPr>
        <w:t>Clearly, many factors affect educational outcomes. Structural factors such as school and teacher quality have been found to play a large role in influencing educational disparities between racial/ethnic minorities and Whites</w:t>
      </w:r>
      <w:r w:rsidRPr="00551057">
        <w:rPr>
          <w:b/>
          <w:sz w:val="16"/>
          <w:szCs w:val="16"/>
          <w:u w:val="single"/>
        </w:rPr>
        <w:t xml:space="preserve"> </w:t>
      </w:r>
      <w:r w:rsidRPr="00551057">
        <w:rPr>
          <w:sz w:val="16"/>
          <w:szCs w:val="16"/>
        </w:rPr>
        <w:t xml:space="preserve">(Boyd, Lankford, Loeb, Rockoff, &amp; Wyckoff, 2008; Burchinal et al., 2011; Wiggan, 2007), but </w:t>
      </w:r>
      <w:r w:rsidRPr="00551057">
        <w:rPr>
          <w:rFonts w:ascii="Verdana" w:hAnsi="Verdana"/>
          <w:b/>
          <w:sz w:val="18"/>
          <w:szCs w:val="18"/>
          <w:u w:val="single"/>
        </w:rPr>
        <w:t>these factors do not fully explain the achievement gap.</w:t>
      </w:r>
      <w:r w:rsidRPr="00551057">
        <w:rPr>
          <w:rFonts w:ascii="Verdana" w:hAnsi="Verdana"/>
          <w:sz w:val="18"/>
          <w:szCs w:val="18"/>
        </w:rPr>
        <w:t xml:space="preserve"> </w:t>
      </w:r>
      <w:r w:rsidRPr="00551057">
        <w:rPr>
          <w:sz w:val="16"/>
          <w:szCs w:val="16"/>
        </w:rPr>
        <w:t>In this article</w:t>
      </w:r>
      <w:r w:rsidRPr="00551057">
        <w:rPr>
          <w:rFonts w:ascii="Verdana" w:hAnsi="Verdana"/>
          <w:sz w:val="18"/>
          <w:szCs w:val="18"/>
        </w:rPr>
        <w:t xml:space="preserve">, </w:t>
      </w:r>
      <w:r w:rsidRPr="00551057">
        <w:rPr>
          <w:rFonts w:ascii="Verdana" w:hAnsi="Verdana"/>
          <w:b/>
          <w:sz w:val="18"/>
          <w:szCs w:val="18"/>
          <w:u w:val="single"/>
        </w:rPr>
        <w:t>we propose that psychological stress associated with being a member of a racial/ethnic minority group, and the psychological and biological responses elicited by that stress, may also contribute to the achievement gap found between Whites and racial/ethnic minorities</w:t>
      </w:r>
      <w:r w:rsidRPr="00551057">
        <w:rPr>
          <w:rFonts w:ascii="Verdana" w:hAnsi="Verdana"/>
          <w:sz w:val="18"/>
          <w:szCs w:val="18"/>
        </w:rPr>
        <w:t xml:space="preserve"> </w:t>
      </w:r>
      <w:r w:rsidRPr="00551057">
        <w:rPr>
          <w:sz w:val="16"/>
          <w:szCs w:val="16"/>
        </w:rPr>
        <w:t xml:space="preserve">(Steele &amp; Aronson, 1995). Key </w:t>
      </w:r>
      <w:r w:rsidRPr="00551057">
        <w:rPr>
          <w:rFonts w:ascii="Verdana" w:hAnsi="Verdana"/>
          <w:b/>
          <w:sz w:val="18"/>
          <w:szCs w:val="18"/>
          <w:u w:val="single"/>
        </w:rPr>
        <w:t>race-based social stressors include perceived discrimination (the observation or anticipation of unfair treatment based on race/ethnicity)1 and stereotype threat (the stress of wanting to perform well to overcome negative expectations of one’s racial/ethnic group;</w:t>
      </w:r>
      <w:r w:rsidRPr="00551057">
        <w:rPr>
          <w:sz w:val="16"/>
          <w:szCs w:val="16"/>
        </w:rPr>
        <w:t xml:space="preserve"> Clark, Anderson, Clark, &amp; Williams, 1999; Major &amp; O’Brien, 2005; Miller &amp; Kaiser, 2001</w:t>
      </w:r>
      <w:r w:rsidRPr="00551057">
        <w:rPr>
          <w:rFonts w:ascii="Verdana" w:hAnsi="Verdana"/>
          <w:sz w:val="18"/>
          <w:szCs w:val="18"/>
        </w:rPr>
        <w:t xml:space="preserve">). </w:t>
      </w:r>
      <w:r w:rsidRPr="00551057">
        <w:rPr>
          <w:rFonts w:ascii="Verdana" w:hAnsi="Verdana"/>
          <w:b/>
          <w:sz w:val="18"/>
          <w:szCs w:val="18"/>
          <w:u w:val="single"/>
        </w:rPr>
        <w:t xml:space="preserve">Psychological and biological responses to these stressors, in turn, have implications for motivation as well as basic cognitive processes such as attention, memory, and executive functioning, all of which are associated with academic achievement. </w:t>
      </w:r>
    </w:p>
    <w:p w14:paraId="62E74B8E" w14:textId="77777777" w:rsidR="00A25C54" w:rsidRPr="00A25C54" w:rsidRDefault="00A25C54" w:rsidP="00A25C54"/>
    <w:p w14:paraId="5E4A69B7" w14:textId="77777777" w:rsidR="00A25C54" w:rsidRDefault="00A25C54" w:rsidP="00A25C54">
      <w:pPr>
        <w:rPr>
          <w:sz w:val="16"/>
          <w:szCs w:val="16"/>
        </w:rPr>
      </w:pPr>
      <w:r>
        <w:rPr>
          <w:rFonts w:ascii="Verdana" w:hAnsi="Verdana"/>
          <w:b/>
          <w:sz w:val="24"/>
          <w:szCs w:val="24"/>
        </w:rPr>
        <w:t xml:space="preserve">LEVY </w:t>
      </w:r>
      <w:r>
        <w:rPr>
          <w:rFonts w:ascii="Verdana" w:hAnsi="Verdana"/>
          <w:b/>
          <w:sz w:val="16"/>
          <w:szCs w:val="16"/>
        </w:rPr>
        <w:t>Et Al</w:t>
      </w:r>
      <w:r>
        <w:rPr>
          <w:rFonts w:ascii="Verdana" w:hAnsi="Verdana"/>
          <w:b/>
          <w:sz w:val="24"/>
          <w:szCs w:val="24"/>
        </w:rPr>
        <w:t xml:space="preserve"> </w:t>
      </w:r>
      <w:r>
        <w:rPr>
          <w:rFonts w:ascii="Verdana" w:hAnsi="Verdana"/>
          <w:b/>
          <w:sz w:val="16"/>
          <w:szCs w:val="16"/>
        </w:rPr>
        <w:t xml:space="preserve">Professor of Psychology @ Northwestern University </w:t>
      </w:r>
      <w:r>
        <w:rPr>
          <w:rFonts w:ascii="Verdana" w:hAnsi="Verdana"/>
          <w:b/>
          <w:sz w:val="24"/>
          <w:szCs w:val="24"/>
        </w:rPr>
        <w:t xml:space="preserve">2k16                                     </w:t>
      </w:r>
      <w:r>
        <w:rPr>
          <w:sz w:val="16"/>
          <w:szCs w:val="16"/>
        </w:rPr>
        <w:t>Dorainne J.”</w:t>
      </w:r>
      <w:r>
        <w:t xml:space="preserve"> </w:t>
      </w:r>
      <w:r>
        <w:rPr>
          <w:sz w:val="16"/>
          <w:szCs w:val="16"/>
        </w:rPr>
        <w:t>Psychological and Biological Responses to Race-Based Social Stress as Pathways to Disparities in Educational Outcomes” American Psychologist © 2016 American Psychological Association 2016, Vol. 71, No. 6, 455–473</w:t>
      </w:r>
    </w:p>
    <w:p w14:paraId="67C6773B" w14:textId="77777777" w:rsidR="00A25C54" w:rsidRDefault="00A25C54" w:rsidP="00A25C54">
      <w:pPr>
        <w:rPr>
          <w:sz w:val="16"/>
          <w:szCs w:val="16"/>
        </w:rPr>
      </w:pPr>
      <w:r w:rsidRPr="00DB4B3D">
        <w:rPr>
          <w:rFonts w:ascii="Verdana" w:hAnsi="Verdana"/>
          <w:b/>
          <w:sz w:val="16"/>
          <w:szCs w:val="16"/>
          <w:u w:val="single"/>
        </w:rPr>
        <w:t xml:space="preserve">Perceptions of discrimination have their origins in encountered instances of discrimination as well as the anticipation of discrimination that results from a history of past discrimination experiences </w:t>
      </w:r>
      <w:r w:rsidRPr="00DB4B3D">
        <w:rPr>
          <w:sz w:val="16"/>
          <w:szCs w:val="16"/>
        </w:rPr>
        <w:t xml:space="preserve">(Pascoe &amp; Smart Richman, 2009). </w:t>
      </w:r>
      <w:r w:rsidRPr="00DB4B3D">
        <w:rPr>
          <w:rFonts w:ascii="Verdana" w:hAnsi="Verdana"/>
          <w:b/>
          <w:sz w:val="18"/>
          <w:szCs w:val="18"/>
          <w:u w:val="single"/>
        </w:rPr>
        <w:t>By adolescence, most members of stigmatized racial/ ethnic minority groups are aware of discrimination in their environments</w:t>
      </w:r>
      <w:r w:rsidRPr="00DB4B3D">
        <w:rPr>
          <w:sz w:val="16"/>
          <w:szCs w:val="16"/>
        </w:rPr>
        <w:t xml:space="preserve"> (e.g., neighborhood) </w:t>
      </w:r>
      <w:r w:rsidRPr="00DB4B3D">
        <w:rPr>
          <w:rFonts w:ascii="Verdana" w:hAnsi="Verdana"/>
          <w:b/>
          <w:sz w:val="18"/>
          <w:szCs w:val="18"/>
          <w:u w:val="single"/>
        </w:rPr>
        <w:t>and in school settings</w:t>
      </w:r>
      <w:r w:rsidRPr="00DB4B3D">
        <w:rPr>
          <w:sz w:val="16"/>
          <w:szCs w:val="16"/>
        </w:rPr>
        <w:t xml:space="preserve"> (for review, see Spears Brown &amp; Bigler, 2005). For example, Fisher, Wallace, and Fenton (2000) found that </w:t>
      </w:r>
      <w:r w:rsidRPr="00DB4B3D">
        <w:rPr>
          <w:rFonts w:ascii="Verdana" w:hAnsi="Verdana"/>
          <w:b/>
          <w:sz w:val="18"/>
          <w:szCs w:val="18"/>
          <w:u w:val="single"/>
        </w:rPr>
        <w:t xml:space="preserve">Black and Latino adolescents </w:t>
      </w:r>
      <w:r w:rsidRPr="00DB4B3D">
        <w:rPr>
          <w:sz w:val="16"/>
          <w:szCs w:val="16"/>
        </w:rPr>
        <w:t>(between Ages 13 and 19)</w:t>
      </w:r>
      <w:r w:rsidRPr="00DB4B3D">
        <w:rPr>
          <w:rFonts w:ascii="Verdana" w:hAnsi="Verdana"/>
          <w:b/>
          <w:sz w:val="18"/>
          <w:szCs w:val="18"/>
          <w:u w:val="single"/>
        </w:rPr>
        <w:t xml:space="preserve"> were more likely than their Asian and non-Hispanic White peers to report being the victims of institutional discrimination. </w:t>
      </w:r>
      <w:r w:rsidRPr="009206B3">
        <w:rPr>
          <w:rFonts w:ascii="Verdana" w:hAnsi="Verdana"/>
          <w:b/>
          <w:sz w:val="18"/>
          <w:szCs w:val="18"/>
          <w:u w:val="single"/>
        </w:rPr>
        <w:t>Such experiences with discrimination are related to greater socioemotional difficulties,</w:t>
      </w:r>
      <w:r w:rsidRPr="00DB4B3D">
        <w:rPr>
          <w:sz w:val="16"/>
          <w:szCs w:val="16"/>
        </w:rPr>
        <w:t xml:space="preserve"> such as </w:t>
      </w:r>
      <w:r w:rsidRPr="009206B3">
        <w:rPr>
          <w:rFonts w:ascii="Verdana" w:hAnsi="Verdana"/>
          <w:b/>
          <w:sz w:val="18"/>
          <w:szCs w:val="18"/>
          <w:u w:val="single"/>
        </w:rPr>
        <w:t>increased anger, depressive symptoms,</w:t>
      </w:r>
      <w:r w:rsidRPr="00DB4B3D">
        <w:rPr>
          <w:sz w:val="16"/>
          <w:szCs w:val="16"/>
        </w:rPr>
        <w:t xml:space="preserve"> and </w:t>
      </w:r>
      <w:r w:rsidRPr="009206B3">
        <w:rPr>
          <w:rFonts w:ascii="Verdana" w:hAnsi="Verdana"/>
          <w:b/>
          <w:sz w:val="18"/>
          <w:szCs w:val="18"/>
          <w:u w:val="single"/>
        </w:rPr>
        <w:t>conduct problems</w:t>
      </w:r>
      <w:r w:rsidRPr="00DB4B3D">
        <w:rPr>
          <w:sz w:val="16"/>
          <w:szCs w:val="16"/>
        </w:rPr>
        <w:t xml:space="preserve"> (Brody et al., 2006; Wong, Eccles, &amp; Sameroff, 2003). Perceived discrimination is </w:t>
      </w:r>
      <w:r w:rsidRPr="009206B3">
        <w:rPr>
          <w:rFonts w:ascii="Verdana" w:hAnsi="Verdana"/>
          <w:b/>
          <w:sz w:val="18"/>
          <w:szCs w:val="18"/>
          <w:u w:val="single"/>
        </w:rPr>
        <w:t>associated with negative academic outcomes.</w:t>
      </w:r>
      <w:r w:rsidRPr="00DB4B3D">
        <w:rPr>
          <w:sz w:val="16"/>
          <w:szCs w:val="16"/>
        </w:rPr>
        <w:t xml:space="preserve"> Among Latino and Black adolescents, perceived discrimination from teachers and/or </w:t>
      </w:r>
      <w:r w:rsidRPr="009206B3">
        <w:rPr>
          <w:rFonts w:ascii="Verdana" w:hAnsi="Verdana"/>
          <w:b/>
          <w:sz w:val="18"/>
          <w:szCs w:val="18"/>
          <w:u w:val="single"/>
        </w:rPr>
        <w:t>expecting future discrimination</w:t>
      </w:r>
      <w:r w:rsidRPr="00DB4B3D">
        <w:rPr>
          <w:sz w:val="16"/>
          <w:szCs w:val="16"/>
        </w:rPr>
        <w:t xml:space="preserve"> are related to </w:t>
      </w:r>
      <w:r w:rsidRPr="009206B3">
        <w:rPr>
          <w:rFonts w:ascii="Verdana" w:hAnsi="Verdana"/>
          <w:b/>
          <w:sz w:val="16"/>
          <w:szCs w:val="16"/>
          <w:u w:val="single"/>
        </w:rPr>
        <w:t xml:space="preserve">lower grades, less academic motivation, lower academic success </w:t>
      </w:r>
      <w:r w:rsidRPr="00DB4B3D">
        <w:rPr>
          <w:sz w:val="16"/>
          <w:szCs w:val="16"/>
        </w:rPr>
        <w:t xml:space="preserve">more generally, and </w:t>
      </w:r>
      <w:r w:rsidRPr="009206B3">
        <w:rPr>
          <w:rFonts w:ascii="Verdana" w:hAnsi="Verdana"/>
          <w:b/>
          <w:sz w:val="18"/>
          <w:szCs w:val="18"/>
          <w:u w:val="single"/>
        </w:rPr>
        <w:t>less persistence when encountering an academic challenge</w:t>
      </w:r>
      <w:r w:rsidRPr="00DB4B3D">
        <w:rPr>
          <w:sz w:val="16"/>
          <w:szCs w:val="16"/>
        </w:rPr>
        <w:t xml:space="preserve"> (Alfaro, Umaña-Taylor, Gonzales-Backen, Bámaca, &amp; Zeiders, 2009; Eccles, Wong, &amp; Peck, 2006; Neblett, Philip, Cogburn, &amp; Sellers, 2006; Stone &amp; Han, 2005; Taylor et al., 1994</w:t>
      </w:r>
      <w:r>
        <w:rPr>
          <w:sz w:val="16"/>
          <w:szCs w:val="16"/>
        </w:rPr>
        <w:t>)…</w:t>
      </w:r>
      <w:r w:rsidRPr="00DB4B3D">
        <w:t xml:space="preserve"> </w:t>
      </w:r>
      <w:r w:rsidRPr="00DB4B3D">
        <w:rPr>
          <w:sz w:val="16"/>
          <w:szCs w:val="16"/>
        </w:rPr>
        <w:t xml:space="preserve">Stereotype threat occurs when individuals are wary of confirming negative stereotypes held regarding their social identity group in important performance domains (see Steele, 2010, for a compelling review of this body of work). </w:t>
      </w:r>
      <w:r w:rsidRPr="00CF276C">
        <w:rPr>
          <w:rFonts w:ascii="Verdana" w:hAnsi="Verdana"/>
          <w:b/>
          <w:sz w:val="18"/>
          <w:szCs w:val="18"/>
          <w:u w:val="single"/>
        </w:rPr>
        <w:t>Racial/ethnic minority students are susceptible to experiencing stereotype threat in academic contexts, given their awareness of negative stereotypes that link their racial/ ethnic identities to low intellectual ability</w:t>
      </w:r>
      <w:r w:rsidRPr="00DB4B3D">
        <w:rPr>
          <w:sz w:val="16"/>
          <w:szCs w:val="16"/>
        </w:rPr>
        <w:t xml:space="preserve"> (Steele et al., 2002). </w:t>
      </w:r>
      <w:r w:rsidRPr="00CF276C">
        <w:rPr>
          <w:rFonts w:ascii="Verdana" w:hAnsi="Verdana"/>
          <w:b/>
          <w:sz w:val="18"/>
          <w:szCs w:val="18"/>
          <w:u w:val="single"/>
        </w:rPr>
        <w:t>The activation of these negative stereotypes leads to increased cognitive load,</w:t>
      </w:r>
      <w:r w:rsidRPr="00DB4B3D">
        <w:rPr>
          <w:sz w:val="16"/>
          <w:szCs w:val="16"/>
        </w:rPr>
        <w:t xml:space="preserve"> possibly </w:t>
      </w:r>
      <w:r w:rsidRPr="00CF276C">
        <w:rPr>
          <w:rFonts w:ascii="Verdana" w:hAnsi="Verdana"/>
          <w:b/>
          <w:sz w:val="18"/>
          <w:szCs w:val="18"/>
          <w:u w:val="single"/>
        </w:rPr>
        <w:t>related to efforts to suppress these negative stereotypes and/or feelings of anxiety</w:t>
      </w:r>
      <w:r w:rsidRPr="00DB4B3D">
        <w:rPr>
          <w:sz w:val="16"/>
          <w:szCs w:val="16"/>
        </w:rPr>
        <w:t xml:space="preserve"> (Beilock, Rydell, &amp; McConnell, 2007; Schmader, Johns, &amp; Forbes, 2008), </w:t>
      </w:r>
      <w:r w:rsidRPr="00CF276C">
        <w:rPr>
          <w:rFonts w:ascii="Verdana" w:hAnsi="Verdana"/>
          <w:b/>
          <w:sz w:val="18"/>
          <w:szCs w:val="18"/>
          <w:u w:val="single"/>
        </w:rPr>
        <w:t>which, in turn, undermines individuals’ ability to perform optimally on academic and other cognitive tasks.</w:t>
      </w:r>
      <w:r w:rsidRPr="00DB4B3D">
        <w:rPr>
          <w:sz w:val="16"/>
          <w:szCs w:val="16"/>
        </w:rPr>
        <w:t xml:space="preserve"> In their classic study, Steele and Aronson (1995) found that Black students who were told that an exam was diagnostic of intellectual capacity performed worse on the exam compared with Whites, but the same difference did not appear</w:t>
      </w:r>
      <w:r>
        <w:rPr>
          <w:sz w:val="16"/>
          <w:szCs w:val="16"/>
        </w:rPr>
        <w:t xml:space="preserve"> </w:t>
      </w:r>
      <w:r w:rsidRPr="00CF276C">
        <w:rPr>
          <w:rFonts w:ascii="Verdana" w:hAnsi="Verdana"/>
          <w:b/>
          <w:sz w:val="18"/>
          <w:szCs w:val="18"/>
          <w:u w:val="single"/>
        </w:rPr>
        <w:t>for Black students</w:t>
      </w:r>
      <w:r>
        <w:rPr>
          <w:sz w:val="16"/>
          <w:szCs w:val="16"/>
        </w:rPr>
        <w:t xml:space="preserve"> </w:t>
      </w:r>
      <w:r w:rsidRPr="00DB4B3D">
        <w:rPr>
          <w:sz w:val="16"/>
          <w:szCs w:val="16"/>
        </w:rPr>
        <w:t>who</w:t>
      </w:r>
      <w:r>
        <w:rPr>
          <w:sz w:val="16"/>
          <w:szCs w:val="16"/>
        </w:rPr>
        <w:t xml:space="preserve"> </w:t>
      </w:r>
      <w:r w:rsidRPr="00DB4B3D">
        <w:rPr>
          <w:sz w:val="16"/>
          <w:szCs w:val="16"/>
        </w:rPr>
        <w:t>were</w:t>
      </w:r>
      <w:r>
        <w:rPr>
          <w:sz w:val="16"/>
          <w:szCs w:val="16"/>
        </w:rPr>
        <w:t xml:space="preserve"> </w:t>
      </w:r>
      <w:r w:rsidRPr="00DB4B3D">
        <w:rPr>
          <w:sz w:val="16"/>
          <w:szCs w:val="16"/>
        </w:rPr>
        <w:t>told</w:t>
      </w:r>
      <w:r>
        <w:rPr>
          <w:sz w:val="16"/>
          <w:szCs w:val="16"/>
        </w:rPr>
        <w:t xml:space="preserve"> </w:t>
      </w:r>
      <w:r w:rsidRPr="00DB4B3D">
        <w:rPr>
          <w:sz w:val="16"/>
          <w:szCs w:val="16"/>
        </w:rPr>
        <w:t>that</w:t>
      </w:r>
      <w:r>
        <w:rPr>
          <w:sz w:val="16"/>
          <w:szCs w:val="16"/>
        </w:rPr>
        <w:t xml:space="preserve"> </w:t>
      </w:r>
      <w:r w:rsidRPr="00DB4B3D">
        <w:rPr>
          <w:sz w:val="16"/>
          <w:szCs w:val="16"/>
        </w:rPr>
        <w:t>the</w:t>
      </w:r>
      <w:r>
        <w:rPr>
          <w:sz w:val="16"/>
          <w:szCs w:val="16"/>
        </w:rPr>
        <w:t xml:space="preserve"> </w:t>
      </w:r>
      <w:r w:rsidRPr="00DB4B3D">
        <w:rPr>
          <w:sz w:val="16"/>
          <w:szCs w:val="16"/>
        </w:rPr>
        <w:t>exam</w:t>
      </w:r>
      <w:r>
        <w:rPr>
          <w:sz w:val="16"/>
          <w:szCs w:val="16"/>
        </w:rPr>
        <w:t xml:space="preserve"> </w:t>
      </w:r>
      <w:r w:rsidRPr="00DB4B3D">
        <w:rPr>
          <w:sz w:val="16"/>
          <w:szCs w:val="16"/>
        </w:rPr>
        <w:t>was</w:t>
      </w:r>
      <w:r>
        <w:rPr>
          <w:sz w:val="16"/>
          <w:szCs w:val="16"/>
        </w:rPr>
        <w:t xml:space="preserve"> </w:t>
      </w:r>
      <w:r w:rsidRPr="00DB4B3D">
        <w:rPr>
          <w:sz w:val="16"/>
          <w:szCs w:val="16"/>
        </w:rPr>
        <w:t>not diagnostic</w:t>
      </w:r>
      <w:r>
        <w:rPr>
          <w:sz w:val="16"/>
          <w:szCs w:val="16"/>
        </w:rPr>
        <w:t xml:space="preserve"> </w:t>
      </w:r>
      <w:r w:rsidRPr="00DB4B3D">
        <w:rPr>
          <w:sz w:val="16"/>
          <w:szCs w:val="16"/>
        </w:rPr>
        <w:t>of</w:t>
      </w:r>
      <w:r>
        <w:rPr>
          <w:sz w:val="16"/>
          <w:szCs w:val="16"/>
        </w:rPr>
        <w:t xml:space="preserve"> </w:t>
      </w:r>
      <w:r w:rsidRPr="00DB4B3D">
        <w:rPr>
          <w:sz w:val="16"/>
          <w:szCs w:val="16"/>
        </w:rPr>
        <w:t>intellect.</w:t>
      </w:r>
      <w:r>
        <w:rPr>
          <w:sz w:val="16"/>
          <w:szCs w:val="16"/>
        </w:rPr>
        <w:t xml:space="preserve"> </w:t>
      </w:r>
      <w:r w:rsidRPr="00CF276C">
        <w:rPr>
          <w:rFonts w:ascii="Verdana" w:hAnsi="Verdana"/>
          <w:b/>
          <w:sz w:val="16"/>
          <w:szCs w:val="16"/>
          <w:u w:val="single"/>
        </w:rPr>
        <w:t>The negative effects of stereotype threat have also been demonstrated in Latino students</w:t>
      </w:r>
      <w:r w:rsidRPr="00DB4B3D">
        <w:rPr>
          <w:sz w:val="16"/>
          <w:szCs w:val="16"/>
        </w:rPr>
        <w:t xml:space="preserve"> (Gonzales, Blanton, &amp; Williams, 2002). These studies, bolstered by the rich body of work in this area, suggest that making negative performance stereotypes salient can activate concerns about confirming those stereotypes, which can be detrimental to performance.</w:t>
      </w:r>
    </w:p>
    <w:p w14:paraId="43D905E6" w14:textId="77777777" w:rsidR="00A25C54" w:rsidRDefault="00A25C54" w:rsidP="00A25C54">
      <w:pPr>
        <w:rPr>
          <w:sz w:val="16"/>
          <w:szCs w:val="16"/>
        </w:rPr>
      </w:pPr>
    </w:p>
    <w:p w14:paraId="77C41EDE" w14:textId="77777777" w:rsidR="00A25C54" w:rsidRDefault="00A25C54" w:rsidP="00A25C54">
      <w:pPr>
        <w:rPr>
          <w:sz w:val="16"/>
          <w:szCs w:val="16"/>
        </w:rPr>
      </w:pPr>
    </w:p>
    <w:p w14:paraId="39E13471" w14:textId="77777777" w:rsidR="00A25C54" w:rsidRDefault="00A25C54" w:rsidP="00A25C54">
      <w:pPr>
        <w:rPr>
          <w:sz w:val="16"/>
          <w:szCs w:val="16"/>
        </w:rPr>
      </w:pPr>
    </w:p>
    <w:p w14:paraId="0FA5AE64" w14:textId="77777777" w:rsidR="00A25C54" w:rsidRDefault="00A25C54" w:rsidP="00A25C54">
      <w:pPr>
        <w:rPr>
          <w:sz w:val="16"/>
          <w:szCs w:val="16"/>
        </w:rPr>
      </w:pPr>
    </w:p>
    <w:p w14:paraId="621FF5E9" w14:textId="77777777" w:rsidR="00A25C54" w:rsidRDefault="00A25C54" w:rsidP="00A25C54">
      <w:pPr>
        <w:rPr>
          <w:sz w:val="16"/>
          <w:szCs w:val="16"/>
        </w:rPr>
      </w:pPr>
    </w:p>
    <w:p w14:paraId="7F29E5B3" w14:textId="77777777" w:rsidR="00A25C54" w:rsidRDefault="00A25C54" w:rsidP="00A25C54">
      <w:pPr>
        <w:rPr>
          <w:sz w:val="16"/>
          <w:szCs w:val="16"/>
        </w:rPr>
      </w:pPr>
    </w:p>
    <w:p w14:paraId="055E001D" w14:textId="77777777" w:rsidR="00A25C54" w:rsidRDefault="00A25C54" w:rsidP="00A25C54">
      <w:pPr>
        <w:rPr>
          <w:sz w:val="16"/>
          <w:szCs w:val="16"/>
        </w:rPr>
      </w:pPr>
    </w:p>
    <w:p w14:paraId="02370439" w14:textId="77777777" w:rsidR="00A25C54" w:rsidRDefault="00A25C54" w:rsidP="00A25C54">
      <w:pPr>
        <w:rPr>
          <w:sz w:val="16"/>
          <w:szCs w:val="16"/>
        </w:rPr>
      </w:pPr>
    </w:p>
    <w:p w14:paraId="13A9AE37" w14:textId="77777777" w:rsidR="00A25C54" w:rsidRDefault="00A25C54" w:rsidP="00A25C54">
      <w:pPr>
        <w:rPr>
          <w:sz w:val="16"/>
          <w:szCs w:val="16"/>
        </w:rPr>
      </w:pPr>
    </w:p>
    <w:p w14:paraId="6F8D2D9A" w14:textId="77777777" w:rsidR="00A25C54" w:rsidRDefault="00A25C54" w:rsidP="00A25C54">
      <w:pPr>
        <w:rPr>
          <w:sz w:val="16"/>
          <w:szCs w:val="16"/>
        </w:rPr>
      </w:pPr>
    </w:p>
    <w:p w14:paraId="161B5194" w14:textId="77777777" w:rsidR="00A25C54" w:rsidRDefault="00A25C54" w:rsidP="00A25C54">
      <w:pPr>
        <w:rPr>
          <w:sz w:val="16"/>
          <w:szCs w:val="16"/>
        </w:rPr>
      </w:pPr>
    </w:p>
    <w:p w14:paraId="31154C25" w14:textId="77777777" w:rsidR="00A25C54" w:rsidRDefault="00A25C54" w:rsidP="00A25C54">
      <w:pPr>
        <w:rPr>
          <w:sz w:val="16"/>
          <w:szCs w:val="16"/>
        </w:rPr>
      </w:pPr>
    </w:p>
    <w:p w14:paraId="1916F5D2" w14:textId="77777777" w:rsidR="00A25C54" w:rsidRPr="00415072" w:rsidRDefault="00A25C54" w:rsidP="00A25C54">
      <w:pPr>
        <w:rPr>
          <w:rFonts w:ascii="Verdana" w:hAnsi="Verdana"/>
          <w:szCs w:val="20"/>
        </w:rPr>
      </w:pPr>
    </w:p>
    <w:p w14:paraId="20E12C9E" w14:textId="77777777" w:rsidR="00A25C54" w:rsidRDefault="00A25C54" w:rsidP="00A25C54">
      <w:pPr>
        <w:rPr>
          <w:sz w:val="16"/>
          <w:szCs w:val="16"/>
        </w:rPr>
      </w:pPr>
      <w:r>
        <w:rPr>
          <w:rFonts w:ascii="Verdana" w:hAnsi="Verdana"/>
          <w:b/>
          <w:sz w:val="24"/>
          <w:szCs w:val="24"/>
        </w:rPr>
        <w:t xml:space="preserve">LEVY </w:t>
      </w:r>
      <w:r>
        <w:rPr>
          <w:rFonts w:ascii="Verdana" w:hAnsi="Verdana"/>
          <w:b/>
          <w:sz w:val="16"/>
          <w:szCs w:val="16"/>
        </w:rPr>
        <w:t>Et Al</w:t>
      </w:r>
      <w:r>
        <w:rPr>
          <w:rFonts w:ascii="Verdana" w:hAnsi="Verdana"/>
          <w:b/>
          <w:sz w:val="24"/>
          <w:szCs w:val="24"/>
        </w:rPr>
        <w:t xml:space="preserve"> </w:t>
      </w:r>
      <w:r>
        <w:rPr>
          <w:rFonts w:ascii="Verdana" w:hAnsi="Verdana"/>
          <w:b/>
          <w:sz w:val="16"/>
          <w:szCs w:val="16"/>
        </w:rPr>
        <w:t xml:space="preserve">Professor of Psychology @ Northwestern University </w:t>
      </w:r>
      <w:r>
        <w:rPr>
          <w:rFonts w:ascii="Verdana" w:hAnsi="Verdana"/>
          <w:b/>
          <w:sz w:val="24"/>
          <w:szCs w:val="24"/>
        </w:rPr>
        <w:t xml:space="preserve">2k16                                     </w:t>
      </w:r>
      <w:r>
        <w:rPr>
          <w:sz w:val="16"/>
          <w:szCs w:val="16"/>
        </w:rPr>
        <w:t>Dorainne J.”</w:t>
      </w:r>
      <w:r>
        <w:t xml:space="preserve"> </w:t>
      </w:r>
      <w:r>
        <w:rPr>
          <w:sz w:val="16"/>
          <w:szCs w:val="16"/>
        </w:rPr>
        <w:t>Psychological and Biological Responses to Race-Based Social Stress as Pathways to Disparities in Educational Outcomes” American Psychologist © 2016 American Psychological Association 2016, Vol. 71, No. 6, 455–473</w:t>
      </w:r>
    </w:p>
    <w:p w14:paraId="79796D21" w14:textId="77777777" w:rsidR="00A25C54" w:rsidRPr="00DE781B" w:rsidRDefault="00A25C54" w:rsidP="00A25C54">
      <w:pPr>
        <w:rPr>
          <w:rFonts w:ascii="Verdana" w:hAnsi="Verdana"/>
          <w:b/>
          <w:sz w:val="18"/>
          <w:szCs w:val="18"/>
          <w:u w:val="single"/>
        </w:rPr>
      </w:pPr>
      <w:r w:rsidRPr="00DE781B">
        <w:rPr>
          <w:rFonts w:ascii="Verdana" w:hAnsi="Verdana"/>
          <w:b/>
          <w:sz w:val="18"/>
          <w:szCs w:val="18"/>
          <w:u w:val="single"/>
        </w:rPr>
        <w:t xml:space="preserve">Despite exposure to race-based stressors, extensive research finds that Black and Latino adolescents and adults tend to have higher self-esteem relative to White adolescents and adults </w:t>
      </w:r>
      <w:r w:rsidRPr="00771053">
        <w:rPr>
          <w:sz w:val="16"/>
          <w:szCs w:val="16"/>
        </w:rPr>
        <w:t xml:space="preserve">(for reviews, see Gray-Little &amp; Hafdahl, 2000; Twenge &amp; Crocker, 2002). Although there are many causes of this differential, </w:t>
      </w:r>
      <w:r w:rsidRPr="00DE781B">
        <w:rPr>
          <w:rFonts w:ascii="Verdana" w:hAnsi="Verdana"/>
          <w:b/>
          <w:sz w:val="18"/>
          <w:szCs w:val="18"/>
          <w:u w:val="single"/>
        </w:rPr>
        <w:t>one relevant factor in adolescence is the tendency for individuals to disengage their self-worth or self-esteem from negatively stereotyped domains as a way of coping with group-based discrimination or other group-based stressors</w:t>
      </w:r>
      <w:r w:rsidRPr="00771053">
        <w:rPr>
          <w:sz w:val="16"/>
          <w:szCs w:val="16"/>
        </w:rPr>
        <w:t xml:space="preserve"> (Major &amp; O’Brien, 2005; Steele et al., 2002). </w:t>
      </w:r>
      <w:r w:rsidRPr="00DE781B">
        <w:rPr>
          <w:rFonts w:ascii="Verdana" w:hAnsi="Verdana"/>
          <w:b/>
          <w:sz w:val="18"/>
          <w:szCs w:val="18"/>
          <w:u w:val="single"/>
        </w:rPr>
        <w:t>In the academic domain,</w:t>
      </w:r>
      <w:r w:rsidRPr="00771053">
        <w:rPr>
          <w:sz w:val="16"/>
          <w:szCs w:val="16"/>
        </w:rPr>
        <w:t xml:space="preserve"> for instance, </w:t>
      </w:r>
      <w:r w:rsidRPr="00DE781B">
        <w:rPr>
          <w:rFonts w:ascii="Verdana" w:hAnsi="Verdana"/>
          <w:b/>
          <w:sz w:val="18"/>
          <w:szCs w:val="18"/>
          <w:u w:val="single"/>
        </w:rPr>
        <w:t>this can take the form of racial/ethnic minority students devaluing or discounting performance</w:t>
      </w:r>
      <w:r w:rsidRPr="00771053">
        <w:rPr>
          <w:sz w:val="16"/>
          <w:szCs w:val="16"/>
        </w:rPr>
        <w:t xml:space="preserve"> feedback on tests (Crocker &amp; Major, 1989; Schmader, Major, &amp; Gramzow, 2001). For example, Taylor and colleagues (1994) found that </w:t>
      </w:r>
      <w:r w:rsidRPr="00DE781B">
        <w:rPr>
          <w:rFonts w:ascii="Verdana" w:hAnsi="Verdana"/>
          <w:b/>
          <w:sz w:val="18"/>
          <w:szCs w:val="18"/>
          <w:u w:val="single"/>
        </w:rPr>
        <w:t xml:space="preserve">Black adolescents who were </w:t>
      </w:r>
      <w:r w:rsidRPr="00DE781B">
        <w:rPr>
          <w:sz w:val="16"/>
          <w:szCs w:val="16"/>
        </w:rPr>
        <w:t xml:space="preserve">more </w:t>
      </w:r>
      <w:r w:rsidRPr="00DE781B">
        <w:rPr>
          <w:rFonts w:ascii="Verdana" w:hAnsi="Verdana"/>
          <w:b/>
          <w:sz w:val="18"/>
          <w:szCs w:val="18"/>
          <w:u w:val="single"/>
        </w:rPr>
        <w:t>aware of discrimination were more likely to perceive education as less important, and consequently showed more disengagement from their schoolwork compared with their peers</w:t>
      </w:r>
      <w:r w:rsidRPr="00771053">
        <w:rPr>
          <w:sz w:val="16"/>
          <w:szCs w:val="16"/>
        </w:rPr>
        <w:t xml:space="preserve"> who were less aware</w:t>
      </w:r>
      <w:r w:rsidRPr="00771053">
        <w:t xml:space="preserve"> </w:t>
      </w:r>
      <w:r w:rsidRPr="00771053">
        <w:rPr>
          <w:sz w:val="16"/>
          <w:szCs w:val="16"/>
        </w:rPr>
        <w:t xml:space="preserve">of discrimination. </w:t>
      </w:r>
      <w:r w:rsidRPr="00DE781B">
        <w:rPr>
          <w:rFonts w:ascii="Verdana" w:hAnsi="Verdana"/>
          <w:b/>
          <w:sz w:val="18"/>
          <w:szCs w:val="18"/>
          <w:u w:val="single"/>
        </w:rPr>
        <w:t>The accumulation of these stressful experiences and subsequent efforts to cope can ultimately lead to complete disidentification with the domain—that is, removing one’s self-worth from an academic domain—which undermines the motivation to perform well in the domain</w:t>
      </w:r>
      <w:r w:rsidRPr="00771053">
        <w:rPr>
          <w:sz w:val="16"/>
          <w:szCs w:val="16"/>
        </w:rPr>
        <w:t xml:space="preserve"> (Major &amp; O’Brien, 2005; Steele et al., 2002). In other words, </w:t>
      </w:r>
      <w:r w:rsidRPr="00DE781B">
        <w:rPr>
          <w:rFonts w:ascii="Verdana" w:hAnsi="Verdana"/>
          <w:b/>
          <w:sz w:val="18"/>
          <w:szCs w:val="18"/>
          <w:u w:val="single"/>
        </w:rPr>
        <w:t xml:space="preserve">although these coping responses may protect self-esteem in the face of negative stereotypes, they can also come at the cost of aspirations, motivation, and persistence in the academic domain </w:t>
      </w:r>
      <w:r w:rsidRPr="00771053">
        <w:rPr>
          <w:sz w:val="16"/>
          <w:szCs w:val="16"/>
        </w:rPr>
        <w:t xml:space="preserve">(see Figure 1, Psychological and Biological Stress Responses box, bottom left), </w:t>
      </w:r>
      <w:r w:rsidRPr="00DE781B">
        <w:rPr>
          <w:rFonts w:ascii="Verdana" w:hAnsi="Verdana"/>
          <w:b/>
          <w:sz w:val="18"/>
          <w:szCs w:val="18"/>
          <w:u w:val="single"/>
        </w:rPr>
        <w:t xml:space="preserve">ultimately affecting performance and educational attainment. </w:t>
      </w:r>
    </w:p>
    <w:p w14:paraId="425C92FC" w14:textId="77777777" w:rsidR="00A25C54" w:rsidRDefault="00A25C54" w:rsidP="00A25C54">
      <w:pPr>
        <w:rPr>
          <w:sz w:val="16"/>
          <w:szCs w:val="16"/>
        </w:rPr>
      </w:pPr>
    </w:p>
    <w:p w14:paraId="747F9B18" w14:textId="77777777" w:rsidR="00A25C54" w:rsidRDefault="00A25C54" w:rsidP="00A25C54">
      <w:pPr>
        <w:rPr>
          <w:sz w:val="16"/>
          <w:szCs w:val="16"/>
        </w:rPr>
      </w:pPr>
    </w:p>
    <w:p w14:paraId="5E6DE7D8" w14:textId="77777777" w:rsidR="00A25C54" w:rsidRDefault="00A25C54" w:rsidP="00A25C54">
      <w:pPr>
        <w:rPr>
          <w:sz w:val="16"/>
          <w:szCs w:val="16"/>
        </w:rPr>
      </w:pPr>
    </w:p>
    <w:p w14:paraId="39643AB0" w14:textId="77777777" w:rsidR="00A25C54" w:rsidRDefault="00A25C54" w:rsidP="00A25C54">
      <w:pPr>
        <w:rPr>
          <w:sz w:val="16"/>
          <w:szCs w:val="16"/>
        </w:rPr>
      </w:pPr>
    </w:p>
    <w:p w14:paraId="552C3705" w14:textId="77777777" w:rsidR="00A25C54" w:rsidRDefault="00A25C54" w:rsidP="00A25C54">
      <w:pPr>
        <w:rPr>
          <w:sz w:val="16"/>
          <w:szCs w:val="16"/>
        </w:rPr>
      </w:pPr>
    </w:p>
    <w:p w14:paraId="1C47A6CA" w14:textId="77777777" w:rsidR="00A25C54" w:rsidRDefault="00A25C54" w:rsidP="00A25C54">
      <w:pPr>
        <w:rPr>
          <w:sz w:val="16"/>
          <w:szCs w:val="16"/>
        </w:rPr>
      </w:pPr>
    </w:p>
    <w:p w14:paraId="03D66369" w14:textId="77777777" w:rsidR="00A25C54" w:rsidRDefault="00A25C54" w:rsidP="00A25C54">
      <w:pPr>
        <w:rPr>
          <w:sz w:val="16"/>
          <w:szCs w:val="16"/>
        </w:rPr>
      </w:pPr>
    </w:p>
    <w:p w14:paraId="52B06652" w14:textId="77777777" w:rsidR="00A25C54" w:rsidRDefault="00A25C54" w:rsidP="00A25C54">
      <w:pPr>
        <w:rPr>
          <w:sz w:val="16"/>
          <w:szCs w:val="16"/>
        </w:rPr>
      </w:pPr>
    </w:p>
    <w:p w14:paraId="545233F3" w14:textId="77777777" w:rsidR="00A25C54" w:rsidRDefault="00A25C54" w:rsidP="00A25C54">
      <w:pPr>
        <w:rPr>
          <w:sz w:val="16"/>
          <w:szCs w:val="16"/>
        </w:rPr>
      </w:pPr>
    </w:p>
    <w:p w14:paraId="709FDB26" w14:textId="77777777" w:rsidR="00A25C54" w:rsidRDefault="00A25C54" w:rsidP="00A25C54">
      <w:pPr>
        <w:rPr>
          <w:sz w:val="16"/>
          <w:szCs w:val="16"/>
        </w:rPr>
      </w:pPr>
    </w:p>
    <w:p w14:paraId="3FA733E5" w14:textId="77777777" w:rsidR="00A25C54" w:rsidRDefault="00A25C54" w:rsidP="00A25C54">
      <w:pPr>
        <w:rPr>
          <w:sz w:val="16"/>
          <w:szCs w:val="16"/>
        </w:rPr>
      </w:pPr>
    </w:p>
    <w:p w14:paraId="0C7EB209" w14:textId="77777777" w:rsidR="00A25C54" w:rsidRDefault="00A25C54" w:rsidP="00A25C54">
      <w:pPr>
        <w:rPr>
          <w:sz w:val="16"/>
          <w:szCs w:val="16"/>
        </w:rPr>
      </w:pPr>
    </w:p>
    <w:p w14:paraId="7380AE93" w14:textId="77777777" w:rsidR="00A25C54" w:rsidRDefault="00A25C54" w:rsidP="00A25C54">
      <w:pPr>
        <w:rPr>
          <w:sz w:val="16"/>
          <w:szCs w:val="16"/>
        </w:rPr>
      </w:pPr>
    </w:p>
    <w:p w14:paraId="2AB63D28" w14:textId="77777777" w:rsidR="00A25C54" w:rsidRDefault="00A25C54" w:rsidP="00A25C54">
      <w:pPr>
        <w:rPr>
          <w:sz w:val="16"/>
          <w:szCs w:val="16"/>
        </w:rPr>
      </w:pPr>
    </w:p>
    <w:p w14:paraId="2C54F5D5" w14:textId="77777777" w:rsidR="00A25C54" w:rsidRDefault="00A25C54" w:rsidP="00A25C54">
      <w:pPr>
        <w:rPr>
          <w:sz w:val="16"/>
          <w:szCs w:val="16"/>
        </w:rPr>
      </w:pPr>
    </w:p>
    <w:p w14:paraId="5267BF19" w14:textId="77777777" w:rsidR="00A25C54" w:rsidRDefault="00A25C54" w:rsidP="00A25C54">
      <w:pPr>
        <w:rPr>
          <w:sz w:val="16"/>
          <w:szCs w:val="16"/>
        </w:rPr>
      </w:pPr>
    </w:p>
    <w:p w14:paraId="711B104D" w14:textId="77777777" w:rsidR="00A25C54" w:rsidRDefault="00A25C54" w:rsidP="00A25C54">
      <w:pPr>
        <w:rPr>
          <w:sz w:val="16"/>
          <w:szCs w:val="16"/>
        </w:rPr>
      </w:pPr>
    </w:p>
    <w:p w14:paraId="364D3B3B" w14:textId="77777777" w:rsidR="00A25C54" w:rsidRDefault="00A25C54" w:rsidP="00A25C54">
      <w:pPr>
        <w:rPr>
          <w:sz w:val="16"/>
          <w:szCs w:val="16"/>
        </w:rPr>
      </w:pPr>
    </w:p>
    <w:p w14:paraId="4BE61795" w14:textId="77777777" w:rsidR="00A25C54" w:rsidRDefault="00A25C54" w:rsidP="00A25C54">
      <w:pPr>
        <w:rPr>
          <w:sz w:val="16"/>
          <w:szCs w:val="16"/>
        </w:rPr>
      </w:pPr>
    </w:p>
    <w:p w14:paraId="55237E1A" w14:textId="77777777" w:rsidR="00A25C54" w:rsidRDefault="00A25C54" w:rsidP="00A25C54">
      <w:pPr>
        <w:rPr>
          <w:sz w:val="16"/>
          <w:szCs w:val="16"/>
        </w:rPr>
      </w:pPr>
    </w:p>
    <w:p w14:paraId="4DA99684" w14:textId="77777777" w:rsidR="00A25C54" w:rsidRDefault="00A25C54" w:rsidP="00A25C54">
      <w:pPr>
        <w:rPr>
          <w:sz w:val="16"/>
          <w:szCs w:val="16"/>
        </w:rPr>
      </w:pPr>
      <w:r>
        <w:rPr>
          <w:rFonts w:ascii="Verdana" w:hAnsi="Verdana"/>
          <w:b/>
          <w:sz w:val="24"/>
          <w:szCs w:val="24"/>
        </w:rPr>
        <w:t xml:space="preserve">LEVY </w:t>
      </w:r>
      <w:r>
        <w:rPr>
          <w:rFonts w:ascii="Verdana" w:hAnsi="Verdana"/>
          <w:b/>
          <w:sz w:val="16"/>
          <w:szCs w:val="16"/>
        </w:rPr>
        <w:t>Et Al</w:t>
      </w:r>
      <w:r>
        <w:rPr>
          <w:rFonts w:ascii="Verdana" w:hAnsi="Verdana"/>
          <w:b/>
          <w:sz w:val="24"/>
          <w:szCs w:val="24"/>
        </w:rPr>
        <w:t xml:space="preserve"> </w:t>
      </w:r>
      <w:r>
        <w:rPr>
          <w:rFonts w:ascii="Verdana" w:hAnsi="Verdana"/>
          <w:b/>
          <w:sz w:val="16"/>
          <w:szCs w:val="16"/>
        </w:rPr>
        <w:t xml:space="preserve">Professor of Psychology @ Northwestern University </w:t>
      </w:r>
      <w:r>
        <w:rPr>
          <w:rFonts w:ascii="Verdana" w:hAnsi="Verdana"/>
          <w:b/>
          <w:sz w:val="24"/>
          <w:szCs w:val="24"/>
        </w:rPr>
        <w:t xml:space="preserve">2k16                                     </w:t>
      </w:r>
      <w:r>
        <w:rPr>
          <w:sz w:val="16"/>
          <w:szCs w:val="16"/>
        </w:rPr>
        <w:t>Dorainne J.”</w:t>
      </w:r>
      <w:r>
        <w:t xml:space="preserve"> </w:t>
      </w:r>
      <w:r>
        <w:rPr>
          <w:sz w:val="16"/>
          <w:szCs w:val="16"/>
        </w:rPr>
        <w:t>Psychological and Biological Responses to Race-Based Social Stress as Pathways to Disparities in Educational Outcomes” American Psychologist © 2016 American Psychological Association 2016, Vol. 71, No. 6, 455–473</w:t>
      </w:r>
    </w:p>
    <w:p w14:paraId="7E003571" w14:textId="77777777" w:rsidR="00A25C54" w:rsidRDefault="00A25C54" w:rsidP="00A25C54">
      <w:pPr>
        <w:rPr>
          <w:sz w:val="16"/>
          <w:szCs w:val="16"/>
        </w:rPr>
      </w:pPr>
      <w:r w:rsidRPr="002E0BC3">
        <w:rPr>
          <w:rFonts w:ascii="Verdana" w:hAnsi="Verdana"/>
          <w:b/>
          <w:sz w:val="18"/>
          <w:szCs w:val="18"/>
          <w:u w:val="single"/>
        </w:rPr>
        <w:t>Biological responses to stress are characterized by multiple changes in stress-sensitive biological systems, including autonomic nervous system activation, increased activation of the</w:t>
      </w:r>
      <w:r w:rsidRPr="00B15A34">
        <w:rPr>
          <w:sz w:val="16"/>
          <w:szCs w:val="16"/>
        </w:rPr>
        <w:t xml:space="preserve"> hypothalamic-pituitary-adrenal </w:t>
      </w:r>
      <w:r w:rsidRPr="00F40975">
        <w:rPr>
          <w:rFonts w:ascii="Verdana" w:hAnsi="Verdana"/>
          <w:b/>
          <w:sz w:val="18"/>
          <w:szCs w:val="18"/>
          <w:u w:val="single"/>
        </w:rPr>
        <w:t>(HPA) axis</w:t>
      </w:r>
      <w:r w:rsidRPr="00B15A34">
        <w:rPr>
          <w:sz w:val="16"/>
          <w:szCs w:val="16"/>
        </w:rPr>
        <w:t xml:space="preserve">, and modulation of </w:t>
      </w:r>
      <w:r w:rsidRPr="00F40975">
        <w:rPr>
          <w:rFonts w:ascii="Verdana" w:hAnsi="Verdana"/>
          <w:b/>
          <w:sz w:val="18"/>
          <w:szCs w:val="18"/>
          <w:u w:val="single"/>
        </w:rPr>
        <w:t>immune system activity</w:t>
      </w:r>
      <w:r w:rsidRPr="00B15A34">
        <w:rPr>
          <w:sz w:val="16"/>
          <w:szCs w:val="16"/>
        </w:rPr>
        <w:t xml:space="preserve"> (McEwen, 1998; G. E. Miller, Chen, &amp; Zhou, 2007; G. E. Miller, Cohen, &amp; Ritchey, 2002; Seeman, Singer, Rowe, Horwitz, &amp; McEwen, 1997). These physiological responses are thought to occur when perceived stress overwhelms the perceive availability of coping resources (for review see Lazarus, 1991). Activation of the HPA axis, as indicated by increases in its primary hormonal product, cortisol, as well as </w:t>
      </w:r>
      <w:r w:rsidRPr="00F40975">
        <w:rPr>
          <w:rFonts w:ascii="Verdana" w:hAnsi="Verdana"/>
          <w:b/>
          <w:sz w:val="16"/>
          <w:szCs w:val="16"/>
          <w:u w:val="single"/>
        </w:rPr>
        <w:t>cardiovascular reactivity,</w:t>
      </w:r>
      <w:r w:rsidRPr="00B15A34">
        <w:rPr>
          <w:sz w:val="16"/>
          <w:szCs w:val="16"/>
        </w:rPr>
        <w:t xml:space="preserve"> </w:t>
      </w:r>
      <w:r w:rsidRPr="00F40975">
        <w:rPr>
          <w:rFonts w:ascii="Verdana" w:hAnsi="Verdana"/>
          <w:b/>
          <w:sz w:val="16"/>
          <w:szCs w:val="16"/>
          <w:u w:val="single"/>
        </w:rPr>
        <w:t>indicated by increases in blood pressure and heart rate, have been found to occur in response to race-based stress</w:t>
      </w:r>
      <w:r w:rsidRPr="00B15A34">
        <w:rPr>
          <w:sz w:val="16"/>
          <w:szCs w:val="16"/>
        </w:rPr>
        <w:t xml:space="preserve"> (Clark et al., 1999). </w:t>
      </w:r>
      <w:r w:rsidRPr="00866E7A">
        <w:rPr>
          <w:rFonts w:ascii="Verdana" w:hAnsi="Verdana"/>
          <w:b/>
          <w:sz w:val="16"/>
          <w:szCs w:val="16"/>
          <w:u w:val="single"/>
        </w:rPr>
        <w:t>Sleep is another system that is highly sensitive to</w:t>
      </w:r>
      <w:r w:rsidRPr="00B15A34">
        <w:rPr>
          <w:sz w:val="16"/>
          <w:szCs w:val="16"/>
        </w:rPr>
        <w:t xml:space="preserve"> stress, including </w:t>
      </w:r>
      <w:r w:rsidRPr="00866E7A">
        <w:rPr>
          <w:rFonts w:ascii="Verdana" w:hAnsi="Verdana"/>
          <w:b/>
          <w:sz w:val="18"/>
          <w:szCs w:val="18"/>
          <w:u w:val="single"/>
        </w:rPr>
        <w:t>race-based social stress</w:t>
      </w:r>
      <w:r w:rsidRPr="00B15A34">
        <w:rPr>
          <w:sz w:val="16"/>
          <w:szCs w:val="16"/>
        </w:rPr>
        <w:t xml:space="preserve"> (Âkerstedt, 2006; Kim &amp; Dimsdale, 2007). We focus here on changes in HPA axis activity and sleep, given that </w:t>
      </w:r>
      <w:r w:rsidRPr="00866E7A">
        <w:rPr>
          <w:rFonts w:ascii="Verdana" w:hAnsi="Verdana"/>
          <w:b/>
          <w:sz w:val="18"/>
          <w:szCs w:val="18"/>
          <w:u w:val="single"/>
        </w:rPr>
        <w:t>each of these</w:t>
      </w:r>
      <w:r w:rsidRPr="00B15A34">
        <w:rPr>
          <w:sz w:val="16"/>
          <w:szCs w:val="16"/>
        </w:rPr>
        <w:t xml:space="preserve"> two systems is </w:t>
      </w:r>
      <w:r w:rsidRPr="00266DDF">
        <w:rPr>
          <w:rFonts w:ascii="Verdana" w:hAnsi="Verdana"/>
          <w:b/>
          <w:sz w:val="16"/>
          <w:szCs w:val="16"/>
          <w:u w:val="single"/>
        </w:rPr>
        <w:t>sensitive to race-based social stress,</w:t>
      </w:r>
      <w:r w:rsidRPr="00B15A34">
        <w:rPr>
          <w:sz w:val="16"/>
          <w:szCs w:val="16"/>
        </w:rPr>
        <w:t xml:space="preserve"> has been found to vary by race/ethnicity, </w:t>
      </w:r>
      <w:r w:rsidRPr="00AE5F4B">
        <w:rPr>
          <w:rFonts w:ascii="Verdana" w:hAnsi="Verdana"/>
          <w:b/>
          <w:sz w:val="16"/>
          <w:szCs w:val="16"/>
          <w:u w:val="single"/>
        </w:rPr>
        <w:t>and is known to impact educational outcomes by way of their effects on critical cognitive processes</w:t>
      </w:r>
      <w:r w:rsidRPr="00B15A34">
        <w:rPr>
          <w:sz w:val="16"/>
          <w:szCs w:val="16"/>
        </w:rPr>
        <w:t xml:space="preserve"> such as attention, memory, and executive functioning (see Figure 1, Psychological and Biological Stress Responses box, right side). Though few studies directly trace the full pathways from race-based stress to physiological reactivity to detriments in academic performance, we argue that </w:t>
      </w:r>
      <w:r w:rsidRPr="00322955">
        <w:rPr>
          <w:rFonts w:ascii="Verdana" w:hAnsi="Verdana"/>
          <w:b/>
          <w:sz w:val="16"/>
          <w:szCs w:val="16"/>
          <w:u w:val="single"/>
        </w:rPr>
        <w:t>there is compelling evidence that these stress response systems contribute to the negative academic outcomes that arise in the wake of race based stress</w:t>
      </w:r>
      <w:r w:rsidRPr="00B15A34">
        <w:rPr>
          <w:sz w:val="16"/>
          <w:szCs w:val="16"/>
        </w:rPr>
        <w:t xml:space="preserve"> (Mendes &amp; Jamieson, 2012).</w:t>
      </w:r>
    </w:p>
    <w:p w14:paraId="690F3B0A" w14:textId="77777777" w:rsidR="00A25C54" w:rsidRPr="00A25C54" w:rsidRDefault="00A25C54" w:rsidP="00A25C54"/>
    <w:p w14:paraId="0858ECBE" w14:textId="77777777" w:rsidR="00A25C54" w:rsidRDefault="00A25C54" w:rsidP="00D075EF">
      <w:pPr>
        <w:pStyle w:val="Heading2"/>
        <w:rPr>
          <w:rFonts w:cs="Arial"/>
        </w:rPr>
      </w:pPr>
      <w:r>
        <w:rPr>
          <w:rFonts w:cs="Arial"/>
        </w:rPr>
        <w:t>AT: Cap</w:t>
      </w:r>
    </w:p>
    <w:p w14:paraId="567EDD09" w14:textId="77777777" w:rsidR="00A25C54" w:rsidRDefault="00A25C54" w:rsidP="00A25C54">
      <w:pPr>
        <w:jc w:val="both"/>
        <w:rPr>
          <w:rFonts w:ascii="Verdana" w:hAnsi="Verdana"/>
          <w:b/>
          <w:szCs w:val="20"/>
        </w:rPr>
      </w:pPr>
      <w:r>
        <w:rPr>
          <w:rFonts w:ascii="Verdana" w:hAnsi="Verdana"/>
          <w:b/>
          <w:szCs w:val="20"/>
        </w:rPr>
        <w:t>THE COLOR OF CAPITALISM</w:t>
      </w:r>
    </w:p>
    <w:p w14:paraId="5BF27BF5" w14:textId="77777777" w:rsidR="00A25C54" w:rsidRPr="00C87916" w:rsidRDefault="00A25C54" w:rsidP="00A25C54">
      <w:pPr>
        <w:rPr>
          <w:rFonts w:ascii="Verdana" w:hAnsi="Verdana"/>
          <w:sz w:val="18"/>
          <w:szCs w:val="18"/>
        </w:rPr>
      </w:pPr>
      <w:r w:rsidRPr="00C87916">
        <w:rPr>
          <w:rFonts w:ascii="Verdana" w:hAnsi="Verdana"/>
          <w:szCs w:val="20"/>
        </w:rPr>
        <w:t>Students of color are more likely to be in a lower socio-economic bracket than their white counterparts which negatively impacts early educational success and their final academic attainments in a myriad of ways. However, that is not the whole story the psychological pain of racism that include but are not limited to awareness of systemic, symbolic, collective, and individual racial prejudice, as well as shock, fear, and mourning in response to racially motivated violence, are as important of an explanation of the academic achievement gap as structural inequality</w:t>
      </w:r>
      <w:r w:rsidRPr="00C87916">
        <w:rPr>
          <w:rFonts w:ascii="Verdana" w:hAnsi="Verdana"/>
          <w:sz w:val="18"/>
          <w:szCs w:val="18"/>
        </w:rPr>
        <w:t xml:space="preserve">. </w:t>
      </w:r>
    </w:p>
    <w:p w14:paraId="008A501B" w14:textId="77777777" w:rsidR="00A25C54" w:rsidRDefault="00A25C54" w:rsidP="00A25C54">
      <w:pPr>
        <w:rPr>
          <w:sz w:val="16"/>
          <w:szCs w:val="16"/>
        </w:rPr>
      </w:pPr>
      <w:r>
        <w:rPr>
          <w:rFonts w:ascii="Verdana" w:hAnsi="Verdana"/>
          <w:b/>
          <w:sz w:val="24"/>
          <w:szCs w:val="24"/>
        </w:rPr>
        <w:t xml:space="preserve">LEVY </w:t>
      </w:r>
      <w:r>
        <w:rPr>
          <w:rFonts w:ascii="Verdana" w:hAnsi="Verdana"/>
          <w:b/>
          <w:sz w:val="16"/>
          <w:szCs w:val="16"/>
        </w:rPr>
        <w:t>Et Al</w:t>
      </w:r>
      <w:r>
        <w:rPr>
          <w:rFonts w:ascii="Verdana" w:hAnsi="Verdana"/>
          <w:b/>
          <w:sz w:val="24"/>
          <w:szCs w:val="24"/>
        </w:rPr>
        <w:t xml:space="preserve"> </w:t>
      </w:r>
      <w:r>
        <w:rPr>
          <w:rFonts w:ascii="Verdana" w:hAnsi="Verdana"/>
          <w:b/>
          <w:sz w:val="16"/>
          <w:szCs w:val="16"/>
        </w:rPr>
        <w:t xml:space="preserve">Professor of Psychology @ Northwestern University </w:t>
      </w:r>
      <w:r>
        <w:rPr>
          <w:rFonts w:ascii="Verdana" w:hAnsi="Verdana"/>
          <w:b/>
          <w:sz w:val="24"/>
          <w:szCs w:val="24"/>
        </w:rPr>
        <w:t xml:space="preserve">2k16                                     </w:t>
      </w:r>
      <w:r>
        <w:rPr>
          <w:sz w:val="16"/>
          <w:szCs w:val="16"/>
        </w:rPr>
        <w:t>Dorainne J.”</w:t>
      </w:r>
      <w:r>
        <w:t xml:space="preserve"> </w:t>
      </w:r>
      <w:r>
        <w:rPr>
          <w:sz w:val="16"/>
          <w:szCs w:val="16"/>
        </w:rPr>
        <w:t>Psychological and Biological Responses to Race-Based Social Stress as Pathways to Disparities in Educational Outcomes” American Psychologist © 2016 American Psychological Association 2016, Vol. 71, No. 6, 455–473</w:t>
      </w:r>
    </w:p>
    <w:p w14:paraId="552FD713" w14:textId="77777777" w:rsidR="00A25C54" w:rsidRPr="00DE0A63" w:rsidRDefault="00A25C54" w:rsidP="00A25C54">
      <w:pPr>
        <w:rPr>
          <w:rFonts w:ascii="Verdana" w:hAnsi="Verdana"/>
          <w:b/>
          <w:sz w:val="18"/>
          <w:szCs w:val="18"/>
          <w:u w:val="single"/>
        </w:rPr>
      </w:pPr>
      <w:r w:rsidRPr="00805F26">
        <w:rPr>
          <w:rFonts w:ascii="Verdana" w:hAnsi="Verdana"/>
          <w:sz w:val="16"/>
          <w:szCs w:val="16"/>
        </w:rPr>
        <w:t xml:space="preserve">We make the case </w:t>
      </w:r>
      <w:r w:rsidRPr="00805F26">
        <w:rPr>
          <w:rFonts w:ascii="Verdana" w:hAnsi="Verdana"/>
          <w:b/>
          <w:sz w:val="18"/>
          <w:szCs w:val="18"/>
          <w:u w:val="single"/>
        </w:rPr>
        <w:t>that the effects of race-based stress on biological responses, including changes in stress hormones and sleep processes, are important and particularly understudied pathways to the emergence of racial/ethnic disparities in educational achievement and attainment.</w:t>
      </w:r>
      <w:r w:rsidRPr="00805F26">
        <w:rPr>
          <w:rFonts w:ascii="Verdana" w:hAnsi="Verdana"/>
          <w:sz w:val="18"/>
          <w:szCs w:val="18"/>
        </w:rPr>
        <w:t xml:space="preserve"> </w:t>
      </w:r>
      <w:r w:rsidRPr="00805F26">
        <w:rPr>
          <w:rFonts w:ascii="Verdana" w:hAnsi="Verdana"/>
          <w:b/>
          <w:sz w:val="18"/>
          <w:szCs w:val="18"/>
          <w:u w:val="single"/>
        </w:rPr>
        <w:t>We situate our investigation in the broader contexts of other stressors (for example, stressors associated with socioeconomic status [SES]),</w:t>
      </w:r>
      <w:r w:rsidRPr="00805F26">
        <w:rPr>
          <w:rFonts w:ascii="Verdana" w:hAnsi="Verdana"/>
          <w:sz w:val="18"/>
          <w:szCs w:val="18"/>
        </w:rPr>
        <w:t xml:space="preserve"> </w:t>
      </w:r>
      <w:r w:rsidRPr="00805F26">
        <w:rPr>
          <w:rFonts w:ascii="Verdana" w:hAnsi="Verdana"/>
          <w:sz w:val="16"/>
          <w:szCs w:val="16"/>
        </w:rPr>
        <w:t xml:space="preserve">relevant </w:t>
      </w:r>
      <w:r w:rsidRPr="00805F26">
        <w:rPr>
          <w:rFonts w:ascii="Verdana" w:hAnsi="Verdana"/>
          <w:b/>
          <w:sz w:val="18"/>
          <w:szCs w:val="18"/>
          <w:u w:val="single"/>
        </w:rPr>
        <w:t>developmental histories of stress</w:t>
      </w:r>
      <w:r w:rsidRPr="00805F26">
        <w:rPr>
          <w:rFonts w:ascii="Verdana" w:hAnsi="Verdana"/>
          <w:b/>
          <w:sz w:val="16"/>
          <w:szCs w:val="16"/>
          <w:u w:val="single"/>
        </w:rPr>
        <w:t>,</w:t>
      </w:r>
      <w:r w:rsidRPr="00805F26">
        <w:rPr>
          <w:rFonts w:ascii="Verdana" w:hAnsi="Verdana"/>
          <w:sz w:val="16"/>
          <w:szCs w:val="16"/>
        </w:rPr>
        <w:t xml:space="preserve"> and </w:t>
      </w:r>
      <w:r w:rsidRPr="00805F26">
        <w:rPr>
          <w:rFonts w:ascii="Verdana" w:hAnsi="Verdana"/>
          <w:b/>
          <w:sz w:val="18"/>
          <w:szCs w:val="18"/>
          <w:u w:val="single"/>
        </w:rPr>
        <w:t>individual and group differences in access to resources, opportunity, and employment structures.</w:t>
      </w:r>
      <w:r w:rsidRPr="00805F26">
        <w:rPr>
          <w:rFonts w:ascii="Verdana" w:hAnsi="Verdana"/>
          <w:sz w:val="18"/>
          <w:szCs w:val="18"/>
        </w:rPr>
        <w:t xml:space="preserve"> </w:t>
      </w:r>
      <w:r w:rsidRPr="00805F26">
        <w:rPr>
          <w:rFonts w:ascii="Verdana" w:hAnsi="Verdana"/>
          <w:b/>
          <w:sz w:val="18"/>
          <w:szCs w:val="18"/>
          <w:u w:val="single"/>
        </w:rPr>
        <w:t>These factors may either attenuate or exacerbate the negative impact of race based stress on academic outcomes.</w:t>
      </w:r>
      <w:r w:rsidRPr="00805F26">
        <w:rPr>
          <w:rFonts w:ascii="Verdana" w:hAnsi="Verdana"/>
          <w:sz w:val="16"/>
          <w:szCs w:val="16"/>
        </w:rPr>
        <w:t xml:space="preserve"> </w:t>
      </w:r>
      <w:r w:rsidRPr="00805F26">
        <w:rPr>
          <w:sz w:val="16"/>
          <w:szCs w:val="16"/>
        </w:rPr>
        <w:t xml:space="preserve">A depiction of how these processes could serve as pathways to disparities in educational and employment outcomes is shown in Figure 1, a model we are calling the race-based disparities in stress and sleep in context model (RDSSC). Evidence for the RDSSC model will be elaborated in the sections that follow… </w:t>
      </w:r>
      <w:r w:rsidRPr="00805F26">
        <w:rPr>
          <w:rFonts w:ascii="Verdana" w:hAnsi="Verdana"/>
          <w:b/>
          <w:sz w:val="18"/>
          <w:szCs w:val="18"/>
          <w:u w:val="single"/>
        </w:rPr>
        <w:t>Gaps in achievement are found both for race and by SES.</w:t>
      </w:r>
      <w:r w:rsidRPr="00805F26">
        <w:rPr>
          <w:rFonts w:ascii="Verdana" w:hAnsi="Verdana"/>
          <w:sz w:val="16"/>
          <w:szCs w:val="16"/>
        </w:rPr>
        <w:t xml:space="preserve"> </w:t>
      </w:r>
      <w:r w:rsidRPr="00805F26">
        <w:rPr>
          <w:sz w:val="16"/>
          <w:szCs w:val="16"/>
        </w:rPr>
        <w:t xml:space="preserve">Research and theory regarding the race-based achievement gap, including the current article, typically consider lower academic achievement and lower levels of academic attainment found, on average, </w:t>
      </w:r>
      <w:r w:rsidRPr="00805F26">
        <w:rPr>
          <w:rFonts w:ascii="Verdana" w:hAnsi="Verdana"/>
          <w:b/>
          <w:sz w:val="18"/>
          <w:szCs w:val="18"/>
          <w:u w:val="single"/>
        </w:rPr>
        <w:t>among disadvantaged racial/ethnic minorities, with a particular focus on Blacks and Latinos.</w:t>
      </w:r>
      <w:r w:rsidRPr="00805F26">
        <w:rPr>
          <w:rFonts w:ascii="Verdana" w:hAnsi="Verdana"/>
          <w:sz w:val="16"/>
          <w:szCs w:val="16"/>
        </w:rPr>
        <w:t xml:space="preserve"> </w:t>
      </w:r>
      <w:r w:rsidRPr="00805F26">
        <w:rPr>
          <w:sz w:val="16"/>
          <w:szCs w:val="16"/>
        </w:rPr>
        <w:t>For example, Burchinal and colleagues (2011)</w:t>
      </w:r>
      <w:r w:rsidRPr="00805F26">
        <w:rPr>
          <w:rFonts w:ascii="Verdana" w:hAnsi="Verdana"/>
          <w:sz w:val="16"/>
          <w:szCs w:val="16"/>
        </w:rPr>
        <w:t xml:space="preserve"> </w:t>
      </w:r>
      <w:r w:rsidRPr="00805F26">
        <w:rPr>
          <w:rFonts w:ascii="Verdana" w:hAnsi="Verdana"/>
          <w:b/>
          <w:sz w:val="18"/>
          <w:szCs w:val="18"/>
          <w:u w:val="single"/>
        </w:rPr>
        <w:t>found in</w:t>
      </w:r>
      <w:r w:rsidRPr="00805F26">
        <w:rPr>
          <w:rFonts w:ascii="Verdana" w:hAnsi="Verdana"/>
          <w:sz w:val="16"/>
          <w:szCs w:val="16"/>
        </w:rPr>
        <w:t xml:space="preserve"> their </w:t>
      </w:r>
      <w:r w:rsidRPr="00805F26">
        <w:rPr>
          <w:rFonts w:ascii="Verdana" w:hAnsi="Verdana"/>
          <w:b/>
          <w:sz w:val="18"/>
          <w:szCs w:val="18"/>
          <w:u w:val="single"/>
        </w:rPr>
        <w:t>longitudinal study that Black children had lower reading and math scores</w:t>
      </w:r>
      <w:r w:rsidRPr="00805F26">
        <w:rPr>
          <w:rFonts w:ascii="Verdana" w:hAnsi="Verdana"/>
          <w:sz w:val="18"/>
          <w:szCs w:val="18"/>
        </w:rPr>
        <w:t xml:space="preserve"> </w:t>
      </w:r>
      <w:r w:rsidRPr="00805F26">
        <w:rPr>
          <w:rFonts w:ascii="Verdana" w:hAnsi="Verdana"/>
          <w:b/>
          <w:sz w:val="18"/>
          <w:szCs w:val="18"/>
          <w:u w:val="single"/>
        </w:rPr>
        <w:t>in Grades 1, 3, and 5 compared with White children.</w:t>
      </w:r>
      <w:r w:rsidRPr="00805F26">
        <w:rPr>
          <w:rFonts w:ascii="Verdana" w:hAnsi="Verdana"/>
          <w:sz w:val="18"/>
          <w:szCs w:val="18"/>
        </w:rPr>
        <w:t xml:space="preserve"> </w:t>
      </w:r>
      <w:r w:rsidRPr="00805F26">
        <w:rPr>
          <w:rFonts w:ascii="Verdana" w:hAnsi="Verdana"/>
          <w:b/>
          <w:sz w:val="18"/>
          <w:szCs w:val="18"/>
          <w:u w:val="single"/>
        </w:rPr>
        <w:t>Similarly, Latino children tend to have lower reading and math scores</w:t>
      </w:r>
      <w:r w:rsidRPr="00805F26">
        <w:rPr>
          <w:rFonts w:ascii="Verdana" w:hAnsi="Verdana"/>
          <w:sz w:val="18"/>
          <w:szCs w:val="18"/>
        </w:rPr>
        <w:t xml:space="preserve"> </w:t>
      </w:r>
      <w:r w:rsidRPr="00805F26">
        <w:rPr>
          <w:sz w:val="16"/>
          <w:szCs w:val="16"/>
        </w:rPr>
        <w:t>when entering kindergarten, and these differences persist through at least fifth grade (Reardon &amp; Galindo, 2009).</w:t>
      </w:r>
      <w:r w:rsidRPr="00805F26">
        <w:rPr>
          <w:rFonts w:ascii="Verdana" w:hAnsi="Verdana"/>
          <w:sz w:val="16"/>
          <w:szCs w:val="16"/>
        </w:rPr>
        <w:t xml:space="preserve"> </w:t>
      </w:r>
      <w:r w:rsidRPr="00805F26">
        <w:rPr>
          <w:rFonts w:ascii="Verdana" w:hAnsi="Verdana"/>
          <w:b/>
          <w:sz w:val="18"/>
          <w:szCs w:val="18"/>
          <w:u w:val="single"/>
        </w:rPr>
        <w:t>These differences are also found in levels of academic attainment. Among 25- to 29-year-olds</w:t>
      </w:r>
      <w:r w:rsidRPr="00805F26">
        <w:rPr>
          <w:rFonts w:ascii="Verdana" w:hAnsi="Verdana"/>
          <w:sz w:val="16"/>
          <w:szCs w:val="16"/>
        </w:rPr>
        <w:t xml:space="preserve"> </w:t>
      </w:r>
      <w:r w:rsidRPr="00805F26">
        <w:rPr>
          <w:sz w:val="16"/>
          <w:szCs w:val="16"/>
        </w:rPr>
        <w:t xml:space="preserve">in 2011, the percentage of Blacks (88%) and Latinos (71%) who had completed high school was lower than the percentage of Whites (94%) and Asians (95%; Snyder &amp; Dillow, 2012). </w:t>
      </w:r>
      <w:r w:rsidRPr="00805F26">
        <w:rPr>
          <w:rFonts w:ascii="Verdana" w:hAnsi="Verdana"/>
          <w:b/>
          <w:sz w:val="18"/>
          <w:szCs w:val="18"/>
          <w:u w:val="single"/>
        </w:rPr>
        <w:t>Socioeconomic achievement gaps refer to differences in performance found between children from families with higher versus lower SES circumstances, typically defined in this literature according to parental occupation, education, and/or income levels</w:t>
      </w:r>
      <w:r w:rsidRPr="00805F26">
        <w:rPr>
          <w:rFonts w:ascii="Verdana" w:hAnsi="Verdana"/>
          <w:sz w:val="18"/>
          <w:szCs w:val="18"/>
        </w:rPr>
        <w:t xml:space="preserve"> </w:t>
      </w:r>
      <w:r w:rsidRPr="00805F26">
        <w:rPr>
          <w:sz w:val="16"/>
          <w:szCs w:val="16"/>
        </w:rPr>
        <w:t>(Sirin, 2005). For example, students from lower SES backgrounds (e.g., lower family income and parental educational attainment) tend to have lower reading, math, and science scores compared with students from higher SES backgrounds (Reardon, 2011; Sirin, 2005). Further, in 2009, children who attended high-poverty schools (as defined by the percentage of students enrolled in free or reduced-price lunch) had lower National Assessment of Educational Progress math and reading scores and reading achievement levels compared with students who attended low-poverty schools (Aud et al., 2010).</w:t>
      </w:r>
      <w:r w:rsidRPr="00805F26">
        <w:rPr>
          <w:rFonts w:ascii="Verdana" w:hAnsi="Verdana"/>
          <w:sz w:val="16"/>
          <w:szCs w:val="16"/>
        </w:rPr>
        <w:t xml:space="preserve"> </w:t>
      </w:r>
      <w:r w:rsidRPr="00805F26">
        <w:rPr>
          <w:rFonts w:ascii="Verdana" w:hAnsi="Verdana"/>
          <w:b/>
          <w:sz w:val="18"/>
          <w:szCs w:val="18"/>
          <w:u w:val="single"/>
        </w:rPr>
        <w:t>SES is a robust predictor of educational outcomes</w:t>
      </w:r>
      <w:r w:rsidRPr="00805F26">
        <w:rPr>
          <w:rFonts w:ascii="Verdana" w:hAnsi="Verdana"/>
          <w:b/>
          <w:sz w:val="16"/>
          <w:szCs w:val="16"/>
          <w:u w:val="single"/>
        </w:rPr>
        <w:t xml:space="preserve"> </w:t>
      </w:r>
      <w:r w:rsidRPr="00805F26">
        <w:rPr>
          <w:sz w:val="16"/>
          <w:szCs w:val="16"/>
        </w:rPr>
        <w:t xml:space="preserve">(e.g., Sirin, 2005), and recent research suggests that the SES-based achievement gap (the achievement gap between high-income families at the 90th percentile of the income distribution and low-income families at the 10th percentile of the income distribution) has not only widened since the mid-1970s, but is now twice as large as the Black–White achievement gap (Reardon, 2011, 2013). Specifically, on both standardized reading and math scores, the SES-based achievement gap has widened from roughly 0.9 of a standard deviation to approximately1.25 standard deviations, whereas the Black–White achievement gap has narrowed from roughly 0.9 of a standard deviation to approximately 0.75 of a standard deviation (Reardon, 2013). The Hispanic–White achievement gap in the elementary grades in standardized reading and math scores are similar to the Black–White achievement gap at 0.75 of a standard deviation (Reardon &amp; Galindo, 2009). </w:t>
      </w:r>
      <w:r w:rsidRPr="00805F26">
        <w:rPr>
          <w:rFonts w:ascii="Verdana" w:hAnsi="Verdana"/>
          <w:b/>
          <w:sz w:val="18"/>
          <w:szCs w:val="18"/>
          <w:u w:val="single"/>
        </w:rPr>
        <w:t>Disadvantaged racial/ethnic minorities such as Blacks and Hispanics are overrepresented among the lower social classes in the United States</w:t>
      </w:r>
      <w:r w:rsidRPr="00805F26">
        <w:rPr>
          <w:rFonts w:ascii="Verdana" w:hAnsi="Verdana"/>
          <w:sz w:val="16"/>
          <w:szCs w:val="16"/>
        </w:rPr>
        <w:t xml:space="preserve"> (Costello, Keeler,&amp;Angold,2001;Ratcliffe&amp;McKernan,2010),</w:t>
      </w:r>
      <w:r w:rsidRPr="00805F26">
        <w:rPr>
          <w:rFonts w:ascii="Verdana" w:hAnsi="Verdana"/>
          <w:b/>
          <w:sz w:val="18"/>
          <w:szCs w:val="18"/>
          <w:u w:val="single"/>
        </w:rPr>
        <w:t>and in high-poverty schools</w:t>
      </w:r>
      <w:r w:rsidRPr="00805F26">
        <w:rPr>
          <w:rFonts w:ascii="Verdana" w:hAnsi="Verdana"/>
          <w:sz w:val="16"/>
          <w:szCs w:val="16"/>
        </w:rPr>
        <w:t xml:space="preserve"> (Aud et al., 2010), </w:t>
      </w:r>
      <w:r w:rsidRPr="00805F26">
        <w:rPr>
          <w:rFonts w:ascii="Verdana" w:hAnsi="Verdana"/>
          <w:b/>
          <w:sz w:val="18"/>
          <w:szCs w:val="18"/>
          <w:u w:val="single"/>
        </w:rPr>
        <w:t>which might lead scholars to conclude that SES largely drives differences between disadvantaged racial/ethnic minorities and Whites.</w:t>
      </w:r>
      <w:r w:rsidRPr="00805F26">
        <w:rPr>
          <w:rFonts w:ascii="Verdana" w:hAnsi="Verdana"/>
          <w:sz w:val="16"/>
          <w:szCs w:val="16"/>
        </w:rPr>
        <w:t xml:space="preserve"> </w:t>
      </w:r>
      <w:r w:rsidRPr="00805F26">
        <w:rPr>
          <w:sz w:val="16"/>
          <w:szCs w:val="16"/>
        </w:rPr>
        <w:t>Racial/ethnic disparities in educational achievement and attainment,</w:t>
      </w:r>
      <w:r w:rsidRPr="00805F26">
        <w:rPr>
          <w:rFonts w:ascii="Verdana" w:hAnsi="Verdana"/>
          <w:sz w:val="16"/>
          <w:szCs w:val="16"/>
        </w:rPr>
        <w:t xml:space="preserve"> </w:t>
      </w:r>
      <w:r w:rsidRPr="00805F26">
        <w:rPr>
          <w:rFonts w:ascii="Verdana" w:hAnsi="Verdana"/>
          <w:b/>
          <w:sz w:val="18"/>
          <w:szCs w:val="18"/>
          <w:u w:val="single"/>
        </w:rPr>
        <w:t>however, persist beyond the effects of SES</w:t>
      </w:r>
      <w:r w:rsidRPr="00805F26">
        <w:rPr>
          <w:rFonts w:ascii="Verdana" w:hAnsi="Verdana"/>
          <w:sz w:val="16"/>
          <w:szCs w:val="16"/>
        </w:rPr>
        <w:t xml:space="preserve"> </w:t>
      </w:r>
      <w:r w:rsidRPr="00805F26">
        <w:rPr>
          <w:sz w:val="16"/>
          <w:szCs w:val="16"/>
        </w:rPr>
        <w:t>(American Psychological Association [APA] Presidential Task Force on Educational Disparities, 2012)—</w:t>
      </w:r>
      <w:r w:rsidRPr="00805F26">
        <w:rPr>
          <w:rFonts w:ascii="Verdana" w:hAnsi="Verdana"/>
          <w:b/>
          <w:sz w:val="18"/>
          <w:szCs w:val="18"/>
          <w:u w:val="single"/>
        </w:rPr>
        <w:t>that is, social class does not fully account for the racial/ethnic achievement gap</w:t>
      </w:r>
      <w:r w:rsidRPr="00805F26">
        <w:rPr>
          <w:rFonts w:ascii="Verdana" w:hAnsi="Verdana"/>
          <w:b/>
          <w:sz w:val="16"/>
          <w:szCs w:val="16"/>
          <w:u w:val="single"/>
        </w:rPr>
        <w:t xml:space="preserve"> </w:t>
      </w:r>
      <w:r w:rsidRPr="00805F26">
        <w:rPr>
          <w:sz w:val="16"/>
          <w:szCs w:val="16"/>
        </w:rPr>
        <w:t xml:space="preserve">(Hedges &amp; Nowell, 1999; Magnuson &amp; Duncan, 2006; Sirin, 2005). </w:t>
      </w:r>
      <w:r w:rsidRPr="00805F26">
        <w:rPr>
          <w:rFonts w:ascii="Verdana" w:hAnsi="Verdana"/>
          <w:b/>
          <w:sz w:val="18"/>
          <w:szCs w:val="18"/>
          <w:u w:val="single"/>
        </w:rPr>
        <w:t>Moreover, racial/ethnic minorities have poorer academic achievement at every level of income, with disparities observed even at higher levels of SES</w:t>
      </w:r>
      <w:r w:rsidRPr="00805F26">
        <w:rPr>
          <w:rFonts w:ascii="Verdana" w:hAnsi="Verdana"/>
          <w:sz w:val="16"/>
          <w:szCs w:val="16"/>
        </w:rPr>
        <w:t xml:space="preserve"> (Williams, 1999), </w:t>
      </w:r>
      <w:r w:rsidRPr="00805F26">
        <w:rPr>
          <w:rFonts w:ascii="Verdana" w:hAnsi="Verdana"/>
          <w:b/>
          <w:sz w:val="18"/>
          <w:szCs w:val="18"/>
          <w:u w:val="single"/>
        </w:rPr>
        <w:t>and racial gaps in some academic outcomes</w:t>
      </w:r>
      <w:r w:rsidRPr="00805F26">
        <w:rPr>
          <w:rFonts w:ascii="Verdana" w:hAnsi="Verdana"/>
          <w:sz w:val="16"/>
          <w:szCs w:val="16"/>
        </w:rPr>
        <w:t xml:space="preserve"> </w:t>
      </w:r>
      <w:r w:rsidRPr="00805F26">
        <w:rPr>
          <w:sz w:val="16"/>
          <w:szCs w:val="16"/>
        </w:rPr>
        <w:t>(e.g., reading and math)</w:t>
      </w:r>
      <w:r w:rsidRPr="00805F26">
        <w:rPr>
          <w:rFonts w:ascii="Verdana" w:hAnsi="Verdana"/>
          <w:sz w:val="16"/>
          <w:szCs w:val="16"/>
        </w:rPr>
        <w:t xml:space="preserve"> </w:t>
      </w:r>
      <w:r w:rsidRPr="00805F26">
        <w:rPr>
          <w:rFonts w:ascii="Verdana" w:hAnsi="Verdana"/>
          <w:b/>
          <w:sz w:val="18"/>
          <w:szCs w:val="18"/>
          <w:u w:val="single"/>
        </w:rPr>
        <w:t>have</w:t>
      </w:r>
      <w:r w:rsidRPr="00805F26">
        <w:rPr>
          <w:rFonts w:ascii="Verdana" w:hAnsi="Verdana"/>
          <w:b/>
          <w:sz w:val="16"/>
          <w:szCs w:val="16"/>
          <w:u w:val="single"/>
        </w:rPr>
        <w:t xml:space="preserve"> </w:t>
      </w:r>
      <w:r w:rsidRPr="00805F26">
        <w:rPr>
          <w:rFonts w:ascii="Verdana" w:hAnsi="Verdana"/>
          <w:sz w:val="16"/>
          <w:szCs w:val="16"/>
        </w:rPr>
        <w:t xml:space="preserve">remained stable or </w:t>
      </w:r>
      <w:r w:rsidRPr="00805F26">
        <w:rPr>
          <w:rFonts w:ascii="Verdana" w:hAnsi="Verdana"/>
          <w:b/>
          <w:sz w:val="18"/>
          <w:szCs w:val="18"/>
          <w:u w:val="single"/>
        </w:rPr>
        <w:t>even widened</w:t>
      </w:r>
      <w:r w:rsidRPr="00805F26">
        <w:rPr>
          <w:rFonts w:ascii="Verdana" w:hAnsi="Verdana"/>
          <w:sz w:val="16"/>
          <w:szCs w:val="16"/>
        </w:rPr>
        <w:t xml:space="preserve"> </w:t>
      </w:r>
      <w:r w:rsidRPr="00805F26">
        <w:rPr>
          <w:sz w:val="16"/>
          <w:szCs w:val="16"/>
        </w:rPr>
        <w:t>since the early 1990s (Kao &amp; Thompson, 2003; Neal, 2006).</w:t>
      </w:r>
      <w:r w:rsidRPr="00805F26">
        <w:rPr>
          <w:rFonts w:ascii="Verdana" w:hAnsi="Verdana"/>
          <w:sz w:val="16"/>
          <w:szCs w:val="16"/>
        </w:rPr>
        <w:t xml:space="preserve"> </w:t>
      </w:r>
      <w:r w:rsidRPr="00805F26">
        <w:rPr>
          <w:rFonts w:ascii="Verdana" w:hAnsi="Verdana"/>
          <w:b/>
          <w:sz w:val="16"/>
          <w:szCs w:val="16"/>
          <w:u w:val="single"/>
        </w:rPr>
        <w:t>Taken together,</w:t>
      </w:r>
      <w:r w:rsidRPr="00805F26">
        <w:rPr>
          <w:rFonts w:ascii="Verdana" w:hAnsi="Verdana"/>
          <w:sz w:val="16"/>
          <w:szCs w:val="16"/>
        </w:rPr>
        <w:t xml:space="preserve"> </w:t>
      </w:r>
      <w:r w:rsidRPr="00805F26">
        <w:rPr>
          <w:sz w:val="16"/>
          <w:szCs w:val="16"/>
        </w:rPr>
        <w:t>this work suggests that</w:t>
      </w:r>
      <w:r w:rsidRPr="00805F26">
        <w:rPr>
          <w:rFonts w:ascii="Verdana" w:hAnsi="Verdana"/>
          <w:sz w:val="16"/>
          <w:szCs w:val="16"/>
        </w:rPr>
        <w:t xml:space="preserve"> </w:t>
      </w:r>
      <w:r w:rsidRPr="00805F26">
        <w:rPr>
          <w:rFonts w:ascii="Verdana" w:hAnsi="Verdana"/>
          <w:b/>
          <w:sz w:val="16"/>
          <w:szCs w:val="16"/>
          <w:u w:val="single"/>
        </w:rPr>
        <w:t>unique facets associated with race-based social experiences, that cannot be attributed to SES, contribute to racial/ethnic disparities in educational achievement and attainment. We suggest that race-based social stress may be one such factor.</w:t>
      </w:r>
      <w:r>
        <w:rPr>
          <w:rFonts w:ascii="Verdana" w:hAnsi="Verdana"/>
          <w:b/>
          <w:sz w:val="16"/>
          <w:szCs w:val="16"/>
          <w:u w:val="single"/>
        </w:rPr>
        <w:t xml:space="preserve"> </w:t>
      </w:r>
      <w:r w:rsidRPr="00D51FBE">
        <w:rPr>
          <w:rFonts w:ascii="Verdana" w:hAnsi="Verdana"/>
          <w:b/>
          <w:sz w:val="18"/>
          <w:szCs w:val="18"/>
          <w:u w:val="single"/>
        </w:rPr>
        <w:t xml:space="preserve">Complementing the extant research on structural factors that influence racial/ethnic achievement gaps </w:t>
      </w:r>
      <w:r w:rsidRPr="00C87916">
        <w:rPr>
          <w:sz w:val="16"/>
          <w:szCs w:val="16"/>
        </w:rPr>
        <w:t xml:space="preserve">(e.g., Wiggan, 2007), recent work has considered </w:t>
      </w:r>
      <w:r w:rsidRPr="00DE0A63">
        <w:rPr>
          <w:rFonts w:ascii="Verdana" w:hAnsi="Verdana"/>
          <w:b/>
          <w:sz w:val="18"/>
          <w:szCs w:val="18"/>
          <w:u w:val="single"/>
        </w:rPr>
        <w:t>individual/psychological pathways</w:t>
      </w:r>
      <w:r w:rsidRPr="00D51FBE">
        <w:rPr>
          <w:rFonts w:ascii="Verdana" w:hAnsi="Verdana"/>
          <w:sz w:val="16"/>
          <w:szCs w:val="16"/>
        </w:rPr>
        <w:t xml:space="preserve"> that </w:t>
      </w:r>
      <w:r w:rsidRPr="00DE0A63">
        <w:rPr>
          <w:rFonts w:ascii="Verdana" w:hAnsi="Verdana"/>
          <w:b/>
          <w:sz w:val="18"/>
          <w:szCs w:val="18"/>
          <w:u w:val="single"/>
        </w:rPr>
        <w:t>shape minority students’ academic achievement.</w:t>
      </w:r>
      <w:r w:rsidRPr="00D51FBE">
        <w:rPr>
          <w:rFonts w:ascii="Verdana" w:hAnsi="Verdana"/>
          <w:sz w:val="16"/>
          <w:szCs w:val="16"/>
        </w:rPr>
        <w:t xml:space="preserve"> A growing body of </w:t>
      </w:r>
      <w:r w:rsidRPr="00DE0A63">
        <w:rPr>
          <w:rFonts w:ascii="Verdana" w:hAnsi="Verdana"/>
          <w:b/>
          <w:sz w:val="16"/>
          <w:szCs w:val="16"/>
          <w:u w:val="single"/>
        </w:rPr>
        <w:t>research has linked race-based stressors such as perceived discrimination and stereotype threat to racial/ethnic disparities in educational achievement and attainment</w:t>
      </w:r>
      <w:r w:rsidRPr="00D51FBE">
        <w:rPr>
          <w:rFonts w:ascii="Verdana" w:hAnsi="Verdana"/>
          <w:sz w:val="16"/>
          <w:szCs w:val="16"/>
        </w:rPr>
        <w:t xml:space="preserve"> </w:t>
      </w:r>
      <w:r w:rsidRPr="00C87916">
        <w:rPr>
          <w:sz w:val="16"/>
          <w:szCs w:val="16"/>
        </w:rPr>
        <w:t>(see Stressors and Resourcesbox,left-handsideofFigure1;Steele, 2010; Steele, Spencer, &amp; Aronson, 2002; Taylor, Casten, Flickinger, Roberts, &amp; Fulmore, 1994). Although we are focusing on these two sources of race-based stress in particular, because of their growing evidence base, other sources of</w:t>
      </w:r>
      <w:r w:rsidRPr="00D51FBE">
        <w:rPr>
          <w:rFonts w:ascii="Verdana" w:hAnsi="Verdana"/>
          <w:sz w:val="16"/>
          <w:szCs w:val="16"/>
        </w:rPr>
        <w:t xml:space="preserve"> </w:t>
      </w:r>
      <w:r w:rsidRPr="00DE0A63">
        <w:rPr>
          <w:rFonts w:ascii="Verdana" w:hAnsi="Verdana"/>
          <w:b/>
          <w:sz w:val="18"/>
          <w:szCs w:val="18"/>
          <w:u w:val="single"/>
        </w:rPr>
        <w:t>race related stress, such as awareness of systemic, symbolic, collective, and individual racial prejudice, as well as shock, fear, and mourning in response to racially motivated violence,</w:t>
      </w:r>
      <w:r w:rsidRPr="00D51FBE">
        <w:rPr>
          <w:rFonts w:ascii="Verdana" w:hAnsi="Verdana"/>
          <w:sz w:val="16"/>
          <w:szCs w:val="16"/>
        </w:rPr>
        <w:t xml:space="preserve"> should </w:t>
      </w:r>
      <w:r w:rsidRPr="00DE0A63">
        <w:rPr>
          <w:rFonts w:ascii="Verdana" w:hAnsi="Verdana"/>
          <w:b/>
          <w:sz w:val="18"/>
          <w:szCs w:val="18"/>
          <w:u w:val="single"/>
        </w:rPr>
        <w:t>set in motion</w:t>
      </w:r>
      <w:r w:rsidRPr="00D51FBE">
        <w:rPr>
          <w:rFonts w:ascii="Verdana" w:hAnsi="Verdana"/>
          <w:sz w:val="16"/>
          <w:szCs w:val="16"/>
        </w:rPr>
        <w:t xml:space="preserve"> </w:t>
      </w:r>
      <w:r w:rsidRPr="00C87916">
        <w:rPr>
          <w:sz w:val="16"/>
          <w:szCs w:val="16"/>
        </w:rPr>
        <w:t>similar biological and psychological coping responses. In the following sections, we highlight evidence that demonstrates the</w:t>
      </w:r>
      <w:r w:rsidRPr="00D51FBE">
        <w:rPr>
          <w:rFonts w:ascii="Verdana" w:hAnsi="Verdana"/>
          <w:sz w:val="16"/>
          <w:szCs w:val="16"/>
        </w:rPr>
        <w:t xml:space="preserve"> </w:t>
      </w:r>
      <w:r w:rsidRPr="00DE0A63">
        <w:rPr>
          <w:rFonts w:ascii="Verdana" w:hAnsi="Verdana"/>
          <w:b/>
          <w:sz w:val="18"/>
          <w:szCs w:val="18"/>
          <w:u w:val="single"/>
        </w:rPr>
        <w:t>detrimental effects of race-based stress on educational outcomes.</w:t>
      </w:r>
    </w:p>
    <w:p w14:paraId="275AE7BF" w14:textId="77777777" w:rsidR="00A25C54" w:rsidRDefault="00A25C54" w:rsidP="00A25C54">
      <w:pPr>
        <w:rPr>
          <w:rFonts w:ascii="Verdana" w:hAnsi="Verdana"/>
          <w:szCs w:val="20"/>
        </w:rPr>
      </w:pPr>
    </w:p>
    <w:p w14:paraId="65794248" w14:textId="77777777" w:rsidR="00A25C54" w:rsidRDefault="00A25C54" w:rsidP="00A25C54">
      <w:pPr>
        <w:rPr>
          <w:rFonts w:ascii="Verdana" w:hAnsi="Verdana"/>
          <w:szCs w:val="20"/>
        </w:rPr>
      </w:pPr>
    </w:p>
    <w:p w14:paraId="77F0B153" w14:textId="77777777" w:rsidR="00A25C54" w:rsidRDefault="00A25C54" w:rsidP="00A25C54">
      <w:pPr>
        <w:rPr>
          <w:rFonts w:ascii="Verdana" w:hAnsi="Verdana"/>
          <w:szCs w:val="20"/>
        </w:rPr>
      </w:pPr>
    </w:p>
    <w:p w14:paraId="67CFAFF1" w14:textId="77777777" w:rsidR="00A25C54" w:rsidRDefault="00A25C54" w:rsidP="00A25C54">
      <w:pPr>
        <w:rPr>
          <w:rFonts w:ascii="Verdana" w:hAnsi="Verdana"/>
          <w:szCs w:val="20"/>
        </w:rPr>
      </w:pPr>
    </w:p>
    <w:p w14:paraId="259D94E2" w14:textId="77777777" w:rsidR="00A25C54" w:rsidRDefault="00A25C54" w:rsidP="00A25C54">
      <w:pPr>
        <w:rPr>
          <w:rFonts w:ascii="Verdana" w:hAnsi="Verdana"/>
          <w:szCs w:val="20"/>
        </w:rPr>
      </w:pPr>
    </w:p>
    <w:p w14:paraId="29655DE5" w14:textId="77777777" w:rsidR="00A25C54" w:rsidRDefault="00A25C54" w:rsidP="00A25C54">
      <w:pPr>
        <w:rPr>
          <w:rFonts w:ascii="Verdana" w:hAnsi="Verdana"/>
          <w:szCs w:val="20"/>
        </w:rPr>
      </w:pPr>
    </w:p>
    <w:p w14:paraId="30CFF215" w14:textId="77777777" w:rsidR="00A25C54" w:rsidRDefault="00A25C54" w:rsidP="00A25C54">
      <w:pPr>
        <w:rPr>
          <w:rFonts w:ascii="Verdana" w:hAnsi="Verdana"/>
          <w:szCs w:val="20"/>
        </w:rPr>
      </w:pPr>
    </w:p>
    <w:p w14:paraId="3486EBF1" w14:textId="77777777" w:rsidR="00A25C54" w:rsidRDefault="00A25C54" w:rsidP="00A25C54">
      <w:pPr>
        <w:rPr>
          <w:rFonts w:ascii="Verdana" w:hAnsi="Verdana"/>
          <w:szCs w:val="20"/>
        </w:rPr>
      </w:pPr>
    </w:p>
    <w:p w14:paraId="37164E00" w14:textId="77777777" w:rsidR="00A25C54" w:rsidRDefault="00A25C54" w:rsidP="00A25C54">
      <w:pPr>
        <w:rPr>
          <w:rFonts w:ascii="Verdana" w:hAnsi="Verdana"/>
          <w:szCs w:val="20"/>
        </w:rPr>
      </w:pPr>
    </w:p>
    <w:p w14:paraId="6DBB1A7B" w14:textId="77777777" w:rsidR="00A25C54" w:rsidRDefault="00A25C54" w:rsidP="00A25C54">
      <w:pPr>
        <w:rPr>
          <w:rFonts w:ascii="Verdana" w:hAnsi="Verdana"/>
          <w:szCs w:val="20"/>
        </w:rPr>
      </w:pPr>
    </w:p>
    <w:p w14:paraId="3DF3E1A3" w14:textId="77777777" w:rsidR="00A25C54" w:rsidRDefault="00A25C54" w:rsidP="00A25C54">
      <w:pPr>
        <w:rPr>
          <w:rFonts w:ascii="Verdana" w:hAnsi="Verdana"/>
          <w:szCs w:val="20"/>
        </w:rPr>
      </w:pPr>
    </w:p>
    <w:p w14:paraId="5023F4EB" w14:textId="77777777" w:rsidR="00A25C54" w:rsidRDefault="00A25C54" w:rsidP="00A25C54">
      <w:pPr>
        <w:rPr>
          <w:rFonts w:ascii="Verdana" w:hAnsi="Verdana"/>
          <w:szCs w:val="20"/>
        </w:rPr>
      </w:pPr>
    </w:p>
    <w:p w14:paraId="0E77B8E3" w14:textId="77777777" w:rsidR="00A25C54" w:rsidRDefault="00A25C54" w:rsidP="00A25C54">
      <w:pPr>
        <w:rPr>
          <w:rFonts w:ascii="Verdana" w:hAnsi="Verdana"/>
          <w:szCs w:val="20"/>
        </w:rPr>
      </w:pPr>
    </w:p>
    <w:p w14:paraId="21FC83F4" w14:textId="77777777" w:rsidR="00A25C54" w:rsidRDefault="00A25C54" w:rsidP="00A25C54">
      <w:pPr>
        <w:rPr>
          <w:rFonts w:ascii="Verdana" w:hAnsi="Verdana"/>
          <w:szCs w:val="20"/>
        </w:rPr>
      </w:pPr>
    </w:p>
    <w:p w14:paraId="6F5EF6EA" w14:textId="77777777" w:rsidR="00A25C54" w:rsidRDefault="00A25C54" w:rsidP="00A25C54">
      <w:pPr>
        <w:rPr>
          <w:rFonts w:ascii="Verdana" w:hAnsi="Verdana"/>
          <w:szCs w:val="20"/>
        </w:rPr>
      </w:pPr>
    </w:p>
    <w:p w14:paraId="29334F98" w14:textId="77777777" w:rsidR="00A25C54" w:rsidRDefault="00A25C54" w:rsidP="00A25C54">
      <w:pPr>
        <w:rPr>
          <w:rFonts w:ascii="Verdana" w:hAnsi="Verdana"/>
          <w:szCs w:val="20"/>
        </w:rPr>
      </w:pPr>
    </w:p>
    <w:p w14:paraId="308132F1" w14:textId="77777777" w:rsidR="00A25C54" w:rsidRDefault="00A25C54" w:rsidP="00A25C54">
      <w:pPr>
        <w:rPr>
          <w:rFonts w:ascii="Verdana" w:hAnsi="Verdana"/>
          <w:szCs w:val="20"/>
        </w:rPr>
      </w:pPr>
    </w:p>
    <w:p w14:paraId="678C0E48" w14:textId="77777777" w:rsidR="00A25C54" w:rsidRDefault="00A25C54" w:rsidP="00A25C54">
      <w:pPr>
        <w:rPr>
          <w:rFonts w:ascii="Verdana" w:hAnsi="Verdana"/>
          <w:szCs w:val="20"/>
        </w:rPr>
      </w:pPr>
    </w:p>
    <w:p w14:paraId="030CCBFB" w14:textId="77777777" w:rsidR="00A25C54" w:rsidRDefault="00A25C54" w:rsidP="00A25C54">
      <w:pPr>
        <w:rPr>
          <w:rFonts w:ascii="Verdana" w:hAnsi="Verdana"/>
          <w:szCs w:val="20"/>
        </w:rPr>
      </w:pPr>
    </w:p>
    <w:p w14:paraId="1CFA1E46" w14:textId="77777777" w:rsidR="00A25C54" w:rsidRDefault="00A25C54" w:rsidP="00A25C54">
      <w:pPr>
        <w:rPr>
          <w:rFonts w:ascii="Verdana" w:hAnsi="Verdana"/>
          <w:szCs w:val="20"/>
        </w:rPr>
      </w:pPr>
    </w:p>
    <w:p w14:paraId="42681EDA" w14:textId="77777777" w:rsidR="00A25C54" w:rsidRDefault="00A25C54" w:rsidP="00A25C54">
      <w:pPr>
        <w:rPr>
          <w:rFonts w:ascii="Verdana" w:hAnsi="Verdana"/>
          <w:szCs w:val="20"/>
        </w:rPr>
      </w:pPr>
    </w:p>
    <w:p w14:paraId="2F745D40" w14:textId="77777777" w:rsidR="00A25C54" w:rsidRDefault="00A25C54" w:rsidP="00A25C54">
      <w:pPr>
        <w:rPr>
          <w:rFonts w:ascii="Verdana" w:hAnsi="Verdana"/>
          <w:szCs w:val="20"/>
        </w:rPr>
      </w:pPr>
      <w:r>
        <w:rPr>
          <w:rFonts w:ascii="Verdana" w:hAnsi="Verdana"/>
          <w:szCs w:val="20"/>
        </w:rPr>
        <w:t xml:space="preserve">PERM DO THE AFF THEN THE K </w:t>
      </w:r>
    </w:p>
    <w:p w14:paraId="1E2A21BD" w14:textId="77777777" w:rsidR="00A25C54" w:rsidRPr="00FE2D95" w:rsidRDefault="00A25C54" w:rsidP="00A25C54">
      <w:pPr>
        <w:rPr>
          <w:rFonts w:ascii="Verdana" w:hAnsi="Verdana"/>
          <w:szCs w:val="20"/>
        </w:rPr>
      </w:pPr>
      <w:r>
        <w:rPr>
          <w:rFonts w:ascii="Verdana" w:hAnsi="Verdana"/>
          <w:szCs w:val="20"/>
        </w:rPr>
        <w:t>The alt fails absent the affirmative default to the permutation. Being a racial minority and having a lower social economic status creates a “double disadvantage” for members of this category. No movements can be successful without those at the bottom.</w:t>
      </w:r>
    </w:p>
    <w:p w14:paraId="515D200F" w14:textId="77777777" w:rsidR="00A25C54" w:rsidRDefault="00A25C54" w:rsidP="00A25C54">
      <w:pPr>
        <w:rPr>
          <w:sz w:val="16"/>
          <w:szCs w:val="16"/>
        </w:rPr>
      </w:pPr>
      <w:r>
        <w:rPr>
          <w:rFonts w:ascii="Verdana" w:hAnsi="Verdana"/>
          <w:b/>
          <w:sz w:val="24"/>
          <w:szCs w:val="24"/>
        </w:rPr>
        <w:t xml:space="preserve">LEVY </w:t>
      </w:r>
      <w:r>
        <w:rPr>
          <w:rFonts w:ascii="Verdana" w:hAnsi="Verdana"/>
          <w:b/>
          <w:sz w:val="16"/>
          <w:szCs w:val="16"/>
        </w:rPr>
        <w:t>Et Al</w:t>
      </w:r>
      <w:r>
        <w:rPr>
          <w:rFonts w:ascii="Verdana" w:hAnsi="Verdana"/>
          <w:b/>
          <w:sz w:val="24"/>
          <w:szCs w:val="24"/>
        </w:rPr>
        <w:t xml:space="preserve"> </w:t>
      </w:r>
      <w:r>
        <w:rPr>
          <w:rFonts w:ascii="Verdana" w:hAnsi="Verdana"/>
          <w:b/>
          <w:sz w:val="16"/>
          <w:szCs w:val="16"/>
        </w:rPr>
        <w:t xml:space="preserve">Professor of Psychology @ Northwestern University </w:t>
      </w:r>
      <w:r>
        <w:rPr>
          <w:rFonts w:ascii="Verdana" w:hAnsi="Verdana"/>
          <w:b/>
          <w:sz w:val="24"/>
          <w:szCs w:val="24"/>
        </w:rPr>
        <w:t xml:space="preserve">2k16                                     </w:t>
      </w:r>
      <w:r>
        <w:rPr>
          <w:sz w:val="16"/>
          <w:szCs w:val="16"/>
        </w:rPr>
        <w:t>Dorainne J.”</w:t>
      </w:r>
      <w:r>
        <w:t xml:space="preserve"> </w:t>
      </w:r>
      <w:r>
        <w:rPr>
          <w:sz w:val="16"/>
          <w:szCs w:val="16"/>
        </w:rPr>
        <w:t>Psychological and Biological Responses to Race-Based Social Stress as Pathways to Disparities in Educational Outcomes” American Psychologist © 2016 American Psychological Association 2016, Vol. 71, No. 6, 455–473</w:t>
      </w:r>
    </w:p>
    <w:p w14:paraId="7CA3B577" w14:textId="77777777" w:rsidR="00A25C54" w:rsidRDefault="00A25C54" w:rsidP="00A25C54">
      <w:pPr>
        <w:rPr>
          <w:sz w:val="16"/>
          <w:szCs w:val="16"/>
        </w:rPr>
      </w:pPr>
      <w:r w:rsidRPr="00FE2D95">
        <w:rPr>
          <w:rFonts w:ascii="Verdana" w:hAnsi="Verdana"/>
          <w:b/>
          <w:sz w:val="18"/>
          <w:szCs w:val="18"/>
          <w:u w:val="single"/>
        </w:rPr>
        <w:t>The presence of additional stressors, such as those correlated with low SES,</w:t>
      </w:r>
      <w:r w:rsidRPr="00FE2D95">
        <w:rPr>
          <w:sz w:val="16"/>
          <w:szCs w:val="16"/>
        </w:rPr>
        <w:t xml:space="preserve"> are likely to increase the overall levels of stress individuals face and may </w:t>
      </w:r>
      <w:r w:rsidRPr="00FE2D95">
        <w:rPr>
          <w:rFonts w:ascii="Verdana" w:hAnsi="Verdana"/>
          <w:b/>
          <w:sz w:val="18"/>
          <w:szCs w:val="18"/>
          <w:u w:val="single"/>
        </w:rPr>
        <w:t>exacerbate the effects of race-based social stressors</w:t>
      </w:r>
      <w:r w:rsidRPr="00FE2D95">
        <w:rPr>
          <w:sz w:val="16"/>
          <w:szCs w:val="16"/>
        </w:rPr>
        <w:t xml:space="preserve"> (e.g., Myers, 2009). </w:t>
      </w:r>
      <w:r w:rsidRPr="00FE2D95">
        <w:rPr>
          <w:rFonts w:ascii="Verdana" w:hAnsi="Verdana"/>
          <w:b/>
          <w:sz w:val="18"/>
          <w:szCs w:val="18"/>
          <w:u w:val="single"/>
        </w:rPr>
        <w:t>Increased exposure to neighborhood stress,</w:t>
      </w:r>
      <w:r w:rsidRPr="00FE2D95">
        <w:rPr>
          <w:sz w:val="16"/>
          <w:szCs w:val="16"/>
        </w:rPr>
        <w:t xml:space="preserve"> such as </w:t>
      </w:r>
      <w:r w:rsidRPr="00FE2D95">
        <w:rPr>
          <w:rFonts w:ascii="Verdana" w:hAnsi="Verdana"/>
          <w:b/>
          <w:sz w:val="18"/>
          <w:szCs w:val="18"/>
          <w:u w:val="single"/>
        </w:rPr>
        <w:t>exposure to violence, pollution, and toxins, and disturbances</w:t>
      </w:r>
      <w:r w:rsidRPr="00FE2D95">
        <w:rPr>
          <w:sz w:val="16"/>
          <w:szCs w:val="16"/>
        </w:rPr>
        <w:t xml:space="preserve"> by neighbors (Ewart &amp; Suchday, 2002; Steptoe &amp; Feldman, 2001), in addition to daily life stressors, such as </w:t>
      </w:r>
      <w:r w:rsidRPr="00FE2D95">
        <w:rPr>
          <w:rFonts w:ascii="Verdana" w:hAnsi="Verdana"/>
          <w:b/>
          <w:sz w:val="18"/>
          <w:szCs w:val="18"/>
          <w:u w:val="single"/>
        </w:rPr>
        <w:t>higher levels of financial strain and associated increases in family conflict,</w:t>
      </w:r>
      <w:r w:rsidRPr="00FE2D95">
        <w:rPr>
          <w:rFonts w:ascii="Verdana" w:hAnsi="Verdana"/>
          <w:sz w:val="18"/>
          <w:szCs w:val="18"/>
        </w:rPr>
        <w:t xml:space="preserve"> may </w:t>
      </w:r>
      <w:r w:rsidRPr="00FE2D95">
        <w:rPr>
          <w:rFonts w:ascii="Verdana" w:hAnsi="Verdana"/>
          <w:b/>
          <w:sz w:val="18"/>
          <w:szCs w:val="18"/>
          <w:u w:val="single"/>
        </w:rPr>
        <w:t>combine additively or synergistically with race-based stressors to influence educational outcomes</w:t>
      </w:r>
      <w:r w:rsidRPr="00FE2D95">
        <w:rPr>
          <w:sz w:val="16"/>
          <w:szCs w:val="16"/>
        </w:rPr>
        <w:t xml:space="preserve"> (see Figure 1, Stressors and Resources box, right-hand side; Myers, 2009). For instance, </w:t>
      </w:r>
      <w:r w:rsidRPr="00FE2D95">
        <w:rPr>
          <w:rFonts w:ascii="Verdana" w:hAnsi="Verdana"/>
          <w:b/>
          <w:sz w:val="18"/>
          <w:szCs w:val="18"/>
          <w:u w:val="single"/>
        </w:rPr>
        <w:t>low-SES racial/ ethnic minorities may face a “double disadvantage” by being a member of a disadvantaged racial/ethnic minority group and by living in areas of concentrated poverty</w:t>
      </w:r>
      <w:r w:rsidRPr="00FE2D95">
        <w:rPr>
          <w:sz w:val="16"/>
          <w:szCs w:val="16"/>
        </w:rPr>
        <w:t xml:space="preserve"> (Farmer &amp; Ferraro, 2005; Matthews &amp; Gallo, 2011; Shavers, 2007). </w:t>
      </w:r>
      <w:r w:rsidRPr="00FE2D95">
        <w:rPr>
          <w:rFonts w:ascii="Verdana" w:hAnsi="Verdana"/>
          <w:b/>
          <w:sz w:val="18"/>
          <w:szCs w:val="18"/>
          <w:u w:val="single"/>
        </w:rPr>
        <w:t>Specifically, in the context of academic achievement and attainment, low SES racial/ethnic minority children are more likely to attend high-minority/high-poverty schools that are more likely to be underfunded, have uncertified teachers, and have higher teacher turnover rates</w:t>
      </w:r>
      <w:r w:rsidRPr="00FE2D95">
        <w:rPr>
          <w:sz w:val="16"/>
          <w:szCs w:val="16"/>
        </w:rPr>
        <w:t xml:space="preserve"> (Arroyo, 2008; Burchinal et al., 2011; Uline &amp; Tschannen-Moran, 2008). Furthermore, </w:t>
      </w:r>
      <w:r w:rsidRPr="00FE2D95">
        <w:rPr>
          <w:rFonts w:ascii="Verdana" w:hAnsi="Verdana"/>
          <w:b/>
          <w:sz w:val="18"/>
          <w:szCs w:val="18"/>
          <w:u w:val="single"/>
        </w:rPr>
        <w:t>low-SES racial/ethnic minority youth might have trouble envisioning an academically successful future self because of a lack of successful minority group role models in low-SES contexts</w:t>
      </w:r>
      <w:r w:rsidRPr="00FE2D95">
        <w:rPr>
          <w:b/>
          <w:sz w:val="16"/>
          <w:szCs w:val="16"/>
          <w:u w:val="single"/>
        </w:rPr>
        <w:t xml:space="preserve"> </w:t>
      </w:r>
      <w:r w:rsidRPr="00FE2D95">
        <w:rPr>
          <w:sz w:val="16"/>
          <w:szCs w:val="16"/>
        </w:rPr>
        <w:t xml:space="preserve">(e.g.,Oyserman, Bybee,&amp;Terry,2006;Oyserman&amp;Destin,2010). </w:t>
      </w:r>
      <w:r w:rsidRPr="00FE2D95">
        <w:rPr>
          <w:rFonts w:ascii="Verdana" w:hAnsi="Verdana"/>
          <w:b/>
          <w:sz w:val="18"/>
          <w:szCs w:val="18"/>
          <w:u w:val="single"/>
        </w:rPr>
        <w:t>This may cause students to be less academically oriented and dedicate less time and resources to academically relevant tasks. These factors are related to underperformance and</w:t>
      </w:r>
      <w:r w:rsidRPr="00FE2D95">
        <w:rPr>
          <w:rFonts w:ascii="Verdana" w:hAnsi="Verdana"/>
          <w:sz w:val="18"/>
          <w:szCs w:val="18"/>
        </w:rPr>
        <w:t>,</w:t>
      </w:r>
      <w:r w:rsidRPr="00FE2D95">
        <w:rPr>
          <w:sz w:val="16"/>
          <w:szCs w:val="16"/>
        </w:rPr>
        <w:t xml:space="preserve"> thus, are likely to </w:t>
      </w:r>
      <w:r w:rsidRPr="00FE2D95">
        <w:rPr>
          <w:rFonts w:ascii="Verdana" w:hAnsi="Verdana"/>
          <w:b/>
          <w:sz w:val="18"/>
          <w:szCs w:val="18"/>
          <w:u w:val="single"/>
        </w:rPr>
        <w:t>contribute to the racial academic achievement gap</w:t>
      </w:r>
      <w:r w:rsidRPr="00FE2D95">
        <w:rPr>
          <w:b/>
          <w:sz w:val="16"/>
          <w:szCs w:val="16"/>
          <w:u w:val="single"/>
        </w:rPr>
        <w:t xml:space="preserve"> </w:t>
      </w:r>
      <w:r w:rsidRPr="00FE2D95">
        <w:rPr>
          <w:sz w:val="16"/>
          <w:szCs w:val="16"/>
        </w:rPr>
        <w:t>(Ronfeldt, Loeb, &amp; Wyckoff, 2013).</w:t>
      </w:r>
    </w:p>
    <w:p w14:paraId="2F758427" w14:textId="77777777" w:rsidR="00A25C54" w:rsidRDefault="00A25C54" w:rsidP="00A25C54">
      <w:pPr>
        <w:rPr>
          <w:sz w:val="16"/>
          <w:szCs w:val="16"/>
        </w:rPr>
      </w:pPr>
    </w:p>
    <w:p w14:paraId="4A5B91A0" w14:textId="77777777" w:rsidR="00A25C54" w:rsidRDefault="00A25C54" w:rsidP="00A25C54">
      <w:pPr>
        <w:rPr>
          <w:sz w:val="16"/>
          <w:szCs w:val="16"/>
        </w:rPr>
      </w:pPr>
    </w:p>
    <w:p w14:paraId="35EE8F93" w14:textId="77777777" w:rsidR="00A25C54" w:rsidRDefault="00A25C54" w:rsidP="00A25C54">
      <w:pPr>
        <w:rPr>
          <w:sz w:val="16"/>
          <w:szCs w:val="16"/>
        </w:rPr>
      </w:pPr>
    </w:p>
    <w:p w14:paraId="1C06DC30" w14:textId="77777777" w:rsidR="00A25C54" w:rsidRDefault="00A25C54" w:rsidP="00A25C54">
      <w:pPr>
        <w:rPr>
          <w:rFonts w:ascii="Verdana" w:hAnsi="Verdana"/>
          <w:b/>
          <w:sz w:val="24"/>
          <w:szCs w:val="24"/>
        </w:rPr>
      </w:pPr>
    </w:p>
    <w:p w14:paraId="4E39D27C" w14:textId="77777777" w:rsidR="00A25C54" w:rsidRDefault="00A25C54" w:rsidP="00A25C54">
      <w:pPr>
        <w:rPr>
          <w:rFonts w:ascii="Verdana" w:hAnsi="Verdana"/>
          <w:b/>
          <w:sz w:val="24"/>
          <w:szCs w:val="24"/>
        </w:rPr>
      </w:pPr>
    </w:p>
    <w:p w14:paraId="1B4CCFF7" w14:textId="77777777" w:rsidR="00A25C54" w:rsidRDefault="00A25C54" w:rsidP="00A25C54">
      <w:pPr>
        <w:rPr>
          <w:rFonts w:ascii="Verdana" w:hAnsi="Verdana"/>
          <w:b/>
          <w:sz w:val="24"/>
          <w:szCs w:val="24"/>
        </w:rPr>
      </w:pPr>
    </w:p>
    <w:p w14:paraId="6CD3064D" w14:textId="77777777" w:rsidR="00A25C54" w:rsidRDefault="00A25C54" w:rsidP="00A25C54">
      <w:pPr>
        <w:rPr>
          <w:rFonts w:ascii="Verdana" w:hAnsi="Verdana"/>
          <w:b/>
          <w:sz w:val="24"/>
          <w:szCs w:val="24"/>
        </w:rPr>
      </w:pPr>
    </w:p>
    <w:p w14:paraId="76A5B46D" w14:textId="77777777" w:rsidR="00A25C54" w:rsidRDefault="00A25C54" w:rsidP="00A25C54">
      <w:pPr>
        <w:rPr>
          <w:rFonts w:ascii="Verdana" w:hAnsi="Verdana"/>
          <w:b/>
          <w:sz w:val="24"/>
          <w:szCs w:val="24"/>
        </w:rPr>
      </w:pPr>
    </w:p>
    <w:p w14:paraId="4E07AE8F" w14:textId="77777777" w:rsidR="00A25C54" w:rsidRDefault="00A25C54" w:rsidP="00A25C54">
      <w:pPr>
        <w:rPr>
          <w:rFonts w:ascii="Verdana" w:hAnsi="Verdana"/>
          <w:b/>
          <w:sz w:val="24"/>
          <w:szCs w:val="24"/>
        </w:rPr>
      </w:pPr>
    </w:p>
    <w:p w14:paraId="17C0929F" w14:textId="77777777" w:rsidR="00A25C54" w:rsidRDefault="00A25C54" w:rsidP="00A25C54">
      <w:pPr>
        <w:rPr>
          <w:rFonts w:ascii="Verdana" w:hAnsi="Verdana"/>
          <w:b/>
          <w:sz w:val="24"/>
          <w:szCs w:val="24"/>
        </w:rPr>
      </w:pPr>
    </w:p>
    <w:p w14:paraId="51C59C1A" w14:textId="77777777" w:rsidR="00A25C54" w:rsidRDefault="00A25C54" w:rsidP="00A25C54">
      <w:pPr>
        <w:rPr>
          <w:rFonts w:ascii="Verdana" w:hAnsi="Verdana"/>
          <w:b/>
          <w:sz w:val="24"/>
          <w:szCs w:val="24"/>
        </w:rPr>
      </w:pPr>
    </w:p>
    <w:p w14:paraId="25027015" w14:textId="77777777" w:rsidR="00A25C54" w:rsidRDefault="00A25C54" w:rsidP="00A25C54">
      <w:pPr>
        <w:rPr>
          <w:rFonts w:ascii="Verdana" w:hAnsi="Verdana"/>
          <w:b/>
          <w:sz w:val="24"/>
          <w:szCs w:val="24"/>
        </w:rPr>
      </w:pPr>
    </w:p>
    <w:p w14:paraId="699298EA" w14:textId="77777777" w:rsidR="00A25C54" w:rsidRDefault="00A25C54" w:rsidP="00A25C54">
      <w:pPr>
        <w:rPr>
          <w:sz w:val="16"/>
          <w:szCs w:val="16"/>
        </w:rPr>
      </w:pPr>
      <w:r>
        <w:rPr>
          <w:rFonts w:ascii="Verdana" w:hAnsi="Verdana"/>
          <w:b/>
          <w:sz w:val="24"/>
          <w:szCs w:val="24"/>
        </w:rPr>
        <w:t xml:space="preserve">LEVY </w:t>
      </w:r>
      <w:r>
        <w:rPr>
          <w:rFonts w:ascii="Verdana" w:hAnsi="Verdana"/>
          <w:b/>
          <w:sz w:val="16"/>
          <w:szCs w:val="16"/>
        </w:rPr>
        <w:t>Et Al</w:t>
      </w:r>
      <w:r>
        <w:rPr>
          <w:rFonts w:ascii="Verdana" w:hAnsi="Verdana"/>
          <w:b/>
          <w:sz w:val="24"/>
          <w:szCs w:val="24"/>
        </w:rPr>
        <w:t xml:space="preserve"> </w:t>
      </w:r>
      <w:r>
        <w:rPr>
          <w:rFonts w:ascii="Verdana" w:hAnsi="Verdana"/>
          <w:b/>
          <w:sz w:val="16"/>
          <w:szCs w:val="16"/>
        </w:rPr>
        <w:t xml:space="preserve">Professor of Psychology @ Northwestern University </w:t>
      </w:r>
      <w:r>
        <w:rPr>
          <w:rFonts w:ascii="Verdana" w:hAnsi="Verdana"/>
          <w:b/>
          <w:sz w:val="24"/>
          <w:szCs w:val="24"/>
        </w:rPr>
        <w:t xml:space="preserve">2k16                                     </w:t>
      </w:r>
      <w:r>
        <w:rPr>
          <w:sz w:val="16"/>
          <w:szCs w:val="16"/>
        </w:rPr>
        <w:t>Dorainne J.”</w:t>
      </w:r>
      <w:r>
        <w:t xml:space="preserve"> </w:t>
      </w:r>
      <w:r>
        <w:rPr>
          <w:sz w:val="16"/>
          <w:szCs w:val="16"/>
        </w:rPr>
        <w:t>Psychological and Biological Responses to Race-Based Social Stress as Pathways to Disparities in Educational Outcomes” American Psychologist © 2016 American Psychological Association 2016, Vol. 71, No. 6, 455–473</w:t>
      </w:r>
    </w:p>
    <w:p w14:paraId="38012732" w14:textId="77777777" w:rsidR="00A25C54" w:rsidRPr="00A25C54" w:rsidRDefault="00A25C54" w:rsidP="00A25C54">
      <w:r w:rsidRPr="009128F6">
        <w:rPr>
          <w:sz w:val="16"/>
          <w:szCs w:val="16"/>
        </w:rPr>
        <w:t xml:space="preserve">Given that </w:t>
      </w:r>
      <w:r w:rsidRPr="00B30D1F">
        <w:rPr>
          <w:rFonts w:ascii="Verdana" w:hAnsi="Verdana"/>
          <w:b/>
          <w:sz w:val="18"/>
          <w:szCs w:val="18"/>
          <w:u w:val="single"/>
        </w:rPr>
        <w:t>educational achievement and attainment disparities between racial/ethnic minorities and Whites are also seen at higher levels of SES</w:t>
      </w:r>
      <w:r w:rsidRPr="009128F6">
        <w:rPr>
          <w:sz w:val="16"/>
          <w:szCs w:val="16"/>
        </w:rPr>
        <w:t xml:space="preserve"> (Ferguson, 2002; Ferguson, 2001b; Williams,1999)</w:t>
      </w:r>
      <w:r>
        <w:rPr>
          <w:sz w:val="16"/>
          <w:szCs w:val="16"/>
        </w:rPr>
        <w:t xml:space="preserve"> </w:t>
      </w:r>
      <w:r w:rsidRPr="00B30D1F">
        <w:rPr>
          <w:rFonts w:ascii="Verdana" w:hAnsi="Verdana"/>
          <w:b/>
          <w:sz w:val="18"/>
          <w:szCs w:val="18"/>
          <w:u w:val="single"/>
        </w:rPr>
        <w:t>,racial/ethnic minority youth from higher SES backgrounds</w:t>
      </w:r>
      <w:r w:rsidRPr="009128F6">
        <w:rPr>
          <w:sz w:val="16"/>
          <w:szCs w:val="16"/>
        </w:rPr>
        <w:t xml:space="preserve"> may </w:t>
      </w:r>
      <w:r w:rsidRPr="00B30D1F">
        <w:rPr>
          <w:rFonts w:ascii="Verdana" w:hAnsi="Verdana"/>
          <w:b/>
          <w:sz w:val="18"/>
          <w:szCs w:val="18"/>
          <w:u w:val="single"/>
        </w:rPr>
        <w:t>also face unique psychosocial stressors, not</w:t>
      </w:r>
      <w:r w:rsidRPr="009128F6">
        <w:rPr>
          <w:sz w:val="16"/>
          <w:szCs w:val="16"/>
        </w:rPr>
        <w:t xml:space="preserve"> necessarily </w:t>
      </w:r>
      <w:r w:rsidRPr="00B30D1F">
        <w:rPr>
          <w:rFonts w:ascii="Verdana" w:hAnsi="Verdana"/>
          <w:b/>
          <w:sz w:val="18"/>
          <w:szCs w:val="18"/>
          <w:u w:val="single"/>
        </w:rPr>
        <w:t>tied to structural constraints, that have bearing on educational outcomes. Specifically, high-SES racial/ethnic minorities are more likely to report experiences with discrimination compared with low-SES racial/ethnic minorities</w:t>
      </w:r>
      <w:r w:rsidRPr="009128F6">
        <w:rPr>
          <w:sz w:val="16"/>
          <w:szCs w:val="16"/>
        </w:rPr>
        <w:t xml:space="preserve"> (e.g., P. B. Jackson &amp; Stewart, 2003; Kessler, Mickelson, &amp; Williams, 1999). This might be in part </w:t>
      </w:r>
      <w:r w:rsidRPr="00B30D1F">
        <w:rPr>
          <w:rFonts w:ascii="Verdana" w:hAnsi="Verdana"/>
          <w:b/>
          <w:sz w:val="18"/>
          <w:szCs w:val="18"/>
          <w:u w:val="single"/>
        </w:rPr>
        <w:t>because higher SES racial/ ethnic minorities are likely to live in predominantly White neighborhoods and attend more integrated schools with higher proportions of White peers and educators</w:t>
      </w:r>
      <w:r w:rsidRPr="009128F6">
        <w:rPr>
          <w:sz w:val="16"/>
          <w:szCs w:val="16"/>
        </w:rPr>
        <w:t xml:space="preserve"> (Brody et al., 2006; Farmer &amp; Ferraro, 2005; Feagin &amp; Sikes, 1995; Hamm, Bradford Brown, &amp; Heck, 2005; Williams, 1999). Although research suggests that racial/ethnic minorities derive many educational benefits by attending more racially diverse schools (APA Presidential Task Force on Educational Disparities, 2012; Rosenbaum, Fishman, Brett, &amp; Meaden, 1992), the racial/ethnic minority students in these schools might also be </w:t>
      </w:r>
      <w:r w:rsidRPr="00B30D1F">
        <w:rPr>
          <w:rFonts w:ascii="Verdana" w:hAnsi="Verdana"/>
          <w:b/>
          <w:sz w:val="18"/>
          <w:szCs w:val="18"/>
          <w:u w:val="single"/>
        </w:rPr>
        <w:t>exposed to more interpersonal discrimination from educators and peers alike</w:t>
      </w:r>
      <w:r w:rsidRPr="009128F6">
        <w:rPr>
          <w:sz w:val="16"/>
          <w:szCs w:val="16"/>
        </w:rPr>
        <w:t xml:space="preserve"> (Ferguson, 2003; Hughes, Gleason, &amp; Zhang, 2005; McKown &amp; Weinstein, 2008; Rosenbaum et al., 1992; Sellers, Copeland-Linder, Martin, &amp; Lewis, 2006). </w:t>
      </w:r>
      <w:r w:rsidRPr="00B30D1F">
        <w:rPr>
          <w:rFonts w:ascii="Verdana" w:hAnsi="Verdana"/>
          <w:b/>
          <w:sz w:val="18"/>
          <w:szCs w:val="18"/>
          <w:u w:val="single"/>
        </w:rPr>
        <w:t xml:space="preserve">The increased exposure to discrimination, coupled with a lack of access to important social networks that can mitigate the negative effects of discrimination </w:t>
      </w:r>
      <w:r w:rsidRPr="009128F6">
        <w:rPr>
          <w:sz w:val="16"/>
          <w:szCs w:val="16"/>
        </w:rPr>
        <w:t xml:space="preserve">(Colen, Geronimus, Bound, &amp; James, 2006; Hudson, 2015; Lareau, 2011), might </w:t>
      </w:r>
      <w:r w:rsidRPr="00B30D1F">
        <w:rPr>
          <w:rFonts w:ascii="Verdana" w:hAnsi="Verdana"/>
          <w:b/>
          <w:sz w:val="18"/>
          <w:szCs w:val="18"/>
          <w:u w:val="single"/>
        </w:rPr>
        <w:t>contribute to elevated stress and racial/ethnic disparities in attainment among middle- and high-income groups.</w:t>
      </w:r>
      <w:r w:rsidRPr="009128F6">
        <w:rPr>
          <w:sz w:val="16"/>
          <w:szCs w:val="16"/>
        </w:rPr>
        <w:t xml:space="preserve"> </w:t>
      </w:r>
      <w:r w:rsidRPr="00771053">
        <w:rPr>
          <w:rFonts w:ascii="Verdana" w:hAnsi="Verdana"/>
          <w:b/>
          <w:sz w:val="18"/>
          <w:szCs w:val="18"/>
          <w:u w:val="single"/>
        </w:rPr>
        <w:t>The specific combination of stressors and available resources (appraised and actual)</w:t>
      </w:r>
      <w:r w:rsidRPr="009128F6">
        <w:rPr>
          <w:sz w:val="16"/>
          <w:szCs w:val="16"/>
        </w:rPr>
        <w:t xml:space="preserve"> determines the extent to which individuals experience stress (Perceived Stress box, middle of Figure 1), which </w:t>
      </w:r>
      <w:r w:rsidRPr="00771053">
        <w:rPr>
          <w:rFonts w:ascii="Verdana" w:hAnsi="Verdana"/>
          <w:b/>
          <w:sz w:val="18"/>
          <w:szCs w:val="18"/>
          <w:u w:val="single"/>
        </w:rPr>
        <w:t>has important downstream impacts on psychological and biological outcomes that, in turn, affect academic outcomes. Specifically, the ways in which individuals respond to race-based stressors, either in terms of their psychological and biological responses,</w:t>
      </w:r>
      <w:r w:rsidRPr="009128F6">
        <w:rPr>
          <w:sz w:val="16"/>
          <w:szCs w:val="16"/>
        </w:rPr>
        <w:t xml:space="preserve"> can either attenuate or exacerbate negative outcomes such as poor academic performance (e.g., Steele et al., 2002). </w:t>
      </w:r>
      <w:r w:rsidRPr="00771053">
        <w:rPr>
          <w:rFonts w:ascii="Verdana" w:hAnsi="Verdana"/>
          <w:b/>
          <w:sz w:val="18"/>
          <w:szCs w:val="18"/>
          <w:u w:val="single"/>
        </w:rPr>
        <w:t>Although many of the psychological and biological responses described here also occur for (and may be exacerbated by) non-race-based sources of stress,</w:t>
      </w:r>
      <w:r w:rsidRPr="009128F6">
        <w:rPr>
          <w:sz w:val="16"/>
          <w:szCs w:val="16"/>
        </w:rPr>
        <w:t xml:space="preserve"> our review focuses on how responses to </w:t>
      </w:r>
      <w:r w:rsidRPr="00771053">
        <w:rPr>
          <w:rFonts w:ascii="Verdana" w:hAnsi="Verdana"/>
          <w:b/>
          <w:sz w:val="18"/>
          <w:szCs w:val="18"/>
          <w:u w:val="single"/>
        </w:rPr>
        <w:t>race-based stress in particular</w:t>
      </w:r>
      <w:r w:rsidRPr="009128F6">
        <w:rPr>
          <w:sz w:val="16"/>
          <w:szCs w:val="16"/>
        </w:rPr>
        <w:t xml:space="preserve"> may </w:t>
      </w:r>
      <w:r w:rsidRPr="00771053">
        <w:rPr>
          <w:rFonts w:ascii="Verdana" w:hAnsi="Verdana"/>
          <w:b/>
          <w:sz w:val="18"/>
          <w:szCs w:val="18"/>
          <w:u w:val="single"/>
        </w:rPr>
        <w:t>contribute to disparities in academic achievement and attainment.</w:t>
      </w:r>
    </w:p>
    <w:p w14:paraId="1F496901" w14:textId="77777777" w:rsidR="00FE190D" w:rsidRPr="009C7BA3" w:rsidRDefault="00FE190D" w:rsidP="00D075EF">
      <w:pPr>
        <w:pStyle w:val="Heading2"/>
        <w:rPr>
          <w:rFonts w:cs="Arial"/>
        </w:rPr>
      </w:pPr>
      <w:r w:rsidRPr="009C7BA3">
        <w:rPr>
          <w:rFonts w:cs="Arial"/>
        </w:rPr>
        <w:t>t – curriculum</w:t>
      </w:r>
    </w:p>
    <w:p w14:paraId="5E4E1BE9" w14:textId="77777777" w:rsidR="00FE190D" w:rsidRPr="009C7BA3" w:rsidRDefault="00FE190D" w:rsidP="00FE190D">
      <w:pPr>
        <w:pStyle w:val="Heading3"/>
        <w:rPr>
          <w:rFonts w:cs="Arial"/>
        </w:rPr>
      </w:pPr>
      <w:r w:rsidRPr="009C7BA3">
        <w:rPr>
          <w:rFonts w:cs="Arial"/>
        </w:rPr>
        <w:t>we meet</w:t>
      </w:r>
    </w:p>
    <w:p w14:paraId="75919D99" w14:textId="77777777" w:rsidR="00FE190D" w:rsidRPr="009C7BA3" w:rsidRDefault="00FE190D" w:rsidP="00FE190D"/>
    <w:p w14:paraId="6E57DC42" w14:textId="77777777" w:rsidR="00FE190D" w:rsidRPr="009C7BA3" w:rsidRDefault="00FE190D" w:rsidP="00FE190D">
      <w:pPr>
        <w:pStyle w:val="Heading4"/>
        <w:rPr>
          <w:rFonts w:cs="Arial"/>
        </w:rPr>
      </w:pPr>
      <w:r w:rsidRPr="009C7BA3">
        <w:rPr>
          <w:rFonts w:cs="Arial"/>
        </w:rPr>
        <w:t>We meet curriculum and formal instruction (also included in solvency below)</w:t>
      </w:r>
    </w:p>
    <w:p w14:paraId="3BA9BC8C" w14:textId="77777777" w:rsidR="00FE190D" w:rsidRPr="009C7BA3" w:rsidRDefault="00FE190D" w:rsidP="00FE190D">
      <w:pPr>
        <w:rPr>
          <w:rStyle w:val="Style13ptBold"/>
        </w:rPr>
      </w:pPr>
      <w:r w:rsidRPr="009C7BA3">
        <w:rPr>
          <w:rStyle w:val="Style13ptBold"/>
        </w:rPr>
        <w:t>Bonner et al. 17</w:t>
      </w:r>
    </w:p>
    <w:p w14:paraId="79B32856" w14:textId="77777777" w:rsidR="00FE190D" w:rsidRPr="009C7BA3" w:rsidRDefault="00FE190D" w:rsidP="00FE190D">
      <w:pPr>
        <w:rPr>
          <w:sz w:val="16"/>
          <w:szCs w:val="16"/>
        </w:rPr>
      </w:pPr>
      <w:r w:rsidRPr="009C7BA3">
        <w:rPr>
          <w:sz w:val="16"/>
          <w:szCs w:val="16"/>
        </w:rPr>
        <w:t xml:space="preserve">Patricia J. Bonner, PhD, served as faculty and administrator at Azusa Pacific University for 29 years and is currently professor emerita in the School of Education. She has presented and published in the areas of culturally responsive teaching, diversity in education, multicultural education, parental roles in education, self-regulated learning, and self-determination theory. Susan R. Warren, PhD, director of Diversity Programs at Azusa Pacific University, served 22 years as a PK-12 teacher/principal and directed MA programs in schools of education for 15 years. She has presented and published on topics of equity, social justice, teacher and multicultural education, school reform, and family engagement. Ying Hong Jiang, PhD, is a professor in the doctoral studies in education leadership department in the School of Education of Azusa Pacific University. Her main research interests include culturally responsive teaching and cross-cultural studies of covariates of self-regulated learning strategies in K-12 settings. “Voices From Urban Classrooms: Teachers’ Perceptions on Instructing Diverse Students and Using Culturally Responsive Teaching.” pgs. 4-6. June 15, 2017. </w:t>
      </w:r>
      <w:hyperlink r:id="rId13" w:history="1">
        <w:r w:rsidRPr="009C7BA3">
          <w:rPr>
            <w:rStyle w:val="Hyperlink"/>
            <w:sz w:val="16"/>
            <w:szCs w:val="16"/>
          </w:rPr>
          <w:t>http://journals.sagepub.com/doi/pdf/10.1177/0013124517713820</w:t>
        </w:r>
      </w:hyperlink>
      <w:r w:rsidRPr="009C7BA3">
        <w:rPr>
          <w:sz w:val="16"/>
          <w:szCs w:val="16"/>
        </w:rPr>
        <w:t>. Yoest.</w:t>
      </w:r>
    </w:p>
    <w:p w14:paraId="691F7781" w14:textId="77777777" w:rsidR="00FE190D" w:rsidRPr="009C7BA3" w:rsidRDefault="00FE190D" w:rsidP="00FE190D">
      <w:pPr>
        <w:rPr>
          <w:sz w:val="16"/>
        </w:rPr>
      </w:pPr>
      <w:r w:rsidRPr="009C7BA3">
        <w:rPr>
          <w:rStyle w:val="Emphasis"/>
        </w:rPr>
        <w:t>Curriculum that is culturally diverse and accessible to students is additionally critical for their success</w:t>
      </w:r>
      <w:r w:rsidRPr="009C7BA3">
        <w:rPr>
          <w:sz w:val="16"/>
        </w:rPr>
        <w:t xml:space="preserve">. Effective teaching and learning for diverse students must allow all students access to knowledge that is regarded as high quality and prestigious with a guarantee that they become literate in the core subjects. </w:t>
      </w:r>
      <w:r w:rsidRPr="009C7BA3">
        <w:rPr>
          <w:rStyle w:val="Emphasis"/>
          <w:highlight w:val="green"/>
        </w:rPr>
        <w:t>Curriculum, the resource of CRT, should be multicultural and</w:t>
      </w:r>
      <w:r w:rsidRPr="009C7BA3">
        <w:rPr>
          <w:rStyle w:val="Emphasis"/>
        </w:rPr>
        <w:t xml:space="preserve"> accurately </w:t>
      </w:r>
      <w:r w:rsidRPr="009C7BA3">
        <w:rPr>
          <w:rStyle w:val="Emphasis"/>
          <w:highlight w:val="green"/>
        </w:rPr>
        <w:t>recognize the worth of the knowledge various ethnic groups have contributed. Culturally competent teachers ensure that the curriculum is meaningful and relevant to students’ lives and that they are included in curriculum decision-making</w:t>
      </w:r>
      <w:r w:rsidRPr="009C7BA3">
        <w:rPr>
          <w:sz w:val="16"/>
        </w:rPr>
        <w:t xml:space="preserve"> (Gay, 2010). Finally, CRT acknowledges the importance of incorporating aspects of the cultural systems of diverse groups into instruction. Instruction, the praxis of CRT, addresses the dialectic discourse, interaction, and engagement of students and teachers throughout the teaching and learning processes. Academic achievement improves when the processes of teaching correspond with the learning styles (participation, thinking, mental schemata), work habits, and experiences that diverse students bring to the classroom. </w:t>
      </w:r>
      <w:r w:rsidRPr="009C7BA3">
        <w:rPr>
          <w:rStyle w:val="Emphasis"/>
          <w:highlight w:val="green"/>
        </w:rPr>
        <w:t>Culturally competent teachers ensure that instructional processes are congruent with the learning styles, cultural orientations, and experiences of their marginalized students and create learning spaces for this to occur</w:t>
      </w:r>
      <w:r w:rsidRPr="009C7BA3">
        <w:rPr>
          <w:sz w:val="16"/>
        </w:rPr>
        <w:t xml:space="preserve"> (Gay, 2010).</w:t>
      </w:r>
    </w:p>
    <w:p w14:paraId="77389143" w14:textId="77777777" w:rsidR="00FE190D" w:rsidRPr="009C7BA3" w:rsidRDefault="00FE190D" w:rsidP="00FE190D"/>
    <w:p w14:paraId="5029ABC7" w14:textId="77777777" w:rsidR="00FE190D" w:rsidRPr="009C7BA3" w:rsidRDefault="00FE190D" w:rsidP="00D075EF">
      <w:pPr>
        <w:pStyle w:val="Heading2"/>
        <w:rPr>
          <w:rFonts w:cs="Arial"/>
        </w:rPr>
      </w:pPr>
    </w:p>
    <w:p w14:paraId="69AFD59F" w14:textId="77777777" w:rsidR="00CE4E94" w:rsidRPr="009C7BA3" w:rsidRDefault="00CE4E94" w:rsidP="00D075EF">
      <w:pPr>
        <w:pStyle w:val="Heading2"/>
        <w:rPr>
          <w:rFonts w:cs="Arial"/>
        </w:rPr>
      </w:pPr>
      <w:r w:rsidRPr="009C7BA3">
        <w:rPr>
          <w:rFonts w:cs="Arial"/>
        </w:rPr>
        <w:t>at: federalism da</w:t>
      </w:r>
    </w:p>
    <w:p w14:paraId="19A316EC" w14:textId="77777777" w:rsidR="002072CE" w:rsidRPr="009C7BA3" w:rsidRDefault="002072CE" w:rsidP="00CE4E94">
      <w:pPr>
        <w:pStyle w:val="Heading3"/>
        <w:rPr>
          <w:rFonts w:cs="Arial"/>
        </w:rPr>
      </w:pPr>
      <w:r w:rsidRPr="009C7BA3">
        <w:rPr>
          <w:rFonts w:cs="Arial"/>
        </w:rPr>
        <w:t>federalism thumpers</w:t>
      </w:r>
    </w:p>
    <w:p w14:paraId="20B30D44" w14:textId="77777777" w:rsidR="002072CE" w:rsidRPr="009C7BA3" w:rsidRDefault="002072CE" w:rsidP="002072CE"/>
    <w:p w14:paraId="10109FA8" w14:textId="77777777" w:rsidR="007D1908" w:rsidRPr="009C7BA3" w:rsidRDefault="007D1908" w:rsidP="007D1908">
      <w:pPr>
        <w:pStyle w:val="Heading4"/>
        <w:rPr>
          <w:rStyle w:val="StyleUnderline"/>
          <w:rFonts w:cs="Arial"/>
          <w:sz w:val="26"/>
          <w:u w:val="none"/>
        </w:rPr>
      </w:pPr>
      <w:r w:rsidRPr="009C7BA3">
        <w:rPr>
          <w:rStyle w:val="StyleUnderline"/>
          <w:rFonts w:cs="Arial"/>
          <w:sz w:val="26"/>
          <w:u w:val="none"/>
        </w:rPr>
        <w:t xml:space="preserve">Non unique – Trump violating federalism now with sanctuary cities </w:t>
      </w:r>
    </w:p>
    <w:p w14:paraId="68C99B1D" w14:textId="77777777" w:rsidR="007D1908" w:rsidRPr="009C7BA3" w:rsidRDefault="007D1908" w:rsidP="007D1908">
      <w:r w:rsidRPr="009C7BA3">
        <w:rPr>
          <w:rStyle w:val="Style13ptBold"/>
        </w:rPr>
        <w:t>Quigley 7/19/17</w:t>
      </w:r>
      <w:r w:rsidRPr="009C7BA3">
        <w:t xml:space="preserve"> (Aidan Quigley is an intern at Newsweek “Trump administration to send thousands of ice agents to target sanctuary cities” </w:t>
      </w:r>
      <w:hyperlink r:id="rId14" w:history="1">
        <w:r w:rsidRPr="009C7BA3">
          <w:rPr>
            <w:rStyle w:val="Hyperlink"/>
          </w:rPr>
          <w:t>http://www.newsweek.com/trump-administration-ice-target-sanctuary-cities-immigration-enforcement-639256</w:t>
        </w:r>
      </w:hyperlink>
      <w:r w:rsidRPr="009C7BA3">
        <w:t xml:space="preserve"> FM)</w:t>
      </w:r>
    </w:p>
    <w:p w14:paraId="19509263" w14:textId="77777777" w:rsidR="007D1908" w:rsidRPr="009C7BA3" w:rsidRDefault="007D1908" w:rsidP="007D1908">
      <w:pPr>
        <w:rPr>
          <w:sz w:val="16"/>
        </w:rPr>
      </w:pPr>
      <w:r w:rsidRPr="009C7BA3">
        <w:rPr>
          <w:rStyle w:val="StyleUnderline"/>
          <w:highlight w:val="green"/>
        </w:rPr>
        <w:t>The Trump administration is planning on targeting so-called “sanctuary cities” for additional scrutiny by allocating more agents and resources to those cities.</w:t>
      </w:r>
      <w:r w:rsidRPr="009C7BA3">
        <w:rPr>
          <w:rStyle w:val="StyleUnderline"/>
        </w:rPr>
        <w:t xml:space="preserve"> Thomas Homan, the acting director of Immigration and Customs Enforcemen</w:t>
      </w:r>
      <w:r w:rsidRPr="009C7BA3">
        <w:rPr>
          <w:sz w:val="16"/>
        </w:rPr>
        <w:t xml:space="preserve">t, told the Washington Examiner Tuesday that border crossings have plummeted while arrests and demands for removal of undocumented criminals from localities have increased 80 percent since Trump entered office. Homan also </w:t>
      </w:r>
      <w:r w:rsidRPr="009C7BA3">
        <w:rPr>
          <w:rStyle w:val="StyleUnderline"/>
        </w:rPr>
        <w:t>criticized sanctuary cities, which he called “ludicrous.”</w:t>
      </w:r>
      <w:r w:rsidRPr="009C7BA3">
        <w:rPr>
          <w:sz w:val="16"/>
        </w:rPr>
        <w:t xml:space="preserve"> “In the America I grew up in, cities didn't shield people who violated the law," he told the Examiner. </w:t>
      </w:r>
      <w:r w:rsidRPr="009C7BA3">
        <w:rPr>
          <w:rStyle w:val="StyleUnderline"/>
          <w:highlight w:val="green"/>
        </w:rPr>
        <w:t>“The president recognizes that you've got to have a true interior enforcement strategy to make it uncomfortable for them.”</w:t>
      </w:r>
      <w:r w:rsidRPr="009C7BA3">
        <w:rPr>
          <w:u w:val="single"/>
        </w:rPr>
        <w:t xml:space="preserve"> </w:t>
      </w:r>
      <w:r w:rsidRPr="009C7BA3">
        <w:rPr>
          <w:sz w:val="16"/>
        </w:rPr>
        <w:t xml:space="preserve">Sanctuary cities are localities that do not fully cooperate with federal efforts to enforce immigration laws. Often, these localities do not let ICE agents into local jails to detain undocumented immigrants who have committed crimes. Sanctuary cities include New York, Philadelphia, Chicago, San Francisco and Austin, Texas. “Actually, cities like Austin are safer and have better economies,” Austin Mayor Steve Adler tells Newsweek in a statement Wednesday. “ICE should be figuring out why that’s true and applying those lessons.” Proponents of sanctuary cities argue sanctuary status increases trust between undocumented immigrants and police, making them feel safe to report crimes and speak out as witnesses. Opponents argue localities should comply with federal immigration laws. </w:t>
      </w:r>
      <w:r w:rsidRPr="009C7BA3">
        <w:rPr>
          <w:rStyle w:val="StyleUnderline"/>
        </w:rPr>
        <w:t>ICE plans on hiring 10,000 more agents, Homan told the Examiner.</w:t>
      </w:r>
      <w:r w:rsidRPr="009C7BA3">
        <w:rPr>
          <w:sz w:val="16"/>
        </w:rPr>
        <w:t xml:space="preserve"> He said he believed sanctuary cities would create more fear in immigrant communities as ICE agents would have to track down criminal and fugitive undocumented immigrants at their homes or workplaces. "What I want to get to is a clear understanding from everybody, from the congressmen to the politicians to law enforcement to those who enter the country illegally, that ICE is open for business. </w:t>
      </w:r>
      <w:r w:rsidRPr="009C7BA3">
        <w:rPr>
          <w:rStyle w:val="StyleUnderline"/>
        </w:rPr>
        <w:t>We're going to enforce the laws on the books without apology. We'll continue to prioritize what we do. But it's not OK to violate the laws of this country anymore. You're going to be held accountable,"</w:t>
      </w:r>
      <w:r w:rsidRPr="009C7BA3">
        <w:rPr>
          <w:sz w:val="16"/>
        </w:rPr>
        <w:t xml:space="preserve"> he added. </w:t>
      </w:r>
      <w:r w:rsidRPr="009C7BA3">
        <w:rPr>
          <w:rStyle w:val="StyleUnderline"/>
          <w:highlight w:val="green"/>
        </w:rPr>
        <w:t>This crackdown on sanctuary cities lines up with Trump’s prioritization of immigration during his campaign</w:t>
      </w:r>
      <w:r w:rsidRPr="009C7BA3">
        <w:rPr>
          <w:rStyle w:val="StyleUnderline"/>
        </w:rPr>
        <w:t>.</w:t>
      </w:r>
      <w:r w:rsidRPr="009C7BA3">
        <w:rPr>
          <w:sz w:val="16"/>
        </w:rPr>
        <w:t xml:space="preserve"> The president has also spoke in support of Kate’s Law, which increases the penalties for those who are deported and attempt to return to the United States.</w:t>
      </w:r>
    </w:p>
    <w:p w14:paraId="430C9431" w14:textId="77777777" w:rsidR="007D1908" w:rsidRPr="009C7BA3" w:rsidRDefault="007D1908" w:rsidP="007D1908"/>
    <w:p w14:paraId="549DE66E" w14:textId="77777777" w:rsidR="007D1908" w:rsidRPr="009C7BA3" w:rsidRDefault="007D1908" w:rsidP="007D1908">
      <w:pPr>
        <w:pStyle w:val="Heading4"/>
        <w:rPr>
          <w:rFonts w:cs="Arial"/>
        </w:rPr>
      </w:pPr>
      <w:r w:rsidRPr="009C7BA3">
        <w:rPr>
          <w:rFonts w:cs="Arial"/>
        </w:rPr>
        <w:t xml:space="preserve">Uniqueness overwhelms the link – Trump is worse then Obama with states rights </w:t>
      </w:r>
    </w:p>
    <w:p w14:paraId="489DE081" w14:textId="77777777" w:rsidR="007D1908" w:rsidRPr="009C7BA3" w:rsidRDefault="007D1908" w:rsidP="007D1908">
      <w:r w:rsidRPr="009C7BA3">
        <w:rPr>
          <w:rStyle w:val="Style13ptBold"/>
        </w:rPr>
        <w:t>Will 5/10/17</w:t>
      </w:r>
      <w:r w:rsidRPr="009C7BA3">
        <w:t xml:space="preserve"> (George Will is an opinion writer in DC for The Washington Post “Trump’s violations of federalism would make Obama jealous” </w:t>
      </w:r>
      <w:hyperlink r:id="rId15" w:history="1">
        <w:r w:rsidRPr="009C7BA3">
          <w:rPr>
            <w:rStyle w:val="Hyperlink"/>
          </w:rPr>
          <w:t>https://www.washingtonpost.com/opinions/trumps-violations-of-federalism-would-make-obama-jealous/2017/05/10/7cf6b5d6-34dd-11e7-b4ee-434b6d506b37_story.html?utm_term=.713c970dd851</w:t>
        </w:r>
      </w:hyperlink>
      <w:r w:rsidRPr="009C7BA3">
        <w:t xml:space="preserve"> FM)</w:t>
      </w:r>
    </w:p>
    <w:p w14:paraId="6BBA86D5" w14:textId="77777777" w:rsidR="007D1908" w:rsidRPr="009C7BA3" w:rsidRDefault="007D1908" w:rsidP="007D1908">
      <w:pPr>
        <w:rPr>
          <w:sz w:val="16"/>
        </w:rPr>
      </w:pPr>
      <w:r w:rsidRPr="009C7BA3">
        <w:rPr>
          <w:sz w:val="16"/>
        </w:rPr>
        <w:t>Southey, a pacifist, wrote his antiwar poem long after the 1704 battle for which the Duke of Marlborough was awarded Blenheim Palace, where his great-great-great-great-great-great-grandson Winston Churchill would be born. We, however, do not need to wait 94 years to doubt whether the Trump administration’s action against “sanctuary cities” is much ado about not much. Four months have sufficed to reveal ’twas a constitutionally dubious gesture</w:t>
      </w:r>
      <w:r w:rsidRPr="009C7BA3">
        <w:rPr>
          <w:sz w:val="16"/>
          <w:highlight w:val="cyan"/>
        </w:rPr>
        <w:t xml:space="preserve">. </w:t>
      </w:r>
      <w:r w:rsidRPr="009C7BA3">
        <w:rPr>
          <w:rStyle w:val="StyleUnderline"/>
          <w:highlight w:val="cyan"/>
        </w:rPr>
        <w:t>The executive order</w:t>
      </w:r>
      <w:r w:rsidRPr="009C7BA3">
        <w:rPr>
          <w:rStyle w:val="StyleUnderline"/>
        </w:rPr>
        <w:t xml:space="preserve"> was perpetrated in a helter-skelter, harum-scarum, slapdash manner five days after the inauguration, before the administration was humming like a well-tuned Lamborghini. The order </w:t>
      </w:r>
      <w:r w:rsidRPr="009C7BA3">
        <w:rPr>
          <w:rStyle w:val="StyleUnderline"/>
          <w:highlight w:val="cyan"/>
        </w:rPr>
        <w:t>says that sanctuary cities have caused “immeasurable harm” to “the very fabric of our republic,” a thunderous judgment offered without evidence of the shredded fabric or even a definition of “sanctuary city.”</w:t>
      </w:r>
      <w:r w:rsidRPr="009C7BA3">
        <w:rPr>
          <w:rStyle w:val="StyleUnderline"/>
        </w:rPr>
        <w:t xml:space="preserve"> </w:t>
      </w:r>
      <w:r w:rsidRPr="009C7BA3">
        <w:rPr>
          <w:sz w:val="16"/>
        </w:rPr>
        <w:t xml:space="preserve">They are cities that limit the cooperation of local law-enforcement personnel with federal immigration enforcement efforts. There are defensible reasons for some non-cooperation: e.g., preserving cooperative relations between local police and immigrant communities, which facilitates crime-fighting. But many such cities anoint themselves sanctuaries as an act of self-congratulatory virtue-signaling and to pander to immigrant communities. </w:t>
      </w:r>
      <w:r w:rsidRPr="009C7BA3">
        <w:rPr>
          <w:rStyle w:val="StyleUnderline"/>
          <w:highlight w:val="cyan"/>
        </w:rPr>
        <w:t>The executive order is either a superfluous nullity or it is constitutional vandalism</w:t>
      </w:r>
      <w:r w:rsidRPr="009C7BA3">
        <w:rPr>
          <w:rStyle w:val="StyleUnderline"/>
        </w:rPr>
        <w:t>.</w:t>
      </w:r>
      <w:r w:rsidRPr="009C7BA3">
        <w:rPr>
          <w:sz w:val="16"/>
        </w:rPr>
        <w:t xml:space="preserve"> It says cities “that fail to comply with applicable federal law” shall “not receive federal funds, except as mandated by law.” A U.S. district judge in Northern California has held that the executive order is “toothless” if it pertains to merely a few federal grants, and even they do not unambiguously state in their texts that funding is conditional on active cooperation with federal immigration enforcement. If, however, the order extends to other federal grants, it violates the separation of powers: The spending power is vested in Congress, so presidents cannot unilaterally insert new conditions on funding. Several senior White House officials, operating in pre-Lamborghini mode, denounced this judge’s decision as another excess by the much-reversed U.S. Court of Appeals for the 9th Circuit. </w:t>
      </w:r>
      <w:r w:rsidRPr="009C7BA3">
        <w:rPr>
          <w:rStyle w:val="StyleUnderline"/>
        </w:rPr>
        <w:t xml:space="preserve">Actually, although this court might hear an appeal of the judge’s decision, it had nothing to do with the decision. </w:t>
      </w:r>
      <w:r w:rsidRPr="009C7BA3">
        <w:rPr>
          <w:sz w:val="16"/>
        </w:rPr>
        <w:t xml:space="preserve">During remarks at an event on April 29 to mark his 100 days in office, President Trump said his administration is taking the fight to "criminal gangs and that means taking the fight to the sanctuary cities that shield these dangerous criminals from removal." (The Washington Post) </w:t>
      </w:r>
      <w:r w:rsidRPr="009C7BA3">
        <w:rPr>
          <w:rStyle w:val="StyleUnderline"/>
          <w:highlight w:val="cyan"/>
        </w:rPr>
        <w:t>It is federal law that a state “may not prohibit, or in any way restrict, any government entity or official from sending to, or receiving from, the Immigration and Naturalization Service information regarding the citizenship or immigration status, lawful or unlawful, of any individual.”</w:t>
      </w:r>
      <w:r w:rsidRPr="009C7BA3">
        <w:rPr>
          <w:rStyle w:val="StyleUnderline"/>
        </w:rPr>
        <w:t xml:space="preserve"> This does not, however, prevent any government entity from voluntarily withholding information. </w:t>
      </w:r>
      <w:r w:rsidRPr="009C7BA3">
        <w:rPr>
          <w:sz w:val="16"/>
        </w:rPr>
        <w:t xml:space="preserve">Furthermore, </w:t>
      </w:r>
      <w:r w:rsidRPr="009C7BA3">
        <w:rPr>
          <w:rStyle w:val="StyleUnderline"/>
        </w:rPr>
        <w:t>the Supreme Court has held that the 10th Amendment</w:t>
      </w:r>
      <w:r w:rsidRPr="009C7BA3">
        <w:rPr>
          <w:sz w:val="16"/>
        </w:rPr>
        <w:t xml:space="preserve"> (“The powers not delegated to the United States by the Constitution, nor prohibited by it to the states, are reserved to the states respectively, or to the people”) </w:t>
      </w:r>
      <w:r w:rsidRPr="009C7BA3">
        <w:rPr>
          <w:rStyle w:val="StyleUnderline"/>
        </w:rPr>
        <w:t>means that the federal government may not “commandeer” state and local officials to enforce federal laws. The function of the anti-commandeering doctrine is, in the words of Justice Antonin Scalia, the “preservation of the states as independent and autonomous political entities.” Last Sunday, Texas Gov. Greg Abbott (R) signed legislation setting criminal and civil penalties for state and local officials who refuse to comply with federal immigration laws and detention requests</w:t>
      </w:r>
      <w:r w:rsidRPr="009C7BA3">
        <w:rPr>
          <w:sz w:val="16"/>
        </w:rPr>
        <w:t xml:space="preserve">. As policy, this may or may not be wise; as an exercise of the state’s police power, it is not constitutionally problematic. But regarding the federal executive order, professor </w:t>
      </w:r>
      <w:r w:rsidRPr="009C7BA3">
        <w:rPr>
          <w:rStyle w:val="StyleUnderline"/>
        </w:rPr>
        <w:t>Ilya Somin of George Mason University</w:t>
      </w:r>
      <w:r w:rsidRPr="009C7BA3">
        <w:rPr>
          <w:sz w:val="16"/>
        </w:rPr>
        <w:t xml:space="preserve">’s Antonin Scalia Law School </w:t>
      </w:r>
      <w:r w:rsidRPr="009C7BA3">
        <w:rPr>
          <w:rStyle w:val="StyleUnderline"/>
        </w:rPr>
        <w:t xml:space="preserve">says: </w:t>
      </w:r>
      <w:r w:rsidRPr="009C7BA3">
        <w:rPr>
          <w:rStyle w:val="StyleUnderline"/>
          <w:highlight w:val="cyan"/>
        </w:rPr>
        <w:t>“Trump’s order is exactly the kind of high-handed federal coercion of states and undermining of separation of powers that outraged conservatives under</w:t>
      </w:r>
      <w:r w:rsidRPr="009C7BA3">
        <w:rPr>
          <w:rStyle w:val="StyleUnderline"/>
        </w:rPr>
        <w:t xml:space="preserve"> [President Barack] </w:t>
      </w:r>
      <w:r w:rsidRPr="009C7BA3">
        <w:rPr>
          <w:rStyle w:val="StyleUnderline"/>
          <w:highlight w:val="cyan"/>
        </w:rPr>
        <w:t>Obama. In fact, Obama did not go as far as Trump seems to do here.</w:t>
      </w:r>
      <w:r w:rsidRPr="009C7BA3">
        <w:rPr>
          <w:rStyle w:val="StyleUnderline"/>
        </w:rPr>
        <w:t xml:space="preserve"> Obama never claimed sweeping authority to impose new conditions on federal grants beyond those specifically imposed by Congress.” </w:t>
      </w:r>
      <w:r w:rsidRPr="009C7BA3">
        <w:rPr>
          <w:sz w:val="16"/>
        </w:rPr>
        <w:t xml:space="preserve">Neither the Trump administration’s semi-demi-ukase against sanctuary cities, nor the judge’s ruling against it, has significant discernible consequences. </w:t>
      </w:r>
      <w:r w:rsidRPr="009C7BA3">
        <w:rPr>
          <w:rStyle w:val="StyleUnderline"/>
          <w:highlight w:val="cyan"/>
        </w:rPr>
        <w:t>The executive order illustrates the descent of American governance into theatricality</w:t>
      </w:r>
      <w:r w:rsidRPr="009C7BA3">
        <w:rPr>
          <w:rStyle w:val="StyleUnderline"/>
        </w:rPr>
        <w:t>.</w:t>
      </w:r>
      <w:r w:rsidRPr="009C7BA3">
        <w:rPr>
          <w:sz w:val="16"/>
        </w:rPr>
        <w:t xml:space="preserve"> In the satirical British television series “Yes, Prime Minister,” a politician exclaims: “Something must be done, this is something, therefore we must do it.” The executive order is barely anything at all, beyond, in the words of the Cato Institute’s Ilya Shapiro, “just one more episode of Trumpian signaling.” It is government inspired by “Animal House,” in which movie the character Otter says: “I think this situation absolutely requires a really futile and stupid gesture be done on somebody’s part!”</w:t>
      </w:r>
    </w:p>
    <w:p w14:paraId="6DD38EA4" w14:textId="77777777" w:rsidR="007D1908" w:rsidRPr="009C7BA3" w:rsidRDefault="007D1908" w:rsidP="002072CE"/>
    <w:p w14:paraId="68140DC1" w14:textId="77777777" w:rsidR="002072CE" w:rsidRPr="009C7BA3" w:rsidRDefault="002072CE" w:rsidP="002072CE">
      <w:pPr>
        <w:pStyle w:val="Heading4"/>
        <w:rPr>
          <w:rFonts w:cs="Arial"/>
        </w:rPr>
      </w:pPr>
      <w:r w:rsidRPr="009C7BA3">
        <w:rPr>
          <w:rFonts w:cs="Arial"/>
        </w:rPr>
        <w:t>Trump violating federalism now – voter fraud commission seen as infringing upon states’ rights</w:t>
      </w:r>
    </w:p>
    <w:p w14:paraId="64609FC5" w14:textId="77777777" w:rsidR="002072CE" w:rsidRPr="009C7BA3" w:rsidRDefault="002072CE" w:rsidP="002072CE">
      <w:pPr>
        <w:rPr>
          <w:b/>
          <w:bCs/>
          <w:sz w:val="26"/>
        </w:rPr>
      </w:pPr>
      <w:r w:rsidRPr="009C7BA3">
        <w:rPr>
          <w:rStyle w:val="Style13ptBold"/>
        </w:rPr>
        <w:t xml:space="preserve">Berman &amp; Wagner 7/5 </w:t>
      </w:r>
      <w:r w:rsidRPr="009C7BA3">
        <w:t xml:space="preserve">(Mark Berman covers national news for The Washington Post and anchors Post Nation. John Wagner is a national political reporter covering the White House. “Almost every state resists Trump’s voter fraud commission.” </w:t>
      </w:r>
      <w:r w:rsidRPr="009C7BA3">
        <w:rPr>
          <w:i/>
        </w:rPr>
        <w:t>Chicago Tribune</w:t>
      </w:r>
      <w:r w:rsidRPr="009C7BA3">
        <w:t>. July 5, 2017. Accessed July 22, 2017. &lt;http://www.chicagotribune.com/news/nationworld/politics/ct-most-states-resist-voter-fraud-commission-20170705-story.html&gt;) #LP</w:t>
      </w:r>
    </w:p>
    <w:p w14:paraId="69DE2FAA" w14:textId="77777777" w:rsidR="002072CE" w:rsidRPr="009C7BA3" w:rsidRDefault="002072CE" w:rsidP="002072CE">
      <w:pPr>
        <w:rPr>
          <w:rStyle w:val="StyleUnderline"/>
        </w:rPr>
      </w:pPr>
      <w:r w:rsidRPr="009C7BA3">
        <w:rPr>
          <w:rStyle w:val="StyleUnderline"/>
        </w:rPr>
        <w:t>In a rare display of bipartisanship, officials in nearly every state have said they will partially or fully refuse to comply with President Donald Trump's voting commission, which has encountered criticism and opposition after issuing a sweeping request for voter data nationwide</w:t>
      </w:r>
      <w:r w:rsidRPr="009C7BA3">
        <w:rPr>
          <w:sz w:val="16"/>
        </w:rPr>
        <w:t xml:space="preserve">. Even as some of the resistance centers on Trump and members of his commission, </w:t>
      </w:r>
      <w:r w:rsidRPr="009C7BA3">
        <w:rPr>
          <w:rStyle w:val="StyleUnderline"/>
        </w:rPr>
        <w:t>the broader responses from the states indicate a strong and widespread belief that local officials should be managing elections and that the White House's request for volumes of information went too far</w:t>
      </w:r>
      <w:r w:rsidRPr="009C7BA3">
        <w:rPr>
          <w:sz w:val="16"/>
        </w:rPr>
        <w:t xml:space="preserve">. "What it says is some </w:t>
      </w:r>
      <w:r w:rsidRPr="009C7BA3">
        <w:rPr>
          <w:rStyle w:val="StyleUnderline"/>
        </w:rPr>
        <w:t>Republicans actually still believe in federalism and that our constitution still governs the way states hold their elections</w:t>
      </w:r>
      <w:r w:rsidRPr="009C7BA3">
        <w:rPr>
          <w:sz w:val="16"/>
        </w:rPr>
        <w:t xml:space="preserve">," still Rick Wilson, a longtime GOP strategist and frequent Trump critic, who called the resistance by Republican state-level officials "commendable." He also pointed to the commission's origins in Trump's repeated — and unsubstantiated — claims that voter fraud is widespread and cost him the popular vote last year. "If Trump's theory is correct, that means these states allowed voter fraud to occur," Wilson said. "By definition, it will have to include a bunch of Republican states, and they don't like that. ... Most elections in the states are run beautifully." </w:t>
      </w:r>
      <w:r w:rsidRPr="009C7BA3">
        <w:rPr>
          <w:rStyle w:val="StyleUnderline"/>
        </w:rPr>
        <w:t>The resistance has swept across red and blue states alike, drawing in Democratic critics</w:t>
      </w:r>
      <w:r w:rsidRPr="009C7BA3">
        <w:rPr>
          <w:sz w:val="16"/>
        </w:rPr>
        <w:t xml:space="preserve"> of the president </w:t>
      </w:r>
      <w:r w:rsidRPr="009C7BA3">
        <w:rPr>
          <w:rStyle w:val="StyleUnderline"/>
        </w:rPr>
        <w:t xml:space="preserve">and Republicans uneasy about a broad federal request they suggest </w:t>
      </w:r>
      <w:r w:rsidRPr="009C7BA3">
        <w:rPr>
          <w:rStyle w:val="Emphasis"/>
        </w:rPr>
        <w:t>intrudes on states' rights</w:t>
      </w:r>
      <w:r w:rsidRPr="009C7BA3">
        <w:rPr>
          <w:sz w:val="16"/>
        </w:rPr>
        <w:t xml:space="preserve">. It also casts a continued shadow over a probe Trump said could lead officials to "strengthen up voting procedures." In his executive order, Trump said the group would issue a report identifying "vulnerabilities ... that could lead to improper voter registrations and improper voting." Experts and voting-rights advocates called the group a "sham," saying they fear it will lead to increased voting restrictions. It is unclear what the pushback against the recent requests could mean for the panel's ultimate report, expected in 2018. This unease has been notable for expanding beyond Democratic critics of the president and including Republicans such as Arizona Secretary of State Michele Reagan, who called the commission's request a "hastily organized experiment," and </w:t>
      </w:r>
      <w:r w:rsidRPr="009C7BA3">
        <w:rPr>
          <w:rStyle w:val="StyleUnderline"/>
        </w:rPr>
        <w:t>Louisiana Secretary of State Tom Schedler</w:t>
      </w:r>
      <w:r w:rsidRPr="009C7BA3">
        <w:rPr>
          <w:sz w:val="16"/>
        </w:rPr>
        <w:t xml:space="preserve">, who </w:t>
      </w:r>
      <w:r w:rsidRPr="009C7BA3">
        <w:rPr>
          <w:rStyle w:val="StyleUnderline"/>
        </w:rPr>
        <w:t xml:space="preserve">described it as </w:t>
      </w:r>
      <w:r w:rsidRPr="009C7BA3">
        <w:rPr>
          <w:rStyle w:val="Emphasis"/>
        </w:rPr>
        <w:t>"federal intrusion and overreach."</w:t>
      </w:r>
    </w:p>
    <w:p w14:paraId="0BD78A91" w14:textId="77777777" w:rsidR="002072CE" w:rsidRPr="009C7BA3" w:rsidRDefault="002072CE" w:rsidP="002072CE">
      <w:pPr>
        <w:rPr>
          <w:rStyle w:val="StyleUnderline"/>
        </w:rPr>
      </w:pPr>
    </w:p>
    <w:p w14:paraId="66EB8F2D" w14:textId="77777777" w:rsidR="002072CE" w:rsidRPr="009C7BA3" w:rsidRDefault="002072CE" w:rsidP="002072CE">
      <w:pPr>
        <w:pStyle w:val="Heading4"/>
        <w:rPr>
          <w:rFonts w:cs="Arial"/>
        </w:rPr>
      </w:pPr>
      <w:r w:rsidRPr="009C7BA3">
        <w:rPr>
          <w:rFonts w:cs="Arial"/>
        </w:rPr>
        <w:t>Asset forfeiture thumps</w:t>
      </w:r>
    </w:p>
    <w:p w14:paraId="75E09B85" w14:textId="77777777" w:rsidR="002072CE" w:rsidRPr="009C7BA3" w:rsidRDefault="002072CE" w:rsidP="002072CE">
      <w:pPr>
        <w:rPr>
          <w:b/>
          <w:bCs/>
          <w:sz w:val="26"/>
        </w:rPr>
      </w:pPr>
      <w:r w:rsidRPr="009C7BA3">
        <w:rPr>
          <w:rStyle w:val="Style13ptBold"/>
        </w:rPr>
        <w:t>Somin 7/20</w:t>
      </w:r>
      <w:r w:rsidRPr="009C7BA3">
        <w:t xml:space="preserve"> </w:t>
      </w:r>
      <w:r w:rsidRPr="009C7BA3">
        <w:rPr>
          <w:szCs w:val="20"/>
        </w:rPr>
        <w:t>(</w:t>
      </w:r>
      <w:hyperlink r:id="rId16" w:history="1">
        <w:r w:rsidRPr="009C7BA3">
          <w:rPr>
            <w:rStyle w:val="Hyperlink"/>
            <w:szCs w:val="20"/>
          </w:rPr>
          <w:t>Ilya Somin is Professor of Law at George Mason University</w:t>
        </w:r>
      </w:hyperlink>
      <w:r w:rsidRPr="009C7BA3">
        <w:rPr>
          <w:szCs w:val="20"/>
        </w:rPr>
        <w:t xml:space="preserve">. His research focuses on constitutional law, property law, and the study of popular political participation and its implications for constitutional democracy. “Jeff Sessions’ attack on federalism and property rights.” </w:t>
      </w:r>
      <w:r w:rsidRPr="009C7BA3">
        <w:rPr>
          <w:i/>
          <w:szCs w:val="20"/>
        </w:rPr>
        <w:t>The Washington Post</w:t>
      </w:r>
      <w:r w:rsidRPr="009C7BA3">
        <w:rPr>
          <w:szCs w:val="20"/>
        </w:rPr>
        <w:t>. July 20, 2017. Accessed July 22, 2017. &lt;https://www.washingtonpost.com/news/volokh-conspiracy/wp/2017/07/20/jeff-sessions-attack-on-federalism-and-property-rights/?utm_term=.a591dbbdec84&gt;) #LP</w:t>
      </w:r>
    </w:p>
    <w:p w14:paraId="44BB25EB" w14:textId="77777777" w:rsidR="002072CE" w:rsidRPr="009C7BA3" w:rsidRDefault="002072CE" w:rsidP="002072CE">
      <w:pPr>
        <w:rPr>
          <w:sz w:val="16"/>
        </w:rPr>
      </w:pPr>
      <w:r w:rsidRPr="009C7BA3">
        <w:rPr>
          <w:sz w:val="16"/>
        </w:rPr>
        <w:t xml:space="preserve">Earlier this week, </w:t>
      </w:r>
      <w:r w:rsidRPr="009C7BA3">
        <w:rPr>
          <w:rStyle w:val="StyleUnderline"/>
        </w:rPr>
        <w:t>Attorney General Jeff Sessions announced that the Justice Department is going to expand asset forfeiture – a badly flawed policy under which the government is allowed to confiscate the property of people suspected of a crime</w:t>
      </w:r>
      <w:r w:rsidRPr="009C7BA3">
        <w:rPr>
          <w:sz w:val="16"/>
        </w:rPr>
        <w:t xml:space="preserve">, even in many cases where they are never charged, much less convicted. </w:t>
      </w:r>
      <w:r w:rsidRPr="009C7BA3">
        <w:rPr>
          <w:rStyle w:val="StyleUnderline"/>
        </w:rPr>
        <w:t>The new policy would reinstate and expand a program under which the federal government “adopts” forfeiture cases initiated by state and local law enforcement agencies</w:t>
      </w:r>
      <w:r w:rsidRPr="009C7BA3">
        <w:rPr>
          <w:sz w:val="16"/>
        </w:rPr>
        <w:t xml:space="preserve">, and then lets the state agency keep 80% of the proceeds through “equitable sharing,” thus creating a strong financial incentive to pursue forfeiture cases. Sessions claims that the policy is needed to ensure that criminals are not “allowed to keep the proceeds of their crime.” In reality, however, some 87% of federal asset forfeiture cases do not require any prosecution or conviction. Often, authorities seize property they think might potentially have been used to commit a crime, even if the owner did not violate any criminal laws himself. The opportunity to profit from the sale of forfeited assets creates perverse incentives to seize as much as possible. In recent years, asset forfeiture has attracted widespread opposition on both right and left, because it undermines property rights, harms numerous innocent people, and especially tends to victimize the poor and minorities, who often lack the resources to contest seizures. In many states, owners have little opportunity to contest seizures, thereby enabling authorities to hold on to their seized property for months or even years, without so much as a hearing. In my view, such practices violate the Due Process Clause of the Fourteenth Amendment, but the Supreme Court has yet to rule on the issue. Justice Clarence Thomas also raised serious concerns about the constitutionality of asset forfeitures in a recent opinion. Sessions’ expansion of asset forfeitures has already inspired a petition asking Congress to reverse it, joined by groups as varied as the ACLU, the libertarian Institute for Justice (which has long been active on this issue), the NAACP, Americans for Prosperity, the Goldwater Institute, and others. In 2015, Obama attorney general Eric Holder instituted a new policy significantly curtailing, though by no means abolishing, equitable sharing. Sessions has now reversed Holder’s policy, and fully reinstated equitable sharing. The situation might potentially get even worse than it was in the pre-Holder era, because Sessions also seeks to expand the federal role in the War on Drugs, including even ramping up marijuana prosecutions in states that have legalized it. The War on Drugs is a major source of federally-sponsored asset forfeitures. The restoration of equitable sharing, combined with greater aggressiveness in the War on Drugs, will create many more opportunities for asset forfeitures, and ensure the victimization of many more innocent people. In fairness, Sessions’ policy includes a few modest safeguards for property owners: Volokh Conspiracy newsletter An independent voice on law and public policy. Sign up The Justice Department did include several requirements that it says will safeguard the due process rights of property owners. The directives require state and local police to provide additional information showing probable cause that a crime occurred before federal authorities will adopt the seizure. Seizures of under $10,000 will have to be accompanied by a warrant, a related arrest, or the seizure of contraband. Absent those provisions, a U.S. attorney would have to sign off on an adoption. I doubt these restrictions will do much to curb abuses. A showing of “probable cause” is a long way from actually convicting anyone of a crime, and the alleged crime in question does not even have to be committed by the person whose property is seized. It is also notable that most of the restrictions can be set aside if a US attorney decides to sign off on the adoption anyway. as conservative Republican Rep. Darrell Issa puts it, “I’m glad that at least some safeguards will be put in place, but their plan to expand civil forfeiture is, really, just as concerning as it was before.” Radley Balko rightly points out that </w:t>
      </w:r>
      <w:r w:rsidRPr="009C7BA3">
        <w:rPr>
          <w:rStyle w:val="StyleUnderline"/>
        </w:rPr>
        <w:t>Sessions’ new policy is a menace to federalism as well as property rights. Many states have enacted reforms preventing law enforcement agencies from profiting from asset forfeitures, thereby reducing incentives to seize the property of people who have not been convicted of any crimes. Equitable sharing circumvents these state laws, by enabling police to profit from seizures through payments funneled through the federal government</w:t>
      </w:r>
      <w:r w:rsidRPr="009C7BA3">
        <w:rPr>
          <w:sz w:val="16"/>
        </w:rPr>
        <w:t xml:space="preserve">. As a result, law enforcement agencies will have incentives to prioritize drug cases that are likely to net them money over violent crime and other objectives that state governments might value more. </w:t>
      </w:r>
      <w:r w:rsidRPr="009C7BA3">
        <w:rPr>
          <w:rStyle w:val="Emphasis"/>
        </w:rPr>
        <w:t>Control over the funding and priorities of state and local law enforcement is a core element of state sovereignty</w:t>
      </w:r>
      <w:r w:rsidRPr="009C7BA3">
        <w:rPr>
          <w:rStyle w:val="StyleUnderline"/>
        </w:rPr>
        <w:t>. Sessions’ asset forfeiture policy is a frontal attack on it. Sadly, this undermining of federalism is of a piece with his positions on sanctuary cities (where Sessions is a leading advocate of Trump’s efforts to undermine constitutional federalism in this area) and marijuana enforcement (where Sessions wants to ride roughshod over states that have legalized pot).</w:t>
      </w:r>
      <w:r w:rsidRPr="009C7BA3">
        <w:rPr>
          <w:sz w:val="16"/>
        </w:rPr>
        <w:t xml:space="preserve"> Sessions’ eagerness to sacrifice federalism and property rights to the War on Drugs was entirely predictable, based on his longstanding record prior to becoming attorney general. It was among the reasons why I urged the Senate to “just say no” to his nomination for the position of attorney general. At least for the moment, we are stuck with Sessions. But hopefully it is not too late for the country to “just say no” to his ill-conceived asset forfeiture policy.</w:t>
      </w:r>
    </w:p>
    <w:p w14:paraId="5AAA71B9" w14:textId="77777777" w:rsidR="002072CE" w:rsidRPr="009C7BA3" w:rsidRDefault="002072CE" w:rsidP="002072CE"/>
    <w:p w14:paraId="57D9BFBD" w14:textId="77777777" w:rsidR="002028ED" w:rsidRPr="009C7BA3" w:rsidRDefault="002028ED" w:rsidP="002028ED">
      <w:pPr>
        <w:pStyle w:val="Heading4"/>
        <w:rPr>
          <w:rFonts w:eastAsiaTheme="minorEastAsia" w:cs="Arial"/>
        </w:rPr>
      </w:pPr>
      <w:r w:rsidRPr="009C7BA3">
        <w:rPr>
          <w:rFonts w:eastAsiaTheme="minorEastAsia" w:cs="Arial"/>
        </w:rPr>
        <w:t>Non-Unique – Trump’s sanctuary city Executive Order already undermined federalism</w:t>
      </w:r>
    </w:p>
    <w:p w14:paraId="579DA753" w14:textId="77777777" w:rsidR="002028ED" w:rsidRPr="009C7BA3" w:rsidRDefault="002028ED" w:rsidP="002028ED">
      <w:r w:rsidRPr="009C7BA3">
        <w:rPr>
          <w:rStyle w:val="Style13ptBold"/>
        </w:rPr>
        <w:t xml:space="preserve">Somin 17 </w:t>
      </w:r>
      <w:r w:rsidRPr="009C7BA3">
        <w:t xml:space="preserve">Ilya Somin is Professor of Law at George Mason University. His research focuses on constitutional law, property law, and popular political participation. He is the author of "The Grasping Hand: Kelo v. City of New London and the Limits of Eminent Domain" and "Democracy and Political Ignorance: Why Smaller Government is Smarter." “Why Trump’s executive order on sanctuary cities is unconstitutional” 1/26/17 </w:t>
      </w:r>
      <w:hyperlink r:id="rId17" w:tgtFrame="_blank" w:history="1">
        <w:r w:rsidRPr="009C7BA3">
          <w:rPr>
            <w:rStyle w:val="Hyperlink"/>
          </w:rPr>
          <w:t>https://www.washingtonpost.com/news/volokh-conspiracy/wp/2017/01/26/constitutional-problems-with-trumps-executive-order-on-sanctuary-cities/?utm_term=.4ee614806de7</w:t>
        </w:r>
      </w:hyperlink>
      <w:r w:rsidRPr="009C7BA3">
        <w:t>, Papoutsis</w:t>
      </w:r>
    </w:p>
    <w:p w14:paraId="56290A0C" w14:textId="77777777" w:rsidR="002028ED" w:rsidRPr="009C7BA3" w:rsidRDefault="002028ED" w:rsidP="002028ED">
      <w:r w:rsidRPr="009C7BA3">
        <w:rPr>
          <w:sz w:val="16"/>
          <w:szCs w:val="16"/>
        </w:rPr>
        <w:t xml:space="preserve">Yesterday, President Donald </w:t>
      </w:r>
      <w:r w:rsidRPr="009C7BA3">
        <w:rPr>
          <w:rStyle w:val="StyleUnderline"/>
        </w:rPr>
        <w:t>Trump signed an executive order denying federal funding to sanctuary cities</w:t>
      </w:r>
      <w:r w:rsidRPr="009C7BA3">
        <w:rPr>
          <w:sz w:val="16"/>
          <w:szCs w:val="16"/>
        </w:rPr>
        <w:t xml:space="preserve"> – jurisdictions that choose not to cooperate with federal efforts to deport undocumented immigrants</w:t>
      </w:r>
      <w:r w:rsidRPr="009C7BA3">
        <w:rPr>
          <w:rStyle w:val="m6594178875960264745styleunderline"/>
        </w:rPr>
        <w:t xml:space="preserve">. </w:t>
      </w:r>
      <w:r w:rsidRPr="009C7BA3">
        <w:rPr>
          <w:rStyle w:val="StyleUnderline"/>
        </w:rPr>
        <w:t>The order has serious constitutional problems</w:t>
      </w:r>
      <w:r w:rsidRPr="009C7BA3">
        <w:rPr>
          <w:sz w:val="16"/>
          <w:szCs w:val="16"/>
        </w:rPr>
        <w:t xml:space="preserve">. Unless interpreted very narrowly, </w:t>
      </w:r>
      <w:r w:rsidRPr="009C7BA3">
        <w:rPr>
          <w:rStyle w:val="StyleUnderline"/>
        </w:rPr>
        <w:t>it is both unconstitutional and a very dangerous precedent. Trump</w:t>
      </w:r>
      <w:r w:rsidRPr="009C7BA3">
        <w:rPr>
          <w:sz w:val="16"/>
          <w:szCs w:val="16"/>
        </w:rPr>
        <w:t xml:space="preserve"> and future presidents could </w:t>
      </w:r>
      <w:r w:rsidRPr="009C7BA3">
        <w:rPr>
          <w:rStyle w:val="StyleUnderline"/>
        </w:rPr>
        <w:t>use it to seriously undermine constitutional federalism</w:t>
      </w:r>
      <w:r w:rsidRPr="009C7BA3">
        <w:rPr>
          <w:sz w:val="16"/>
          <w:szCs w:val="16"/>
        </w:rPr>
        <w:t xml:space="preserve"> by forcing dissenting cities and states to obey presidential dictates, even without authorization from Congress. The circumvention of Congress makes the order a threat to separation of powers, as well. </w:t>
      </w:r>
      <w:r w:rsidRPr="009C7BA3">
        <w:rPr>
          <w:rStyle w:val="StyleUnderline"/>
        </w:rPr>
        <w:t>The order indicates that sanctuary cities “that fail to comply with applicable Federal law do not receive Federal funds, except as mandated by law.”</w:t>
      </w:r>
      <w:r w:rsidRPr="009C7BA3">
        <w:rPr>
          <w:sz w:val="16"/>
          <w:szCs w:val="16"/>
        </w:rPr>
        <w:t xml:space="preserve"> More specifically, it mandates that “the Attorney General and the [Homeland Security] Secretary, in their discretion and to the extent consistent with law, shall ensure that jurisdictions that willfully refuse to comply with 8 U.S.C. 1373 (sanctuary jurisdictions) are not eligible to receive Federal grants, except as deemed necessary for law enforcement purposes by the Attorney General or the Secretary</w:t>
      </w:r>
      <w:r w:rsidRPr="009C7BA3">
        <w:rPr>
          <w:rStyle w:val="StyleUnderline"/>
        </w:rPr>
        <w:t xml:space="preserve">.” Section 1373 mandates that “a Federal, State, or local government entity or official may not prohibit, or in any way restrict, any government entity or official from sending to, or receiving from, the Immigration and Naturalization Service information regarding the citizenship or immigration status, lawful or unlawful, of any individual.” </w:t>
      </w:r>
      <w:r w:rsidRPr="009C7BA3">
        <w:rPr>
          <w:sz w:val="16"/>
          <w:szCs w:val="16"/>
        </w:rPr>
        <w:t xml:space="preserve">There are two serious constitutional problems with conditioning federal grants to sanctuary cities on compliance with Section 1373. First, longstanding </w:t>
      </w:r>
      <w:r w:rsidRPr="009C7BA3">
        <w:rPr>
          <w:rStyle w:val="StyleUnderline"/>
        </w:rPr>
        <w:t>Supreme Court precedent mandates that the federal government may not impose conditions on grants to states and localities</w:t>
      </w:r>
      <w:r w:rsidRPr="009C7BA3">
        <w:rPr>
          <w:sz w:val="16"/>
          <w:szCs w:val="16"/>
        </w:rPr>
        <w:t xml:space="preserve"> unless the conditions are “unambiguously” stated in the text of the law “so that the States can knowingly decide whether or not to accept those funds.” Few if any federal grants to sanctuary cities are explicitly conditioned on compliance with Section 1373. Any such condition must be passed by Congress, and may only apply to new grants, not ones that have already been appropriated. The executive cannot simply make up new conditions on its own and impose them on state and local governments</w:t>
      </w:r>
      <w:r w:rsidRPr="009C7BA3">
        <w:rPr>
          <w:rStyle w:val="StyleUnderline"/>
        </w:rPr>
        <w:t>. Doing so undermines</w:t>
      </w:r>
      <w:r w:rsidRPr="009C7BA3">
        <w:rPr>
          <w:rStyle w:val="m6594178875960264745styleunderline"/>
        </w:rPr>
        <w:t xml:space="preserve"> </w:t>
      </w:r>
      <w:r w:rsidRPr="009C7BA3">
        <w:rPr>
          <w:sz w:val="16"/>
          <w:szCs w:val="16"/>
        </w:rPr>
        <w:t>both the separation of powers and</w:t>
      </w:r>
      <w:r w:rsidRPr="009C7BA3">
        <w:rPr>
          <w:rStyle w:val="m6594178875960264745styleunderline"/>
        </w:rPr>
        <w:t xml:space="preserve"> </w:t>
      </w:r>
      <w:r w:rsidRPr="009C7BA3">
        <w:rPr>
          <w:rStyle w:val="StyleUnderline"/>
        </w:rPr>
        <w:t>federalism.</w:t>
      </w:r>
    </w:p>
    <w:p w14:paraId="7F73419A" w14:textId="77777777" w:rsidR="002028ED" w:rsidRPr="009C7BA3" w:rsidRDefault="002028ED" w:rsidP="002028ED">
      <w:pPr>
        <w:rPr>
          <w:rStyle w:val="StyleUnderline"/>
        </w:rPr>
      </w:pPr>
    </w:p>
    <w:p w14:paraId="03A8A995" w14:textId="77777777" w:rsidR="002028ED" w:rsidRPr="009C7BA3" w:rsidRDefault="002028ED" w:rsidP="002072CE"/>
    <w:p w14:paraId="787E7DAF" w14:textId="77777777" w:rsidR="002028ED" w:rsidRPr="009C7BA3" w:rsidRDefault="002028ED" w:rsidP="002072CE"/>
    <w:p w14:paraId="27A8AA7F" w14:textId="77777777" w:rsidR="00CE4E94" w:rsidRPr="009C7BA3" w:rsidRDefault="00CE4E94" w:rsidP="00CE4E94">
      <w:pPr>
        <w:pStyle w:val="Heading3"/>
        <w:rPr>
          <w:rFonts w:cs="Arial"/>
        </w:rPr>
      </w:pPr>
      <w:r w:rsidRPr="009C7BA3">
        <w:rPr>
          <w:rFonts w:cs="Arial"/>
        </w:rPr>
        <w:t>federalism bad</w:t>
      </w:r>
    </w:p>
    <w:p w14:paraId="0CA190CC" w14:textId="77777777" w:rsidR="00CE4E94" w:rsidRPr="009C7BA3" w:rsidRDefault="00CE4E94" w:rsidP="00CE4E94"/>
    <w:p w14:paraId="2D3CA09A" w14:textId="77777777" w:rsidR="00CE4E94" w:rsidRPr="009C7BA3" w:rsidRDefault="00CE4E94" w:rsidP="00CE4E94">
      <w:pPr>
        <w:pStyle w:val="Heading4"/>
        <w:rPr>
          <w:rFonts w:cs="Arial"/>
        </w:rPr>
      </w:pPr>
      <w:r w:rsidRPr="009C7BA3">
        <w:rPr>
          <w:rFonts w:cs="Arial"/>
        </w:rPr>
        <w:t xml:space="preserve">Federalism will hurt minorities </w:t>
      </w:r>
    </w:p>
    <w:p w14:paraId="09E9FA28" w14:textId="77777777" w:rsidR="00CE4E94" w:rsidRPr="009C7BA3" w:rsidRDefault="00CE4E94" w:rsidP="00CE4E94">
      <w:r w:rsidRPr="009C7BA3">
        <w:rPr>
          <w:rStyle w:val="Style13ptBold"/>
        </w:rPr>
        <w:t>Somin 16</w:t>
      </w:r>
      <w:r w:rsidRPr="009C7BA3">
        <w:t xml:space="preserve"> (Ilya Somin,  Ilya Somin is Professor of Law at George Mason University. His research focuses on constitutional law, property law, and popular political participation. He is the author of "The Grasping Hand: Kelo v. City of New London and the Limits of Eminent Domain" and "Democracy and Political Ignorance: Why Smaller Government is Smarter.": The Washington Post, “Federalism, the Constitution, and sanctuary cities”, November 26, 2016, https://www.washingtonpost.com/news/volokh-conspiracy/wp/2016/11/26/federalism-the-constitution-and-sanctuary-cities/?utm_term=.69a348fa6178)</w:t>
      </w:r>
    </w:p>
    <w:p w14:paraId="702E8B92" w14:textId="77777777" w:rsidR="00CE4E94" w:rsidRPr="009C7BA3" w:rsidRDefault="00CE4E94" w:rsidP="00CE4E94">
      <w:pPr>
        <w:rPr>
          <w:sz w:val="12"/>
          <w:szCs w:val="24"/>
        </w:rPr>
      </w:pPr>
      <w:r w:rsidRPr="009C7BA3">
        <w:rPr>
          <w:sz w:val="12"/>
          <w:szCs w:val="24"/>
        </w:rPr>
        <w:t xml:space="preserve">President-elect Donald Trump has repeatedly promised to engage in large-scale deportation of undocumented immigrants. In order to accomplish that goal, he is likely to need the cooperation of state and local governments, as federal law enforcement personnel are extremely limited. But numerous cities have “sanctuary” policies under which they are committed to refusing cooperation with most federal deportation efforts. They include New York, Los Angeles, Chicago, Seattle, and other cities with large immigrant populations. Sanctuary cities refuse to facilitate deportation both because city leaders believe it to be harmful and unjust, and because local law enforcement officials have concluded that it poisons community relations and undermines efforts to combat violent crime. They also recognize that mass deportation would have severe economic costs. Under the Constitution, state and local governments have every right to refuse to help enforce federal law. In cases like Printz v. United States (1997) and New York v. United States (1992), </w:t>
      </w:r>
      <w:r w:rsidRPr="009C7BA3">
        <w:rPr>
          <w:sz w:val="24"/>
          <w:szCs w:val="24"/>
          <w:highlight w:val="yellow"/>
          <w:u w:val="single"/>
        </w:rPr>
        <w:t>the Supreme Court has ruled that the Tenth Amendment forbids federal “commandeering” of state governments to help enforce federal law.</w:t>
      </w:r>
      <w:r w:rsidRPr="009C7BA3">
        <w:rPr>
          <w:sz w:val="24"/>
          <w:szCs w:val="24"/>
          <w:u w:val="single"/>
        </w:rPr>
        <w:t xml:space="preserve"> </w:t>
      </w:r>
      <w:r w:rsidRPr="009C7BA3">
        <w:rPr>
          <w:sz w:val="12"/>
          <w:szCs w:val="24"/>
        </w:rPr>
        <w:t xml:space="preserve">Most of the support for this anti-commandeering principle came from conservative justices such as the late Antonin Scalia, who wrote the majority opinion in Printz. Trump has said that he intends to break the resistance of sanctuary cities by cutting off all of their federal funding. The cities might continue resisting even if they do lose some federal funds. But Trump’s threat is not as formidable as it might seem. Few if any federal grants to state and local governments are conditioned on cooperation with federal deportation efforts. The Supreme Court has long ruled that conditions on federal grants to state and local governments are not enforceable unless they are “unambiguously” stated in the text of the law “so that the States can knowingly decide whether or not to accept those funds.” In ambiguous cases, courts must assume that state and local governments are not required to meet the condition in question. In sum, the </w:t>
      </w:r>
      <w:r w:rsidRPr="009C7BA3">
        <w:rPr>
          <w:sz w:val="24"/>
          <w:szCs w:val="24"/>
          <w:highlight w:val="yellow"/>
          <w:u w:val="single"/>
        </w:rPr>
        <w:t>Trump administration can’t cut off any federal grants to sanctuary cities unless it can show that those grants were clearly conditioned on cooperation with federal deportation policies. The</w:t>
      </w:r>
      <w:r w:rsidRPr="009C7BA3">
        <w:rPr>
          <w:sz w:val="12"/>
          <w:szCs w:val="24"/>
        </w:rPr>
        <w:t xml:space="preserve"> looming </w:t>
      </w:r>
      <w:r w:rsidRPr="009C7BA3">
        <w:rPr>
          <w:sz w:val="24"/>
          <w:szCs w:val="24"/>
          <w:highlight w:val="yellow"/>
          <w:u w:val="single"/>
        </w:rPr>
        <w:t>fight over sanctuary cities is an example of how federalism and constitutional limitations on federal power can sometimes protect vulnerable minorities – in this case undocumented immigrants. States and localities have a reputation for being enemies of minority rights, while the federal government is seen as their protector. That has often been true historically. But sometimes the situation is reversed – a pattern that has become more common in recent years.</w:t>
      </w:r>
      <w:r w:rsidRPr="009C7BA3">
        <w:rPr>
          <w:sz w:val="12"/>
          <w:szCs w:val="24"/>
        </w:rPr>
        <w:t xml:space="preserve"> Many deportation advocates claim it is essential to enforce the law against all violators. But the vast majority of Americans have violated the law at some point in their lives, and few truly believe that all lawbreaking should be punished, regardless of the nature of the law in question or the reason for the violation. And few have more defensible reasons for violating law than undocumented migrants whose only other option is a lifetime of Third World poverty and oppression. In any event, </w:t>
      </w:r>
      <w:r w:rsidRPr="009C7BA3">
        <w:rPr>
          <w:sz w:val="24"/>
          <w:szCs w:val="24"/>
          <w:highlight w:val="yellow"/>
          <w:u w:val="single"/>
        </w:rPr>
        <w:t>even if there is an obligation to enforce a particular law, it does not follow that the duty falls on state and local governments</w:t>
      </w:r>
      <w:r w:rsidRPr="009C7BA3">
        <w:rPr>
          <w:sz w:val="12"/>
          <w:szCs w:val="24"/>
        </w:rPr>
        <w:t>. At this point, it is not yet clear how far Trump intends to push his deportation agenda. Election exit polls suggest that mass deportation is not a popular policy, with 70% of the public believing that undocumented migrants working in the US should be offered permanent residency, and only 25% indicating they should be deported. The spectacle of the federal government trying to deport large numbers of people in the face of local resistance is unlikely to make good PR for the Trump administration. Perhaps that will lead them to scale back their ambitions. Should Trump choose to pursue a policy of mass deportation regardless of the potential downsides, sanctuary cities can refuse to cooperate with it. And they will have the Constitution on their side. UPDATE: It is worth noting that if Congress were to pass a law stripping sanctuary cities of all their federal funding unless they help facilitate federal deportation efforts, it would be unconstitutional under the Supreme Court’s decision striking down the Obamacare Medicaid expansion in NFIB v. Sebelius (2012), which forbids funding conditions so coercive that they amount to a “gun to the head” of a state or local government. While the exact limits of this principle are debatable, denying a state all federal grants for the purpose of compelling cooperation with federal deportation policy surely qualifies, if anything does. At the very least, that would be true for local governments that depend on federal funds for a substantial proportion of their budget.</w:t>
      </w:r>
    </w:p>
    <w:p w14:paraId="44AD6556" w14:textId="77777777" w:rsidR="00CE4E94" w:rsidRPr="009C7BA3" w:rsidRDefault="00CE4E94" w:rsidP="00CE4E94">
      <w:pPr>
        <w:rPr>
          <w:sz w:val="12"/>
          <w:szCs w:val="24"/>
        </w:rPr>
      </w:pPr>
    </w:p>
    <w:p w14:paraId="4B15737A" w14:textId="77777777" w:rsidR="00CE4E94" w:rsidRPr="009C7BA3" w:rsidRDefault="00CE4E94" w:rsidP="00CE4E94"/>
    <w:p w14:paraId="10FBE3FE" w14:textId="77777777" w:rsidR="00CE4E94" w:rsidRPr="009C7BA3" w:rsidRDefault="00CE4E94" w:rsidP="00CE4E94"/>
    <w:p w14:paraId="2A66447E" w14:textId="77777777" w:rsidR="00CE4E94" w:rsidRPr="009C7BA3" w:rsidRDefault="00CE4E94" w:rsidP="00D075EF">
      <w:pPr>
        <w:pStyle w:val="Heading2"/>
        <w:rPr>
          <w:rFonts w:cs="Arial"/>
        </w:rPr>
      </w:pPr>
    </w:p>
    <w:p w14:paraId="305E589C" w14:textId="77777777" w:rsidR="00D075EF" w:rsidRPr="009C7BA3" w:rsidRDefault="00D075EF" w:rsidP="00D075EF">
      <w:pPr>
        <w:pStyle w:val="Heading2"/>
        <w:rPr>
          <w:rFonts w:cs="Arial"/>
        </w:rPr>
      </w:pPr>
      <w:r w:rsidRPr="009C7BA3">
        <w:rPr>
          <w:rFonts w:cs="Arial"/>
        </w:rPr>
        <w:t>at: state cp</w:t>
      </w:r>
    </w:p>
    <w:p w14:paraId="2E7A3369" w14:textId="77777777" w:rsidR="00D075EF" w:rsidRPr="009C7BA3" w:rsidRDefault="00D075EF" w:rsidP="00D075EF">
      <w:pPr>
        <w:pStyle w:val="Heading3"/>
        <w:rPr>
          <w:rFonts w:cs="Arial"/>
        </w:rPr>
      </w:pPr>
      <w:r w:rsidRPr="009C7BA3">
        <w:rPr>
          <w:rFonts w:cs="Arial"/>
        </w:rPr>
        <w:t>no solvency</w:t>
      </w:r>
    </w:p>
    <w:p w14:paraId="21131BB6" w14:textId="77777777" w:rsidR="00D075EF" w:rsidRPr="009C7BA3" w:rsidRDefault="00D075EF" w:rsidP="00D075EF"/>
    <w:p w14:paraId="751AE36A" w14:textId="77777777" w:rsidR="00D075EF" w:rsidRPr="009C7BA3" w:rsidRDefault="00D075EF" w:rsidP="00D075EF">
      <w:pPr>
        <w:pStyle w:val="Heading4"/>
        <w:rPr>
          <w:rFonts w:cs="Arial"/>
        </w:rPr>
      </w:pPr>
      <w:r w:rsidRPr="009C7BA3">
        <w:rPr>
          <w:rFonts w:cs="Arial"/>
        </w:rPr>
        <w:t>Federal education reform is better to solve</w:t>
      </w:r>
    </w:p>
    <w:p w14:paraId="23935298" w14:textId="77777777" w:rsidR="00D075EF" w:rsidRPr="009C7BA3" w:rsidRDefault="00D075EF" w:rsidP="00C410D1">
      <w:pPr>
        <w:rPr>
          <w:rStyle w:val="Style13ptBold"/>
        </w:rPr>
      </w:pPr>
      <w:r w:rsidRPr="009C7BA3">
        <w:rPr>
          <w:rStyle w:val="Style13ptBold"/>
        </w:rPr>
        <w:t>Schilling ‘17</w:t>
      </w:r>
    </w:p>
    <w:p w14:paraId="65D45913" w14:textId="77777777" w:rsidR="00D075EF" w:rsidRPr="009C7BA3" w:rsidRDefault="00D075EF" w:rsidP="00D075EF">
      <w:r w:rsidRPr="009C7BA3">
        <w:t>Schiling, partner, TPG capital, ‘2017(John, national review, “</w:t>
      </w:r>
      <w:r w:rsidRPr="009C7BA3">
        <w:rPr>
          <w:color w:val="000000"/>
        </w:rPr>
        <w:t>Dear Education-Reform Advocates: Go Big and Bold on School Choice”, july 21, 2017, http://www.nationalreview.com/article/449723/school-choice-federal-education-tax-credit-include-private-faith-based-schools)</w:t>
      </w:r>
    </w:p>
    <w:p w14:paraId="1E6A0F29" w14:textId="77777777" w:rsidR="00D075EF" w:rsidRPr="009C7BA3" w:rsidRDefault="00D075EF" w:rsidP="00D075EF"/>
    <w:p w14:paraId="65D468E4" w14:textId="77777777" w:rsidR="00D075EF" w:rsidRPr="009C7BA3" w:rsidRDefault="00D075EF" w:rsidP="00D075EF">
      <w:r w:rsidRPr="009C7BA3">
        <w:rPr>
          <w:rStyle w:val="Emphasis"/>
        </w:rPr>
        <w:t>A defense of the federal education tax credit.</w:t>
      </w:r>
      <w:r w:rsidRPr="009C7BA3">
        <w:t xml:space="preserve"> My friend Lindsey Burke from the Heritage Foundation is off base </w:t>
      </w:r>
      <w:r w:rsidRPr="009C7BA3">
        <w:rPr>
          <w:rStyle w:val="Emphasis"/>
        </w:rPr>
        <w:t>regarding a federal education tax credit and the tremendous benefit it could have for millions of children across the country</w:t>
      </w:r>
      <w:r w:rsidRPr="009C7BA3">
        <w:t xml:space="preserve">. </w:t>
      </w:r>
      <w:r w:rsidRPr="009C7BA3">
        <w:rPr>
          <w:rStyle w:val="StyleUnderline"/>
        </w:rPr>
        <w:t>The fact is, policy papers can’t withstand contact with policymakers. Groups on the ground doing the difficult work of building coalitions to pass legislation, engaging in elections to create and defend school-choice-friendly legislative bodies, and making parents aware of their educational options understand that strict allegiance to the policy paper doesn’t get the job done</w:t>
      </w:r>
      <w:r w:rsidRPr="009C7BA3">
        <w:t>. The only aim for those of us fighting to expand school choice and supporting a federal education tax credit is to give a lot more children access to the school of their parents’ choice. Millions of struggling low-income and middle-class parents around the country are desperately seeking more and better educational options. These families can’t afford to wait for their neighborhood school to improve or for some larger agenda to be achieved. For them, greater educational choice is an urgent need right now. Nobody disputes that K–12 education is a state and local issue. However, suggesting that a federal education tax credit is unconstitutional is something we would normally hear from the teachers’ unions that are vehemently opposed to school choice. Saying that it would lather regulations on states and schools or homogenize the private-choice sector is like screaming fire in a crowded theater when there’s no smoke. A federal education tax credit would not be a federal program, no matter how anyone tries to spin it. Education secretary Betsy DeVos has said that the administration has no intention of imposing anything on states — a view the majority in Congress shares — making it clear that the feds won’t be doing any regulating of private schools, which is a state responsibility. In addition, corporate and individual charitable contributions to in-state nonprofits that provide scholarships to children are private money contributed voluntarily by taxpayers who would receive a federal tax credit. U.S. bans citizens from visiting North Korea 00:20 00:57 The suggestion that faith-based schools could not participate in a federal education tax credit is also inaccurate. No school-choice advocate or pro-school-choice policymaker would ever support a proposal that prevented faith-based schools from participating or would require private schools to change how they operate. Any federal education tax credit would absolutely allow faith-based schools to participate, as they do now in every state, through a private-school choice program. These schools are successfully educating millions of children every day. As two decades of research has shown, children participating in a private-choice program — most are in faith-based schools — are graduating and going on to college at much higher rates than do their peers at traditional public schools. Saying that the administration should limit its support for school choice to select groups of children is no better than the Obama administration saying that choice in K–12 education should be limited to public schools. There are children in every part of this country who want and deserve better educational options, and parents should have the power to choose the educational environment that best meets their child’s needs. A well-designed federal education tax credit would empower parents and create educational opportunity for children. It would not, contrary to what Ms. Burke suggests, create a new and regulation-laden federal program. The real battle is between those who oppose choice in education and those who see choice as an essential component of a more innovative and successful 21st-century K–12 model. Full choice and public funding are embraced in higher education and pre-K. Why the continued resistance to full choice in K–12 education? What is public education really about? Why should it matter whether a child is in a traditional public school, private school, magnet school, charter school, home school, or personalized blend of learning environments? Opponents of school choice make wild and unsubstantiated claims that private choice doesn’t work. They tell us that only district-sponsored and heavily regulated charter schools should be allowed to educate kids. We believe that what really matters is giving every child, regardless of income or family circumstance, access to a high-quality education freely chosen by his or her parents. Imagine how the lives of millions more children can be helped by a great education attained through a federal education tax credit. Imagine the economic benefit to our nation from another million children graduating high school and going to college — a result that private-school choice programs have proven they can produce. Imagine an improvement in surrounding public schools as a result of greater choice. The greatest form of local control in education is giving the parents the power to choose the best learning environment for their child. This used to be a universally recognized and supported idea among education reformers. Rather than denounce the opportunity to facilitate an expansion of school choice, reformers should embrace the opportunity to go big and bold.</w:t>
      </w:r>
    </w:p>
    <w:p w14:paraId="20C8DA3B" w14:textId="77777777" w:rsidR="00D075EF" w:rsidRPr="009C7BA3" w:rsidRDefault="00D075EF" w:rsidP="00D075EF">
      <w:pPr>
        <w:pStyle w:val="Heading4"/>
        <w:rPr>
          <w:rFonts w:cs="Arial"/>
        </w:rPr>
      </w:pPr>
      <w:r w:rsidRPr="009C7BA3">
        <w:rPr>
          <w:rFonts w:cs="Arial"/>
        </w:rPr>
        <w:t xml:space="preserve">State control of education doesn’t work and can’t solve </w:t>
      </w:r>
    </w:p>
    <w:p w14:paraId="5468D662" w14:textId="77777777" w:rsidR="00D075EF" w:rsidRPr="009C7BA3" w:rsidRDefault="00D075EF" w:rsidP="00C410D1">
      <w:pPr>
        <w:rPr>
          <w:rStyle w:val="Style13ptBold"/>
        </w:rPr>
      </w:pPr>
      <w:r w:rsidRPr="009C7BA3">
        <w:rPr>
          <w:rStyle w:val="Style13ptBold"/>
        </w:rPr>
        <w:t>Stotsky ‘17</w:t>
      </w:r>
    </w:p>
    <w:p w14:paraId="54F55C58" w14:textId="77777777" w:rsidR="00D075EF" w:rsidRPr="009C7BA3" w:rsidRDefault="00D075EF" w:rsidP="00D075EF">
      <w:r w:rsidRPr="009C7BA3">
        <w:t>Stotsky, former senior associate commissioner at the Massachusetts Department of Elementary and Secondary Education, is professor of education emerita at the University of Arkansas, ‘2017(Sandra, New Boston Post, “Is there anything common core gets right?”, July 7, 2017, http://newbostonpost.com/2017/07/07/is-there-anything-common-core-gets-right/)</w:t>
      </w:r>
    </w:p>
    <w:p w14:paraId="63E487A4" w14:textId="77777777" w:rsidR="00D075EF" w:rsidRPr="009C7BA3" w:rsidRDefault="00D075EF" w:rsidP="00D075EF">
      <w:r w:rsidRPr="009C7BA3">
        <w:t>Most books on public education in any country do not favor workforce preparation for all students in place of optional high school curricula or student-selected post-secondary goals. Nor have parents in the USA lauded Common Core’s effects on their children’s learning or the K-8 curriculum. Indeed, few observers see anything academically worthwhile in the standards funded by the Bill and Melinda Gates Foundation and promoted by the organizations it has subsidized to promote them (e.g., the Thomas B. Fordham Institute, the U.S. Chamber of Commerce, and Jeb Bush’s Foundation for Educational Excellence).</w:t>
      </w:r>
    </w:p>
    <w:p w14:paraId="51347917" w14:textId="77777777" w:rsidR="00D075EF" w:rsidRPr="009C7BA3" w:rsidRDefault="00D075EF" w:rsidP="00D075EF">
      <w:r w:rsidRPr="009C7BA3">
        <w:t>Joy Pullmann’s The Education Invasion: How Common Core Fights Parents for Control of American Kids (Encounter Books, 2017) is a recent addition to the critics’ side of the Common Core controversy.  Her purpose is to explain what Common Core is and how it got to be implemented in almost every public classroom in almost every state in a remarkably short period of time (less than five years). She does so chiefly from the perspective of the many parents and teachers she quotes.</w:t>
      </w:r>
    </w:p>
    <w:p w14:paraId="65165161" w14:textId="77777777" w:rsidR="00D075EF" w:rsidRPr="009C7BA3" w:rsidRDefault="00D075EF" w:rsidP="00D075EF">
      <w:r w:rsidRPr="009C7BA3">
        <w:t>Organized in seven chapters, her book describes how the Gates Foundation promoted and continues to promote one extremely wealthy couple’s uninformed, unsupported, and unsupportable ideas on education for other people’s children while their own children are enrolled in a non-Common Cored private school.  It explains how (but not exactly why) the Gates Foundation helped to centralize control of public education in the U.S. Department of Education. It also explains why parents, teachers, local school boards, and state legislators were the last to learn how the public schools their local and state taxes supported had been nationalized without Congressional knowledge or permission; and why they were expected to believe that their local public schools were now accountable for what and how they teach … not to the local and state taxpayers who fund them or to locally-elected school boards that by law are still supposed to set education policies not already determined by their state legislature … but to a distant bureaucracy in exchange for money to their state department of education to close “achievement gaps” between unspecified groups.</w:t>
      </w:r>
    </w:p>
    <w:p w14:paraId="243CD0E7" w14:textId="77777777" w:rsidR="00D075EF" w:rsidRPr="009C7BA3" w:rsidRDefault="00D075EF" w:rsidP="00D075EF">
      <w:r w:rsidRPr="009C7BA3">
        <w:t>Overnight, teachers discovered they were accountable to anonymous bureaucrats for students’ scores on tests these teachers had not developed or reviewed, before or after their administration. Amazingly, state boards and governors believed all teachers were accountable to the federal education department despite the fact that the federal government pays for only about 8 to 10 percent of the costs of public education on average across states, and not for teachers’ or superintendents’ salaries.</w:t>
      </w:r>
    </w:p>
    <w:p w14:paraId="4C26FF84" w14:textId="77777777" w:rsidR="00D075EF" w:rsidRPr="009C7BA3" w:rsidRDefault="00D075EF" w:rsidP="00D075EF"/>
    <w:p w14:paraId="0F253D61" w14:textId="77777777" w:rsidR="00D075EF" w:rsidRPr="009C7BA3" w:rsidRDefault="00D075EF" w:rsidP="00D075EF">
      <w:r w:rsidRPr="009C7BA3">
        <w:t>The complex story of how sets of English language arts and mathematics standards (and, later, compatible science standards) created by non-experts selected chiefly (so far as we know) by Gates got adopted legally by mathematically- and scientifically-ignorant state boards of education is carefully told in a relatively short book. What we miss are analyses of four crucial topics:  the academic quality of Common Core’s standards, why they were adopted by mathematically-illiterate state boards of education, why “school choice” doesn’t address the problems in Common Core’s standards, and how the peer review process for approving a “State Plan” under the Every Student Succeeds Act (ESSA) ensures continuing federal control of a state’s public schools.</w:t>
      </w:r>
    </w:p>
    <w:p w14:paraId="22B05E39" w14:textId="77777777" w:rsidR="00D075EF" w:rsidRPr="009C7BA3" w:rsidRDefault="00D075EF" w:rsidP="00D075EF">
      <w:r w:rsidRPr="009C7BA3">
        <w:t>The first topic is perhaps the most controversial aspect of the Common Core project — the inferior academic quality of its standards. The mission statement in the first documents released by the Common Core project claimed that its English language arts and mathematics standards “… are designed to be robust and relevant to the real world, reflecting the knowledge and skills that our young people need for success in college and careers.” Yet, curiously, there is no chapter in Pullmann’s book on whether independent academic experts in mathematics, science, or literary scholarship have ever judged its “college readiness” standards and the tests aligned to them as “robust.” Pullmann does make it clear in a subsequent blog post how Common Core’s mathematics and English language arts standards limit if not damage the education of all children, including those it claims to want to make “college ready.” But there is no cogent discussion of this central issue in her book.</w:t>
      </w:r>
    </w:p>
    <w:p w14:paraId="631B7C15" w14:textId="77777777" w:rsidR="00D075EF" w:rsidRPr="009C7BA3" w:rsidRDefault="00D075EF" w:rsidP="00D075EF">
      <w:r w:rsidRPr="009C7BA3">
        <w:t>Second, since the Common Core standards were never judged by independent academic experts as reflecting the “knowledge and skills” needed for success in college and careers, why did state boards of education (often appointed by a governor) make a decision in 2010 to adopt them knowing that billions would be needed to implement them, alter textbooks and other curriculum materials, prepare new teachers, retrain practicing teachers, and, above all else, assess them, and that more billions would eventually be needed for continuing implementation? Pullmann’s book offers no analysis of this situation. Case studies might shed light on why mathematically- and scientifically-illiterate state boards of education across the country chose to adopt secondary mathematics standards (and, later, compatible science standards) without a public meeting with academic experts at their own public universities. Why did they think they could rely on the staff at their own departments of education or on a sales pitch from organizations subsidized by the Gates Foundation, rather than on those who actually teach mathematics or science at the post-secondary level to their own high school graduates?</w:t>
      </w:r>
    </w:p>
    <w:p w14:paraId="3074277E" w14:textId="77777777" w:rsidR="00D075EF" w:rsidRPr="009C7BA3" w:rsidRDefault="00D075EF" w:rsidP="00D075EF">
      <w:r w:rsidRPr="009C7BA3">
        <w:t>Third, how does “school choice” address any of the problems with the Common Core project? Pullmann’s commendable effort to describe the spider web spun by two wealthy people to ensnare all the nation’s children in their misconceived education agenda ends with a puzzling recommendation extolling school choice, as if giving low-income parents a choice of school building or school management solves the many problems that parents have had with Common Core’s standards, tests, and data collection activities. Where readers might expect suggestions for how states or school districts might escape or have tried to escape from the spider web, we find, instead, a justification for school choice. It is common knowledge that charter schools or vouchers for private schools (the forms in which school choice most often occurs) are available chiefly to low-income parents and their children. No means test was used for many of the original charter schools in the 1990s. But by 2017 it is quite clear that charter schools and vouchers are to be designed for low-income children to help them escape “failing” schools.</w:t>
      </w:r>
    </w:p>
    <w:p w14:paraId="731BDBE5" w14:textId="77777777" w:rsidR="00D075EF" w:rsidRPr="009C7BA3" w:rsidRDefault="00D075EF" w:rsidP="00D075EF">
      <w:r w:rsidRPr="009C7BA3">
        <w:t>If the entire system of public education is trapped in Common Core’s spider web, what helps children of low- to middle-income families (the bulk of those in our public schools) to escape the curriculum shaped by its standards, state-mandated tests, and data collection activities in the schools they apparently must attend unless they are homeschooled? How can charter schools (mostly public schools) escape the Common Core net?</w:t>
      </w:r>
    </w:p>
    <w:p w14:paraId="0ECFD934" w14:textId="77777777" w:rsidR="00D075EF" w:rsidRPr="009C7BA3" w:rsidRDefault="00D075EF" w:rsidP="00D075EF">
      <w:r w:rsidRPr="009C7BA3">
        <w:t>Fourth, despite the oft-stated intention of the Every Student Succeeds Act’s major sponsor — Senator Lamar Alexander of Tennessee — to reduce federal control of public education and restore some modicum of control to state and local government, ESSA does not give parents or state/local taxpayers any freedom to shape their own public school curriculum. Instead, it not only mandates that all states must submit a State Plan to to the U.S. Department of Education in 2017 in order to get Title I and other federal funds, ESSA also mandates that all State Plans must be approved by peer reviewers appointed by a federal education department.  (A State Plan, developed by a state’s unelected department of education, indicates what the state will commit to for at least four years, regardless of cost, to address ESSA’s many requirements for closing “achievement gaps,” including the standards and tests it will use.)  Even when the current use of a variety of state tests (to judge by their titles) might suggest that federal education officials would not be able to control the curriculum in all public schools in the country, there was no public debate or media analysis of how the left hand took away what the right hand gave.</w:t>
      </w:r>
    </w:p>
    <w:p w14:paraId="56CC60DA" w14:textId="77777777" w:rsidR="00D075EF" w:rsidRPr="009C7BA3" w:rsidRDefault="00D075EF" w:rsidP="00D075EF">
      <w:r w:rsidRPr="009C7BA3">
        <w:t>The deceptive strategies used by Rhode Island and Massachusetts in the past year to pretend they were/are mandating better tests than those aligned to Common Core’s standards (implying the K-12 curriculum would be strengthened) give away the game embedded in ESSA’s approved State Plan.  The game involving Common Core-aligned tests began in November 2015 when the Massachusetts Board of Education agreed to a “compromise” on what to call a Common Core-aligned state test. It could choose between a test called PARCC (Partnership for Assessment of Readiness for College and Careers, created originally with Race to the Top funds as part of a U.S. Department of Education initiative) and a test called MCAS (Massachusetts Comprehensive Assessment System) mandated in the 1993 Massachusetts Education Reform Act and until 2010 based on the state’s pre-Common Core standards. By 2015, MCAS was based solely on Common Core’s standards, which the Board had adopted in 2010. The Board’s compromise was to call the one test it would henceforth give MCAS 2.0.</w:t>
      </w:r>
    </w:p>
    <w:p w14:paraId="79AC778A" w14:textId="77777777" w:rsidR="00D075EF" w:rsidRPr="009C7BA3" w:rsidRDefault="00D075EF" w:rsidP="00D075EF">
      <w:r w:rsidRPr="009C7BA3">
        <w:t>The compromise (over what to call a Common Core-aligned state test) grew out of controversy over the use of Common Core’s standards and the PARCC tests. In fact, a large statewide group consisting mainly of parents had sought to place a question on the November 2016 ballot allowing voters to decide whether they wanted to keep Common Core’s standards and tests. Gates Foundation grants to the Massachusetts Business Alliance for Education (over $400,000, according to an article in Bay State Parent) had enabled the alliance, a small organization that had played NO role in the development of the state’s first-class pre-Common Core standards, to hire Foley Hoag, a very expensive law firm in Boston, to challenge the constitutionality of the question that the Massachusetts Attorney General’s office had declared in 2014 was constitutional. Justice Margot Botsford on the state’s Supreme Judicial Court agreed with Foley Hoag’s peculiar legal reasoning that the release of used test items was unrelated to a test’s transparency and therefore took away the opportunity for the state’s voters to decide on the use of Common Core’s standards and tests. She declared unconstitutional the question that the Attorney General’s office had declared constitutional a year earlier. In addition, she apparently persuaded her colleagues on the court to follow her (and Foley Hoag’s) reasoning.</w:t>
      </w:r>
    </w:p>
    <w:p w14:paraId="6872DBFF" w14:textId="77777777" w:rsidR="00D075EF" w:rsidRPr="009C7BA3" w:rsidRDefault="00D075EF" w:rsidP="00D075EF">
      <w:r w:rsidRPr="009C7BA3">
        <w:t xml:space="preserve">MCAS 2.0 tests were given to Bay State students in March and April 2017. At this time, Rhode Island’s Department of Education decided to adopt these tests in place of PARCC’s tests, which had also been used in Rhode Island, although there, too, they were disliked by parents.  Even though MCAS 2.0 consists mainly of PARCC test items and has been called PARCC in disguise, we do not know if Rhode Island state officials really believe that tests called MCAS 2.0 resemble the original MCAS tests. </w:t>
      </w:r>
    </w:p>
    <w:p w14:paraId="196EB103" w14:textId="77777777" w:rsidR="00D075EF" w:rsidRPr="009C7BA3" w:rsidRDefault="00D075EF" w:rsidP="00D075EF">
      <w:r w:rsidRPr="009C7BA3">
        <w:t>Unfortunately, they bear no resemblance. (Example: original MCAS tests featured four teacher-corrected Open Responses at every tested grade level. The new test doesn’t.) But Rhode Island’s commissioner of education and his staff have so far told Rhode Island parents little about the source of the test items in MCAS 2.0. What is likely is that PARCC’s sale of its test items to Rhode Island (and possibly to other states in the future), on the deceptive grounds that tests called MCAS are different from tests known to be aligned to Common Core’s standards, would get PARCC out of its current financial hole.</w:t>
      </w:r>
    </w:p>
    <w:p w14:paraId="46897EBB" w14:textId="77777777" w:rsidR="00D075EF" w:rsidRPr="009C7BA3" w:rsidRDefault="00D075EF" w:rsidP="00D075EF">
      <w:r w:rsidRPr="009C7BA3">
        <w:t>More important, it would serve the Every Student Succeeds Act’s goal of nationalizing public education in this country. Other states may/might be encouraged by federal education officials’ peer reviewers to commit to tests called MCAS in the future, with common test items developed by PARCC and pass/fail scores determined by wizards behind a green curtain at the U.S. Department of Education — all designed to make parents everywhere think their state was using the original MCAS tests and the standards on which they had been based.</w:t>
      </w:r>
    </w:p>
    <w:p w14:paraId="23CFA015" w14:textId="77777777" w:rsidR="00D075EF" w:rsidRPr="009C7BA3" w:rsidRDefault="00D075EF" w:rsidP="00D075EF">
      <w:r w:rsidRPr="009C7BA3">
        <w:t>There has been NO transparency about who if anyone has vetted the contents of Common Core-aligned tests against the content of Trends in International Mathematics and Science Study tests in math and science and who would determine the pass/fail scores for all performance levels of “college readiness” tests in high school. As valuable as Pullmann’s current book is, parents badly need a follow-up — soon.</w:t>
      </w:r>
    </w:p>
    <w:p w14:paraId="6F3CF86E" w14:textId="77777777" w:rsidR="00D075EF" w:rsidRPr="009C7BA3" w:rsidRDefault="00D075EF" w:rsidP="00D075EF"/>
    <w:p w14:paraId="111373A6" w14:textId="77777777" w:rsidR="00D075EF" w:rsidRPr="009C7BA3" w:rsidRDefault="00D075EF" w:rsidP="00D075EF"/>
    <w:p w14:paraId="32485922" w14:textId="77777777" w:rsidR="00C410D1" w:rsidRPr="009C7BA3" w:rsidRDefault="00C410D1" w:rsidP="00D075EF"/>
    <w:p w14:paraId="1C903F2D" w14:textId="77777777" w:rsidR="00C410D1" w:rsidRPr="009C7BA3" w:rsidRDefault="00C410D1" w:rsidP="00C410D1">
      <w:pPr>
        <w:pStyle w:val="Heading2"/>
        <w:rPr>
          <w:rFonts w:cs="Arial"/>
        </w:rPr>
      </w:pPr>
    </w:p>
    <w:p w14:paraId="64D4624F" w14:textId="77777777" w:rsidR="00C410D1" w:rsidRPr="009C7BA3" w:rsidRDefault="00C410D1" w:rsidP="00C410D1">
      <w:pPr>
        <w:pStyle w:val="Heading2"/>
        <w:rPr>
          <w:rFonts w:cs="Arial"/>
        </w:rPr>
      </w:pPr>
      <w:r w:rsidRPr="009C7BA3">
        <w:rPr>
          <w:rFonts w:cs="Arial"/>
        </w:rPr>
        <w:t>at: deschooling k</w:t>
      </w:r>
    </w:p>
    <w:p w14:paraId="42CC5D0C" w14:textId="77777777" w:rsidR="00456DA5" w:rsidRPr="009C7BA3" w:rsidRDefault="00456DA5" w:rsidP="00456DA5">
      <w:pPr>
        <w:pStyle w:val="Heading3"/>
        <w:rPr>
          <w:rFonts w:cs="Arial"/>
        </w:rPr>
      </w:pPr>
      <w:r w:rsidRPr="009C7BA3">
        <w:rPr>
          <w:rFonts w:cs="Arial"/>
        </w:rPr>
        <w:t>compulsory education good</w:t>
      </w:r>
    </w:p>
    <w:p w14:paraId="351A61DD" w14:textId="77777777" w:rsidR="00456DA5" w:rsidRPr="009C7BA3" w:rsidRDefault="00456DA5" w:rsidP="00456DA5">
      <w:pPr>
        <w:rPr>
          <w:sz w:val="24"/>
        </w:rPr>
      </w:pPr>
    </w:p>
    <w:p w14:paraId="50292038" w14:textId="77777777" w:rsidR="00456DA5" w:rsidRPr="009C7BA3" w:rsidRDefault="00456DA5" w:rsidP="00456DA5">
      <w:pPr>
        <w:pStyle w:val="Heading4"/>
        <w:rPr>
          <w:rFonts w:cs="Arial"/>
        </w:rPr>
      </w:pPr>
      <w:r w:rsidRPr="009C7BA3">
        <w:rPr>
          <w:rFonts w:cs="Arial"/>
        </w:rPr>
        <w:t>Compulsory education is key to avoid high drop out rates – empirics check</w:t>
      </w:r>
    </w:p>
    <w:p w14:paraId="54C5E261" w14:textId="77777777" w:rsidR="00456DA5" w:rsidRPr="009C7BA3" w:rsidRDefault="00456DA5" w:rsidP="00456DA5">
      <w:r w:rsidRPr="009C7BA3">
        <w:rPr>
          <w:rStyle w:val="Style13ptBold"/>
        </w:rPr>
        <w:t>Oreopoulos 07</w:t>
      </w:r>
      <w:r w:rsidRPr="009C7BA3">
        <w:t xml:space="preserve"> (Phillip Oreopoulos is Professor of Economics and Public Policy at the University of Toronto.  He received his Ph.D. from the University of California, at Berkeley and his M.A. from the University of British Columbia. He is a Research Associate of the National Bureau of Economic Research and Research Fellow at the Canadian Institute For Advanced Research,  “Do dropouts drop out too soon? Wealth, health and happiness from compulsory schooling?”,  </w:t>
      </w:r>
      <w:r w:rsidRPr="009C7BA3">
        <w:rPr>
          <w:i/>
        </w:rPr>
        <w:t xml:space="preserve">Journal of Public Economics, </w:t>
      </w:r>
      <w:r w:rsidRPr="009C7BA3">
        <w:t>2-5-07, Accessed 7-24-17, http://oreopoulos.faculty.economics.utoronto.ca/wp-content/uploads/2014/03/Do-dropouts-drop-out-too-soon.pdf)</w:t>
      </w:r>
    </w:p>
    <w:p w14:paraId="468A7B81" w14:textId="77777777" w:rsidR="00456DA5" w:rsidRPr="009C7BA3" w:rsidRDefault="00456DA5" w:rsidP="00456DA5">
      <w:pPr>
        <w:rPr>
          <w:rStyle w:val="StyleUnderline"/>
        </w:rPr>
      </w:pPr>
      <w:r w:rsidRPr="009C7BA3">
        <w:rPr>
          <w:b/>
          <w:highlight w:val="green"/>
          <w:u w:val="single"/>
        </w:rPr>
        <w:t>Compulsory schooling laws affect those wanting to leave high school as soon as possible</w:t>
      </w:r>
      <w:r w:rsidRPr="009C7BA3">
        <w:t>. Individuals that go on to college are not likely to fall into this category. Therefore, as a check to the interpretation of the results in Table 1, we can look to see if compulsory schooling laws have no estimated effect on those with college.8 If we do estimate an effect</w:t>
      </w:r>
      <w:r w:rsidRPr="009C7BA3">
        <w:rPr>
          <w:rStyle w:val="StyleUnderline"/>
        </w:rPr>
        <w:t>, it could indicate that changes to other policies or economic conditions are going on and that these changes are the real reasons behind the results</w:t>
      </w:r>
      <w:r w:rsidRPr="009C7BA3">
        <w:t xml:space="preserve">. Column 3 and 6 show this is not the case, and </w:t>
      </w:r>
      <w:r w:rsidRPr="009C7BA3">
        <w:rPr>
          <w:rStyle w:val="StyleUnderline"/>
          <w:highlight w:val="green"/>
        </w:rPr>
        <w:t>the specification check holds</w:t>
      </w:r>
      <w:r w:rsidRPr="009C7BA3">
        <w:t xml:space="preserve">. For the sample with more than 12 years of schooling, none of the changes to the school-leaving age relate to their educational attainment or earnings. </w:t>
      </w:r>
      <w:r w:rsidRPr="009C7BA3">
        <w:rPr>
          <w:rStyle w:val="StyleUnderline"/>
        </w:rPr>
        <w:t xml:space="preserve">Table 2 also presents parallel results for Canada. </w:t>
      </w:r>
      <w:r w:rsidRPr="009C7BA3">
        <w:rPr>
          <w:rStyle w:val="StyleUnderline"/>
          <w:highlight w:val="green"/>
        </w:rPr>
        <w:t>The results are similar to those from the U.S. extract</w:t>
      </w:r>
      <w:r w:rsidRPr="009C7BA3">
        <w:rPr>
          <w:rStyle w:val="StyleUnderline"/>
        </w:rPr>
        <w:t xml:space="preserve">. </w:t>
      </w:r>
      <w:r w:rsidRPr="009C7BA3">
        <w:rPr>
          <w:rStyle w:val="StyleUnderline"/>
          <w:b/>
          <w:highlight w:val="green"/>
        </w:rPr>
        <w:t>High school grade attainment is 0.41 grades higher, on average, for those that faced a dropout age of 14, compared to those that faced a lower age limit</w:t>
      </w:r>
      <w:r w:rsidRPr="009C7BA3">
        <w:rPr>
          <w:rStyle w:val="StyleUnderline"/>
          <w:highlight w:val="green"/>
        </w:rPr>
        <w:t xml:space="preserve">. </w:t>
      </w:r>
      <w:r w:rsidRPr="009C7BA3">
        <w:rPr>
          <w:rStyle w:val="StyleUnderline"/>
          <w:b/>
          <w:highlight w:val="green"/>
        </w:rPr>
        <w:t>Grade attainment is 0.23 years higher on top of that</w:t>
      </w:r>
      <w:r w:rsidRPr="009C7BA3">
        <w:rPr>
          <w:rStyle w:val="StyleUnderline"/>
        </w:rPr>
        <w:t>, for the group of Canadian youths that faced a dropout age of 15 or 16.</w:t>
      </w:r>
    </w:p>
    <w:p w14:paraId="49B0DCA7" w14:textId="77777777" w:rsidR="00C410D1" w:rsidRPr="009C7BA3" w:rsidRDefault="00C410D1" w:rsidP="00C410D1">
      <w:pPr>
        <w:pStyle w:val="Heading3"/>
        <w:rPr>
          <w:rFonts w:cs="Arial"/>
        </w:rPr>
      </w:pPr>
      <w:r w:rsidRPr="009C7BA3">
        <w:rPr>
          <w:rFonts w:cs="Arial"/>
        </w:rPr>
        <w:t>at: community schools</w:t>
      </w:r>
    </w:p>
    <w:p w14:paraId="210DD5E0" w14:textId="77777777" w:rsidR="00C410D1" w:rsidRPr="009C7BA3" w:rsidRDefault="00C410D1" w:rsidP="00C410D1"/>
    <w:p w14:paraId="2AD2B8BC" w14:textId="77777777" w:rsidR="00CE4E94" w:rsidRPr="009C7BA3" w:rsidRDefault="00CE4E94" w:rsidP="00B25EE7">
      <w:pPr>
        <w:pStyle w:val="Heading4"/>
        <w:rPr>
          <w:rFonts w:cs="Arial"/>
        </w:rPr>
      </w:pPr>
      <w:r w:rsidRPr="009C7BA3">
        <w:rPr>
          <w:rFonts w:cs="Arial"/>
        </w:rPr>
        <w:t>Community Schools fail, instill poverty and encourage inequality. Typical public schools solve</w:t>
      </w:r>
    </w:p>
    <w:p w14:paraId="7105CD46" w14:textId="77777777" w:rsidR="00CE4E94" w:rsidRPr="009C7BA3" w:rsidRDefault="00CE4E94" w:rsidP="00CE4E94">
      <w:r w:rsidRPr="009C7BA3">
        <w:rPr>
          <w:rStyle w:val="Style13ptBold"/>
        </w:rPr>
        <w:t xml:space="preserve">Spencer, 14’ </w:t>
      </w:r>
      <w:r w:rsidRPr="009C7BA3">
        <w:t>(“The Uncomfortable Reality of Community Schools” http://www.pbs.org/wgbh/frontline/article/the-uncomfortable-reality-of-community-schools/ Kyle Spencer is a reporter who writes for PBS about education and co-producer of Separate and Unequal. 7-15-14) ES</w:t>
      </w:r>
    </w:p>
    <w:p w14:paraId="06A0F37D" w14:textId="77777777" w:rsidR="00CE4E94" w:rsidRPr="009C7BA3" w:rsidRDefault="00CE4E94" w:rsidP="00CE4E94">
      <w:pPr>
        <w:rPr>
          <w:sz w:val="14"/>
        </w:rPr>
      </w:pPr>
      <w:r w:rsidRPr="009C7BA3">
        <w:rPr>
          <w:sz w:val="14"/>
        </w:rPr>
        <w:t>Students in East Baton Rouge Parish, La</w:t>
      </w:r>
      <w:r w:rsidRPr="009C7BA3">
        <w:rPr>
          <w:u w:val="single"/>
        </w:rPr>
        <w:t xml:space="preserve">. </w:t>
      </w:r>
      <w:r w:rsidRPr="009C7BA3">
        <w:rPr>
          <w:highlight w:val="yellow"/>
          <w:u w:val="single"/>
        </w:rPr>
        <w:t>Neighborhood schools: Hard to take issue with such a wholesome concept, right?</w:t>
      </w:r>
      <w:r w:rsidRPr="009C7BA3">
        <w:rPr>
          <w:sz w:val="14"/>
        </w:rPr>
        <w:t xml:space="preserve"> Kids walking to school, backpacks slung over their shoulders</w:t>
      </w:r>
      <w:r w:rsidRPr="009C7BA3">
        <w:rPr>
          <w:u w:val="single"/>
        </w:rPr>
        <w:t xml:space="preserve">. </w:t>
      </w:r>
      <w:r w:rsidRPr="009C7BA3">
        <w:rPr>
          <w:highlight w:val="yellow"/>
          <w:u w:val="single"/>
        </w:rPr>
        <w:t>Unless your neighborhood is one of the thousands across America’s blighted urban landscape, where kids, mostly minority and mostly poor, attend struggling schools</w:t>
      </w:r>
      <w:r w:rsidRPr="009C7BA3">
        <w:rPr>
          <w:sz w:val="14"/>
        </w:rPr>
        <w:t xml:space="preserve">. Here’s the uncomfortable reality surrounding today’s neighborhood and community schools movement: </w:t>
      </w:r>
      <w:r w:rsidRPr="009C7BA3">
        <w:rPr>
          <w:highlight w:val="yellow"/>
          <w:u w:val="single"/>
        </w:rPr>
        <w:t>More often than not these schools are racially and economically segregated</w:t>
      </w:r>
      <w:r w:rsidRPr="009C7BA3">
        <w:rPr>
          <w:sz w:val="14"/>
        </w:rPr>
        <w:t xml:space="preserve">, </w:t>
      </w:r>
      <w:r w:rsidRPr="009C7BA3">
        <w:rPr>
          <w:u w:val="single"/>
        </w:rPr>
        <w:t xml:space="preserve">and </w:t>
      </w:r>
      <w:r w:rsidRPr="009C7BA3">
        <w:rPr>
          <w:highlight w:val="yellow"/>
          <w:u w:val="single"/>
        </w:rPr>
        <w:t>the parents who relish them are largely the middle class</w:t>
      </w:r>
      <w:r w:rsidRPr="009C7BA3">
        <w:rPr>
          <w:sz w:val="14"/>
        </w:rPr>
        <w:t xml:space="preserve"> and the rich. “</w:t>
      </w:r>
      <w:r w:rsidRPr="009C7BA3">
        <w:rPr>
          <w:highlight w:val="yellow"/>
          <w:u w:val="single"/>
        </w:rPr>
        <w:t>The impulse to want a neighborhood school for your children is understandable</w:t>
      </w:r>
      <w:r w:rsidRPr="009C7BA3">
        <w:rPr>
          <w:sz w:val="14"/>
        </w:rPr>
        <w:t xml:space="preserve">,” says Warren Simmons, executive director of The Annenberg Institute for School Reform at Brown University. But because schools in upper middle class, white neighborhoods are often better performing than ones in poor African-American and Latino neighborhoods, he says, </w:t>
      </w:r>
      <w:r w:rsidRPr="009C7BA3">
        <w:rPr>
          <w:highlight w:val="yellow"/>
          <w:u w:val="single"/>
        </w:rPr>
        <w:t>when you promote them, you are essentially promoting inequality. “You are part of the problem</w:t>
      </w:r>
      <w:r w:rsidRPr="009C7BA3">
        <w:rPr>
          <w:sz w:val="14"/>
          <w:highlight w:val="yellow"/>
        </w:rPr>
        <w:t>,</w:t>
      </w:r>
      <w:r w:rsidRPr="009C7BA3">
        <w:rPr>
          <w:sz w:val="14"/>
        </w:rPr>
        <w:t>” Simmons says, “</w:t>
      </w:r>
      <w:r w:rsidRPr="009C7BA3">
        <w:rPr>
          <w:highlight w:val="yellow"/>
          <w:u w:val="single"/>
        </w:rPr>
        <w:t>not part of the solution</w:t>
      </w:r>
      <w:r w:rsidRPr="009C7BA3">
        <w:rPr>
          <w:sz w:val="14"/>
        </w:rPr>
        <w:t>.” But that is certainly not how the leaders of community school movements across the country view their cause – as we saw while reporting Separate and Unequal. In Baton Rouge, like in many cities, parents say they are trying to reverse what even experts agree has been a flawed experiment in school desegregation. They say they are responding to integration efforts that have failed their children – even as those programs tried to correct longstanding racial injustices. “It’s about bringing community back to our school systems and bringing schools back to our community,“ says Norman Browning, leader of the group, Local Schools for Local Children, which is based in St. George, a mostly middle-class enclave on the southeastern edge of Baton Rouge. Browning’s group has been behind an effort to break away from the East Baton Rouge Parish School District and form a new independent school system. Browning says the effort is not about race, noting that there would be black families in the new district. He says it’s about getting kids the best education possible — in their own neighborhoods, as opposed to “transporting children out of the neighborhoods to go clear across town to go to school.” “</w:t>
      </w:r>
      <w:r w:rsidRPr="009C7BA3">
        <w:rPr>
          <w:highlight w:val="yellow"/>
          <w:u w:val="single"/>
        </w:rPr>
        <w:t>They’re failing our children because our children are not getting the education they deserve,</w:t>
      </w:r>
      <w:r w:rsidRPr="009C7BA3">
        <w:rPr>
          <w:sz w:val="14"/>
        </w:rPr>
        <w:t xml:space="preserve">” he says. Browning’s allies point to previous efforts to develop neighborhood schools that they say often end up being more diverse than their detractors let on. One day last fall, State Senator Mack “Bodi” White (R) gave us a tour of a high school in a district that broke away in 2002. While Zachary High School is less economically and racially diverse than the average Louisiana district, around 40 percent of the students are African-American and more than a third of them receive free or reduced lunch, according state education figures. What’s more, in 2013, the school got an “A” rating from the state. “What a lot of people don’t understand is that this isn’t a real wealthy suburb district,” says White, adding, “This is middle-class, working people, and even more than that, there’s diversity.” Community School Movements Across the Country Many community school movements — such as those in Georgia, Tennessee, California, Pennsylvania, Utah, Texas and Iowa — are born out of frustration. Parents say they are tired of negotiating with the leaders of struggling school districts whose priorities are often split between those of higher-achieving children and at-risk kids. In Malibu, Calif., a group of parents are seeking to break away from a school district they now share with the less well-off community of Santa Monica. They want to inject more arts programs into their schools and renovate the facilities without having to answer to a seven-member school board that also wants to devote money to math and literacy programs for struggling learners in Santa Monica. Outside of Memphis, Tenn., parents in several middle-class communities that have recently broken away say they did so to achieve more “local control.” They are planning on infusing more technology into elementary school classrooms, and college prep classes into their high schools. Economics also plays a role. In the Salt Lake City, Utah area, middle- and upper-class communities that have sought to break away have lured converts by insisting a split would positively impact their property values. And in Baton Rouge, Browning says both the housing market and local industry have suffered in his community because young employees don’t want to buy homes in a school district where more than 40 percent of the schools received a D or F rating in 2013. “A lot of what is motivating these middle-class families is economic stress,” says Amy Stuart Wells, a professor of sociology and education at Columbia University’s Teachers College. Her recent study on schools in the New York City suburbs found that even as those areas have gotten more diverse, their schools have remained heavily segregated. So What Happens Next? All this is happening against a startling backdrop: American schools are more segregated than they were in 1968. In 2011, close to 80 percent of the nation’s African-American students were enrolled in mostly minority schools, according to a report released by The Civil Rights Project at the University of California, Los Angeles. The report, which is a comprehensive effort to examine the current make-up of American schools, has put the spotlight on the community school movement and its role in the re-segregation trend. And there is another hidden twist in this whole debate: </w:t>
      </w:r>
      <w:r w:rsidRPr="009C7BA3">
        <w:rPr>
          <w:highlight w:val="yellow"/>
          <w:u w:val="single"/>
        </w:rPr>
        <w:t>Re-segregation runs counter to seminal education research. Educators have come to understand that what really helps poor kids get ahead is exposure to middle-class students and their families</w:t>
      </w:r>
      <w:r w:rsidRPr="009C7BA3">
        <w:rPr>
          <w:sz w:val="14"/>
        </w:rPr>
        <w:t xml:space="preserve">. This was first documented by researcher James Coleman in his legendary 1966 Coleman Report and it was reaffirmed in a 1997 national study, authorized by Congress. So, what to do? Richard D. Kahlenberg, a senior fellow at The Century Foundation, has a plan. For years, </w:t>
      </w:r>
      <w:r w:rsidRPr="009C7BA3">
        <w:rPr>
          <w:highlight w:val="yellow"/>
          <w:u w:val="single"/>
        </w:rPr>
        <w:t>he</w:t>
      </w:r>
      <w:r w:rsidRPr="009C7BA3">
        <w:rPr>
          <w:sz w:val="14"/>
        </w:rPr>
        <w:t xml:space="preserve"> has </w:t>
      </w:r>
      <w:r w:rsidRPr="009C7BA3">
        <w:rPr>
          <w:highlight w:val="yellow"/>
          <w:u w:val="single"/>
        </w:rPr>
        <w:t>urged school districts to assign students based on their economic make-up</w:t>
      </w:r>
      <w:r w:rsidRPr="009C7BA3">
        <w:rPr>
          <w:sz w:val="14"/>
        </w:rPr>
        <w:t>, particularly</w:t>
      </w:r>
      <w:r w:rsidRPr="009C7BA3">
        <w:rPr>
          <w:u w:val="single"/>
        </w:rPr>
        <w:t xml:space="preserve"> </w:t>
      </w:r>
      <w:r w:rsidRPr="009C7BA3">
        <w:rPr>
          <w:highlight w:val="yellow"/>
          <w:u w:val="single"/>
        </w:rPr>
        <w:t>through magnet schools</w:t>
      </w:r>
      <w:r w:rsidRPr="009C7BA3">
        <w:rPr>
          <w:sz w:val="14"/>
        </w:rPr>
        <w:t xml:space="preserve">, which pull students from across a district to attend schools with themed programs or areas of concentration. It is a plan that has, in recent years, garnered a fair amount of publicity, in large part because of a 2007 Supreme Court ruling that curbed school districts’ ability to assign students to schools based on race. During our time in Baton Rouge, we saw some of these schools. And people on both sides of the breakaway debate agree that they are impressive — but not necessarily the solution. The truly </w:t>
      </w:r>
      <w:r w:rsidRPr="009C7BA3">
        <w:rPr>
          <w:highlight w:val="yellow"/>
          <w:u w:val="single"/>
        </w:rPr>
        <w:t>high-performing magnet schools</w:t>
      </w:r>
      <w:r w:rsidRPr="009C7BA3">
        <w:rPr>
          <w:sz w:val="14"/>
        </w:rPr>
        <w:t xml:space="preserve"> in Baton Rouge </w:t>
      </w:r>
      <w:r w:rsidRPr="009C7BA3">
        <w:rPr>
          <w:highlight w:val="yellow"/>
          <w:u w:val="single"/>
        </w:rPr>
        <w:t>are good</w:t>
      </w:r>
      <w:r w:rsidRPr="009C7BA3">
        <w:rPr>
          <w:sz w:val="14"/>
        </w:rPr>
        <w:t>, in large part, because they screen students, admitting only the ones who have scored well on standardized tests. Then where does that leave a middle-class student who is not “gifted” or a high scorer? One mother that we spoke to in Baton Rouge said her daughter had not been admitted to one of these magnet schools. She ended up in one of the district’s struggling high schools. The mother is now advocating for the breakaway district. Across the nation, test scores and dropout rates suggest that many school districts are ill equipped to deal with these challenges. Only 5 percent of African-American students leaving high school are ready for college, according to a 2013 ACT College Admissions readiness report, and a quarter of high school seniors read below grade level. So, until educators can persuade parents — regardless of race — that they have a viable plan that works for everyone, it’s very likely that the breakaway movements are here to stay.</w:t>
      </w:r>
    </w:p>
    <w:p w14:paraId="67A9BC07" w14:textId="77777777" w:rsidR="00CE4E94" w:rsidRPr="009C7BA3" w:rsidRDefault="00CE4E94" w:rsidP="00CE4E94">
      <w:r w:rsidRPr="009C7BA3">
        <w:t xml:space="preserve">  </w:t>
      </w:r>
    </w:p>
    <w:p w14:paraId="759F4C87" w14:textId="77777777" w:rsidR="00C410D1" w:rsidRPr="009C7BA3" w:rsidRDefault="00C410D1" w:rsidP="00C410D1">
      <w:pPr>
        <w:pStyle w:val="Heading4"/>
        <w:rPr>
          <w:rFonts w:cs="Arial"/>
        </w:rPr>
      </w:pPr>
      <w:r w:rsidRPr="009C7BA3">
        <w:rPr>
          <w:rFonts w:cs="Arial"/>
        </w:rPr>
        <w:t>Community Schools make racism worse</w:t>
      </w:r>
    </w:p>
    <w:p w14:paraId="7B47DE23" w14:textId="77777777" w:rsidR="00C410D1" w:rsidRPr="009C7BA3" w:rsidRDefault="00C410D1" w:rsidP="003F1B37">
      <w:pPr>
        <w:rPr>
          <w:rStyle w:val="Style13ptBold"/>
        </w:rPr>
      </w:pPr>
      <w:r w:rsidRPr="009C7BA3">
        <w:rPr>
          <w:rStyle w:val="Style13ptBold"/>
        </w:rPr>
        <w:t>Spencer 14</w:t>
      </w:r>
    </w:p>
    <w:p w14:paraId="0F21D1BD" w14:textId="77777777" w:rsidR="00C410D1" w:rsidRPr="009C7BA3" w:rsidRDefault="00C410D1" w:rsidP="003F1B37">
      <w:r w:rsidRPr="009C7BA3">
        <w:t xml:space="preserve">Kyle Spencer, a journalist for PBS, the Uncomfortable reality of Community Schools, PBS,  </w:t>
      </w:r>
      <w:hyperlink r:id="rId18" w:history="1">
        <w:r w:rsidRPr="009C7BA3">
          <w:rPr>
            <w:rStyle w:val="Hyperlink"/>
          </w:rPr>
          <w:t>http://www.pbs.org/wgbh/frontline/person/kyle-spencer/</w:t>
        </w:r>
      </w:hyperlink>
      <w:r w:rsidRPr="009C7BA3">
        <w:t>, July 15, 2014</w:t>
      </w:r>
    </w:p>
    <w:p w14:paraId="1F77FE3A" w14:textId="77777777" w:rsidR="00C410D1" w:rsidRPr="009C7BA3" w:rsidRDefault="00C410D1" w:rsidP="00C410D1">
      <w:r w:rsidRPr="009C7BA3">
        <w:t>Neighborhood schools: Hard to take issue with such a wholesome concept, right? Kids walking to school, backpacks slung over their shoulders.</w:t>
      </w:r>
    </w:p>
    <w:p w14:paraId="5960C43F" w14:textId="77777777" w:rsidR="00C410D1" w:rsidRPr="009C7BA3" w:rsidRDefault="00C410D1" w:rsidP="00C410D1">
      <w:pPr>
        <w:rPr>
          <w:u w:val="single"/>
        </w:rPr>
      </w:pPr>
      <w:r w:rsidRPr="009C7BA3">
        <w:rPr>
          <w:highlight w:val="yellow"/>
          <w:u w:val="single"/>
        </w:rPr>
        <w:t>Unless your neighborhood is one of the thousands across America’s blighted urban landscape, where kids, mostly minority and mostly poor, attend struggling schools.</w:t>
      </w:r>
    </w:p>
    <w:p w14:paraId="7055822B" w14:textId="77777777" w:rsidR="00C410D1" w:rsidRPr="009C7BA3" w:rsidRDefault="00C410D1" w:rsidP="00C410D1">
      <w:pPr>
        <w:rPr>
          <w:u w:val="single"/>
        </w:rPr>
      </w:pPr>
      <w:r w:rsidRPr="009C7BA3">
        <w:rPr>
          <w:highlight w:val="yellow"/>
          <w:u w:val="single"/>
        </w:rPr>
        <w:t>Here’s the uncomfortable reality surrounding today’s neighborhood and community schools movement: More often than not these schools are racially and economically segregated, and the parents who relish them are largely the middle class and the rich.</w:t>
      </w:r>
    </w:p>
    <w:p w14:paraId="1B6FB14C" w14:textId="77777777" w:rsidR="00C410D1" w:rsidRPr="009C7BA3" w:rsidRDefault="00C410D1" w:rsidP="00C410D1">
      <w:pPr>
        <w:rPr>
          <w:highlight w:val="yellow"/>
          <w:u w:val="single"/>
        </w:rPr>
      </w:pPr>
      <w:r w:rsidRPr="009C7BA3">
        <w:t xml:space="preserve">“The impulse to want a neighborhood school for your children is understandable,” says Warren Simmons, executive director of The Annenberg Institute for School Reform at Brown University. </w:t>
      </w:r>
      <w:r w:rsidRPr="009C7BA3">
        <w:rPr>
          <w:highlight w:val="yellow"/>
          <w:u w:val="single"/>
        </w:rPr>
        <w:t>But because schools in upper middle class, white neighborhoods are often better performing than ones in poor African-American and Latino neighborhoods, he says, when you promote them, you are essentially promoting inequality.</w:t>
      </w:r>
    </w:p>
    <w:p w14:paraId="26F165E3" w14:textId="77777777" w:rsidR="00C410D1" w:rsidRPr="009C7BA3" w:rsidRDefault="00C410D1" w:rsidP="00C410D1">
      <w:pPr>
        <w:rPr>
          <w:u w:val="single"/>
        </w:rPr>
      </w:pPr>
      <w:r w:rsidRPr="009C7BA3">
        <w:rPr>
          <w:highlight w:val="yellow"/>
          <w:u w:val="single"/>
        </w:rPr>
        <w:t>“You are part of the problem,” Simmons says, “not part of the solution.”</w:t>
      </w:r>
    </w:p>
    <w:p w14:paraId="15DE6E90" w14:textId="77777777" w:rsidR="00C410D1" w:rsidRPr="009C7BA3" w:rsidRDefault="00C410D1" w:rsidP="00C410D1"/>
    <w:p w14:paraId="11444D87" w14:textId="77777777" w:rsidR="00C410D1" w:rsidRPr="009C7BA3" w:rsidRDefault="00C410D1" w:rsidP="00C410D1">
      <w:pPr>
        <w:pStyle w:val="Heading4"/>
        <w:rPr>
          <w:rFonts w:cs="Arial"/>
        </w:rPr>
      </w:pPr>
      <w:r w:rsidRPr="009C7BA3">
        <w:rPr>
          <w:rFonts w:cs="Arial"/>
        </w:rPr>
        <w:t>Community schools result in more segregation</w:t>
      </w:r>
    </w:p>
    <w:p w14:paraId="045EE4E6" w14:textId="77777777" w:rsidR="00C410D1" w:rsidRPr="009C7BA3" w:rsidRDefault="00C410D1" w:rsidP="003F1B37">
      <w:pPr>
        <w:rPr>
          <w:rStyle w:val="Style13ptBold"/>
        </w:rPr>
      </w:pPr>
      <w:r w:rsidRPr="009C7BA3">
        <w:rPr>
          <w:rStyle w:val="Style13ptBold"/>
        </w:rPr>
        <w:t>Spencer 14</w:t>
      </w:r>
    </w:p>
    <w:p w14:paraId="47800F84" w14:textId="77777777" w:rsidR="00C410D1" w:rsidRPr="009C7BA3" w:rsidRDefault="00C410D1" w:rsidP="003F1B37">
      <w:r w:rsidRPr="009C7BA3">
        <w:t xml:space="preserve">Kyle Spencer, a journalist for PBS, the Uncomfortable reality of Community Schools, PBS,  </w:t>
      </w:r>
      <w:hyperlink r:id="rId19" w:history="1">
        <w:r w:rsidRPr="009C7BA3">
          <w:rPr>
            <w:rStyle w:val="Hyperlink"/>
          </w:rPr>
          <w:t>http://www.pbs.org/wgbh/frontline/person/kyle-spencer/</w:t>
        </w:r>
      </w:hyperlink>
      <w:r w:rsidRPr="009C7BA3">
        <w:t>, July 15, 2014</w:t>
      </w:r>
    </w:p>
    <w:p w14:paraId="16E00B21" w14:textId="77777777" w:rsidR="00C410D1" w:rsidRPr="009C7BA3" w:rsidRDefault="00C410D1" w:rsidP="00C410D1">
      <w:r w:rsidRPr="009C7BA3">
        <w:rPr>
          <w:highlight w:val="yellow"/>
        </w:rPr>
        <w:t>All this is happening against a startling backdrop: American schools are more segregated than they were in 1968.</w:t>
      </w:r>
    </w:p>
    <w:p w14:paraId="2C17B21A" w14:textId="77777777" w:rsidR="00C410D1" w:rsidRPr="009C7BA3" w:rsidRDefault="00C410D1" w:rsidP="00C410D1">
      <w:r w:rsidRPr="009C7BA3">
        <w:rPr>
          <w:highlight w:val="yellow"/>
        </w:rPr>
        <w:t>In 2011, close to 80 percent of the nation’s African-American students were enrolled in mostly minority schools, according to a report released by The Civil Rights Project at the University of California, Los Angeles.</w:t>
      </w:r>
    </w:p>
    <w:p w14:paraId="2418635E" w14:textId="77777777" w:rsidR="00C410D1" w:rsidRPr="009C7BA3" w:rsidRDefault="00C410D1" w:rsidP="00C410D1">
      <w:r w:rsidRPr="009C7BA3">
        <w:rPr>
          <w:highlight w:val="yellow"/>
        </w:rPr>
        <w:t>The report, which is a comprehensive effort to examine the current make-up of American schools, has put the spotlight on the community school movement and its role in the re-segregation trend.</w:t>
      </w:r>
    </w:p>
    <w:p w14:paraId="56A8D168" w14:textId="77777777" w:rsidR="00C410D1" w:rsidRPr="009C7BA3" w:rsidRDefault="00C410D1" w:rsidP="00C410D1">
      <w:r w:rsidRPr="009C7BA3">
        <w:t>And there is another hidden twist in this whole debate: Re-segregation runs counter to seminal education research. Educators have come to understand that what really helps poor kids get ahead is exposure to middle-class students and their families. This was first documented by researcher James Coleman in his legendary 1966 Coleman Report and it was reaffirmed in a 1997 national study, authorized by Congress.</w:t>
      </w:r>
    </w:p>
    <w:p w14:paraId="25766ED4" w14:textId="77777777" w:rsidR="00C410D1" w:rsidRPr="009C7BA3" w:rsidRDefault="00C410D1" w:rsidP="00C410D1"/>
    <w:p w14:paraId="4B869202" w14:textId="77777777" w:rsidR="00B25EE7" w:rsidRPr="009C7BA3" w:rsidRDefault="00B25EE7" w:rsidP="00C410D1"/>
    <w:p w14:paraId="049C2C26" w14:textId="77777777" w:rsidR="00B25EE7" w:rsidRPr="009C7BA3" w:rsidRDefault="00B25EE7" w:rsidP="00B25EE7">
      <w:pPr>
        <w:pStyle w:val="Heading3"/>
        <w:rPr>
          <w:rFonts w:cs="Arial"/>
        </w:rPr>
      </w:pPr>
      <w:r w:rsidRPr="009C7BA3">
        <w:rPr>
          <w:rFonts w:cs="Arial"/>
        </w:rPr>
        <w:t>at: sustainability learning</w:t>
      </w:r>
    </w:p>
    <w:p w14:paraId="765663FA" w14:textId="77777777" w:rsidR="00B25EE7" w:rsidRPr="009C7BA3" w:rsidRDefault="00B25EE7" w:rsidP="00B25EE7"/>
    <w:p w14:paraId="6B46542C" w14:textId="77777777" w:rsidR="00B25EE7" w:rsidRPr="009C7BA3" w:rsidRDefault="00B25EE7" w:rsidP="00B25EE7">
      <w:pPr>
        <w:pStyle w:val="Heading4"/>
        <w:rPr>
          <w:rFonts w:cs="Arial"/>
        </w:rPr>
      </w:pPr>
      <w:r w:rsidRPr="009C7BA3">
        <w:rPr>
          <w:rFonts w:cs="Arial"/>
        </w:rPr>
        <w:t>Sustainability learning doesn’t work – it’s detrimental to humanities education</w:t>
      </w:r>
    </w:p>
    <w:p w14:paraId="0417FA9F" w14:textId="77777777" w:rsidR="00B25EE7" w:rsidRPr="009C7BA3" w:rsidRDefault="00B25EE7" w:rsidP="00B25EE7">
      <w:r w:rsidRPr="009C7BA3">
        <w:rPr>
          <w:rStyle w:val="Style13ptBold"/>
        </w:rPr>
        <w:t>Feat 10</w:t>
      </w:r>
      <w:r w:rsidRPr="009C7BA3">
        <w:t xml:space="preserve"> (Feat, Anne-Marine, has been a professor in the Modern Languages, Literatures and Linguistics department since 2006. Some of her course topics include Intermediate French, Francophone Literature and Culture, and Introduction to French Culture, “Teaching Sustianability in the Humanities Classroom?,” Associated Colleges of the Midwest, 6-2-10, Accessed: 7-22-17, https://serc.carleton.edu/acm_face/sustainability/workshop10/essays/feat.html)</w:t>
      </w:r>
    </w:p>
    <w:p w14:paraId="26F66920" w14:textId="77777777" w:rsidR="00B25EE7" w:rsidRPr="009C7BA3" w:rsidRDefault="00B25EE7" w:rsidP="00B25EE7">
      <w:pPr>
        <w:rPr>
          <w:sz w:val="24"/>
        </w:rPr>
      </w:pPr>
      <w:r w:rsidRPr="009C7BA3">
        <w:rPr>
          <w:sz w:val="24"/>
        </w:rPr>
        <w:t>Of course, one can teach about the natural world in Rousseau's Les Rêveries du Promeneur Solitaire and see it as a starting point for a critical analysis of the need for sustainability. However</w:t>
      </w:r>
      <w:r w:rsidRPr="009C7BA3">
        <w:rPr>
          <w:rStyle w:val="StyleUnderline"/>
          <w:sz w:val="24"/>
        </w:rPr>
        <w:t xml:space="preserve">, </w:t>
      </w:r>
      <w:r w:rsidRPr="009C7BA3">
        <w:rPr>
          <w:rStyle w:val="StyleUnderline"/>
          <w:b/>
          <w:sz w:val="24"/>
          <w:highlight w:val="green"/>
        </w:rPr>
        <w:t>not</w:t>
      </w:r>
      <w:r w:rsidRPr="009C7BA3">
        <w:rPr>
          <w:b/>
          <w:sz w:val="24"/>
          <w:highlight w:val="green"/>
        </w:rPr>
        <w:t xml:space="preserve"> </w:t>
      </w:r>
      <w:r w:rsidRPr="009C7BA3">
        <w:rPr>
          <w:rStyle w:val="StyleUnderline"/>
          <w:b/>
          <w:sz w:val="24"/>
          <w:highlight w:val="green"/>
        </w:rPr>
        <w:t>all novels</w:t>
      </w:r>
      <w:r w:rsidRPr="009C7BA3">
        <w:rPr>
          <w:b/>
          <w:sz w:val="24"/>
        </w:rPr>
        <w:t xml:space="preserve"> I teach </w:t>
      </w:r>
      <w:r w:rsidRPr="009C7BA3">
        <w:rPr>
          <w:rStyle w:val="StyleUnderline"/>
          <w:b/>
          <w:sz w:val="24"/>
          <w:highlight w:val="green"/>
        </w:rPr>
        <w:t>have a</w:t>
      </w:r>
      <w:r w:rsidRPr="009C7BA3">
        <w:rPr>
          <w:b/>
          <w:sz w:val="24"/>
          <w:highlight w:val="green"/>
          <w:u w:val="single"/>
        </w:rPr>
        <w:t xml:space="preserve"> natural world component nor is it always their main "point</w:t>
      </w:r>
      <w:r w:rsidRPr="009C7BA3">
        <w:rPr>
          <w:rStyle w:val="StyleUnderline"/>
          <w:b/>
          <w:sz w:val="24"/>
          <w:highlight w:val="green"/>
        </w:rPr>
        <w:t>"</w:t>
      </w:r>
      <w:r w:rsidRPr="009C7BA3">
        <w:rPr>
          <w:rStyle w:val="StyleUnderline"/>
          <w:sz w:val="24"/>
        </w:rPr>
        <w:t xml:space="preserve">. </w:t>
      </w:r>
      <w:r w:rsidRPr="009C7BA3">
        <w:rPr>
          <w:rStyle w:val="StyleUnderline"/>
          <w:sz w:val="24"/>
          <w:highlight w:val="green"/>
        </w:rPr>
        <w:t>I am</w:t>
      </w:r>
      <w:r w:rsidRPr="009C7BA3">
        <w:rPr>
          <w:rStyle w:val="StyleUnderline"/>
          <w:sz w:val="24"/>
        </w:rPr>
        <w:t xml:space="preserve"> thus </w:t>
      </w:r>
      <w:r w:rsidRPr="009C7BA3">
        <w:rPr>
          <w:rStyle w:val="StyleUnderline"/>
          <w:sz w:val="24"/>
          <w:highlight w:val="green"/>
        </w:rPr>
        <w:t>weary that adopting the concept of academic sustainability at the forefront of the curriculum would</w:t>
      </w:r>
      <w:r w:rsidRPr="009C7BA3">
        <w:rPr>
          <w:rStyle w:val="StyleUnderline"/>
          <w:sz w:val="24"/>
        </w:rPr>
        <w:t xml:space="preserve"> just </w:t>
      </w:r>
      <w:r w:rsidRPr="009C7BA3">
        <w:rPr>
          <w:rStyle w:val="StyleUnderline"/>
          <w:sz w:val="24"/>
          <w:highlight w:val="green"/>
        </w:rPr>
        <w:t>be</w:t>
      </w:r>
      <w:r w:rsidRPr="009C7BA3">
        <w:rPr>
          <w:rStyle w:val="StyleUnderline"/>
          <w:sz w:val="24"/>
        </w:rPr>
        <w:t xml:space="preserve"> </w:t>
      </w:r>
      <w:r w:rsidRPr="009C7BA3">
        <w:rPr>
          <w:rStyle w:val="StyleUnderline"/>
          <w:b/>
          <w:sz w:val="24"/>
          <w:highlight w:val="green"/>
        </w:rPr>
        <w:t>another way of instrumentalizing the humanities in a context where we</w:t>
      </w:r>
      <w:r w:rsidRPr="009C7BA3">
        <w:rPr>
          <w:rStyle w:val="StyleUnderline"/>
          <w:b/>
          <w:sz w:val="24"/>
        </w:rPr>
        <w:t xml:space="preserve"> seemingly have </w:t>
      </w:r>
      <w:r w:rsidRPr="009C7BA3">
        <w:rPr>
          <w:rStyle w:val="StyleUnderline"/>
          <w:b/>
          <w:sz w:val="24"/>
          <w:highlight w:val="green"/>
        </w:rPr>
        <w:t>lost confidence in our ability to contribute directly to general education programs</w:t>
      </w:r>
      <w:r w:rsidRPr="009C7BA3">
        <w:rPr>
          <w:rStyle w:val="StyleUnderline"/>
          <w:sz w:val="24"/>
        </w:rPr>
        <w:t>.</w:t>
      </w:r>
      <w:r w:rsidRPr="009C7BA3">
        <w:rPr>
          <w:sz w:val="24"/>
        </w:rPr>
        <w:t xml:space="preserve"> Of course, talking about concepts such as sustainability is not a bad thing but </w:t>
      </w:r>
      <w:r w:rsidRPr="009C7BA3">
        <w:rPr>
          <w:rStyle w:val="StyleUnderline"/>
          <w:sz w:val="24"/>
          <w:highlight w:val="green"/>
        </w:rPr>
        <w:t>if it is my main "angle", am I not losing sight of what teaching literature should</w:t>
      </w:r>
      <w:r w:rsidRPr="009C7BA3">
        <w:rPr>
          <w:rStyle w:val="StyleUnderline"/>
          <w:sz w:val="24"/>
        </w:rPr>
        <w:t xml:space="preserve"> really </w:t>
      </w:r>
      <w:r w:rsidRPr="009C7BA3">
        <w:rPr>
          <w:rStyle w:val="StyleUnderline"/>
          <w:sz w:val="24"/>
          <w:highlight w:val="green"/>
        </w:rPr>
        <w:t>be about and just embracing a "mercenary redemption" of my discipline</w:t>
      </w:r>
      <w:r w:rsidRPr="009C7BA3">
        <w:rPr>
          <w:sz w:val="24"/>
        </w:rPr>
        <w:t>?</w:t>
      </w:r>
    </w:p>
    <w:p w14:paraId="562BAF6A" w14:textId="77777777" w:rsidR="00B25EE7" w:rsidRPr="009C7BA3" w:rsidRDefault="00B25EE7" w:rsidP="00B25EE7">
      <w:pPr>
        <w:rPr>
          <w:sz w:val="24"/>
        </w:rPr>
      </w:pPr>
    </w:p>
    <w:p w14:paraId="64F55796" w14:textId="77777777" w:rsidR="00B25EE7" w:rsidRPr="009C7BA3" w:rsidRDefault="00B25EE7" w:rsidP="00B25EE7"/>
    <w:p w14:paraId="332E0CC7" w14:textId="77777777" w:rsidR="00B25EE7" w:rsidRPr="009C7BA3" w:rsidRDefault="00B25EE7" w:rsidP="00C410D1"/>
    <w:p w14:paraId="08AD0EBB" w14:textId="77777777" w:rsidR="00C410D1" w:rsidRPr="009C7BA3" w:rsidRDefault="00C410D1" w:rsidP="00C410D1"/>
    <w:p w14:paraId="721AC6A4" w14:textId="77777777" w:rsidR="002072CE" w:rsidRPr="009C7BA3" w:rsidRDefault="002072CE" w:rsidP="002072CE">
      <w:pPr>
        <w:pStyle w:val="Heading1"/>
        <w:rPr>
          <w:rFonts w:cs="Arial"/>
        </w:rPr>
      </w:pPr>
    </w:p>
    <w:p w14:paraId="08436FF4" w14:textId="77777777" w:rsidR="002072CE" w:rsidRPr="009C7BA3" w:rsidRDefault="002072CE" w:rsidP="002072CE">
      <w:pPr>
        <w:pStyle w:val="Heading1"/>
        <w:rPr>
          <w:rFonts w:cs="Arial"/>
        </w:rPr>
      </w:pPr>
      <w:r w:rsidRPr="009C7BA3">
        <w:rPr>
          <w:rFonts w:cs="Arial"/>
        </w:rPr>
        <w:t>trans- bathroom aff</w:t>
      </w:r>
    </w:p>
    <w:p w14:paraId="1E2A862F" w14:textId="77777777" w:rsidR="002072CE" w:rsidRPr="009C7BA3" w:rsidRDefault="002072CE" w:rsidP="002072CE">
      <w:pPr>
        <w:pStyle w:val="Heading3"/>
        <w:rPr>
          <w:rFonts w:cs="Arial"/>
        </w:rPr>
      </w:pPr>
      <w:r w:rsidRPr="009C7BA3">
        <w:rPr>
          <w:rFonts w:cs="Arial"/>
        </w:rPr>
        <w:t>at: francois goes neg</w:t>
      </w:r>
    </w:p>
    <w:p w14:paraId="606A88CC" w14:textId="77777777" w:rsidR="002072CE" w:rsidRPr="009C7BA3" w:rsidRDefault="002072CE" w:rsidP="002072CE"/>
    <w:p w14:paraId="720EDE23" w14:textId="77777777" w:rsidR="002072CE" w:rsidRPr="009C7BA3" w:rsidRDefault="002072CE" w:rsidP="002072CE">
      <w:pPr>
        <w:pStyle w:val="Heading4"/>
        <w:rPr>
          <w:rFonts w:cs="Arial"/>
        </w:rPr>
      </w:pPr>
      <w:r w:rsidRPr="009C7BA3">
        <w:rPr>
          <w:rFonts w:cs="Arial"/>
        </w:rPr>
        <w:t>Be skeptical of single paragraphs out of context – trans- discrimination exists in other forms, but access to bathrooms can still mean the difference between life and death for trans- people of color</w:t>
      </w:r>
    </w:p>
    <w:p w14:paraId="3F6CD15C" w14:textId="77777777" w:rsidR="002072CE" w:rsidRPr="009C7BA3" w:rsidRDefault="002072CE" w:rsidP="002072CE">
      <w:pPr>
        <w:rPr>
          <w:rStyle w:val="Style13ptBold"/>
        </w:rPr>
      </w:pPr>
      <w:r w:rsidRPr="009C7BA3">
        <w:rPr>
          <w:rStyle w:val="Style13ptBold"/>
        </w:rPr>
        <w:t>Francois ‘17</w:t>
      </w:r>
    </w:p>
    <w:p w14:paraId="4CA89EF2" w14:textId="77777777" w:rsidR="002072CE" w:rsidRPr="009C7BA3" w:rsidRDefault="002072CE" w:rsidP="002072CE">
      <w:pPr>
        <w:rPr>
          <w:sz w:val="18"/>
          <w:szCs w:val="18"/>
        </w:rPr>
      </w:pPr>
      <w:r w:rsidRPr="009C7BA3">
        <w:rPr>
          <w:sz w:val="18"/>
          <w:szCs w:val="18"/>
        </w:rPr>
        <w:t>et al; Aderson B. Francois currently serves as the Director for Institute for Public Representation Civil Rights Law Clinic as well as a Professor of Law at The Georgetown Law School. Prior to joining the Georgetown faculty, Professor Francois directed the Civil Rights Clinic at Howard University School of Law, where he also taught Constitutional Law, Federal Civil Rights, and Supreme Court Jurisprudence. Professor Francois received his J.D. and B.A. from New York University. While the author serves as the Counsel of Record for this Amicus Brief. it is important to note that this Amicus Brief is submitted on behalf of REAGAN GREENBERG, ACHIM HOWARD, ALEXA RODRIGUEZ, JEYMEE SEMITI, AVATARA SMITH-CARRINGTON, SAVANNA WANZER, &amp; SAM WILLIAMSON – who, identity as transgender people and individuals whose gender identity may not fit the rigid categorization of male or female. Amicus Brief - Gloucester County School Board, Petitioner, v. G.G., by his next friend and mother, Deirdre Grimm, Respondent. On Writ of Certiorari to the United States Court of Appeals for the Fourth Circuit - BRIEF OF AMICI CURIAE REAGAN GREENBERG, ACHIM HOWARD, ALEXA RODRIGUEZ, JEYMEE SEMITI, AVATARA SMITH-CARRINGTON, SAVANNA WANZER, &amp; SAM WILLIAMSON IN SUPPORT OF RESPONDENT - Available at SCOUTS blog – along with all amicus briefs on this matter- March – modified for language that may offend – - #CutWithKirby - http://www.scotusblog.com/wp-content/uploads/2017/03/16-273-resp-amicus-greenberg.pdf</w:t>
      </w:r>
    </w:p>
    <w:p w14:paraId="7BE692A9" w14:textId="77777777" w:rsidR="002072CE" w:rsidRPr="009C7BA3" w:rsidRDefault="002072CE" w:rsidP="002072CE"/>
    <w:p w14:paraId="57955B0C" w14:textId="77777777" w:rsidR="002072CE" w:rsidRPr="009C7BA3" w:rsidRDefault="002072CE" w:rsidP="002072CE">
      <w:r w:rsidRPr="009C7BA3">
        <w:t xml:space="preserve">C. </w:t>
      </w:r>
      <w:r w:rsidRPr="009C7BA3">
        <w:rPr>
          <w:rStyle w:val="StyleUnderline"/>
        </w:rPr>
        <w:t xml:space="preserve">The </w:t>
      </w:r>
      <w:r w:rsidRPr="009C7BA3">
        <w:rPr>
          <w:rStyle w:val="StyleUnderline"/>
          <w:highlight w:val="cyan"/>
        </w:rPr>
        <w:t>lived experiences of trans</w:t>
      </w:r>
      <w:r w:rsidRPr="009C7BA3">
        <w:t xml:space="preserve">gender </w:t>
      </w:r>
      <w:r w:rsidRPr="009C7BA3">
        <w:rPr>
          <w:rStyle w:val="StyleUnderline"/>
          <w:highlight w:val="cyan"/>
        </w:rPr>
        <w:t>people</w:t>
      </w:r>
      <w:r w:rsidRPr="009C7BA3">
        <w:t xml:space="preserve"> illustrate how today’s society </w:t>
      </w:r>
      <w:r w:rsidRPr="009C7BA3">
        <w:rPr>
          <w:rStyle w:val="Emphasis"/>
          <w:highlight w:val="cyan"/>
        </w:rPr>
        <w:t>strips them of</w:t>
      </w:r>
      <w:r w:rsidRPr="009C7BA3">
        <w:t xml:space="preserve"> human </w:t>
      </w:r>
      <w:r w:rsidRPr="009C7BA3">
        <w:rPr>
          <w:rStyle w:val="Emphasis"/>
          <w:highlight w:val="cyan"/>
        </w:rPr>
        <w:t>dignity</w:t>
      </w:r>
      <w:r w:rsidRPr="009C7BA3">
        <w:t xml:space="preserve"> </w:t>
      </w:r>
      <w:r w:rsidRPr="009C7BA3">
        <w:rPr>
          <w:rStyle w:val="StyleUnderline"/>
        </w:rPr>
        <w:t xml:space="preserve">in a manner </w:t>
      </w:r>
      <w:r w:rsidRPr="009C7BA3">
        <w:rPr>
          <w:rStyle w:val="StyleUnderline"/>
          <w:highlight w:val="cyan"/>
        </w:rPr>
        <w:t>similar to other</w:t>
      </w:r>
      <w:r w:rsidRPr="009C7BA3">
        <w:rPr>
          <w:rStyle w:val="StyleUnderline"/>
        </w:rPr>
        <w:t xml:space="preserve"> historically </w:t>
      </w:r>
      <w:r w:rsidRPr="009C7BA3">
        <w:rPr>
          <w:rStyle w:val="StyleUnderline"/>
          <w:highlight w:val="cyan"/>
        </w:rPr>
        <w:t>marginalized groups</w:t>
      </w:r>
      <w:r w:rsidRPr="009C7BA3">
        <w:t>.</w:t>
      </w:r>
    </w:p>
    <w:p w14:paraId="17D2CCBB" w14:textId="77777777" w:rsidR="002072CE" w:rsidRPr="009C7BA3" w:rsidRDefault="002072CE" w:rsidP="002072CE">
      <w:r w:rsidRPr="009C7BA3">
        <w:rPr>
          <w:rStyle w:val="StyleUnderline"/>
          <w:highlight w:val="cyan"/>
        </w:rPr>
        <w:t>If you can’t use the bathroom</w:t>
      </w:r>
      <w:r w:rsidRPr="009C7BA3">
        <w:t xml:space="preserve"> at your work, </w:t>
      </w:r>
      <w:r w:rsidRPr="009C7BA3">
        <w:rPr>
          <w:rStyle w:val="StyleUnderline"/>
          <w:highlight w:val="cyan"/>
        </w:rPr>
        <w:t>you can’t</w:t>
      </w:r>
      <w:r w:rsidRPr="009C7BA3">
        <w:rPr>
          <w:rStyle w:val="StyleUnderline"/>
        </w:rPr>
        <w:t xml:space="preserve"> go to </w:t>
      </w:r>
      <w:r w:rsidRPr="009C7BA3">
        <w:rPr>
          <w:rStyle w:val="StyleUnderline"/>
          <w:highlight w:val="cyan"/>
        </w:rPr>
        <w:t>work, and</w:t>
      </w:r>
      <w:r w:rsidRPr="009C7BA3">
        <w:rPr>
          <w:rStyle w:val="StyleUnderline"/>
        </w:rPr>
        <w:t xml:space="preserve"> if you can’t go to work, </w:t>
      </w:r>
      <w:r w:rsidRPr="009C7BA3">
        <w:rPr>
          <w:rStyle w:val="StyleUnderline"/>
          <w:highlight w:val="cyan"/>
        </w:rPr>
        <w:t>you can’t pay bills.</w:t>
      </w:r>
      <w:r w:rsidRPr="009C7BA3">
        <w:rPr>
          <w:rStyle w:val="StyleUnderline"/>
        </w:rPr>
        <w:t xml:space="preserve"> If you can’t pay bills, you won’t have a place to live</w:t>
      </w:r>
      <w:r w:rsidRPr="009C7BA3">
        <w:t xml:space="preserve"> . . . . [</w:t>
      </w:r>
      <w:r w:rsidRPr="009C7BA3">
        <w:rPr>
          <w:rStyle w:val="Emphasis"/>
          <w:highlight w:val="cyan"/>
        </w:rPr>
        <w:t>N</w:t>
      </w:r>
      <w:r w:rsidRPr="009C7BA3">
        <w:t>]</w:t>
      </w:r>
      <w:r w:rsidRPr="009C7BA3">
        <w:rPr>
          <w:rStyle w:val="Emphasis"/>
          <w:highlight w:val="cyan"/>
        </w:rPr>
        <w:t>ot being able to use the bathroom</w:t>
      </w:r>
      <w:r w:rsidRPr="009C7BA3">
        <w:t xml:space="preserve"> at work </w:t>
      </w:r>
      <w:r w:rsidRPr="009C7BA3">
        <w:rPr>
          <w:rStyle w:val="Emphasis"/>
          <w:highlight w:val="cyan"/>
        </w:rPr>
        <w:t>renders you homeless. It is a downward spiral into death</w:t>
      </w:r>
      <w:r w:rsidRPr="009C7BA3">
        <w:t>.</w:t>
      </w:r>
    </w:p>
    <w:p w14:paraId="0D04CE98" w14:textId="77777777" w:rsidR="002072CE" w:rsidRPr="009C7BA3" w:rsidRDefault="002072CE" w:rsidP="002072CE">
      <w:pPr>
        <w:rPr>
          <w:rStyle w:val="StyleUnderline"/>
        </w:rPr>
      </w:pPr>
      <w:r w:rsidRPr="009C7BA3">
        <w:rPr>
          <w:rStyle w:val="StyleUnderline"/>
          <w:highlight w:val="cyan"/>
        </w:rPr>
        <w:t>Jeymee Semiti, Black, Age 27</w:t>
      </w:r>
      <w:r w:rsidRPr="009C7BA3">
        <w:rPr>
          <w:rStyle w:val="StyleUnderline"/>
        </w:rPr>
        <w:t>, Washington, DC</w:t>
      </w:r>
    </w:p>
    <w:p w14:paraId="0C765A97" w14:textId="77777777" w:rsidR="002072CE" w:rsidRPr="009C7BA3" w:rsidRDefault="002072CE" w:rsidP="002072CE">
      <w:pPr>
        <w:rPr>
          <w:rStyle w:val="Style13ptBold"/>
        </w:rPr>
      </w:pPr>
      <w:r w:rsidRPr="009C7BA3">
        <w:rPr>
          <w:rStyle w:val="Style13ptBold"/>
        </w:rPr>
        <w:t>[The Neg’s card starts here]</w:t>
      </w:r>
    </w:p>
    <w:p w14:paraId="337DFD44" w14:textId="77777777" w:rsidR="002072CE" w:rsidRPr="009C7BA3" w:rsidRDefault="002072CE" w:rsidP="002072CE">
      <w:r w:rsidRPr="009C7BA3">
        <w:t xml:space="preserve">Although it seems obvious that every human being should be treated with dignity, this has not been a reality for the transgender community. Rampant discrimination still exists against the transgender community36 with regards to education, employment, health, family life and public accommodation, and the ability to use the bathroom just touches the surface of the myriad of hardship faced on a daily basis.37 Further, </w:t>
      </w:r>
      <w:r w:rsidRPr="009C7BA3">
        <w:rPr>
          <w:rStyle w:val="StyleUnderline"/>
        </w:rPr>
        <w:t>despite the diversity of gender expression that has existed for centuries in the United States, trans</w:t>
      </w:r>
      <w:r w:rsidRPr="009C7BA3">
        <w:t xml:space="preserve">gender </w:t>
      </w:r>
      <w:r w:rsidRPr="009C7BA3">
        <w:rPr>
          <w:rStyle w:val="StyleUnderline"/>
        </w:rPr>
        <w:t>people have historically faced a unique set of challenges in accessing institutions and public accommodations</w:t>
      </w:r>
      <w:r w:rsidRPr="009C7BA3">
        <w:t>. Shortly after the Civil Rights Movement in 1969, riots at the Stonewall Inn began where the LGBTQ (Lesbian, Gay, Bisexual and Transgender) community “as a group forcefully and vocally asserted their rights.”38 However, largely left out of the gay rights narrative are the voices of those who spearheaded the riot: transgender women of color such as Marsha P. Johnson and Sylvia Rivera.39 Even historic LGBTQ establishments such as The Stonewall Inn had exclusionary practices regarding transgender individuals, rendering them with no sanctuary to express their gender safely.40</w:t>
      </w:r>
    </w:p>
    <w:p w14:paraId="0369EC34" w14:textId="77777777" w:rsidR="002072CE" w:rsidRPr="009C7BA3" w:rsidRDefault="002072CE" w:rsidP="002072CE">
      <w:pPr>
        <w:rPr>
          <w:rStyle w:val="Style13ptBold"/>
        </w:rPr>
      </w:pPr>
      <w:r w:rsidRPr="009C7BA3">
        <w:rPr>
          <w:rStyle w:val="Style13ptBold"/>
        </w:rPr>
        <w:t>[The Neg’s card ends here]</w:t>
      </w:r>
    </w:p>
    <w:p w14:paraId="119739D8" w14:textId="77777777" w:rsidR="002072CE" w:rsidRPr="009C7BA3" w:rsidRDefault="002072CE" w:rsidP="002072CE">
      <w:r w:rsidRPr="009C7BA3">
        <w:rPr>
          <w:rStyle w:val="Emphasis"/>
          <w:highlight w:val="cyan"/>
        </w:rPr>
        <w:t>The roots of trans</w:t>
      </w:r>
      <w:r w:rsidRPr="009C7BA3">
        <w:t xml:space="preserve">gender </w:t>
      </w:r>
      <w:r w:rsidRPr="009C7BA3">
        <w:rPr>
          <w:rStyle w:val="Emphasis"/>
          <w:highlight w:val="cyan"/>
        </w:rPr>
        <w:t>discrimination, especially in the context of bathrooms, unnervingly mirror</w:t>
      </w:r>
      <w:r w:rsidRPr="009C7BA3">
        <w:t xml:space="preserve"> the roots of </w:t>
      </w:r>
      <w:r w:rsidRPr="009C7BA3">
        <w:rPr>
          <w:rStyle w:val="Emphasis"/>
          <w:highlight w:val="cyan"/>
        </w:rPr>
        <w:t>Jim Crow</w:t>
      </w:r>
      <w:r w:rsidRPr="009C7BA3">
        <w:t xml:space="preserve">. </w:t>
      </w:r>
      <w:r w:rsidRPr="009C7BA3">
        <w:rPr>
          <w:rStyle w:val="StyleUnderline"/>
          <w:highlight w:val="cyan"/>
        </w:rPr>
        <w:t>White Americans</w:t>
      </w:r>
      <w:r w:rsidRPr="009C7BA3">
        <w:t xml:space="preserve"> of the World War II era “</w:t>
      </w:r>
      <w:r w:rsidRPr="009C7BA3">
        <w:rPr>
          <w:rStyle w:val="StyleUnderline"/>
          <w:highlight w:val="cyan"/>
        </w:rPr>
        <w:t>began employing the idea</w:t>
      </w:r>
      <w:r w:rsidRPr="009C7BA3">
        <w:rPr>
          <w:rStyle w:val="StyleUnderline"/>
        </w:rPr>
        <w:t xml:space="preserve"> that social </w:t>
      </w:r>
      <w:r w:rsidRPr="009C7BA3">
        <w:rPr>
          <w:rStyle w:val="StyleUnderline"/>
          <w:highlight w:val="cyan"/>
        </w:rPr>
        <w:t>equality for African-Americans would lead to sexual danger for white women in bathrooms</w:t>
      </w:r>
      <w:r w:rsidRPr="009C7BA3">
        <w:t xml:space="preserve">.”41 </w:t>
      </w:r>
      <w:r w:rsidRPr="009C7BA3">
        <w:rPr>
          <w:rStyle w:val="StyleUnderline"/>
          <w:highlight w:val="cyan"/>
        </w:rPr>
        <w:t>The “racially and sexually charged image of bathrooms</w:t>
      </w:r>
      <w:r w:rsidRPr="009C7BA3">
        <w:rPr>
          <w:rStyle w:val="StyleUnderline"/>
        </w:rPr>
        <w:t xml:space="preserve">” that followed specifically targeted black people and their use of public accommodations, and </w:t>
      </w:r>
      <w:r w:rsidRPr="009C7BA3">
        <w:rPr>
          <w:rStyle w:val="StyleUnderline"/>
          <w:highlight w:val="cyan"/>
        </w:rPr>
        <w:t>is</w:t>
      </w:r>
      <w:r w:rsidRPr="009C7BA3">
        <w:rPr>
          <w:highlight w:val="cyan"/>
        </w:rPr>
        <w:t xml:space="preserve"> </w:t>
      </w:r>
      <w:r w:rsidRPr="009C7BA3">
        <w:rPr>
          <w:rStyle w:val="Emphasis"/>
          <w:highlight w:val="cyan"/>
        </w:rPr>
        <w:t>now employed to depict trans</w:t>
      </w:r>
      <w:r w:rsidRPr="009C7BA3">
        <w:t xml:space="preserve">gender </w:t>
      </w:r>
      <w:r w:rsidRPr="009C7BA3">
        <w:rPr>
          <w:rStyle w:val="Emphasis"/>
          <w:highlight w:val="cyan"/>
        </w:rPr>
        <w:t>people as sources of sexual danger</w:t>
      </w:r>
      <w:r w:rsidRPr="009C7BA3">
        <w:t xml:space="preserve">.42 </w:t>
      </w:r>
      <w:r w:rsidRPr="009C7BA3">
        <w:rPr>
          <w:rStyle w:val="StyleUnderline"/>
          <w:highlight w:val="cyan"/>
        </w:rPr>
        <w:t>In the same way</w:t>
      </w:r>
      <w:r w:rsidRPr="009C7BA3">
        <w:rPr>
          <w:rStyle w:val="StyleUnderline"/>
        </w:rPr>
        <w:t xml:space="preserve"> that </w:t>
      </w:r>
      <w:r w:rsidRPr="009C7BA3">
        <w:rPr>
          <w:rStyle w:val="StyleUnderline"/>
          <w:highlight w:val="cyan"/>
        </w:rPr>
        <w:t>segregation allowed “white women</w:t>
      </w:r>
      <w:r w:rsidRPr="009C7BA3">
        <w:t xml:space="preserve"> [</w:t>
      </w:r>
      <w:r w:rsidRPr="009C7BA3">
        <w:rPr>
          <w:rStyle w:val="StyleUnderline"/>
          <w:highlight w:val="cyan"/>
        </w:rPr>
        <w:t>to</w:t>
      </w:r>
      <w:r w:rsidRPr="009C7BA3">
        <w:t xml:space="preserve">] </w:t>
      </w:r>
      <w:r w:rsidRPr="009C7BA3">
        <w:rPr>
          <w:rStyle w:val="StyleUnderline"/>
          <w:highlight w:val="cyan"/>
        </w:rPr>
        <w:t>refuse to share bathrooms with black women,” unsupported fears of trans</w:t>
      </w:r>
      <w:r w:rsidRPr="009C7BA3">
        <w:t xml:space="preserve">gender </w:t>
      </w:r>
      <w:r w:rsidRPr="009C7BA3">
        <w:rPr>
          <w:rStyle w:val="StyleUnderline"/>
          <w:highlight w:val="cyan"/>
        </w:rPr>
        <w:t>people have</w:t>
      </w:r>
      <w:r w:rsidRPr="009C7BA3">
        <w:rPr>
          <w:highlight w:val="cyan"/>
        </w:rPr>
        <w:t xml:space="preserve"> </w:t>
      </w:r>
      <w:r w:rsidRPr="009C7BA3">
        <w:rPr>
          <w:rStyle w:val="Emphasis"/>
          <w:highlight w:val="cyan"/>
        </w:rPr>
        <w:t>enabled the promulgation of the notion</w:t>
      </w:r>
      <w:r w:rsidRPr="009C7BA3">
        <w:rPr>
          <w:rStyle w:val="Emphasis"/>
        </w:rPr>
        <w:t xml:space="preserve"> that “</w:t>
      </w:r>
      <w:r w:rsidRPr="009C7BA3">
        <w:rPr>
          <w:rStyle w:val="Emphasis"/>
          <w:highlight w:val="cyan"/>
        </w:rPr>
        <w:t>civil rights</w:t>
      </w:r>
      <w:r w:rsidRPr="009C7BA3">
        <w:rPr>
          <w:rStyle w:val="Emphasis"/>
        </w:rPr>
        <w:t xml:space="preserve"> protections </w:t>
      </w:r>
      <w:r w:rsidRPr="009C7BA3">
        <w:rPr>
          <w:rStyle w:val="Emphasis"/>
          <w:highlight w:val="cyan"/>
        </w:rPr>
        <w:t>sexually endanger women</w:t>
      </w:r>
      <w:r w:rsidRPr="009C7BA3">
        <w:rPr>
          <w:rStyle w:val="Emphasis"/>
        </w:rPr>
        <w:t xml:space="preserve"> and children </w:t>
      </w:r>
      <w:r w:rsidRPr="009C7BA3">
        <w:rPr>
          <w:rStyle w:val="Emphasis"/>
          <w:highlight w:val="cyan"/>
        </w:rPr>
        <w:t>in public bathrooms</w:t>
      </w:r>
      <w:r w:rsidRPr="009C7BA3">
        <w:t xml:space="preserve">.”43 </w:t>
      </w:r>
      <w:r w:rsidRPr="009C7BA3">
        <w:rPr>
          <w:rStyle w:val="Emphasis"/>
          <w:highlight w:val="cyan"/>
        </w:rPr>
        <w:t>For</w:t>
      </w:r>
      <w:r w:rsidRPr="009C7BA3">
        <w:t xml:space="preserve"> </w:t>
      </w:r>
      <w:r w:rsidRPr="009C7BA3">
        <w:rPr>
          <w:rStyle w:val="StyleUnderline"/>
        </w:rPr>
        <w:t>the vast majority of amici</w:t>
      </w:r>
      <w:r w:rsidRPr="009C7BA3">
        <w:t xml:space="preserve">, </w:t>
      </w:r>
      <w:r w:rsidRPr="009C7BA3">
        <w:rPr>
          <w:rStyle w:val="Emphasis"/>
          <w:highlight w:val="cyan"/>
        </w:rPr>
        <w:t>trans</w:t>
      </w:r>
      <w:r w:rsidRPr="009C7BA3">
        <w:t xml:space="preserve">gender </w:t>
      </w:r>
      <w:r w:rsidRPr="009C7BA3">
        <w:rPr>
          <w:rStyle w:val="Emphasis"/>
          <w:highlight w:val="cyan"/>
        </w:rPr>
        <w:t>people of color, these policies represent a continuation of</w:t>
      </w:r>
      <w:r w:rsidRPr="009C7BA3">
        <w:t xml:space="preserve"> their </w:t>
      </w:r>
      <w:r w:rsidRPr="009C7BA3">
        <w:rPr>
          <w:rStyle w:val="Emphasis"/>
          <w:highlight w:val="cyan"/>
        </w:rPr>
        <w:t>exclusion from basic public facilities</w:t>
      </w:r>
      <w:r w:rsidRPr="009C7BA3">
        <w:t>.</w:t>
      </w:r>
    </w:p>
    <w:p w14:paraId="7192DAB9" w14:textId="77777777" w:rsidR="002072CE" w:rsidRPr="009C7BA3" w:rsidRDefault="002072CE" w:rsidP="002072CE"/>
    <w:p w14:paraId="29DDE172" w14:textId="77777777" w:rsidR="002072CE" w:rsidRPr="009C7BA3" w:rsidRDefault="002072CE" w:rsidP="002072CE">
      <w:pPr>
        <w:pStyle w:val="Heading2"/>
        <w:rPr>
          <w:rFonts w:cs="Arial"/>
        </w:rPr>
      </w:pPr>
    </w:p>
    <w:p w14:paraId="401E9E2B" w14:textId="77777777" w:rsidR="002072CE" w:rsidRPr="009C7BA3" w:rsidRDefault="002072CE" w:rsidP="002072CE">
      <w:pPr>
        <w:pStyle w:val="Heading1"/>
        <w:rPr>
          <w:rFonts w:cs="Arial"/>
        </w:rPr>
      </w:pPr>
      <w:r w:rsidRPr="009C7BA3">
        <w:rPr>
          <w:rFonts w:cs="Arial"/>
        </w:rPr>
        <w:t>aff v. free market</w:t>
      </w:r>
    </w:p>
    <w:p w14:paraId="71A6A398" w14:textId="77777777" w:rsidR="002072CE" w:rsidRPr="009C7BA3" w:rsidRDefault="002072CE" w:rsidP="002072CE">
      <w:pPr>
        <w:pStyle w:val="Heading3"/>
        <w:rPr>
          <w:rFonts w:cs="Arial"/>
        </w:rPr>
      </w:pPr>
      <w:r w:rsidRPr="009C7BA3">
        <w:rPr>
          <w:rFonts w:cs="Arial"/>
        </w:rPr>
        <w:t>at: tax credits</w:t>
      </w:r>
    </w:p>
    <w:p w14:paraId="20DF0577" w14:textId="77777777" w:rsidR="002072CE" w:rsidRPr="009C7BA3" w:rsidRDefault="002072CE" w:rsidP="002072CE"/>
    <w:p w14:paraId="26E17AD4" w14:textId="77777777" w:rsidR="002072CE" w:rsidRPr="009C7BA3" w:rsidRDefault="002072CE" w:rsidP="002072CE">
      <w:pPr>
        <w:pStyle w:val="Heading4"/>
        <w:rPr>
          <w:rFonts w:cs="Arial"/>
        </w:rPr>
      </w:pPr>
      <w:r w:rsidRPr="009C7BA3">
        <w:rPr>
          <w:rFonts w:cs="Arial"/>
        </w:rPr>
        <w:t>Tax credit programs are a terrible idea—6 Warrants</w:t>
      </w:r>
    </w:p>
    <w:p w14:paraId="3331CD44" w14:textId="77777777" w:rsidR="002072CE" w:rsidRPr="009C7BA3" w:rsidRDefault="002072CE" w:rsidP="002072CE">
      <w:pPr>
        <w:rPr>
          <w:sz w:val="16"/>
        </w:rPr>
      </w:pPr>
      <w:r w:rsidRPr="009C7BA3">
        <w:rPr>
          <w:rStyle w:val="Style13ptBold"/>
        </w:rPr>
        <w:t>Davis 16</w:t>
      </w:r>
      <w:r w:rsidRPr="009C7BA3">
        <w:rPr>
          <w:sz w:val="16"/>
        </w:rPr>
        <w:t xml:space="preserve"> Carl Davis is a Research Director at the Institute on Taxation and Economic Policy. He works on a wide range of issues related to both state and federal tax policy including tax incidence analysis, tax expenditure reporting, and gasoline tax policy. He is an author of Judging Tax Expenditures (2009), The ITEP Guide to Fair State &amp; Local Taxes (2011), Building a Better Gas Tax (2011), and Who Pays: A Distributional Analysis of the Tax Systems in All 50 States (2009, 2013, and 2015 editions). Carl’s work has appeared in such outlets as The New York Times, USA Today, and National Public Radio, and his writing on tax policy has been printed by The Wall Street Journal, The Washington Post, The Atlanta Journal-Constitution, The Sacramento Bee, and other major media outlets around the country. Prior to joining ITEP, Carl worked as part of the State Economic Issues team at AARP. He holds Bachelors Degrees in both Economics and Political Science from Virginia Tech and a Masters in Public Policy from George Washington University. Institute on Taxation and Economic Policy: “State Tax Subsidies for Private K-12 Education.” October 12, 2016. </w:t>
      </w:r>
      <w:hyperlink r:id="rId20" w:anchor=".WQU-C1Pyu1t" w:history="1">
        <w:r w:rsidRPr="009C7BA3">
          <w:rPr>
            <w:rStyle w:val="Hyperlink"/>
            <w:sz w:val="16"/>
          </w:rPr>
          <w:t>https://itep.org/state-tax-subsidies-for-private-k-12-education/#.WQU-C1Pyu1t</w:t>
        </w:r>
      </w:hyperlink>
      <w:r w:rsidRPr="009C7BA3">
        <w:rPr>
          <w:sz w:val="16"/>
        </w:rPr>
        <w:t>. Yoest.</w:t>
      </w:r>
    </w:p>
    <w:p w14:paraId="189C70AA" w14:textId="77777777" w:rsidR="002072CE" w:rsidRPr="009C7BA3" w:rsidRDefault="002072CE" w:rsidP="002072CE">
      <w:pPr>
        <w:rPr>
          <w:rStyle w:val="StyleUnderline"/>
        </w:rPr>
      </w:pPr>
      <w:r w:rsidRPr="009C7BA3">
        <w:rPr>
          <w:rStyle w:val="StyleUnderline"/>
        </w:rPr>
        <w:t>Tax subsidies, or neovouchers, for private education are problematic both as tax policies and as education policy initiatives.</w:t>
      </w:r>
      <w:r w:rsidRPr="009C7BA3">
        <w:rPr>
          <w:sz w:val="14"/>
        </w:rPr>
        <w:t xml:space="preserve"> Aside from the profit-making schemes just described, other </w:t>
      </w:r>
      <w:r w:rsidRPr="009C7BA3">
        <w:rPr>
          <w:rStyle w:val="StyleUnderline"/>
          <w:highlight w:val="green"/>
        </w:rPr>
        <w:t>issues associated with these programs include</w:t>
      </w:r>
      <w:r w:rsidRPr="009C7BA3">
        <w:rPr>
          <w:sz w:val="14"/>
          <w:highlight w:val="green"/>
        </w:rPr>
        <w:t xml:space="preserve">: </w:t>
      </w:r>
      <w:r w:rsidRPr="009C7BA3">
        <w:rPr>
          <w:rStyle w:val="Emphasis"/>
          <w:highlight w:val="green"/>
        </w:rPr>
        <w:t>Dubious educational benefits for recipients</w:t>
      </w:r>
      <w:r w:rsidRPr="009C7BA3">
        <w:rPr>
          <w:rStyle w:val="Emphasis"/>
        </w:rPr>
        <w:t>.</w:t>
      </w:r>
      <w:r w:rsidRPr="009C7BA3">
        <w:rPr>
          <w:sz w:val="14"/>
        </w:rPr>
        <w:t xml:space="preserve"> Neovouchers are often touted as a way to improve educational outcomes by making it possible for families in areas with underperforming public schools to send their children to private schools instead. But </w:t>
      </w:r>
      <w:r w:rsidRPr="009C7BA3">
        <w:rPr>
          <w:rStyle w:val="StyleUnderline"/>
          <w:highlight w:val="green"/>
        </w:rPr>
        <w:t>there is little evidence that voucher programs of any kind have improved educational outcomes</w:t>
      </w:r>
      <w:r w:rsidRPr="009C7BA3">
        <w:rPr>
          <w:rStyle w:val="StyleUnderline"/>
        </w:rPr>
        <w:t>, and some recent studies suggest that students switching from public to private schools in Indiana and Louisiana actually scored lower on reading and math tests after making the switch.</w:t>
      </w:r>
      <w:r w:rsidRPr="009C7BA3">
        <w:rPr>
          <w:sz w:val="14"/>
        </w:rPr>
        <w:t xml:space="preserve">[19] Moreover, </w:t>
      </w:r>
      <w:r w:rsidRPr="009C7BA3">
        <w:rPr>
          <w:rStyle w:val="StyleUnderline"/>
          <w:highlight w:val="green"/>
        </w:rPr>
        <w:t>it can be difficult for parents to determine the</w:t>
      </w:r>
      <w:r w:rsidRPr="009C7BA3">
        <w:rPr>
          <w:rStyle w:val="StyleUnderline"/>
        </w:rPr>
        <w:t xml:space="preserve"> actual </w:t>
      </w:r>
      <w:r w:rsidRPr="009C7BA3">
        <w:rPr>
          <w:rStyle w:val="StyleUnderline"/>
          <w:highlight w:val="green"/>
        </w:rPr>
        <w:t>quality of private schools in their area when those schools are not subject to the same accountability mechanisms as public schools</w:t>
      </w:r>
      <w:r w:rsidRPr="009C7BA3">
        <w:rPr>
          <w:rStyle w:val="StyleUnderline"/>
        </w:rPr>
        <w:t>.</w:t>
      </w:r>
      <w:r w:rsidRPr="009C7BA3">
        <w:rPr>
          <w:sz w:val="14"/>
        </w:rPr>
        <w:t xml:space="preserve"> In Pennsylvania, for instance, schools benefiting from the state’s neovoucher program are exempt from state testing requirements and from reporting information on student progress or achievement.[20] </w:t>
      </w:r>
      <w:r w:rsidRPr="009C7BA3">
        <w:rPr>
          <w:rStyle w:val="Emphasis"/>
          <w:highlight w:val="green"/>
        </w:rPr>
        <w:t>Erosion of the public education system.</w:t>
      </w:r>
      <w:r w:rsidRPr="009C7BA3">
        <w:rPr>
          <w:sz w:val="14"/>
        </w:rPr>
        <w:t xml:space="preserve"> While neovouchers are unlikely to improve educational outcomes for students moving to private schools,</w:t>
      </w:r>
      <w:r w:rsidRPr="009C7BA3">
        <w:rPr>
          <w:rStyle w:val="StyleUnderline"/>
        </w:rPr>
        <w:t xml:space="preserve"> the negative impact on those students remaining in public schools is even clearer. </w:t>
      </w:r>
      <w:r w:rsidRPr="009C7BA3">
        <w:rPr>
          <w:rStyle w:val="StyleUnderline"/>
          <w:highlight w:val="green"/>
        </w:rPr>
        <w:t>Thirty neovouchers across twenty states are draining over $1 billion in public revenues from state coffers every year. Every dollar of revenue diverted toward private schools is revenue that cannot be invested in the public education system</w:t>
      </w:r>
      <w:r w:rsidRPr="009C7BA3">
        <w:rPr>
          <w:rStyle w:val="StyleUnderline"/>
        </w:rPr>
        <w:t>. Allowing certain taxpayers to opt out of funding an institution as fundamentally important as the nation’s public school system erodes the public’s level of investment in that institution</w:t>
      </w:r>
      <w:r w:rsidRPr="009C7BA3">
        <w:rPr>
          <w:sz w:val="14"/>
        </w:rPr>
        <w:t xml:space="preserve">—both literally and figuratively. </w:t>
      </w:r>
      <w:r w:rsidRPr="009C7BA3">
        <w:rPr>
          <w:rStyle w:val="Emphasis"/>
          <w:highlight w:val="green"/>
        </w:rPr>
        <w:t>Exaggerated cost savings.</w:t>
      </w:r>
      <w:r w:rsidRPr="009C7BA3">
        <w:rPr>
          <w:sz w:val="14"/>
        </w:rPr>
        <w:t xml:space="preserve"> Neovoucher proponents often claim that state and local governments can realize substantial savings by moving students out of the public school system and into private schools. But </w:t>
      </w:r>
      <w:r w:rsidRPr="009C7BA3">
        <w:rPr>
          <w:rStyle w:val="StyleUnderline"/>
        </w:rPr>
        <w:t xml:space="preserve">while reductions in public school enrollment may reduce certain costs in certain circumstances, </w:t>
      </w:r>
      <w:r w:rsidRPr="009C7BA3">
        <w:rPr>
          <w:rStyle w:val="StyleUnderline"/>
          <w:highlight w:val="green"/>
        </w:rPr>
        <w:t>many costs are relatively fixed</w:t>
      </w:r>
      <w:r w:rsidRPr="009C7BA3">
        <w:rPr>
          <w:rStyle w:val="StyleUnderline"/>
        </w:rPr>
        <w:t xml:space="preserve"> (maintenance, utilities, administration, etc.) </w:t>
      </w:r>
      <w:r w:rsidRPr="009C7BA3">
        <w:rPr>
          <w:rStyle w:val="StyleUnderline"/>
          <w:highlight w:val="green"/>
        </w:rPr>
        <w:t>and cannot be easily cut when students leave.</w:t>
      </w:r>
      <w:r w:rsidRPr="009C7BA3">
        <w:rPr>
          <w:rStyle w:val="StyleUnderline"/>
        </w:rPr>
        <w:t>[</w:t>
      </w:r>
      <w:r w:rsidRPr="009C7BA3">
        <w:rPr>
          <w:sz w:val="14"/>
        </w:rPr>
        <w:t xml:space="preserve">21] </w:t>
      </w:r>
      <w:r w:rsidRPr="009C7BA3">
        <w:rPr>
          <w:rStyle w:val="StyleUnderline"/>
        </w:rPr>
        <w:t xml:space="preserve">Moreover, </w:t>
      </w:r>
      <w:r w:rsidRPr="009C7BA3">
        <w:rPr>
          <w:rStyle w:val="StyleUnderline"/>
          <w:highlight w:val="green"/>
        </w:rPr>
        <w:t>when neovouchers are provided to families whose children would have</w:t>
      </w:r>
      <w:r w:rsidRPr="009C7BA3">
        <w:rPr>
          <w:rStyle w:val="StyleUnderline"/>
        </w:rPr>
        <w:t xml:space="preserve"> been </w:t>
      </w:r>
      <w:r w:rsidRPr="009C7BA3">
        <w:rPr>
          <w:rStyle w:val="StyleUnderline"/>
          <w:highlight w:val="green"/>
        </w:rPr>
        <w:t>enrolled in private school anyway, the result is</w:t>
      </w:r>
      <w:r w:rsidRPr="009C7BA3">
        <w:rPr>
          <w:rStyle w:val="StyleUnderline"/>
        </w:rPr>
        <w:t xml:space="preserve"> a </w:t>
      </w:r>
      <w:r w:rsidRPr="009C7BA3">
        <w:rPr>
          <w:rStyle w:val="StyleUnderline"/>
          <w:highlight w:val="green"/>
        </w:rPr>
        <w:t xml:space="preserve">loss of revenue without any actual reduction in enrollment or </w:t>
      </w:r>
      <w:r w:rsidRPr="009C7BA3">
        <w:rPr>
          <w:rStyle w:val="StyleUnderline"/>
        </w:rPr>
        <w:t xml:space="preserve">school district </w:t>
      </w:r>
      <w:r w:rsidRPr="009C7BA3">
        <w:rPr>
          <w:rStyle w:val="StyleUnderline"/>
          <w:highlight w:val="green"/>
        </w:rPr>
        <w:t>expenses.</w:t>
      </w:r>
      <w:r w:rsidRPr="009C7BA3">
        <w:rPr>
          <w:sz w:val="14"/>
        </w:rPr>
        <w:t xml:space="preserve"> Research on Arizona’s tax credit program, for instance, found that most spending is directed toward students already enrolled in private schools.[22] And dramatic increases in funding for Arizona’s neovoucher programs do not appear to be leading to an exodus of public school students—enrollment in private schools has stagnated while public school enrollment has increased significantly.[23] </w:t>
      </w:r>
      <w:r w:rsidRPr="009C7BA3">
        <w:rPr>
          <w:rStyle w:val="Emphasis"/>
          <w:highlight w:val="green"/>
        </w:rPr>
        <w:t>Poorly targeted.</w:t>
      </w:r>
      <w:r w:rsidRPr="009C7BA3">
        <w:rPr>
          <w:sz w:val="14"/>
        </w:rPr>
        <w:t xml:space="preserve"> Though frequently justified as a lifeline for disadvantaged children, </w:t>
      </w:r>
      <w:r w:rsidRPr="009C7BA3">
        <w:rPr>
          <w:rStyle w:val="StyleUnderline"/>
          <w:highlight w:val="green"/>
        </w:rPr>
        <w:t>the beneficiaries of neovoucher programs are often not low-income students</w:t>
      </w:r>
      <w:r w:rsidRPr="009C7BA3">
        <w:rPr>
          <w:rStyle w:val="StyleUnderline"/>
        </w:rPr>
        <w:t>.</w:t>
      </w:r>
      <w:r w:rsidRPr="009C7BA3">
        <w:rPr>
          <w:sz w:val="14"/>
        </w:rPr>
        <w:t xml:space="preserve"> States such as Oklahoma and Pennsylvania allow upper-middle income families to benefit from scholarship subsidies, while other states such as Arizona, Georgia, and Montana allow even high-income families to benefit. Subsidies for tuition and other private school expenses are also typically made available regardless of income level. </w:t>
      </w:r>
      <w:r w:rsidRPr="009C7BA3">
        <w:rPr>
          <w:rStyle w:val="StyleUnderline"/>
        </w:rPr>
        <w:t xml:space="preserve">Making matters worse are the specific design decisions behind </w:t>
      </w:r>
      <w:r w:rsidRPr="009C7BA3">
        <w:rPr>
          <w:rStyle w:val="StyleUnderline"/>
          <w:highlight w:val="green"/>
        </w:rPr>
        <w:t>many of these tax subsidies</w:t>
      </w:r>
      <w:r w:rsidRPr="009C7BA3">
        <w:rPr>
          <w:rStyle w:val="StyleUnderline"/>
        </w:rPr>
        <w:t xml:space="preserve">. Tax deductions and nonrefundable credits </w:t>
      </w:r>
      <w:r w:rsidRPr="009C7BA3">
        <w:rPr>
          <w:rStyle w:val="StyleUnderline"/>
          <w:highlight w:val="green"/>
        </w:rPr>
        <w:t>are of no help to low-income families</w:t>
      </w:r>
      <w:r w:rsidRPr="009C7BA3">
        <w:rPr>
          <w:rStyle w:val="StyleUnderline"/>
        </w:rPr>
        <w:t xml:space="preserve"> that earn too little to owe income tax.</w:t>
      </w:r>
      <w:r w:rsidRPr="009C7BA3">
        <w:rPr>
          <w:sz w:val="14"/>
        </w:rPr>
        <w:t xml:space="preserve"> For that reason, even neovoucher advocates have suggested converting programs such as Wisconsin’s tuition deduction into refundable credits (though it is important to note that such a conversion would likely result in a dramatic increase the program’s overall cost).[24] </w:t>
      </w:r>
      <w:r w:rsidRPr="009C7BA3">
        <w:rPr>
          <w:rStyle w:val="Emphasis"/>
          <w:highlight w:val="green"/>
        </w:rPr>
        <w:t>Constitutional issues.</w:t>
      </w:r>
      <w:r w:rsidRPr="009C7BA3">
        <w:rPr>
          <w:sz w:val="14"/>
        </w:rPr>
        <w:t xml:space="preserve"> Advocates of state subsidies for private education, such as the American Legislative Exchange Council (ALEC), often encourage states to administer their voucher programs via the tax code in order to circumvent state constitutional prohibitions on the public funding of religious schools.[25] </w:t>
      </w:r>
      <w:r w:rsidRPr="009C7BA3">
        <w:rPr>
          <w:rStyle w:val="StyleUnderline"/>
        </w:rPr>
        <w:t xml:space="preserve">According to ALEC, </w:t>
      </w:r>
      <w:r w:rsidRPr="009C7BA3">
        <w:rPr>
          <w:rStyle w:val="StyleUnderline"/>
          <w:highlight w:val="green"/>
        </w:rPr>
        <w:t>while lawmakers in eighteen states are constitutionally forbidden from offering direct vouchers for religious schools, tax credit</w:t>
      </w:r>
      <w:r w:rsidRPr="009C7BA3">
        <w:rPr>
          <w:rStyle w:val="StyleUnderline"/>
        </w:rPr>
        <w:t xml:space="preserve"> neovouchers </w:t>
      </w:r>
      <w:r w:rsidRPr="009C7BA3">
        <w:rPr>
          <w:rStyle w:val="StyleUnderline"/>
          <w:highlight w:val="green"/>
        </w:rPr>
        <w:t>can be used to accomplish a nearly identical result in all but two</w:t>
      </w:r>
      <w:r w:rsidRPr="009C7BA3">
        <w:rPr>
          <w:rStyle w:val="StyleUnderline"/>
        </w:rPr>
        <w:t xml:space="preserve"> of those states.</w:t>
      </w:r>
      <w:r w:rsidRPr="009C7BA3">
        <w:rPr>
          <w:sz w:val="14"/>
        </w:rPr>
        <w:t xml:space="preserve">[26] </w:t>
      </w:r>
      <w:r w:rsidRPr="009C7BA3">
        <w:rPr>
          <w:rStyle w:val="StyleUnderline"/>
          <w:highlight w:val="green"/>
        </w:rPr>
        <w:t>In some cases, these schools have curricula</w:t>
      </w:r>
      <w:r w:rsidRPr="009C7BA3">
        <w:rPr>
          <w:rStyle w:val="StyleUnderline"/>
        </w:rPr>
        <w:t xml:space="preserve"> (such as biblical versions of science and history) or personnel policies (such as firing teachers if they enter a same-sex marriage or become pregnant outside of wedlock) </w:t>
      </w:r>
      <w:r w:rsidRPr="009C7BA3">
        <w:rPr>
          <w:rStyle w:val="StyleUnderline"/>
          <w:highlight w:val="green"/>
        </w:rPr>
        <w:t>that would be prohibited at a public institution</w:t>
      </w:r>
      <w:r w:rsidRPr="009C7BA3">
        <w:rPr>
          <w:rStyle w:val="StyleUnderline"/>
        </w:rPr>
        <w:t xml:space="preserve"> and that raise questions about the appropriateness of directing public dollars toward these schools.[</w:t>
      </w:r>
      <w:r w:rsidRPr="009C7BA3">
        <w:rPr>
          <w:sz w:val="14"/>
        </w:rPr>
        <w:t xml:space="preserve">27] Arizona is perhaps the most well-known example of a state that succeeded in labeling its subsidies as “tax reductions” rather than “direct spending” in order to circumvent its own constitution. In 1998, the Arizona Supreme Court ruled 3-2 in Kotterman v. Killian that, unlike a traditional voucher, the state’s tax credit scholarships were not in violation of the Arizona Constitution in part because the credits are technically diverted to private schools before reaching the state’s coffers. In 2011, the U.S. Supreme Court reached a similar conclusion in a 5-4 ruling in Arizona Christian School Tuition Organization v. Winn. But while neovouchers have so far been upheld on relatively narrow grounds, Supreme Court Justice Elena Kagan cut to the heart of the matter when she explained in her dissent that “cash grants and targeted tax breaks are means of accomplishing the same government objective—to provide financial support to select individuals or organizations.” </w:t>
      </w:r>
      <w:r w:rsidRPr="009C7BA3">
        <w:rPr>
          <w:rStyle w:val="Emphasis"/>
          <w:highlight w:val="green"/>
        </w:rPr>
        <w:t>Lack of budgetary oversight.</w:t>
      </w:r>
      <w:r w:rsidRPr="009C7BA3">
        <w:rPr>
          <w:sz w:val="14"/>
          <w:highlight w:val="green"/>
        </w:rPr>
        <w:t xml:space="preserve"> </w:t>
      </w:r>
      <w:r w:rsidRPr="009C7BA3">
        <w:rPr>
          <w:rStyle w:val="StyleUnderline"/>
        </w:rPr>
        <w:t xml:space="preserve">Subsidies for private education provided via </w:t>
      </w:r>
      <w:r w:rsidRPr="009C7BA3">
        <w:rPr>
          <w:rStyle w:val="StyleUnderline"/>
          <w:highlight w:val="green"/>
        </w:rPr>
        <w:t>neovouchers are often not subject to the same budgetary oversight as ordinary spending on public education</w:t>
      </w:r>
      <w:r w:rsidRPr="009C7BA3">
        <w:rPr>
          <w:rStyle w:val="StyleUnderline"/>
        </w:rPr>
        <w:t>.</w:t>
      </w:r>
      <w:r w:rsidRPr="009C7BA3">
        <w:rPr>
          <w:sz w:val="14"/>
        </w:rPr>
        <w:t xml:space="preserve"> Most notably, once a neovoucher is enacted into law it typically continues indefinitely without reexamination as part of the appropriations process. Moreover, those </w:t>
      </w:r>
      <w:r w:rsidRPr="009C7BA3">
        <w:rPr>
          <w:rStyle w:val="StyleUnderline"/>
        </w:rPr>
        <w:t xml:space="preserve">neovouchers not subject to an aggregate budgetary cap can grow significantly in cost without any action on the part of lawmakers. And even those neovouchers that are subject to caps sometimes see the cap structured in a way that allows for growth that far outpaces other areas of the budget, such as one of Arizona’s neovouchers for corporate taxpayers which is currently growing at a rate of 20 percent per year.[28] </w:t>
      </w:r>
    </w:p>
    <w:p w14:paraId="449ADDC2" w14:textId="77777777" w:rsidR="002072CE" w:rsidRPr="009C7BA3" w:rsidRDefault="002072CE" w:rsidP="002072CE"/>
    <w:p w14:paraId="043A3791" w14:textId="77777777" w:rsidR="002072CE" w:rsidRPr="009C7BA3" w:rsidRDefault="002072CE" w:rsidP="002072CE"/>
    <w:p w14:paraId="48727238" w14:textId="77777777" w:rsidR="002072CE" w:rsidRPr="009C7BA3" w:rsidRDefault="002072CE" w:rsidP="002072CE">
      <w:pPr>
        <w:pStyle w:val="Heading3"/>
        <w:rPr>
          <w:rFonts w:cs="Arial"/>
        </w:rPr>
      </w:pPr>
      <w:r w:rsidRPr="009C7BA3">
        <w:rPr>
          <w:rFonts w:cs="Arial"/>
        </w:rPr>
        <w:t>at: vouchers</w:t>
      </w:r>
    </w:p>
    <w:p w14:paraId="69949F30" w14:textId="77777777" w:rsidR="002072CE" w:rsidRPr="009C7BA3" w:rsidRDefault="002072CE" w:rsidP="002072CE"/>
    <w:p w14:paraId="05ABF445" w14:textId="77777777" w:rsidR="002072CE" w:rsidRPr="009C7BA3" w:rsidRDefault="002072CE" w:rsidP="002072CE">
      <w:pPr>
        <w:pStyle w:val="Heading4"/>
        <w:rPr>
          <w:rFonts w:cs="Arial"/>
        </w:rPr>
      </w:pPr>
      <w:r w:rsidRPr="009C7BA3">
        <w:rPr>
          <w:rFonts w:cs="Arial"/>
        </w:rPr>
        <w:t>No accountability for private schools covered by voucher programs: they aren’t subject to state performance standards or evaluations</w:t>
      </w:r>
    </w:p>
    <w:p w14:paraId="30C6A9E6" w14:textId="77777777" w:rsidR="002072CE" w:rsidRPr="009C7BA3" w:rsidRDefault="002072CE" w:rsidP="002072CE">
      <w:r w:rsidRPr="009C7BA3">
        <w:rPr>
          <w:rStyle w:val="Style13ptBold"/>
        </w:rPr>
        <w:t>Brown 17</w:t>
      </w:r>
      <w:r w:rsidRPr="009C7BA3">
        <w:t xml:space="preserve"> Emma Brown, Reporter at the Washington Post (2009-Present) MJ, Bachelor in Journalism from UC Berkeley. Washington Post: “DeVos praises this voucher-like program. Here’s what it means for school reform.” April 9, 2017. </w:t>
      </w:r>
      <w:hyperlink r:id="rId21" w:history="1">
        <w:r w:rsidRPr="009C7BA3">
          <w:rPr>
            <w:rStyle w:val="Hyperlink"/>
          </w:rPr>
          <w:t>https://www.washingtonpost.com/local/education/devos-praises-this-voucher-like-program-heres-what-it-means-for-school-reform/2017/04/09/78b28f52-08f2-11e7-b77c-0047d15a24e0_story.html?utm_term=.8fe3a293e9cb&amp;tid=a_inl</w:t>
        </w:r>
      </w:hyperlink>
      <w:r w:rsidRPr="009C7BA3">
        <w:t>. Yoest.</w:t>
      </w:r>
    </w:p>
    <w:p w14:paraId="5070A42F" w14:textId="77777777" w:rsidR="002072CE" w:rsidRPr="009C7BA3" w:rsidRDefault="002072CE" w:rsidP="002072CE">
      <w:pPr>
        <w:rPr>
          <w:highlight w:val="green"/>
        </w:rPr>
      </w:pPr>
    </w:p>
    <w:p w14:paraId="0C5791CB" w14:textId="77777777" w:rsidR="002072CE" w:rsidRPr="009C7BA3" w:rsidRDefault="002072CE" w:rsidP="002072CE">
      <w:pPr>
        <w:rPr>
          <w:sz w:val="16"/>
        </w:rPr>
      </w:pPr>
      <w:r w:rsidRPr="009C7BA3">
        <w:rPr>
          <w:rStyle w:val="StyleUnderline"/>
          <w:highlight w:val="green"/>
        </w:rPr>
        <w:t>Florida has channeled billions of taxpayer dollars into scholarships</w:t>
      </w:r>
      <w:r w:rsidRPr="009C7BA3">
        <w:rPr>
          <w:rStyle w:val="StyleUnderline"/>
        </w:rPr>
        <w:t xml:space="preserve"> for poor children to attend private schools over the past 15 years, </w:t>
      </w:r>
      <w:r w:rsidRPr="009C7BA3">
        <w:rPr>
          <w:rStyle w:val="StyleUnderline"/>
          <w:highlight w:val="green"/>
        </w:rPr>
        <w:t>using tax credits</w:t>
      </w:r>
      <w:r w:rsidRPr="009C7BA3">
        <w:rPr>
          <w:rStyle w:val="StyleUnderline"/>
        </w:rPr>
        <w:t xml:space="preserve"> to build a laboratory for school choice that the Trump administration holds up as a model for the nation.</w:t>
      </w:r>
      <w:r w:rsidRPr="009C7BA3">
        <w:rPr>
          <w:sz w:val="16"/>
        </w:rPr>
        <w:t xml:space="preserve"> </w:t>
      </w:r>
      <w:r w:rsidRPr="009C7BA3">
        <w:rPr>
          <w:rStyle w:val="StyleUnderline"/>
          <w:highlight w:val="green"/>
        </w:rPr>
        <w:t>The voucherlike program,</w:t>
      </w:r>
      <w:r w:rsidRPr="009C7BA3">
        <w:rPr>
          <w:rStyle w:val="StyleUnderline"/>
        </w:rPr>
        <w:t xml:space="preserve"> the largest of its kind in the country, </w:t>
      </w:r>
      <w:r w:rsidRPr="009C7BA3">
        <w:rPr>
          <w:rStyle w:val="StyleUnderline"/>
          <w:highlight w:val="green"/>
        </w:rPr>
        <w:t>helps pay tuition for nearly 100,000 students</w:t>
      </w:r>
      <w:r w:rsidRPr="009C7BA3">
        <w:rPr>
          <w:rStyle w:val="StyleUnderline"/>
        </w:rPr>
        <w:t xml:space="preserve"> from low-income families. </w:t>
      </w:r>
      <w:r w:rsidRPr="009C7BA3">
        <w:rPr>
          <w:rStyle w:val="StyleUnderline"/>
          <w:highlight w:val="green"/>
        </w:rPr>
        <w:t>But there is scant evidence that these students fare better academically than their peers in public schools. And there is</w:t>
      </w:r>
      <w:r w:rsidRPr="009C7BA3">
        <w:rPr>
          <w:rStyle w:val="StyleUnderline"/>
        </w:rPr>
        <w:t xml:space="preserve"> a perennial </w:t>
      </w:r>
      <w:r w:rsidRPr="009C7BA3">
        <w:rPr>
          <w:rStyle w:val="StyleUnderline"/>
          <w:highlight w:val="green"/>
        </w:rPr>
        <w:t>debate about whether the state should support private schools that are mostly religious, do not require teachers to hold credentials and are not required to meet minimal performance standards</w:t>
      </w:r>
      <w:r w:rsidRPr="009C7BA3">
        <w:rPr>
          <w:rStyle w:val="StyleUnderline"/>
        </w:rPr>
        <w:t>.</w:t>
      </w:r>
      <w:r w:rsidRPr="009C7BA3">
        <w:rPr>
          <w:sz w:val="16"/>
        </w:rPr>
        <w:t xml:space="preserve"> Florida private schools must administer one of several standardized tests to scholarship recipients, but </w:t>
      </w:r>
      <w:r w:rsidRPr="009C7BA3">
        <w:rPr>
          <w:rStyle w:val="Emphasis"/>
          <w:highlight w:val="green"/>
        </w:rPr>
        <w:t>there are no consequences for consistently poor results</w:t>
      </w:r>
      <w:r w:rsidRPr="009C7BA3">
        <w:rPr>
          <w:rStyle w:val="Emphasis"/>
        </w:rPr>
        <w:t>.</w:t>
      </w:r>
      <w:r w:rsidRPr="009C7BA3">
        <w:rPr>
          <w:sz w:val="16"/>
        </w:rPr>
        <w:t xml:space="preserve"> </w:t>
      </w:r>
      <w:r w:rsidRPr="009C7BA3">
        <w:rPr>
          <w:rStyle w:val="StyleUnderline"/>
        </w:rPr>
        <w:t>“After the students leave us, the public loses any sense of accountability or scrutiny of the outcomes,”</w:t>
      </w:r>
      <w:r w:rsidRPr="009C7BA3">
        <w:rPr>
          <w:sz w:val="16"/>
        </w:rPr>
        <w:t xml:space="preserve"> said Alberto Carvalho, the superintendent of Miami-Dade County public schools. He wonders what happens to the 25,000 students from the county who receive the scholarships. “It’s very difficult to gauge whether they’re hitting the mark.” Education Secretary Betsy DeVos, a longtime advocate for school choice, does not seem to be bothered by that complaint. She is driven instead by the faith that children need and deserve alternatives to traditional public schools. At a recent public forum, </w:t>
      </w:r>
      <w:r w:rsidRPr="009C7BA3">
        <w:rPr>
          <w:rStyle w:val="StyleUnderline"/>
        </w:rPr>
        <w:t>DeVos said her record in office should be graded on expansion of choice-friendly policies. She did not embrace a suggestion that she be judged on academic outcomes.</w:t>
      </w:r>
      <w:r w:rsidRPr="009C7BA3">
        <w:rPr>
          <w:sz w:val="16"/>
        </w:rPr>
        <w:t xml:space="preserve"> “I’m not a numbers person,” she said. In a nutshell, that explains how the Trump administration wants to change the terms of the debate over education policy in the United States. In the past quarter-century, Republican and Democratic administrations focused on holding schools and educators accountable for student performance. Now, President Trump and DeVos seem concerned less with measuring whether schools help students learn and more with whether parents have an opportunity to pick a school for their children. They have pledged billions of dollars to that end. And they have visited private schools in Florida to underline their support for funding private-school tuition through tax credits. In February, Trump plugged the Florida program during a speech to a joint session of Congress in which he introduced as his guest a scholarship recipient named Denisha Merriweather. In March, the president went to Orlando to tour St. Andrew Catholic School, where students rely on the scholarships. It was his first, and so far only, school visit since taking office. On Thursday, DeVos visited another Florida private school to highlight the program. Christian Academy for Reaching Excellence (CARE) Elementary is “an awesome example of the opportunities provided through the Florida tax-credit scholarship,” DeVos told reporters. She said that the administration is working on how to expand choice nationally and that there is a “possibility” its efforts might be patterned on Florida’s tax-credit program, according to Politico. Florida’s program, created in 2001 with the full-throated support of then-Gov. Jeb Bush (R), was one of the first to harness corporate tax credits to help low-income families pay private school tuition. Sixteen other states have enacted variations on the idea. Using tax credits to fund the scholarships, instead of direct payments from public treasuries, enabled lawmakers to work around state bans on the use of public funds to support religious institutions. The U.S. Supreme Court has ruled that tax-credit programs are constitutional. </w:t>
      </w:r>
      <w:r w:rsidRPr="009C7BA3">
        <w:rPr>
          <w:rStyle w:val="StyleUnderline"/>
        </w:rPr>
        <w:t>Taking the idea to the federal level is one of the clearest ways Trump could make good on his promise to supercharge private-school choice across the country. If embedded in a larger tax bill that the GOP-held Congress passes via the budget reconciliation process, it would be protected from a Senate filibuster and therefore would require only 51 votes instead of the 60 usually required to pass legislation. Vouchers are popular with the Republican majority on Capitol Hill but anathema to most Democrats.</w:t>
      </w:r>
      <w:r w:rsidRPr="009C7BA3">
        <w:rPr>
          <w:sz w:val="16"/>
        </w:rPr>
        <w:t xml:space="preserve"> The Republican-controlled Congress in 2004 approved a voucher program that provides direct federal funding to help poor children in the District of Columbia attend private schools. In Florida’s tax-credit program, businesses receive a dollar-for-dollar credit when they donate to nonprofit scholarship-granting organizations. A corporation that owes $50,000 in Florida taxes, for example, could donate $50,000 and pay nothing to the state. The nonprofit then dispenses money to students for tuition at participating private schools, although in some cases, the payment from the state does not cover the full cost of a private education. </w:t>
      </w:r>
      <w:r w:rsidRPr="009C7BA3">
        <w:rPr>
          <w:rStyle w:val="StyleUnderline"/>
          <w:highlight w:val="green"/>
        </w:rPr>
        <w:t>Private schools do not need to be accredited to participate.</w:t>
      </w:r>
      <w:r w:rsidRPr="009C7BA3">
        <w:rPr>
          <w:rStyle w:val="StyleUnderline"/>
        </w:rPr>
        <w:t xml:space="preserve"> They must show only that they’ve been in business for three years; that they comply with anti-discrimination and health and safety laws; and that they employ teachers who have gone through a background check and hold a bachelor’s degree, three years’ experience or “special skills.” </w:t>
      </w:r>
      <w:r w:rsidRPr="009C7BA3">
        <w:rPr>
          <w:rStyle w:val="StyleUnderline"/>
          <w:highlight w:val="green"/>
        </w:rPr>
        <w:t>About 82 percent of scholarship recipients attend religious schools</w:t>
      </w:r>
      <w:r w:rsidRPr="009C7BA3">
        <w:rPr>
          <w:rStyle w:val="StyleUnderline"/>
        </w:rPr>
        <w:t xml:space="preserve">, according to state data. </w:t>
      </w:r>
      <w:r w:rsidRPr="009C7BA3">
        <w:rPr>
          <w:rStyle w:val="StyleUnderline"/>
          <w:highlight w:val="green"/>
        </w:rPr>
        <w:t xml:space="preserve">Many teach creationism instead of evolution and require students and parents to adhere to certain principles of religious doctrine. </w:t>
      </w:r>
      <w:r w:rsidRPr="009C7BA3">
        <w:rPr>
          <w:rStyle w:val="Emphasis"/>
          <w:highlight w:val="green"/>
        </w:rPr>
        <w:t>The Family Life Academy</w:t>
      </w:r>
      <w:r w:rsidRPr="009C7BA3">
        <w:rPr>
          <w:rStyle w:val="Emphasis"/>
        </w:rPr>
        <w:t xml:space="preserve"> in Archer, Fla., </w:t>
      </w:r>
      <w:r w:rsidRPr="009C7BA3">
        <w:rPr>
          <w:rStyle w:val="Emphasis"/>
          <w:highlight w:val="green"/>
        </w:rPr>
        <w:t>requires parents to subscribe to “corporal correction</w:t>
      </w:r>
      <w:r w:rsidRPr="009C7BA3">
        <w:rPr>
          <w:rStyle w:val="Emphasis"/>
        </w:rPr>
        <w:t xml:space="preserve">,” according to its handbook, </w:t>
      </w:r>
      <w:r w:rsidRPr="009C7BA3">
        <w:rPr>
          <w:rStyle w:val="Emphasis"/>
          <w:highlight w:val="green"/>
        </w:rPr>
        <w:t>and to sign a form giving the school permission to paddle their children.</w:t>
      </w:r>
      <w:r w:rsidRPr="009C7BA3">
        <w:rPr>
          <w:sz w:val="16"/>
          <w:highlight w:val="green"/>
        </w:rPr>
        <w:t xml:space="preserve"> </w:t>
      </w:r>
      <w:r w:rsidRPr="009C7BA3">
        <w:rPr>
          <w:rStyle w:val="Emphasis"/>
          <w:highlight w:val="green"/>
        </w:rPr>
        <w:t>Colonial Christian School</w:t>
      </w:r>
      <w:r w:rsidRPr="009C7BA3">
        <w:rPr>
          <w:rStyle w:val="Emphasis"/>
        </w:rPr>
        <w:t xml:space="preserve"> of Homestead, Fla., </w:t>
      </w:r>
      <w:r w:rsidRPr="009C7BA3">
        <w:rPr>
          <w:rStyle w:val="Emphasis"/>
          <w:highlight w:val="green"/>
        </w:rPr>
        <w:t>makes clear in its handbook that students will be expelled if they engage in homosexual conduct.</w:t>
      </w:r>
      <w:r w:rsidRPr="009C7BA3">
        <w:rPr>
          <w:sz w:val="16"/>
        </w:rPr>
        <w:t xml:space="preserve"> Critics say the public shouldn’t subsidize religious instruction, even indirectly. Supporters dismiss that argument. “No one is coerced to go to a faith-based school. It’s a free decision,” said Doug Tuthill of Step Up for Students, which administers most Florida scholarships. “All the program does is provide the resources so they can exercise that freedom.” The program is projected to receive more than half a billion dollars this year that otherwise would have gone to Florida’s treasury. But a 2010 analysis found it saves Florida money because each scholarship costs less than the state would spend to educate the same child in public school. The scholarship is now worth $5,886 per year. In contrast, a federal tax credit would not save money for the federal government. </w:t>
      </w:r>
      <w:r w:rsidRPr="009C7BA3">
        <w:rPr>
          <w:rStyle w:val="StyleUnderline"/>
          <w:highlight w:val="green"/>
        </w:rPr>
        <w:t>For more than 15 years, Florida has been out front in the movement to hold public schools accountable for academic results.</w:t>
      </w:r>
      <w:r w:rsidRPr="009C7BA3">
        <w:rPr>
          <w:rStyle w:val="StyleUnderline"/>
        </w:rPr>
        <w:t xml:space="preserve"> It was one of the first states to use the results of standardized math and reading tests to grade every public school on an A to F scale, with rewards for the best-rated and sanctions for the worst. As in other states, annual report cards laid out how students at each school fared on the tests, with performance broken down by race and socioeconomic status. </w:t>
      </w:r>
      <w:r w:rsidRPr="009C7BA3">
        <w:rPr>
          <w:rStyle w:val="StyleUnderline"/>
          <w:highlight w:val="green"/>
        </w:rPr>
        <w:t>But Florida exempts private schools from that accountability regime, even if they participate in the scholarship program. Schools must give scholarship students standardized tests, but the outcomes are</w:t>
      </w:r>
      <w:r w:rsidRPr="009C7BA3">
        <w:rPr>
          <w:rStyle w:val="StyleUnderline"/>
        </w:rPr>
        <w:t xml:space="preserve"> largely </w:t>
      </w:r>
      <w:r w:rsidRPr="009C7BA3">
        <w:rPr>
          <w:rStyle w:val="StyleUnderline"/>
          <w:highlight w:val="green"/>
        </w:rPr>
        <w:t>irrelevant. No matter how poorly a private school performs, it can continue receiving scholarship dollars.</w:t>
      </w:r>
      <w:r w:rsidRPr="009C7BA3">
        <w:rPr>
          <w:rStyle w:val="StyleUnderline"/>
        </w:rPr>
        <w:t xml:space="preserve"> The state commissions an annual report on the performance of scholarship students as a group, but their performance can’t be compared with that of poor children in public schools, who take a battery of different tests.</w:t>
      </w:r>
      <w:r w:rsidRPr="009C7BA3">
        <w:rPr>
          <w:sz w:val="16"/>
        </w:rPr>
        <w:t xml:space="preserve"> And parents seeking test data from a particular private school are likely to find none: Scores are reported separately only for private schools with at least 30 scholarship recipients. In the 2014-15 school year, just 198 of more than 1,600 participating schools met that threshold. </w:t>
      </w:r>
      <w:r w:rsidRPr="009C7BA3">
        <w:rPr>
          <w:rStyle w:val="StyleUnderline"/>
          <w:highlight w:val="green"/>
        </w:rPr>
        <w:t>The stakes for parents are high: Although a disproportionate number of the state’s best schools are private, so are a disproportionate share of its worst</w:t>
      </w:r>
      <w:r w:rsidRPr="009C7BA3">
        <w:rPr>
          <w:rStyle w:val="StyleUnderline"/>
        </w:rPr>
        <w:t>, according to Northwestern University economist David Figlio, who has studied Florida’s tax-credit scholarships and produced the annual program report for six years. “There are some schools that, year in and year out, seemed to be adding considerable value, and other schools year in and year out that seemed to be leaving kids to fall further behind,”</w:t>
      </w:r>
      <w:r w:rsidRPr="009C7BA3">
        <w:rPr>
          <w:sz w:val="16"/>
        </w:rPr>
        <w:t xml:space="preserve"> Figlio said. </w:t>
      </w:r>
    </w:p>
    <w:p w14:paraId="1680CFBF" w14:textId="77777777" w:rsidR="002072CE" w:rsidRPr="009C7BA3" w:rsidRDefault="002072CE" w:rsidP="002072CE"/>
    <w:p w14:paraId="66AE924C" w14:textId="77777777" w:rsidR="00C410D1" w:rsidRPr="009C7BA3" w:rsidRDefault="00C410D1" w:rsidP="00C410D1"/>
    <w:sectPr w:rsidR="00C410D1" w:rsidRPr="009C7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5405728"/>
    <w:docVar w:name="VerbatimVersion" w:val="5.1"/>
  </w:docVars>
  <w:rsids>
    <w:rsidRoot w:val="00D075EF"/>
    <w:rsid w:val="000139A3"/>
    <w:rsid w:val="00026AA7"/>
    <w:rsid w:val="0003674C"/>
    <w:rsid w:val="00100833"/>
    <w:rsid w:val="00104529"/>
    <w:rsid w:val="00105942"/>
    <w:rsid w:val="00107396"/>
    <w:rsid w:val="00144A4C"/>
    <w:rsid w:val="00176AB0"/>
    <w:rsid w:val="00177B7D"/>
    <w:rsid w:val="0018322D"/>
    <w:rsid w:val="001B5776"/>
    <w:rsid w:val="001E527A"/>
    <w:rsid w:val="001F78CE"/>
    <w:rsid w:val="002028ED"/>
    <w:rsid w:val="002072CE"/>
    <w:rsid w:val="00251FC7"/>
    <w:rsid w:val="002855A7"/>
    <w:rsid w:val="002B146A"/>
    <w:rsid w:val="002B5331"/>
    <w:rsid w:val="002B5E17"/>
    <w:rsid w:val="00315690"/>
    <w:rsid w:val="00316B75"/>
    <w:rsid w:val="00325646"/>
    <w:rsid w:val="003460F2"/>
    <w:rsid w:val="0038158C"/>
    <w:rsid w:val="003902BA"/>
    <w:rsid w:val="003A09E2"/>
    <w:rsid w:val="003F1B37"/>
    <w:rsid w:val="00407037"/>
    <w:rsid w:val="00456DA5"/>
    <w:rsid w:val="004605D6"/>
    <w:rsid w:val="004C60E8"/>
    <w:rsid w:val="004E3579"/>
    <w:rsid w:val="004E728B"/>
    <w:rsid w:val="004F39E0"/>
    <w:rsid w:val="00510CE1"/>
    <w:rsid w:val="00537BD5"/>
    <w:rsid w:val="0057268A"/>
    <w:rsid w:val="005923BD"/>
    <w:rsid w:val="005D2912"/>
    <w:rsid w:val="005F2EC7"/>
    <w:rsid w:val="006065BD"/>
    <w:rsid w:val="00645FA9"/>
    <w:rsid w:val="00647866"/>
    <w:rsid w:val="00665003"/>
    <w:rsid w:val="006A2AD0"/>
    <w:rsid w:val="006B4989"/>
    <w:rsid w:val="006C2375"/>
    <w:rsid w:val="006D4ECC"/>
    <w:rsid w:val="00722258"/>
    <w:rsid w:val="007243E5"/>
    <w:rsid w:val="00766EA0"/>
    <w:rsid w:val="00772C41"/>
    <w:rsid w:val="007A2226"/>
    <w:rsid w:val="007C68E6"/>
    <w:rsid w:val="007D1908"/>
    <w:rsid w:val="007F5B66"/>
    <w:rsid w:val="00803067"/>
    <w:rsid w:val="00823A1C"/>
    <w:rsid w:val="00845B9D"/>
    <w:rsid w:val="00860984"/>
    <w:rsid w:val="008B3ECB"/>
    <w:rsid w:val="008B4E85"/>
    <w:rsid w:val="008C1B2E"/>
    <w:rsid w:val="008C5F69"/>
    <w:rsid w:val="0091627E"/>
    <w:rsid w:val="0097032B"/>
    <w:rsid w:val="009C7BA3"/>
    <w:rsid w:val="009D2EAD"/>
    <w:rsid w:val="009D54B2"/>
    <w:rsid w:val="009E1922"/>
    <w:rsid w:val="009F7ED2"/>
    <w:rsid w:val="00A25C54"/>
    <w:rsid w:val="00A42818"/>
    <w:rsid w:val="00A7381B"/>
    <w:rsid w:val="00A7687B"/>
    <w:rsid w:val="00A93661"/>
    <w:rsid w:val="00A95652"/>
    <w:rsid w:val="00AC0AB8"/>
    <w:rsid w:val="00B20687"/>
    <w:rsid w:val="00B25EE7"/>
    <w:rsid w:val="00B33C6D"/>
    <w:rsid w:val="00B4508F"/>
    <w:rsid w:val="00B543B9"/>
    <w:rsid w:val="00B55AD5"/>
    <w:rsid w:val="00B8057C"/>
    <w:rsid w:val="00BD6238"/>
    <w:rsid w:val="00BF593B"/>
    <w:rsid w:val="00BF773A"/>
    <w:rsid w:val="00BF7E81"/>
    <w:rsid w:val="00C13773"/>
    <w:rsid w:val="00C17CC8"/>
    <w:rsid w:val="00C410D1"/>
    <w:rsid w:val="00C83417"/>
    <w:rsid w:val="00C9604F"/>
    <w:rsid w:val="00CA19AA"/>
    <w:rsid w:val="00CB1DB4"/>
    <w:rsid w:val="00CC5298"/>
    <w:rsid w:val="00CD736E"/>
    <w:rsid w:val="00CD798D"/>
    <w:rsid w:val="00CE161E"/>
    <w:rsid w:val="00CE4E94"/>
    <w:rsid w:val="00CF59A8"/>
    <w:rsid w:val="00D02B7D"/>
    <w:rsid w:val="00D075EF"/>
    <w:rsid w:val="00D325A9"/>
    <w:rsid w:val="00D36A8A"/>
    <w:rsid w:val="00D61409"/>
    <w:rsid w:val="00D6691E"/>
    <w:rsid w:val="00D71170"/>
    <w:rsid w:val="00DA1C92"/>
    <w:rsid w:val="00DA25D4"/>
    <w:rsid w:val="00DA6538"/>
    <w:rsid w:val="00E15E75"/>
    <w:rsid w:val="00E5262C"/>
    <w:rsid w:val="00E67E97"/>
    <w:rsid w:val="00E904B2"/>
    <w:rsid w:val="00EC7DC4"/>
    <w:rsid w:val="00ED30CF"/>
    <w:rsid w:val="00ED4773"/>
    <w:rsid w:val="00F176EF"/>
    <w:rsid w:val="00F45E10"/>
    <w:rsid w:val="00F503DE"/>
    <w:rsid w:val="00F6364A"/>
    <w:rsid w:val="00F9113A"/>
    <w:rsid w:val="00FE190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EC7AB"/>
  <w15:chartTrackingRefBased/>
  <w15:docId w15:val="{052BB191-722B-4158-B467-EF4D6736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904B2"/>
    <w:rPr>
      <w:rFonts w:ascii="Times New Roman" w:hAnsi="Times New Roman" w:cs="Times New Roman"/>
    </w:rPr>
  </w:style>
  <w:style w:type="paragraph" w:styleId="Heading1">
    <w:name w:val="heading 1"/>
    <w:aliases w:val="Pocket"/>
    <w:basedOn w:val="Normal"/>
    <w:next w:val="Normal"/>
    <w:link w:val="Heading1Char"/>
    <w:qFormat/>
    <w:rsid w:val="00E904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904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904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904B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904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04B2"/>
  </w:style>
  <w:style w:type="character" w:customStyle="1" w:styleId="Heading1Char">
    <w:name w:val="Heading 1 Char"/>
    <w:aliases w:val="Pocket Char"/>
    <w:basedOn w:val="DefaultParagraphFont"/>
    <w:link w:val="Heading1"/>
    <w:rsid w:val="00E904B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904B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904B2"/>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E904B2"/>
    <w:rPr>
      <w:rFonts w:ascii="Times New Roman" w:eastAsiaTheme="majorEastAsia" w:hAnsi="Times New Roman" w:cstheme="majorBidi"/>
      <w:b/>
      <w:iCs/>
      <w:sz w:val="26"/>
    </w:rPr>
  </w:style>
  <w:style w:type="character" w:styleId="Emphasis">
    <w:name w:val="Emphasis"/>
    <w:basedOn w:val="DefaultParagraphFont"/>
    <w:uiPriority w:val="7"/>
    <w:qFormat/>
    <w:rsid w:val="00E904B2"/>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904B2"/>
    <w:rPr>
      <w:b/>
      <w:bCs/>
      <w:sz w:val="26"/>
      <w:u w:val="none"/>
    </w:rPr>
  </w:style>
  <w:style w:type="character" w:customStyle="1" w:styleId="StyleUnderline">
    <w:name w:val="Style Underline"/>
    <w:aliases w:val="Underline"/>
    <w:basedOn w:val="DefaultParagraphFont"/>
    <w:uiPriority w:val="6"/>
    <w:qFormat/>
    <w:rsid w:val="00E904B2"/>
    <w:rPr>
      <w:b w:val="0"/>
      <w:sz w:val="22"/>
      <w:u w:val="single"/>
    </w:rPr>
  </w:style>
  <w:style w:type="character" w:styleId="Hyperlink">
    <w:name w:val="Hyperlink"/>
    <w:basedOn w:val="DefaultParagraphFont"/>
    <w:uiPriority w:val="99"/>
    <w:unhideWhenUsed/>
    <w:rsid w:val="00E904B2"/>
    <w:rPr>
      <w:color w:val="auto"/>
      <w:u w:val="none"/>
    </w:rPr>
  </w:style>
  <w:style w:type="character" w:styleId="FollowedHyperlink">
    <w:name w:val="FollowedHyperlink"/>
    <w:basedOn w:val="DefaultParagraphFont"/>
    <w:uiPriority w:val="99"/>
    <w:semiHidden/>
    <w:unhideWhenUsed/>
    <w:rsid w:val="00E904B2"/>
    <w:rPr>
      <w:color w:val="auto"/>
      <w:u w:val="none"/>
    </w:rPr>
  </w:style>
  <w:style w:type="paragraph" w:styleId="NoSpacing">
    <w:name w:val="No Spacing"/>
    <w:uiPriority w:val="1"/>
    <w:qFormat/>
    <w:rsid w:val="00B543B9"/>
    <w:pPr>
      <w:spacing w:after="0" w:line="240" w:lineRule="auto"/>
    </w:pPr>
    <w:rPr>
      <w:rFonts w:ascii="Calibri" w:eastAsiaTheme="minorEastAsia" w:hAnsi="Calibri"/>
      <w:szCs w:val="24"/>
    </w:rPr>
  </w:style>
  <w:style w:type="character" w:customStyle="1" w:styleId="m6594178875960264745styleunderline">
    <w:name w:val="m_6594178875960264745styleunderline"/>
    <w:basedOn w:val="DefaultParagraphFont"/>
    <w:rsid w:val="002028ED"/>
  </w:style>
  <w:style w:type="paragraph" w:styleId="DocumentMap">
    <w:name w:val="Document Map"/>
    <w:basedOn w:val="Normal"/>
    <w:link w:val="DocumentMapChar"/>
    <w:uiPriority w:val="99"/>
    <w:semiHidden/>
    <w:unhideWhenUsed/>
    <w:rsid w:val="00A25C54"/>
    <w:rPr>
      <w:sz w:val="24"/>
      <w:szCs w:val="24"/>
    </w:rPr>
  </w:style>
  <w:style w:type="character" w:customStyle="1" w:styleId="DocumentMapChar">
    <w:name w:val="Document Map Char"/>
    <w:basedOn w:val="DefaultParagraphFont"/>
    <w:link w:val="DocumentMap"/>
    <w:uiPriority w:val="99"/>
    <w:semiHidden/>
    <w:rsid w:val="00A25C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oardcertifiedteachers.org/blog/culturally-competence-in-schools)" TargetMode="External"/><Relationship Id="rId13" Type="http://schemas.openxmlformats.org/officeDocument/2006/relationships/hyperlink" Target="http://journals.sagepub.com/doi/pdf/10.1177/0013124517713820" TargetMode="External"/><Relationship Id="rId18" Type="http://schemas.openxmlformats.org/officeDocument/2006/relationships/hyperlink" Target="http://www.pbs.org/wgbh/frontline/person/kyle-spencer/" TargetMode="External"/><Relationship Id="rId3" Type="http://schemas.openxmlformats.org/officeDocument/2006/relationships/styles" Target="styles.xml"/><Relationship Id="rId21" Type="http://schemas.openxmlformats.org/officeDocument/2006/relationships/hyperlink" Target="https://www.washingtonpost.com/local/education/devos-praises-this-voucher-like-program-heres-what-it-means-for-school-reform/2017/04/09/78b28f52-08f2-11e7-b77c-0047d15a24e0_story.html?utm_term=.8fe3a293e9cb&amp;tid=a_inl" TargetMode="External"/><Relationship Id="rId7" Type="http://schemas.openxmlformats.org/officeDocument/2006/relationships/hyperlink" Target="http://journals.sagepub.com/doi/pdf/10.1177/0013124517713820" TargetMode="External"/><Relationship Id="rId12" Type="http://schemas.openxmlformats.org/officeDocument/2006/relationships/hyperlink" Target="http://www.slate.com/authors.vanessa_romo.html" TargetMode="External"/><Relationship Id="rId17" Type="http://schemas.openxmlformats.org/officeDocument/2006/relationships/hyperlink" Target="https://www.washingtonpost.com/news/volokh-conspiracy/wp/2017/01/26/constitutional-problems-with-trumps-executive-order-on-sanctuary-cities/?utm_term=.4ee614806de7" TargetMode="External"/><Relationship Id="rId2" Type="http://schemas.openxmlformats.org/officeDocument/2006/relationships/numbering" Target="numbering.xml"/><Relationship Id="rId16" Type="http://schemas.openxmlformats.org/officeDocument/2006/relationships/hyperlink" Target="http://faculty.law.gmu.edu/isomin/" TargetMode="External"/><Relationship Id="rId20" Type="http://schemas.openxmlformats.org/officeDocument/2006/relationships/hyperlink" Target="https://itep.org/state-tax-subsidies-for-private-k-12-education/" TargetMode="External"/><Relationship Id="rId1" Type="http://schemas.openxmlformats.org/officeDocument/2006/relationships/customXml" Target="../customXml/item1.xml"/><Relationship Id="rId6" Type="http://schemas.openxmlformats.org/officeDocument/2006/relationships/hyperlink" Target="http://srhe.tandfonline.com/doi/pdf/10.1080/13562517.2016.1273217?needAccess=true" TargetMode="External"/><Relationship Id="rId11" Type="http://schemas.openxmlformats.org/officeDocument/2006/relationships/hyperlink" Target="http://www.nea.org/tools/30402.htm" TargetMode="External"/><Relationship Id="rId5" Type="http://schemas.openxmlformats.org/officeDocument/2006/relationships/webSettings" Target="webSettings.xml"/><Relationship Id="rId15" Type="http://schemas.openxmlformats.org/officeDocument/2006/relationships/hyperlink" Target="https://www.washingtonpost.com/opinions/trumps-violations-of-federalism-would-make-obama-jealous/2017/05/10/7cf6b5d6-34dd-11e7-b4ee-434b6d506b37_story.html?utm_term=.713c970dd851" TargetMode="External"/><Relationship Id="rId23" Type="http://schemas.openxmlformats.org/officeDocument/2006/relationships/theme" Target="theme/theme1.xml"/><Relationship Id="rId10" Type="http://schemas.openxmlformats.org/officeDocument/2006/relationships/hyperlink" Target="http://www.nasponline.org/Documents/Standards%20and%20Certification/Standards/2_PracticeModel.pdf" TargetMode="External"/><Relationship Id="rId19" Type="http://schemas.openxmlformats.org/officeDocument/2006/relationships/hyperlink" Target="http://www.pbs.org/wgbh/frontline/person/kyle-spencer/" TargetMode="External"/><Relationship Id="rId4" Type="http://schemas.openxmlformats.org/officeDocument/2006/relationships/settings" Target="settings.xml"/><Relationship Id="rId9" Type="http://schemas.openxmlformats.org/officeDocument/2006/relationships/hyperlink" Target="https://www.census.gov/content/dam/Census/library/publications/2015/demo/p25-1143.pdf" TargetMode="External"/><Relationship Id="rId14" Type="http://schemas.openxmlformats.org/officeDocument/2006/relationships/hyperlink" Target="http://www.newsweek.com/trump-administration-ice-target-sanctuary-cities-immigration-enforcement-639256"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48C41-35DC-4FC4-8370-E7B6EDC70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23480</Words>
  <Characters>133840</Characters>
  <Application>Microsoft Office Word</Application>
  <DocSecurity>0</DocSecurity>
  <Lines>1115</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dc:creator>
  <cp:keywords>5.1.1</cp:keywords>
  <dc:description/>
  <cp:lastModifiedBy>Watson, Carly</cp:lastModifiedBy>
  <cp:revision>2</cp:revision>
  <dcterms:created xsi:type="dcterms:W3CDTF">2017-07-25T11:48:00Z</dcterms:created>
  <dcterms:modified xsi:type="dcterms:W3CDTF">2017-07-25T11:48:00Z</dcterms:modified>
</cp:coreProperties>
</file>