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Default="00A32C02" w:rsidP="00A32C02">
      <w:pPr>
        <w:pStyle w:val="Heading1"/>
      </w:pPr>
      <w:r>
        <w:t>Curriculum Supplement</w:t>
      </w:r>
    </w:p>
    <w:p w:rsidR="00A32C02" w:rsidRDefault="00A32C02" w:rsidP="00A32C02">
      <w:pPr>
        <w:pStyle w:val="Heading1"/>
      </w:pPr>
      <w:proofErr w:type="spellStart"/>
      <w:r>
        <w:lastRenderedPageBreak/>
        <w:t>Aff</w:t>
      </w:r>
      <w:proofErr w:type="spellEnd"/>
    </w:p>
    <w:p w:rsidR="00A32C02" w:rsidRDefault="00A32C02" w:rsidP="00A32C02">
      <w:pPr>
        <w:pStyle w:val="Heading3"/>
      </w:pPr>
      <w:r>
        <w:lastRenderedPageBreak/>
        <w:t>Inherency</w:t>
      </w:r>
    </w:p>
    <w:p w:rsidR="00A32C02" w:rsidRPr="00031185" w:rsidRDefault="00A32C02" w:rsidP="00A32C02">
      <w:pPr>
        <w:pStyle w:val="Heading4"/>
        <w:rPr>
          <w:rStyle w:val="Style13ptBold"/>
        </w:rPr>
      </w:pPr>
      <w:r>
        <w:t xml:space="preserve">NPH laws single out queer students on a grand scale- and teachers </w:t>
      </w:r>
      <w:r>
        <w:t>are prevented from helping</w:t>
      </w:r>
    </w:p>
    <w:p w:rsidR="00A32C02" w:rsidRPr="00195BD9" w:rsidRDefault="00A32C02" w:rsidP="00A32C02">
      <w:pPr>
        <w:rPr>
          <w:color w:val="000000"/>
        </w:rPr>
      </w:pPr>
      <w:r w:rsidRPr="00316EB8">
        <w:rPr>
          <w:color w:val="000000"/>
        </w:rPr>
        <w:t>(</w:t>
      </w:r>
      <w:r>
        <w:rPr>
          <w:color w:val="000000"/>
        </w:rPr>
        <w:t>Nico</w:t>
      </w:r>
      <w:r w:rsidRPr="00316EB8">
        <w:rPr>
          <w:color w:val="000000"/>
        </w:rPr>
        <w:t xml:space="preserve">, </w:t>
      </w:r>
      <w:r>
        <w:rPr>
          <w:i/>
          <w:color w:val="000000"/>
        </w:rPr>
        <w:t>Salon</w:t>
      </w:r>
      <w:r w:rsidRPr="00316EB8">
        <w:rPr>
          <w:color w:val="000000"/>
        </w:rPr>
        <w:t>, “</w:t>
      </w:r>
      <w:r>
        <w:rPr>
          <w:color w:val="000000"/>
        </w:rPr>
        <w:t>The end of “no promo homo”: Utah could become the first Republican state to strike down anti-LGBT law</w:t>
      </w:r>
      <w:r w:rsidRPr="00316EB8">
        <w:rPr>
          <w:color w:val="000000"/>
        </w:rPr>
        <w:t xml:space="preserve">,” </w:t>
      </w:r>
      <w:r>
        <w:rPr>
          <w:color w:val="000000"/>
        </w:rPr>
        <w:t>3-14-17</w:t>
      </w:r>
      <w:r w:rsidRPr="00316EB8">
        <w:rPr>
          <w:color w:val="000000"/>
        </w:rPr>
        <w:t xml:space="preserve">, </w:t>
      </w:r>
      <w:r>
        <w:rPr>
          <w:color w:val="000000"/>
        </w:rPr>
        <w:t>http://www.salon.com/2017/03/14/the-end-of-no-promo-homo-utah-could-become-the-first-republican-state-to-strike-down-anti-lgbt-law/, 7-20-17, MM</w:t>
      </w:r>
      <w:r w:rsidRPr="00316EB8">
        <w:rPr>
          <w:color w:val="000000"/>
        </w:rPr>
        <w:t>).</w:t>
      </w:r>
    </w:p>
    <w:p w:rsidR="00A32C02" w:rsidRDefault="00A32C02" w:rsidP="00A32C02">
      <w:pPr>
        <w:rPr>
          <w:color w:val="000000"/>
        </w:rPr>
      </w:pPr>
      <w:r>
        <w:rPr>
          <w:color w:val="000000"/>
        </w:rPr>
        <w:t>“This is unfortunately not what’s happening in other states,” said Williams, who serves as the organization’s executive director. “That’s been the biggest challenge that we’ve been seeing across the country — collaboration isn’t happening. It’s us versus them. In Utah, we chose to go a different way. We chose to sit down together and work together on these issues and that makes all the difference.”</w:t>
      </w:r>
    </w:p>
    <w:p w:rsidR="00A32C02" w:rsidRPr="008D3CA5" w:rsidRDefault="00A32C02" w:rsidP="00A32C02">
      <w:pPr>
        <w:rPr>
          <w:color w:val="000000"/>
          <w:u w:val="single"/>
        </w:rPr>
      </w:pPr>
      <w:r w:rsidRPr="00430986">
        <w:rPr>
          <w:color w:val="000000"/>
          <w:u w:val="single"/>
        </w:rPr>
        <w:t>The challenge to the state’s</w:t>
      </w:r>
      <w:r>
        <w:rPr>
          <w:color w:val="000000"/>
        </w:rPr>
        <w:t xml:space="preserve"> “</w:t>
      </w:r>
      <w:r w:rsidRPr="00430986">
        <w:rPr>
          <w:color w:val="000000"/>
          <w:u w:val="single"/>
        </w:rPr>
        <w:t>n</w:t>
      </w:r>
      <w:r>
        <w:rPr>
          <w:color w:val="000000"/>
        </w:rPr>
        <w:t xml:space="preserve">o </w:t>
      </w:r>
      <w:r w:rsidRPr="00430986">
        <w:rPr>
          <w:color w:val="000000"/>
          <w:u w:val="single"/>
        </w:rPr>
        <w:t>p</w:t>
      </w:r>
      <w:r>
        <w:rPr>
          <w:color w:val="000000"/>
        </w:rPr>
        <w:t xml:space="preserve">romo </w:t>
      </w:r>
      <w:r w:rsidRPr="00430986">
        <w:rPr>
          <w:color w:val="000000"/>
          <w:u w:val="single"/>
        </w:rPr>
        <w:t>h</w:t>
      </w:r>
      <w:r>
        <w:rPr>
          <w:color w:val="000000"/>
        </w:rPr>
        <w:t xml:space="preserve">omo” </w:t>
      </w:r>
      <w:r w:rsidRPr="008D3CA5">
        <w:rPr>
          <w:color w:val="000000"/>
          <w:u w:val="single"/>
        </w:rPr>
        <w:t>laws began last year when Equality Utah and the National Center for Lesbian Rights filed a lawsuit on behalf of three students who allege that the legislation prevented them from being treated equally in schools.</w:t>
      </w:r>
      <w:r>
        <w:rPr>
          <w:color w:val="000000"/>
        </w:rPr>
        <w:t xml:space="preserve"> </w:t>
      </w:r>
      <w:r w:rsidRPr="008D3CA5">
        <w:rPr>
          <w:color w:val="000000"/>
          <w:u w:val="single"/>
        </w:rPr>
        <w:t>One student</w:t>
      </w:r>
      <w:r>
        <w:rPr>
          <w:color w:val="000000"/>
        </w:rPr>
        <w:t xml:space="preserve">, referred to as “John” in the suit, </w:t>
      </w:r>
      <w:r w:rsidRPr="008D3CA5">
        <w:rPr>
          <w:color w:val="000000"/>
          <w:u w:val="single"/>
        </w:rPr>
        <w:t>claimed</w:t>
      </w:r>
      <w:r w:rsidRPr="008D3CA5">
        <w:rPr>
          <w:color w:val="000000"/>
        </w:rPr>
        <w:t xml:space="preserve"> in</w:t>
      </w:r>
      <w:r>
        <w:rPr>
          <w:color w:val="000000"/>
        </w:rPr>
        <w:t xml:space="preserve"> court briefings </w:t>
      </w:r>
      <w:r w:rsidRPr="008D3CA5">
        <w:rPr>
          <w:color w:val="000000"/>
          <w:u w:val="single"/>
        </w:rPr>
        <w:t>that a classmate “held [his] hand to a hot metal slide” and burned it</w:t>
      </w:r>
      <w:r>
        <w:rPr>
          <w:color w:val="000000"/>
        </w:rPr>
        <w:t xml:space="preserve">. “He screamed for help and the boy finally let him go,” according to the documents. The suit asserted that </w:t>
      </w:r>
      <w:r w:rsidRPr="008D3CA5">
        <w:rPr>
          <w:color w:val="000000"/>
          <w:u w:val="single"/>
        </w:rPr>
        <w:t>because he was gender nonconforming, his teacher denied him first aid. The teacher allegedly felt that helping this injured student would send a message it was OK to be like him.</w:t>
      </w:r>
    </w:p>
    <w:p w:rsidR="00A32C02" w:rsidRPr="008D3CA5" w:rsidRDefault="00A32C02" w:rsidP="00A32C02">
      <w:pPr>
        <w:rPr>
          <w:u w:val="single"/>
        </w:rPr>
      </w:pPr>
      <w:r w:rsidRPr="008D3CA5">
        <w:rPr>
          <w:u w:val="single"/>
        </w:rPr>
        <w:t>John was 5 years old.</w:t>
      </w:r>
    </w:p>
    <w:p w:rsidR="00A32C02" w:rsidRDefault="00A32C02" w:rsidP="00A32C02">
      <w:r>
        <w:t xml:space="preserve">Clifford </w:t>
      </w:r>
      <w:proofErr w:type="spellStart"/>
      <w:r>
        <w:t>Rosky</w:t>
      </w:r>
      <w:proofErr w:type="spellEnd"/>
      <w:r>
        <w:t xml:space="preserve">, a law professor at the University of Utah, alleged that </w:t>
      </w:r>
      <w:r w:rsidRPr="008D3CA5">
        <w:rPr>
          <w:u w:val="single"/>
        </w:rPr>
        <w:t>when the student’s parents met with school administrators</w:t>
      </w:r>
      <w:r>
        <w:t xml:space="preserve"> to discuss the incident, </w:t>
      </w:r>
      <w:r w:rsidRPr="008D3CA5">
        <w:rPr>
          <w:u w:val="single"/>
        </w:rPr>
        <w:t>officials claimed they couldn’t protect the boy</w:t>
      </w:r>
      <w:r>
        <w:t xml:space="preserve">. He would have to be home-schooled. “His mother quit her job to home-school her son,” </w:t>
      </w:r>
      <w:proofErr w:type="spellStart"/>
      <w:r>
        <w:t>Rosky</w:t>
      </w:r>
      <w:proofErr w:type="spellEnd"/>
      <w:r>
        <w:t xml:space="preserve"> said. “This is not a wealthy family. It had a profound impact on their income.”</w:t>
      </w:r>
    </w:p>
    <w:p w:rsidR="00A32C02" w:rsidRDefault="00A32C02" w:rsidP="00A32C02">
      <w:r w:rsidRPr="008D3CA5">
        <w:rPr>
          <w:u w:val="single"/>
        </w:rPr>
        <w:t>Rather than making the school district safer</w:t>
      </w:r>
      <w:r>
        <w:t xml:space="preserve"> for other students like John, the lawsuit alleges, </w:t>
      </w:r>
      <w:r w:rsidRPr="008D3CA5">
        <w:rPr>
          <w:u w:val="single"/>
        </w:rPr>
        <w:t>the district doubled down on discriminating against gender nonconforming students.</w:t>
      </w:r>
      <w:r>
        <w:t xml:space="preserve"> The boy wanted to go to school dressed as Cinderella for Halloween, and after John’s parents pulled him out of his classes, administrators adopted a regulation saying that no students would be allowed to dress up as someone of the opposite gender for the holiday. If they did, they would face suspension.</w:t>
      </w:r>
    </w:p>
    <w:p w:rsidR="00A32C02" w:rsidRPr="008D3CA5" w:rsidRDefault="00A32C02" w:rsidP="00A32C02">
      <w:pPr>
        <w:rPr>
          <w:u w:val="single"/>
        </w:rPr>
      </w:pPr>
      <w:r>
        <w:t xml:space="preserve">Williams noted that </w:t>
      </w:r>
      <w:r w:rsidRPr="008D3CA5">
        <w:rPr>
          <w:u w:val="single"/>
        </w:rPr>
        <w:t>these sorts of incidents happen all the time</w:t>
      </w:r>
      <w:r>
        <w:t xml:space="preserve"> in Utah. “Another one of our plaintiffs was simply holding hands with her girlfriend and was called into detention for public displays of </w:t>
      </w:r>
      <w:proofErr w:type="gramStart"/>
      <w:r>
        <w:t>affection, while</w:t>
      </w:r>
      <w:proofErr w:type="gramEnd"/>
      <w:r>
        <w:t xml:space="preserve"> her straight counterparts hold hands in the hallways all the time,” he said. </w:t>
      </w:r>
      <w:r w:rsidRPr="008D3CA5">
        <w:rPr>
          <w:u w:val="single"/>
        </w:rPr>
        <w:t>“</w:t>
      </w:r>
      <w:proofErr w:type="gramStart"/>
      <w:r w:rsidRPr="008D3CA5">
        <w:rPr>
          <w:u w:val="single"/>
        </w:rPr>
        <w:t>Time and again</w:t>
      </w:r>
      <w:proofErr w:type="gramEnd"/>
      <w:r w:rsidRPr="008D3CA5">
        <w:rPr>
          <w:u w:val="single"/>
        </w:rPr>
        <w:t>, we’re seeing ways in which queer-identified students are singled out and treated differently.”</w:t>
      </w:r>
    </w:p>
    <w:p w:rsidR="00A32C02" w:rsidRDefault="00A32C02" w:rsidP="00A32C02">
      <w:r>
        <w:t xml:space="preserve">“No promo homo” legislation was enacted in the early 1990s in the wake of the AIDS crisis. According to </w:t>
      </w:r>
      <w:proofErr w:type="spellStart"/>
      <w:proofErr w:type="gramStart"/>
      <w:r>
        <w:t>Rosky</w:t>
      </w:r>
      <w:proofErr w:type="spellEnd"/>
      <w:r>
        <w:t>, if</w:t>
      </w:r>
      <w:proofErr w:type="gramEnd"/>
      <w:r>
        <w:t xml:space="preserve"> educators were required to address in the classroom topics related to HIV, many Republican-dominated states would allow it only if the curriculum didn’t become a platform for “homosexual indoctrination.” The choice, </w:t>
      </w:r>
      <w:proofErr w:type="spellStart"/>
      <w:r>
        <w:t>Rosky</w:t>
      </w:r>
      <w:proofErr w:type="spellEnd"/>
      <w:r>
        <w:t xml:space="preserve"> explained, was that conservative parts of the country either didn’t teach about homosexuality at all or students would only “learn bad things about it.”</w:t>
      </w:r>
    </w:p>
    <w:p w:rsidR="00A32C02" w:rsidRDefault="00A32C02" w:rsidP="00A32C02">
      <w:r>
        <w:t xml:space="preserve">That mindset led to the passage of extremely anti-LGBT legislation in states like Arizona, </w:t>
      </w:r>
      <w:proofErr w:type="gramStart"/>
      <w:r>
        <w:t>Louisiana</w:t>
      </w:r>
      <w:proofErr w:type="gramEnd"/>
      <w:r>
        <w:t xml:space="preserve"> and Mississippi, where “no promo homo” laws remain on the books. For </w:t>
      </w:r>
      <w:proofErr w:type="gramStart"/>
      <w:r>
        <w:t>example,  Alabama’s</w:t>
      </w:r>
      <w:proofErr w:type="gramEnd"/>
      <w:r>
        <w:t xml:space="preserve"> state code declares that “classes must emphasize, in a factual manner and from a public health perspective, that </w:t>
      </w:r>
      <w:r>
        <w:lastRenderedPageBreak/>
        <w:t>homosexuality is not a lifestyle acceptable to the general public and that homosexual conduct is a criminal offense under the laws of the state.”</w:t>
      </w:r>
    </w:p>
    <w:p w:rsidR="00A32C02" w:rsidRPr="008D3CA5" w:rsidRDefault="00A32C02" w:rsidP="00A32C02">
      <w:pPr>
        <w:rPr>
          <w:u w:val="single"/>
        </w:rPr>
      </w:pPr>
      <w:r w:rsidRPr="008D3CA5">
        <w:rPr>
          <w:u w:val="single"/>
        </w:rPr>
        <w:t>Although LGBT rights advocates frequently claim that eight states</w:t>
      </w:r>
      <w:r>
        <w:t xml:space="preserve"> (including Utah) </w:t>
      </w:r>
      <w:r w:rsidRPr="008D3CA5">
        <w:rPr>
          <w:u w:val="single"/>
        </w:rPr>
        <w:t>have</w:t>
      </w:r>
      <w:r>
        <w:t xml:space="preserve"> “no promo homo” or “don’t say gay” </w:t>
      </w:r>
      <w:r w:rsidRPr="008D3CA5">
        <w:rPr>
          <w:u w:val="single"/>
        </w:rPr>
        <w:t>laws</w:t>
      </w:r>
      <w:r>
        <w:t xml:space="preserve">, such </w:t>
      </w:r>
      <w:r w:rsidRPr="008D3CA5">
        <w:rPr>
          <w:u w:val="single"/>
        </w:rPr>
        <w:t>legislation has been narrowly defined</w:t>
      </w:r>
      <w:r>
        <w:t xml:space="preserve"> as laws that keep teachers and districts from addressing issues related to gender identity or sexual orientation in the classroom. </w:t>
      </w:r>
      <w:r w:rsidRPr="008D3CA5">
        <w:rPr>
          <w:u w:val="single"/>
        </w:rPr>
        <w:t>But there are other ways that school policies can leave out LGBT students.</w:t>
      </w:r>
      <w:r>
        <w:t xml:space="preserve"> </w:t>
      </w:r>
      <w:proofErr w:type="spellStart"/>
      <w:r>
        <w:t>Rosky</w:t>
      </w:r>
      <w:proofErr w:type="spellEnd"/>
      <w:r>
        <w:t xml:space="preserve"> said </w:t>
      </w:r>
      <w:r w:rsidRPr="008D3CA5">
        <w:rPr>
          <w:u w:val="single"/>
        </w:rPr>
        <w:t xml:space="preserve">20 states have anti-LGBT language in their curriculum for kindergarten through grade 12. </w:t>
      </w:r>
    </w:p>
    <w:p w:rsidR="00A32C02" w:rsidRDefault="00A32C02" w:rsidP="00A32C02">
      <w:r>
        <w:t>“</w:t>
      </w:r>
      <w:r w:rsidRPr="008D3CA5">
        <w:rPr>
          <w:u w:val="single"/>
        </w:rPr>
        <w:t>The issue is twice as big as people realize</w:t>
      </w:r>
      <w:r>
        <w:t xml:space="preserve">,” claimed </w:t>
      </w:r>
      <w:proofErr w:type="spellStart"/>
      <w:r>
        <w:t>Rosky</w:t>
      </w:r>
      <w:proofErr w:type="spellEnd"/>
      <w:r>
        <w:t>, who has penned an upcoming survey for Columbia Law Review on the subject.</w:t>
      </w:r>
    </w:p>
    <w:p w:rsidR="00A32C02" w:rsidRDefault="00A32C02" w:rsidP="00A32C02">
      <w:r>
        <w:t>“</w:t>
      </w:r>
      <w:r w:rsidRPr="008D3CA5">
        <w:rPr>
          <w:u w:val="single"/>
        </w:rPr>
        <w:t>More than 25 million children</w:t>
      </w:r>
      <w:r>
        <w:t xml:space="preserve"> — </w:t>
      </w:r>
      <w:r w:rsidRPr="008D3CA5">
        <w:rPr>
          <w:u w:val="single"/>
        </w:rPr>
        <w:t>nearly half of all school-aged children in the U</w:t>
      </w:r>
      <w:r>
        <w:t xml:space="preserve">nited </w:t>
      </w:r>
      <w:r w:rsidRPr="008D3CA5">
        <w:rPr>
          <w:u w:val="single"/>
        </w:rPr>
        <w:t>S</w:t>
      </w:r>
      <w:r>
        <w:t xml:space="preserve">tates — are </w:t>
      </w:r>
      <w:r w:rsidRPr="008D3CA5">
        <w:rPr>
          <w:u w:val="single"/>
        </w:rPr>
        <w:t>attending public schools in these 20 states</w:t>
      </w:r>
      <w:r>
        <w:t xml:space="preserve">,” </w:t>
      </w:r>
      <w:proofErr w:type="spellStart"/>
      <w:r>
        <w:t>Rosky</w:t>
      </w:r>
      <w:proofErr w:type="spellEnd"/>
      <w:r>
        <w:t xml:space="preserve"> wrote in the appropriately titled “Anti-Gay Curriculum Laws.” “In half of these states, teachers are affirmatively required to teach anti-gay curricula in all public schools. In the other half, teachers may choose between offering students an anti-gay curriculum or providing no health, sex, or HIV education at all.”</w:t>
      </w:r>
    </w:p>
    <w:p w:rsidR="00A32C02" w:rsidRDefault="00A32C02" w:rsidP="00A32C02">
      <w:r>
        <w:t xml:space="preserve">Added </w:t>
      </w:r>
      <w:proofErr w:type="spellStart"/>
      <w:r>
        <w:t>Rosky</w:t>
      </w:r>
      <w:proofErr w:type="spellEnd"/>
      <w:r>
        <w:t xml:space="preserve"> in a phone interview, “Some of them say you must promote heterosexuality or marriage between opposite-sex couples,” noting, “others say you have to promote abstinence until marriage, but in those states, marriage is still defined to exclude same-sex couples — like in Tennessee.”</w:t>
      </w:r>
    </w:p>
    <w:p w:rsidR="00A32C02" w:rsidRDefault="00A32C02" w:rsidP="00A32C02">
      <w:r w:rsidRPr="008D3CA5">
        <w:rPr>
          <w:u w:val="single"/>
        </w:rPr>
        <w:t>These policies have an especially harmful impact on LGBT students</w:t>
      </w:r>
      <w:r>
        <w:t xml:space="preserve">. Andrew Peters, the state policy manager for Gay, Lesbian, &amp; Straight Education Network, claimed that </w:t>
      </w:r>
      <w:r w:rsidRPr="008D3CA5">
        <w:rPr>
          <w:u w:val="single"/>
        </w:rPr>
        <w:t>with such policies kids are more likely to hear homophobic remarks in school or to be bullied by other students</w:t>
      </w:r>
      <w:r>
        <w:t xml:space="preserve">. As a result, </w:t>
      </w:r>
      <w:r w:rsidRPr="008D3CA5">
        <w:rPr>
          <w:u w:val="single"/>
        </w:rPr>
        <w:t>these kids report higher rates of depression and drug use, while experiencing lower self-esteem and performing more poorly in school.</w:t>
      </w:r>
      <w:r>
        <w:t xml:space="preserve"> Because students in “no promo homo” states are less likely to report harassment they face, </w:t>
      </w:r>
      <w:r w:rsidRPr="008D3CA5">
        <w:rPr>
          <w:u w:val="single"/>
        </w:rPr>
        <w:t>it can be harder for educators to support them — if they’re even permitted to</w:t>
      </w:r>
      <w:r>
        <w:t xml:space="preserve"> do so.</w:t>
      </w:r>
    </w:p>
    <w:p w:rsidR="00A32C02" w:rsidRDefault="00A32C02" w:rsidP="00A32C02">
      <w:r>
        <w:t>“It’s so important that students are able to learn in an environment that affirms their identity,” Peters said. “</w:t>
      </w:r>
      <w:r w:rsidRPr="008D3CA5">
        <w:rPr>
          <w:u w:val="single"/>
        </w:rPr>
        <w:t>These laws say to students that they are not accepted</w:t>
      </w:r>
      <w:r>
        <w:t xml:space="preserve"> and that </w:t>
      </w:r>
      <w:r w:rsidRPr="008D3CA5">
        <w:rPr>
          <w:u w:val="single"/>
        </w:rPr>
        <w:t>they are invisible</w:t>
      </w:r>
      <w:r>
        <w:t>.”</w:t>
      </w:r>
    </w:p>
    <w:p w:rsidR="00A32C02" w:rsidRPr="00EA0030" w:rsidRDefault="00A32C02" w:rsidP="00A32C02">
      <w:pPr>
        <w:rPr>
          <w:u w:val="single"/>
        </w:rPr>
      </w:pPr>
      <w:r>
        <w:t xml:space="preserve">This is a concern for people </w:t>
      </w:r>
      <w:r w:rsidRPr="00EA0030">
        <w:rPr>
          <w:u w:val="single"/>
        </w:rPr>
        <w:t>in a state like Utah</w:t>
      </w:r>
      <w:r>
        <w:t xml:space="preserve">, where </w:t>
      </w:r>
      <w:proofErr w:type="spellStart"/>
      <w:r>
        <w:t>Rosky</w:t>
      </w:r>
      <w:proofErr w:type="spellEnd"/>
      <w:r>
        <w:t xml:space="preserve"> claimed that </w:t>
      </w:r>
      <w:r w:rsidRPr="00EA0030">
        <w:rPr>
          <w:u w:val="single"/>
        </w:rPr>
        <w:t>the youth suicide rate “has quadrupled” over the past 10 years.</w:t>
      </w:r>
      <w:r>
        <w:t xml:space="preserve"> Mama Dragons, a support group for LGBT youth, estimated that 32 young people took their lives from November 2015 to January 2016. While no one would claim that the “no promo laws” are solely to blame for this, </w:t>
      </w:r>
      <w:proofErr w:type="spellStart"/>
      <w:r>
        <w:t>Rosky</w:t>
      </w:r>
      <w:proofErr w:type="spellEnd"/>
      <w:r>
        <w:t xml:space="preserve"> said </w:t>
      </w:r>
      <w:r w:rsidRPr="00EA0030">
        <w:rPr>
          <w:u w:val="single"/>
        </w:rPr>
        <w:t>eliminating the legislation would mean there would “no longer be obstacles” to teachers supporting vulnerable LGBT students — empowering them to prevent harassment and treat all students equally, no matter their orientation.</w:t>
      </w:r>
    </w:p>
    <w:p w:rsidR="00A32C02" w:rsidRDefault="00A32C02" w:rsidP="00A32C02">
      <w:pPr>
        <w:rPr>
          <w:u w:val="single"/>
        </w:rPr>
      </w:pPr>
      <w:r>
        <w:t>“That was our whole motivation to tackle this law,” Williams said. “</w:t>
      </w:r>
      <w:r w:rsidRPr="00EA0030">
        <w:rPr>
          <w:u w:val="single"/>
        </w:rPr>
        <w:t>We were seeing and attending too many gay and transgender funerals.”</w:t>
      </w:r>
    </w:p>
    <w:p w:rsidR="00A32C02" w:rsidRDefault="00A32C02" w:rsidP="00A32C02">
      <w:pPr>
        <w:pStyle w:val="Heading3"/>
      </w:pPr>
      <w:r>
        <w:lastRenderedPageBreak/>
        <w:t>Harms- Heterosexism Impact</w:t>
      </w:r>
    </w:p>
    <w:p w:rsidR="00A32C02" w:rsidRPr="00A32C02" w:rsidRDefault="00A32C02" w:rsidP="00A32C02">
      <w:pPr>
        <w:pStyle w:val="Heading4"/>
      </w:pPr>
      <w:r w:rsidRPr="00A32C02">
        <w:t>Hetero</w:t>
      </w:r>
      <w:r>
        <w:t>normativity results in omnicide</w:t>
      </w:r>
      <w:r w:rsidRPr="00A32C02">
        <w:t xml:space="preserve">.  </w:t>
      </w:r>
    </w:p>
    <w:p w:rsidR="00A32C02" w:rsidRPr="00A32C02" w:rsidRDefault="00A32C02" w:rsidP="00A32C02">
      <w:r w:rsidRPr="00A32C02">
        <w:rPr>
          <w:rStyle w:val="Style13ptBold"/>
        </w:rPr>
        <w:t>Sedgwick 8</w:t>
      </w:r>
      <w:r w:rsidRPr="00FD0EAA">
        <w:t xml:space="preserve"> (Eve, Professor of English at Duke University, </w:t>
      </w:r>
      <w:r w:rsidRPr="00FD0EAA">
        <w:rPr>
          <w:i/>
        </w:rPr>
        <w:t>Epistemology of the Closet</w:t>
      </w:r>
      <w:r w:rsidRPr="00FD0EAA">
        <w:t>, second revised edition, California at Berkeley Press, p. 127-130)</w:t>
      </w:r>
    </w:p>
    <w:p w:rsidR="00A32C02" w:rsidRPr="00A32C02" w:rsidRDefault="00A32C02" w:rsidP="00A32C02">
      <w:pPr>
        <w:rPr>
          <w:sz w:val="16"/>
        </w:rPr>
      </w:pPr>
      <w:r w:rsidRPr="00FD0EAA">
        <w:rPr>
          <w:sz w:val="16"/>
        </w:rPr>
        <w:t xml:space="preserve">From at least the biblical story of Sodom and Gomorrah, </w:t>
      </w:r>
      <w:r w:rsidRPr="00FD0EAA">
        <w:rPr>
          <w:rStyle w:val="StyleUnderline"/>
        </w:rPr>
        <w:t>scenarios of same-sex desire would seem to have had a privileged, though by no means an exclusive, relation in Western culture to scenarios of both genocide and omnicide</w:t>
      </w:r>
      <w:r w:rsidRPr="00FD0EAA">
        <w:rPr>
          <w:sz w:val="16"/>
        </w:rPr>
        <w:t xml:space="preserve">.  That sodomy, the name by which homosexual acts are known even today to the law of half of the United States and to the Supreme Court of all of them, should already be inscribed with the name of a site of mass extermination is the appropriate trace of a double history.  </w:t>
      </w:r>
      <w:r w:rsidRPr="00FD0EAA">
        <w:rPr>
          <w:rStyle w:val="StyleUnderline"/>
        </w:rPr>
        <w:t xml:space="preserve">In the first </w:t>
      </w:r>
      <w:proofErr w:type="gramStart"/>
      <w:r w:rsidRPr="00FD0EAA">
        <w:rPr>
          <w:rStyle w:val="StyleUnderline"/>
        </w:rPr>
        <w:t>place</w:t>
      </w:r>
      <w:proofErr w:type="gramEnd"/>
      <w:r w:rsidRPr="00FD0EAA">
        <w:rPr>
          <w:rStyle w:val="StyleUnderline"/>
        </w:rPr>
        <w:t xml:space="preserve"> there is a history of the mortal suppression, legal or </w:t>
      </w:r>
      <w:proofErr w:type="spellStart"/>
      <w:r w:rsidRPr="00FD0EAA">
        <w:rPr>
          <w:rStyle w:val="StyleUnderline"/>
        </w:rPr>
        <w:t>subjudicial</w:t>
      </w:r>
      <w:proofErr w:type="spellEnd"/>
      <w:r w:rsidRPr="00FD0EAA">
        <w:rPr>
          <w:rStyle w:val="StyleUnderline"/>
        </w:rPr>
        <w:t>, of gay acts and gay people, through burning, hounding, physical and chemical castration, concentration camps, bashing</w:t>
      </w:r>
      <w:r w:rsidRPr="00FD0EAA">
        <w:rPr>
          <w:sz w:val="16"/>
        </w:rPr>
        <w:t xml:space="preserve">—the array of sanctioned fatalities that Louis Crompton records under the name of gay genocide, and whose supposed eugenic motive becomes only the more colorable with the emergence of a distinct, naturalized minority identity in the nineteenth century.  </w:t>
      </w:r>
      <w:r w:rsidRPr="00FD0EAA">
        <w:rPr>
          <w:rStyle w:val="StyleUnderline"/>
        </w:rPr>
        <w:t xml:space="preserve">In the second place, though, there is the inveterate </w:t>
      </w:r>
      <w:proofErr w:type="spellStart"/>
      <w:r w:rsidRPr="00FD0EAA">
        <w:rPr>
          <w:rStyle w:val="StyleUnderline"/>
        </w:rPr>
        <w:t>topos</w:t>
      </w:r>
      <w:proofErr w:type="spellEnd"/>
      <w:r w:rsidRPr="00FD0EAA">
        <w:rPr>
          <w:rStyle w:val="StyleUnderline"/>
        </w:rPr>
        <w:t xml:space="preserve"> of associating gay acts or persons with fatalities vastly broader than their own extent:</w:t>
      </w:r>
      <w:r w:rsidRPr="00FD0EAA">
        <w:rPr>
          <w:sz w:val="16"/>
        </w:rPr>
        <w:t xml:space="preserve"> if it is ambiguous whether every denizen of the obliterated Sodom was a sodomite, clearly not every Roman of the late Empire can have been so, despite Gibbon's connecting the eclipse of the whole people to the habits of a few.  Following both Gibbon and the Bible, moreover, with an impetus borrowed from Darwin, one of the few areas of agreement among modern Marxist, Nazi, and liberal capitalist ideologies is that there is a peculiarly close, though never precisely defined, affinity between same-sex desire and some historical condition of moribundity, called "decadence," to which not individuals or minorities but whole civilizations are subject.   Bloodletting on a scale more massive by orders of magnitude than any gay minority presence in the culture is the "cure," if cure there be, to the mortal illness of decadence.  </w:t>
      </w:r>
      <w:r w:rsidRPr="00FD0EAA">
        <w:rPr>
          <w:rStyle w:val="StyleUnderline"/>
        </w:rPr>
        <w:t>If a fantasy trajectory</w:t>
      </w:r>
      <w:r w:rsidRPr="00FD0EAA">
        <w:rPr>
          <w:sz w:val="16"/>
        </w:rPr>
        <w:t xml:space="preserve">, utopian in its own terms, </w:t>
      </w:r>
      <w:r w:rsidRPr="00FD0EAA">
        <w:rPr>
          <w:rStyle w:val="StyleUnderline"/>
        </w:rPr>
        <w:t>toward gay genocide has been endemic in Western culture</w:t>
      </w:r>
      <w:r w:rsidRPr="00FD0EAA">
        <w:rPr>
          <w:sz w:val="16"/>
        </w:rPr>
        <w:t xml:space="preserve"> from its origins, </w:t>
      </w:r>
      <w:r w:rsidRPr="00FD0EAA">
        <w:rPr>
          <w:rStyle w:val="StyleUnderline"/>
        </w:rPr>
        <w:t xml:space="preserve">then, it may also have been true that the trajectory toward gay genocide was never clearly distinguishable from a broader, apocalyptic trajectory toward something approaching </w:t>
      </w:r>
      <w:r w:rsidRPr="00FD0EAA">
        <w:rPr>
          <w:rStyle w:val="Emphasis"/>
        </w:rPr>
        <w:t>omnicide</w:t>
      </w:r>
      <w:r w:rsidRPr="00FD0EAA">
        <w:rPr>
          <w:rStyle w:val="StyleUnderline"/>
        </w:rPr>
        <w:t>.  The</w:t>
      </w:r>
      <w:r w:rsidRPr="00FD0EAA">
        <w:rPr>
          <w:sz w:val="16"/>
        </w:rPr>
        <w:t xml:space="preserve"> deadlock of the past century between minoritizing and </w:t>
      </w:r>
      <w:r w:rsidRPr="00FD0EAA">
        <w:rPr>
          <w:rStyle w:val="StyleUnderline"/>
        </w:rPr>
        <w:t xml:space="preserve">universalizing understandings of homo/heterosexual definition can only have deepened this fatal bond in the heterosexist </w:t>
      </w:r>
      <w:proofErr w:type="spellStart"/>
      <w:r w:rsidRPr="00FD0EAA">
        <w:rPr>
          <w:rStyle w:val="StyleUnderline"/>
        </w:rPr>
        <w:t>imaginaire</w:t>
      </w:r>
      <w:proofErr w:type="spellEnd"/>
      <w:r w:rsidRPr="00FD0EAA">
        <w:rPr>
          <w:sz w:val="16"/>
        </w:rPr>
        <w:t xml:space="preserve">.  In our culture as in Billy Budd, </w:t>
      </w:r>
      <w:r w:rsidRPr="00FD0EAA">
        <w:rPr>
          <w:rStyle w:val="StyleUnderline"/>
        </w:rPr>
        <w:t>the phobic narrative trajectory toward imagining a time after the homosexual is finally inseparable from that toward imagining a time after the human;</w:t>
      </w:r>
      <w:r w:rsidRPr="00FD0EAA">
        <w:rPr>
          <w:sz w:val="16"/>
        </w:rPr>
        <w:t xml:space="preserve"> in the wake of the homosexual, the wake incessantly produced since first there were homosexuals, </w:t>
      </w:r>
      <w:r w:rsidRPr="00FD0EAA">
        <w:rPr>
          <w:rStyle w:val="StyleUnderline"/>
        </w:rPr>
        <w:t>every human relation is pulled into its shining representational furrow</w:t>
      </w:r>
      <w:r w:rsidRPr="00FD0EAA">
        <w:rPr>
          <w:sz w:val="16"/>
        </w:rPr>
        <w:t xml:space="preserve">. Fragments of visions of a time after the homosexual are, of course, currently in dizzying circulation in our culture.  One of the many dangerous ways that AIDS discourse seems to ratify and amplify </w:t>
      </w:r>
      <w:proofErr w:type="spellStart"/>
      <w:r w:rsidRPr="00FD0EAA">
        <w:rPr>
          <w:sz w:val="16"/>
        </w:rPr>
        <w:t>preinscribed</w:t>
      </w:r>
      <w:proofErr w:type="spellEnd"/>
      <w:r w:rsidRPr="00FD0EAA">
        <w:rPr>
          <w:sz w:val="16"/>
        </w:rPr>
        <w:t xml:space="preserve"> homophobic mythologies is in its pseudo-evolutionary presentation of male homosexuality as a stage doomed to extinction (read, a phase the species is going through) on the enormous scale of whole populations. 26 The lineaments of openly genocidal malice behind this fantasy appear only occasionally in the respectable media, though they can be glimpsed even there behind the poker-face mask of our national experiment in laissez-faire medicine.  A better, if still deodorized, whiff of that malice comes from the famous pronouncement of Pat Robertson: "AIDS is God's way of weeding his garden."  The saccharine luster this dictum gives to its vision of devastation, and the ruthless prurience with which it misattributes its own agency, cover a more fundamental contradiction: that, to rationalize complacent glee at a spectacle of what is imagined as genocide, a proto-Darwinian process of natural selection is being invoked—in the context of a Christian fundamentalism that is not only antievolutionist but recklessly oriented toward universal apocalypse.  A similar phenomenon, also too terrible to be noted as a mere irony, is how evenly our culture's phobia about HIV-positive blood is kept pace with by its rage for keeping that dangerous blood in broad, continuous circulation.  This is evidenced in projects for universal testing, and in the needle-sharing implicit in William Buckley's now ineradicable fantasy of tattooing HIV-positive persons.  But most immediately and pervasively it is evidenced in the literal bloodbaths that seem to make the point of the AIDS-related resurgence in violent bashings of gays--which, unlike the gun violence otherwise ubiquitous in this culture, are characteristically done with two-by-fours, baseball bats, and fists, in the most literal-minded conceivable form of body-fluid contact. </w:t>
      </w:r>
      <w:r w:rsidRPr="00FD0EAA">
        <w:rPr>
          <w:rStyle w:val="StyleUnderline"/>
        </w:rPr>
        <w:t>It might be worth making explicit that the use of evolutionary thinking in the current wave of utopian/genocidal fantasy is, whatever else it may be, crazy</w:t>
      </w:r>
      <w:r w:rsidRPr="00FD0EAA">
        <w:rPr>
          <w:sz w:val="16"/>
        </w:rPr>
        <w:t xml:space="preserve">.  Unless one believes, </w:t>
      </w:r>
      <w:proofErr w:type="gramStart"/>
      <w:r w:rsidRPr="00FD0EAA">
        <w:rPr>
          <w:sz w:val="16"/>
        </w:rPr>
        <w:t>first of all</w:t>
      </w:r>
      <w:proofErr w:type="gramEnd"/>
      <w:r w:rsidRPr="00FD0EAA">
        <w:rPr>
          <w:sz w:val="16"/>
        </w:rPr>
        <w:t xml:space="preserve">, that same-sex object-choice across history and across cultures is one thing with one cause, and, second, that its one cause is direct transmission through a </w:t>
      </w:r>
      <w:proofErr w:type="spellStart"/>
      <w:r w:rsidRPr="00FD0EAA">
        <w:rPr>
          <w:sz w:val="16"/>
        </w:rPr>
        <w:t>nonrecessive</w:t>
      </w:r>
      <w:proofErr w:type="spellEnd"/>
      <w:r w:rsidRPr="00FD0EAA">
        <w:rPr>
          <w:sz w:val="16"/>
        </w:rPr>
        <w:t xml:space="preserve"> genetic path--which would be, to put it gently, counter-intuitive--there is no warrant for imagining that gay populations, even of men, in post-AIDS generations will be in the slightest degree diminished.  Exactly to the degree that AIDS is a gay disease, it's a tragedy confined to our generation; the long-term demographic depredations of the disease will fall, to the contrary, on groups, many themselves direly endangered, that are reproduced by direct heterosexual transmission</w:t>
      </w:r>
      <w:r w:rsidRPr="00FD0EAA">
        <w:rPr>
          <w:rStyle w:val="StyleUnderline"/>
        </w:rPr>
        <w:t xml:space="preserve">. Unlike genocide directed against Jews, Native Americans, Africans, or other groups, </w:t>
      </w:r>
      <w:r w:rsidRPr="00FD0EAA">
        <w:rPr>
          <w:rStyle w:val="StyleUnderline"/>
        </w:rPr>
        <w:lastRenderedPageBreak/>
        <w:t>then, gay genocide, the once-and-for-all eradication of gay populations</w:t>
      </w:r>
      <w:r w:rsidRPr="00FD0EAA">
        <w:rPr>
          <w:sz w:val="16"/>
        </w:rPr>
        <w:t xml:space="preserve">, however potent and sustained as a project or fantasy of modern Western culture, </w:t>
      </w:r>
      <w:r w:rsidRPr="00FD0EAA">
        <w:rPr>
          <w:rStyle w:val="Emphasis"/>
        </w:rPr>
        <w:t>is not possible short of the eradication of the whole human species</w:t>
      </w:r>
      <w:r w:rsidRPr="00FD0EAA">
        <w:rPr>
          <w:sz w:val="16"/>
        </w:rPr>
        <w:t xml:space="preserve">.  </w:t>
      </w:r>
      <w:r w:rsidRPr="00FD0EAA">
        <w:rPr>
          <w:rStyle w:val="StyleUnderline"/>
        </w:rPr>
        <w:t xml:space="preserve">The impulse of the species toward its own eradication must not either, however, be underestimated.  Neither must the profundity with which that </w:t>
      </w:r>
      <w:proofErr w:type="spellStart"/>
      <w:r w:rsidRPr="00FD0EAA">
        <w:rPr>
          <w:rStyle w:val="StyleUnderline"/>
        </w:rPr>
        <w:t>omnicidal</w:t>
      </w:r>
      <w:proofErr w:type="spellEnd"/>
      <w:r w:rsidRPr="00FD0EAA">
        <w:rPr>
          <w:rStyle w:val="StyleUnderline"/>
        </w:rPr>
        <w:t xml:space="preserve"> impulse is entangled with the modern problematic of the homosexual</w:t>
      </w:r>
      <w:r w:rsidRPr="00FD0EAA">
        <w:rPr>
          <w:sz w:val="16"/>
        </w:rPr>
        <w:t xml:space="preserve">: the double bind of definition between the homosexual, say, as a distinct risk group, and the homosexual as a potential of representation within the universal. 27 As gay community and the solidarity and visibility of gays as a minority population are being consolidated and tempered in the forge of this </w:t>
      </w:r>
      <w:proofErr w:type="spellStart"/>
      <w:r w:rsidRPr="00FD0EAA">
        <w:rPr>
          <w:sz w:val="16"/>
        </w:rPr>
        <w:t>specularized</w:t>
      </w:r>
      <w:proofErr w:type="spellEnd"/>
      <w:r w:rsidRPr="00FD0EAA">
        <w:rPr>
          <w:sz w:val="16"/>
        </w:rPr>
        <w:t xml:space="preserve"> terror and suffering, </w:t>
      </w:r>
      <w:r w:rsidRPr="00FD0EAA">
        <w:rPr>
          <w:rStyle w:val="StyleUnderline"/>
        </w:rPr>
        <w:t xml:space="preserve">how can it fail to be </w:t>
      </w:r>
      <w:proofErr w:type="gramStart"/>
      <w:r w:rsidRPr="00FD0EAA">
        <w:rPr>
          <w:rStyle w:val="StyleUnderline"/>
        </w:rPr>
        <w:t>all the more</w:t>
      </w:r>
      <w:proofErr w:type="gramEnd"/>
      <w:r w:rsidRPr="00FD0EAA">
        <w:rPr>
          <w:rStyle w:val="StyleUnderline"/>
        </w:rPr>
        <w:t xml:space="preserve"> necessary that the avenues of recognition, desire, and thought between minority potentials and universalizing ones be opened and opened and opened?</w:t>
      </w:r>
    </w:p>
    <w:p w:rsidR="00A32C02" w:rsidRPr="001320FF" w:rsidRDefault="00A32C02" w:rsidP="00A32C02">
      <w:pPr>
        <w:pStyle w:val="Heading3"/>
      </w:pPr>
      <w:r>
        <w:lastRenderedPageBreak/>
        <w:t>Solvency</w:t>
      </w:r>
    </w:p>
    <w:p w:rsidR="00A32C02" w:rsidRDefault="00A32C02" w:rsidP="00A32C02">
      <w:pPr>
        <w:pStyle w:val="Heading4"/>
      </w:pPr>
      <w:r>
        <w:t>A few schools’ refusal to comply shouldn’t be a reason to continue to mandate federally funded schools to discriminate against LGBTQ+ students</w:t>
      </w:r>
    </w:p>
    <w:p w:rsidR="00A32C02" w:rsidRPr="00031185" w:rsidRDefault="00A32C02" w:rsidP="00A32C02">
      <w:pPr>
        <w:rPr>
          <w:rStyle w:val="Style13ptBold"/>
        </w:rPr>
      </w:pPr>
      <w:r w:rsidRPr="00031185">
        <w:rPr>
          <w:rStyle w:val="Style13ptBold"/>
        </w:rPr>
        <w:t xml:space="preserve">Grimm, bisexual student at Wesleyan University, 2017 </w:t>
      </w:r>
    </w:p>
    <w:p w:rsidR="00A32C02" w:rsidRDefault="00A32C02" w:rsidP="00A32C02">
      <w:pPr>
        <w:rPr>
          <w:color w:val="000000"/>
        </w:rPr>
      </w:pPr>
      <w:r w:rsidRPr="00316EB8">
        <w:rPr>
          <w:color w:val="000000"/>
        </w:rPr>
        <w:t>(</w:t>
      </w:r>
      <w:r>
        <w:rPr>
          <w:color w:val="000000"/>
        </w:rPr>
        <w:t>Jaclyn</w:t>
      </w:r>
      <w:r w:rsidRPr="00316EB8">
        <w:rPr>
          <w:color w:val="000000"/>
        </w:rPr>
        <w:t xml:space="preserve">, </w:t>
      </w:r>
      <w:r>
        <w:rPr>
          <w:i/>
          <w:color w:val="000000"/>
        </w:rPr>
        <w:t>The Washington Post</w:t>
      </w:r>
      <w:r w:rsidRPr="00316EB8">
        <w:rPr>
          <w:color w:val="000000"/>
        </w:rPr>
        <w:t>, “</w:t>
      </w:r>
      <w:r>
        <w:rPr>
          <w:color w:val="000000"/>
        </w:rPr>
        <w:t>My school would have expelled me for who I am. Why should it get federal money?</w:t>
      </w:r>
      <w:r w:rsidRPr="00316EB8">
        <w:rPr>
          <w:color w:val="000000"/>
        </w:rPr>
        <w:t xml:space="preserve">,” </w:t>
      </w:r>
      <w:r>
        <w:rPr>
          <w:color w:val="000000"/>
        </w:rPr>
        <w:t>7-6-17</w:t>
      </w:r>
      <w:r w:rsidRPr="00316EB8">
        <w:rPr>
          <w:color w:val="000000"/>
        </w:rPr>
        <w:t>,</w:t>
      </w:r>
      <w:r>
        <w:rPr>
          <w:color w:val="000000"/>
        </w:rPr>
        <w:t xml:space="preserve"> </w:t>
      </w:r>
      <w:hyperlink r:id="rId6" w:history="1">
        <w:r w:rsidRPr="00D2304B">
          <w:rPr>
            <w:rStyle w:val="Hyperlink"/>
          </w:rPr>
          <w:t>https://www.washingtonpost.com/opinions/trumps-budget-would-discriminate-against-lgbt-students-like-me/2017/07/06/c3d3d5fa-5a81-11e7-9b7d-14576dc0f39d_story.html?utm_term=.2e0f86cba04c</w:t>
        </w:r>
      </w:hyperlink>
      <w:r>
        <w:rPr>
          <w:color w:val="000000"/>
        </w:rPr>
        <w:t>, 7-20-17, MM</w:t>
      </w:r>
      <w:r w:rsidRPr="00316EB8">
        <w:rPr>
          <w:color w:val="000000"/>
        </w:rPr>
        <w:t>).</w:t>
      </w:r>
    </w:p>
    <w:p w:rsidR="00A32C02" w:rsidRDefault="00A32C02" w:rsidP="00A32C02">
      <w:r>
        <w:t xml:space="preserve">Seeing this comparison meant that </w:t>
      </w:r>
      <w:r w:rsidRPr="00050B85">
        <w:rPr>
          <w:u w:val="single"/>
        </w:rPr>
        <w:t>most of my classmates instinctively viewed LGBT people negatively — and likely still do.</w:t>
      </w:r>
      <w:r>
        <w:t xml:space="preserve"> Expelling kids for being queer goes beyond the expulsion itself; </w:t>
      </w:r>
      <w:r w:rsidRPr="00050B85">
        <w:rPr>
          <w:u w:val="single"/>
        </w:rPr>
        <w:t>it validates the homophobia held by many cisgender and heterosexual students</w:t>
      </w:r>
      <w:r>
        <w:t xml:space="preserve">. For LGBT students, </w:t>
      </w:r>
      <w:r w:rsidRPr="00050B85">
        <w:rPr>
          <w:u w:val="single"/>
        </w:rPr>
        <w:t>it makes school a dangerous place.</w:t>
      </w:r>
      <w:r>
        <w:t xml:space="preserve"> </w:t>
      </w:r>
      <w:r w:rsidRPr="00050B85">
        <w:rPr>
          <w:u w:val="single"/>
        </w:rPr>
        <w:t>They’re unable to seek help and advice</w:t>
      </w:r>
      <w:r>
        <w:t xml:space="preserve"> from teachers, </w:t>
      </w:r>
      <w:proofErr w:type="gramStart"/>
      <w:r>
        <w:t>counselors</w:t>
      </w:r>
      <w:proofErr w:type="gramEnd"/>
      <w:r>
        <w:t xml:space="preserve"> or friends for fear of getting kicked out.</w:t>
      </w:r>
    </w:p>
    <w:p w:rsidR="00A32C02" w:rsidRDefault="00A32C02" w:rsidP="00A32C02">
      <w:r>
        <w:t xml:space="preserve">For me, </w:t>
      </w:r>
      <w:r w:rsidRPr="00E654E5">
        <w:rPr>
          <w:u w:val="single"/>
        </w:rPr>
        <w:t>it meant years of dealing with</w:t>
      </w:r>
      <w:r>
        <w:t xml:space="preserve"> my own </w:t>
      </w:r>
      <w:r w:rsidRPr="00E654E5">
        <w:rPr>
          <w:u w:val="single"/>
        </w:rPr>
        <w:t>internalized homophobia</w:t>
      </w:r>
      <w:r>
        <w:t xml:space="preserve"> and </w:t>
      </w:r>
      <w:r w:rsidRPr="00E654E5">
        <w:rPr>
          <w:u w:val="single"/>
        </w:rPr>
        <w:t>not feeling comfortable coming out</w:t>
      </w:r>
      <w:r>
        <w:t xml:space="preserve"> even after I left the school.</w:t>
      </w:r>
    </w:p>
    <w:p w:rsidR="00A32C02" w:rsidRDefault="00A32C02" w:rsidP="00A32C02">
      <w:r w:rsidRPr="00050B85">
        <w:rPr>
          <w:u w:val="single"/>
        </w:rPr>
        <w:t>There’s no way to make religious schools accept LGBT students</w:t>
      </w:r>
      <w:r>
        <w:t xml:space="preserve">, </w:t>
      </w:r>
      <w:r w:rsidRPr="00050B85">
        <w:rPr>
          <w:u w:val="single"/>
        </w:rPr>
        <w:t>but there’s no reason the federal government should</w:t>
      </w:r>
      <w:r>
        <w:t xml:space="preserve"> financially </w:t>
      </w:r>
      <w:r w:rsidRPr="00050B85">
        <w:rPr>
          <w:u w:val="single"/>
        </w:rPr>
        <w:t>support such schools</w:t>
      </w:r>
      <w:r>
        <w:t xml:space="preserve">. Choice programs might amount to a relatively small amount of public money, but </w:t>
      </w:r>
      <w:r w:rsidRPr="00050B85">
        <w:rPr>
          <w:u w:val="single"/>
        </w:rPr>
        <w:t>they still result in schools discriminating against kids</w:t>
      </w:r>
      <w:r>
        <w:t xml:space="preserve"> on taxpayer dollars.</w:t>
      </w:r>
    </w:p>
    <w:p w:rsidR="00A32C02" w:rsidRDefault="00A32C02" w:rsidP="00A32C02">
      <w:pPr>
        <w:pStyle w:val="Heading3"/>
      </w:pPr>
      <w:r>
        <w:lastRenderedPageBreak/>
        <w:t>AT states solve/</w:t>
      </w:r>
      <w:proofErr w:type="spellStart"/>
      <w:r>
        <w:t>squo</w:t>
      </w:r>
      <w:proofErr w:type="spellEnd"/>
      <w:r>
        <w:t xml:space="preserve"> solves/Utah proves </w:t>
      </w:r>
    </w:p>
    <w:p w:rsidR="00A32C02" w:rsidRPr="009131B3" w:rsidRDefault="00A32C02" w:rsidP="00A32C02">
      <w:pPr>
        <w:pStyle w:val="Heading4"/>
      </w:pPr>
      <w:r>
        <w:t>States lack the wider-reaching power of Constitutional interpretation to effectively repeal NPH</w:t>
      </w:r>
    </w:p>
    <w:p w:rsidR="00A32C02" w:rsidRPr="00031185" w:rsidRDefault="00A32C02" w:rsidP="00A32C02">
      <w:pPr>
        <w:rPr>
          <w:rStyle w:val="Style13ptBold"/>
        </w:rPr>
      </w:pPr>
      <w:r w:rsidRPr="00031185">
        <w:rPr>
          <w:rStyle w:val="Style13ptBold"/>
        </w:rPr>
        <w:t xml:space="preserve">Lang, </w:t>
      </w:r>
      <w:r>
        <w:rPr>
          <w:rStyle w:val="Style13ptBold"/>
          <w:i/>
        </w:rPr>
        <w:t>Salon</w:t>
      </w:r>
      <w:r w:rsidRPr="00031185">
        <w:rPr>
          <w:rStyle w:val="Style13ptBold"/>
        </w:rPr>
        <w:t xml:space="preserve">, </w:t>
      </w:r>
      <w:r>
        <w:rPr>
          <w:rStyle w:val="Style13ptBold"/>
        </w:rPr>
        <w:t>2017</w:t>
      </w:r>
    </w:p>
    <w:p w:rsidR="00A32C02" w:rsidRPr="009131B3" w:rsidRDefault="00A32C02" w:rsidP="00A32C02">
      <w:pPr>
        <w:rPr>
          <w:color w:val="000000"/>
        </w:rPr>
      </w:pPr>
      <w:r w:rsidRPr="00316EB8">
        <w:rPr>
          <w:color w:val="000000"/>
        </w:rPr>
        <w:t>(</w:t>
      </w:r>
      <w:r>
        <w:rPr>
          <w:color w:val="000000"/>
        </w:rPr>
        <w:t>Nico</w:t>
      </w:r>
      <w:r w:rsidRPr="00316EB8">
        <w:rPr>
          <w:color w:val="000000"/>
        </w:rPr>
        <w:t xml:space="preserve">, </w:t>
      </w:r>
      <w:r>
        <w:rPr>
          <w:i/>
          <w:color w:val="000000"/>
        </w:rPr>
        <w:t>Salon</w:t>
      </w:r>
      <w:r w:rsidRPr="00316EB8">
        <w:rPr>
          <w:color w:val="000000"/>
        </w:rPr>
        <w:t>, “</w:t>
      </w:r>
      <w:r>
        <w:rPr>
          <w:color w:val="000000"/>
        </w:rPr>
        <w:t>The end of “no promo homo”: Utah could become the first Republican state to strike down anti-LGBT law</w:t>
      </w:r>
      <w:r w:rsidRPr="00316EB8">
        <w:rPr>
          <w:color w:val="000000"/>
        </w:rPr>
        <w:t xml:space="preserve">,” </w:t>
      </w:r>
      <w:r>
        <w:rPr>
          <w:color w:val="000000"/>
        </w:rPr>
        <w:t>3-14-17</w:t>
      </w:r>
      <w:r w:rsidRPr="00316EB8">
        <w:rPr>
          <w:color w:val="000000"/>
        </w:rPr>
        <w:t xml:space="preserve">, </w:t>
      </w:r>
      <w:r>
        <w:rPr>
          <w:color w:val="000000"/>
        </w:rPr>
        <w:t>http://www.salon.com/2017/03/14/the-end-of-no-promo-homo-utah-could-become-the-first-republican-state-to-strike-down-anti-lgbt-law/, 7-20-17, MM</w:t>
      </w:r>
      <w:r w:rsidRPr="00316EB8">
        <w:rPr>
          <w:color w:val="000000"/>
        </w:rPr>
        <w:t>).</w:t>
      </w:r>
    </w:p>
    <w:p w:rsidR="00A32C02" w:rsidRPr="009131B3" w:rsidRDefault="00A32C02" w:rsidP="00A32C02">
      <w:pPr>
        <w:rPr>
          <w:u w:val="single"/>
        </w:rPr>
      </w:pPr>
      <w:r w:rsidRPr="00CA421B">
        <w:rPr>
          <w:u w:val="single"/>
        </w:rPr>
        <w:t>Passing SB 196</w:t>
      </w:r>
      <w:r>
        <w:t xml:space="preserve">, though, </w:t>
      </w:r>
      <w:r w:rsidRPr="00CA421B">
        <w:rPr>
          <w:u w:val="single"/>
        </w:rPr>
        <w:t>won’t end all policies adversely targeting LGBT students in Utah</w:t>
      </w:r>
      <w:r>
        <w:t xml:space="preserve">. </w:t>
      </w:r>
      <w:proofErr w:type="spellStart"/>
      <w:r>
        <w:t>Rosky</w:t>
      </w:r>
      <w:proofErr w:type="spellEnd"/>
      <w:r>
        <w:t xml:space="preserve"> said that </w:t>
      </w:r>
      <w:r w:rsidRPr="00CA421B">
        <w:rPr>
          <w:u w:val="single"/>
        </w:rPr>
        <w:t>the state’s Board of Education guidelines state that schools cannot “encourage criminal conduct.” Utah still has laws on the books that criminalize sodomy</w:t>
      </w:r>
      <w:r w:rsidRPr="009131B3">
        <w:t>, as do 11 other states.</w:t>
      </w:r>
      <w:r>
        <w:t xml:space="preserve"> Even though the Supreme Court’s Lawrence v. Texas decision struck down statewide prohibitions on homosexual intercourse, thus effectively overturning the Utah law, </w:t>
      </w:r>
      <w:r w:rsidRPr="009131B3">
        <w:rPr>
          <w:u w:val="single"/>
        </w:rPr>
        <w:t>the obsolete sodomy ban could still be used to harm LGBT students.</w:t>
      </w:r>
    </w:p>
    <w:p w:rsidR="00A32C02" w:rsidRDefault="00A32C02" w:rsidP="00A32C02">
      <w:r>
        <w:t>Should Utah successfully repeal its “no promo homo” law, though, with the governor’s approval, it would be the second state to do so. Blue state California, which had passed an anti-LGBT curriculum bill in 1988, struck down its legislation in 2003.</w:t>
      </w:r>
    </w:p>
    <w:p w:rsidR="00A32C02" w:rsidRDefault="00A32C02" w:rsidP="00A32C02">
      <w:pPr>
        <w:rPr>
          <w:u w:val="single"/>
        </w:rPr>
      </w:pPr>
      <w:r w:rsidRPr="009131B3">
        <w:rPr>
          <w:u w:val="single"/>
        </w:rPr>
        <w:t>No other repeal efforts have been announced in other states.</w:t>
      </w:r>
    </w:p>
    <w:p w:rsidR="00B34B0B" w:rsidRDefault="00B34B0B" w:rsidP="00B34B0B"/>
    <w:p w:rsidR="00B34B0B" w:rsidRDefault="00B34B0B" w:rsidP="00B34B0B">
      <w:pPr>
        <w:pStyle w:val="Heading3"/>
      </w:pPr>
      <w:r>
        <w:lastRenderedPageBreak/>
        <w:t>AT: State Courts</w:t>
      </w:r>
      <w:bookmarkStart w:id="0" w:name="_GoBack"/>
      <w:bookmarkEnd w:id="0"/>
    </w:p>
    <w:p w:rsidR="00B34B0B" w:rsidRDefault="00B34B0B" w:rsidP="00B34B0B">
      <w:pPr>
        <w:pStyle w:val="Heading4"/>
      </w:pPr>
      <w:r>
        <w:t xml:space="preserve">State courts cannot rule on equal protection even in state constitutions. </w:t>
      </w:r>
    </w:p>
    <w:p w:rsidR="00B34B0B" w:rsidRPr="006F2706" w:rsidRDefault="00B34B0B" w:rsidP="00B34B0B">
      <w:pPr>
        <w:rPr>
          <w:rStyle w:val="Style13ptBold"/>
        </w:rPr>
      </w:pPr>
      <w:r w:rsidRPr="006F2706">
        <w:rPr>
          <w:rStyle w:val="Style13ptBold"/>
        </w:rPr>
        <w:t xml:space="preserve">Black, Associate Professor of Law and Director, Education Rights Center, Howard University School of Law, 2010. </w:t>
      </w:r>
    </w:p>
    <w:p w:rsidR="00B34B0B" w:rsidRDefault="00B34B0B" w:rsidP="00B34B0B">
      <w:r>
        <w:t xml:space="preserve">(Derek, “Unlocking the Power of State Constitutions with Equal Protection: The First Step Toward Education as a Federally Protected Right,” </w:t>
      </w:r>
      <w:r>
        <w:rPr>
          <w:i/>
        </w:rPr>
        <w:t xml:space="preserve">William and Mary Law Review, </w:t>
      </w:r>
      <w:r>
        <w:t xml:space="preserve">volume: 51, issue: 4, 8-11-2010, pp. 1393-1395, </w:t>
      </w:r>
      <w:r w:rsidRPr="006F2706">
        <w:t>http://scholarship.law.wm.edu/cgi/viewcontent.cgi?article=1031&amp;context=wmlr</w:t>
      </w:r>
      <w:r>
        <w:t>, accessed 7-19-2017, ATN.)</w:t>
      </w:r>
    </w:p>
    <w:p w:rsidR="00B34B0B" w:rsidRPr="00076A5F" w:rsidRDefault="00B34B0B" w:rsidP="00B34B0B">
      <w:r>
        <w:t>EDUCATION AS A FEDERALLY PROTECTED RIGHT</w:t>
      </w:r>
    </w:p>
    <w:p w:rsidR="00B34B0B" w:rsidRDefault="00B34B0B" w:rsidP="00B34B0B">
      <w:r>
        <w:t xml:space="preserve">In contrast to others, this Article’s theory does not emanate directly from the Federal Constitution. Rather, it starts with state constitutional rights to which federal equal protection law then attaches. Combining state constitutional rights with federal equal protection has largely been overlooked because state constitutional rights have developed relatively recently. However, with the development of these rights, there is no need to look to the federal government for leadership on the substance or creation of educational rights. Rather, federal law is necessary only to ensure the enforcement of equality in already existing state rights. In the simplest terms, this Article posits that states have already created constitutional and statutory rights to education, and federal equal protection prohibits states from delivering unequal access to these constitutional rights. </w:t>
      </w:r>
      <w:r w:rsidRPr="006F2706">
        <w:rPr>
          <w:rStyle w:val="StyleUnderline"/>
        </w:rPr>
        <w:t>Of utmost importance is that the Federal Constitution does not independently obligate states to deliver education or a specific level of educational quality. But once the state decides to extend such rights, it may not provide them unequally in practice among its students.</w:t>
      </w:r>
    </w:p>
    <w:p w:rsidR="00B34B0B" w:rsidRPr="006F2706" w:rsidRDefault="00B34B0B" w:rsidP="00B34B0B">
      <w:pPr>
        <w:rPr>
          <w:rStyle w:val="StyleUnderline"/>
        </w:rPr>
      </w:pPr>
      <w:r>
        <w:t xml:space="preserve">For instance, the Supreme Court of North Carolina held that its constitution “guarantee[s] every child of this state an opportunity to receive a sound basic education in our public schools.”239 This right requires that state schools “provide the student with at least” the English, math, science, geography, history, economic, political, vocational, and academic skills and knowledge necessary to function in society and be successful in higher education and employment.240 Thus far, this right, like analogous ones in other states, has been enforced exclusively in state courts, and many times successfully.241 However, some state courts have left these educational rights unenforced, citing separation of powers concerns or simply succumbing to legislative recalcitrance that prevents a full remedy.242 Moreover, some court members took initially strong stances, only to regress after the more aggressive members found themselves subsequently unelected.243 In these states, the extent to which educational opportunities and resources meet constitutional and statutory standards vary significantly across school districts.244 </w:t>
      </w:r>
      <w:r w:rsidRPr="006F2706">
        <w:rPr>
          <w:rStyle w:val="StyleUnderline"/>
        </w:rPr>
        <w:t xml:space="preserve">Here federal equal protection can provide otherwise unavailable remedies. Federal courts do not face a separation of powers concern between themselves and state legislatures, nor are they subject to the same reelection and political repercussions as state courts.245 With the power and purse of the federal government, they are also better positioned to force state legislatures into action. Finally, on a doctrinal level, federal equal protection simply does not afford states the luxury of unequal opportunities </w:t>
      </w:r>
      <w:proofErr w:type="gramStart"/>
      <w:r w:rsidRPr="006F2706">
        <w:rPr>
          <w:rStyle w:val="StyleUnderline"/>
        </w:rPr>
        <w:t>in regard to</w:t>
      </w:r>
      <w:proofErr w:type="gramEnd"/>
      <w:r w:rsidRPr="006F2706">
        <w:rPr>
          <w:rStyle w:val="StyleUnderline"/>
        </w:rPr>
        <w:t xml:space="preserve"> rights that the state has recognized as “constitutional” or “fundamental,” nor state-based excuses for failing to remedy the inequalities.</w:t>
      </w:r>
    </w:p>
    <w:p w:rsidR="00B34B0B" w:rsidRPr="006F2706" w:rsidRDefault="00B34B0B" w:rsidP="00B34B0B">
      <w:pPr>
        <w:rPr>
          <w:rStyle w:val="StyleUnderline"/>
        </w:rPr>
      </w:pPr>
      <w:r w:rsidRPr="006F2706">
        <w:rPr>
          <w:rStyle w:val="StyleUnderline"/>
        </w:rPr>
        <w:lastRenderedPageBreak/>
        <w:t xml:space="preserve">On its face, combining federal equal protection with state rights is so simple that the failed enforcement of it is troubling. Most likely, advocates have not pursued this approach because of the seeming finality of the Supreme Court’s holding in Rodriguez. Any court confronted with this claim, or any state defending itself, would immediately cite to Rodriguez as justifying immediate dismissal of the claim. This Article concedes that were this claim pressed thirty years ago, dismissing the claim would have been correct. But in the years following Rodriguez, every predicate upon which the Court made its decision has changed. Today, the Court would be </w:t>
      </w:r>
      <w:proofErr w:type="gramStart"/>
      <w:r w:rsidRPr="006F2706">
        <w:rPr>
          <w:rStyle w:val="StyleUnderline"/>
        </w:rPr>
        <w:t>adjudicating</w:t>
      </w:r>
      <w:proofErr w:type="gramEnd"/>
      <w:r w:rsidRPr="006F2706">
        <w:rPr>
          <w:rStyle w:val="StyleUnderline"/>
        </w:rPr>
        <w:t xml:space="preserve"> an entirely different right in an entirely different context. In this respect, one might posit that it would be a case of first impression, rather than a revisiting of Rodriguez. One only needs to draw the comparison to Rodriguez to illuminate why this is the case.</w:t>
      </w:r>
    </w:p>
    <w:p w:rsidR="00B34B0B" w:rsidRPr="00F601E6" w:rsidRDefault="00B34B0B" w:rsidP="00B34B0B"/>
    <w:p w:rsidR="00B34B0B" w:rsidRDefault="00B34B0B" w:rsidP="00A32C02">
      <w:pPr>
        <w:rPr>
          <w:u w:val="single"/>
        </w:rPr>
      </w:pPr>
    </w:p>
    <w:p w:rsidR="00A32C02" w:rsidRDefault="00A32C02" w:rsidP="00A32C02">
      <w:pPr>
        <w:rPr>
          <w:u w:val="single"/>
        </w:rPr>
      </w:pPr>
    </w:p>
    <w:p w:rsidR="00A32C02" w:rsidRDefault="00A32C02" w:rsidP="00A32C02">
      <w:pPr>
        <w:pStyle w:val="Heading1"/>
      </w:pPr>
      <w:r>
        <w:lastRenderedPageBreak/>
        <w:t>Neg</w:t>
      </w:r>
    </w:p>
    <w:p w:rsidR="00A32C02" w:rsidRDefault="00A32C02" w:rsidP="00A32C02">
      <w:pPr>
        <w:pStyle w:val="Heading3"/>
      </w:pPr>
      <w:r>
        <w:lastRenderedPageBreak/>
        <w:t>Alt Causality</w:t>
      </w:r>
    </w:p>
    <w:p w:rsidR="00A32C02" w:rsidRDefault="00A32C02" w:rsidP="00A32C02">
      <w:pPr>
        <w:pStyle w:val="Heading4"/>
      </w:pPr>
      <w:r>
        <w:t xml:space="preserve">Alt Cause—lack of LGBT presence in education literature prevents heterosexual understanding of LGBT life </w:t>
      </w:r>
    </w:p>
    <w:p w:rsidR="00A32C02" w:rsidRDefault="00A32C02" w:rsidP="00A32C02">
      <w:pPr>
        <w:rPr>
          <w:rStyle w:val="Style13ptBold"/>
        </w:rPr>
      </w:pPr>
      <w:r>
        <w:rPr>
          <w:rStyle w:val="Style13ptBold"/>
        </w:rPr>
        <w:t xml:space="preserve">Knoblauch, </w:t>
      </w:r>
      <w:r w:rsidRPr="00881EBE">
        <w:rPr>
          <w:rStyle w:val="Style13ptBold"/>
        </w:rPr>
        <w:t>Associate Professor in the Department of Ed</w:t>
      </w:r>
      <w:r>
        <w:rPr>
          <w:rStyle w:val="Style13ptBold"/>
        </w:rPr>
        <w:t>ucation at Otterbein University, 2016</w:t>
      </w:r>
    </w:p>
    <w:p w:rsidR="00A32C02" w:rsidRDefault="00A32C02" w:rsidP="00A32C02">
      <w:r w:rsidRPr="00881EBE">
        <w:t>(</w:t>
      </w:r>
      <w:r>
        <w:t xml:space="preserve">Dee, “Building the Foundation of Acceptance Book by Book: Lesbian, Gay, Bisexual, and/or Transgender Themed Books for Grades K–5 Multicultural Libraries,” </w:t>
      </w:r>
      <w:r w:rsidRPr="00881EBE">
        <w:t>Multicultural Perspectives. Oct-Dec2016, Vol. 18 Issue 4, p209-213</w:t>
      </w:r>
      <w:r>
        <w:t xml:space="preserve">, </w:t>
      </w:r>
      <w:proofErr w:type="spellStart"/>
      <w:r>
        <w:t>ebscohost</w:t>
      </w:r>
      <w:proofErr w:type="spellEnd"/>
      <w:r>
        <w:t xml:space="preserve">, ATH) </w:t>
      </w:r>
    </w:p>
    <w:p w:rsidR="00A32C02" w:rsidRPr="00A32C02" w:rsidRDefault="00A32C02" w:rsidP="00A32C02">
      <w:r>
        <w:t xml:space="preserve">“I have never met a bigot who was a reader as a child” (Bauer, 1994, p. x) is a quote I use every semester in my multicultural education course. Indeed, </w:t>
      </w:r>
      <w:r w:rsidRPr="009370C2">
        <w:rPr>
          <w:rStyle w:val="StyleUnderline"/>
        </w:rPr>
        <w:t>the power of literature allows the reader to “walk a mile in someone else’s shoes,”</w:t>
      </w:r>
      <w:r>
        <w:t xml:space="preserve"> as the saying goes. </w:t>
      </w:r>
      <w:r w:rsidRPr="009370C2">
        <w:rPr>
          <w:rStyle w:val="StyleUnderline"/>
        </w:rPr>
        <w:t>Multicultural children’s literature has proliferated, and school curricula increasingly reflects diversity</w:t>
      </w:r>
      <w:r>
        <w:t xml:space="preserve">. However, the lesbian, gay, bisexual, and/or transgender (LGBT) community is still not invited to the school curriculum table. Because I teach an undergraduate multicultural education course, and am also a gay mom with two school-age daughters, I have been exploring multicultural children’s literature for over a decade. </w:t>
      </w:r>
      <w:r w:rsidRPr="009370C2">
        <w:rPr>
          <w:rStyle w:val="StyleUnderline"/>
        </w:rPr>
        <w:t>I can easily find hundreds of books with characters of diverse ethnicities, cultures, religions, and geography. I can also locate hundreds of books with gender themes (gender role schemas, occupations, parenting, etc.), disability themes, as well as socio-economic or class themes</w:t>
      </w:r>
      <w:r>
        <w:t xml:space="preserve">. </w:t>
      </w:r>
      <w:r w:rsidRPr="009370C2">
        <w:rPr>
          <w:rStyle w:val="StyleUnderline"/>
        </w:rPr>
        <w:t>However, I had to search intentionally for LGBT-themed children and adolescent books, and I had to purchase many of the books because they were not available at my local library</w:t>
      </w:r>
      <w:r>
        <w:t xml:space="preserve">. An examination of collegiate textbooks about multicultural children’s literature reveals a similar finding: </w:t>
      </w:r>
      <w:r w:rsidRPr="009370C2">
        <w:rPr>
          <w:rStyle w:val="StyleUnderline"/>
        </w:rPr>
        <w:t>Discussion and analysis of LGBT books is relatively nonexistent</w:t>
      </w:r>
      <w:r>
        <w:t>. Norton (2005), in her popular textbook Multicultural Children’s Literature, writes persuasively about the power of multicultural literature to help children build understanding and empathy towards diverse people and cultures. She asserts: “</w:t>
      </w:r>
      <w:r w:rsidRPr="009370C2">
        <w:rPr>
          <w:rStyle w:val="StyleUnderline"/>
        </w:rPr>
        <w:t xml:space="preserve">The need for </w:t>
      </w:r>
      <w:proofErr w:type="spellStart"/>
      <w:r w:rsidRPr="009370C2">
        <w:rPr>
          <w:rStyle w:val="StyleUnderline"/>
        </w:rPr>
        <w:t>crosscultural</w:t>
      </w:r>
      <w:proofErr w:type="spellEnd"/>
      <w:r w:rsidRPr="009370C2">
        <w:rPr>
          <w:rStyle w:val="StyleUnderline"/>
        </w:rPr>
        <w:t xml:space="preserve"> understanding also increases with the demographic shifts that continually occur in the United States</w:t>
      </w:r>
      <w:r>
        <w:t xml:space="preserve">” (Norton, 2005, p. 1). However, her textbook is really a multi-ethnic children’s literature text, because the topics of sexual identity, gender, disability, or socioeconomic status are not included. Both gender and class are included in Botelho and Rudman’s (2009) Critical Multicultural Analysis of Children’s Literature textbook, but sexual identity or families with same-sex parents are not included in the discussion. Similarly, in the textbook Exploring Culturally Diverse Literature for Children and Adolescents (Henderson &amp; </w:t>
      </w:r>
      <w:proofErr w:type="gramStart"/>
      <w:r>
        <w:t>May,</w:t>
      </w:r>
      <w:proofErr w:type="gramEnd"/>
      <w:r>
        <w:t xml:space="preserve"> 2005), </w:t>
      </w:r>
      <w:r w:rsidRPr="009370C2">
        <w:rPr>
          <w:rStyle w:val="StyleUnderline"/>
        </w:rPr>
        <w:t>the topics of gender, class, and religion are part of the diverse literature discussion, but sexual orientation or families with same-sex parents are once again excluded</w:t>
      </w:r>
      <w:r>
        <w:t xml:space="preserve">. Finally, examination of a popular general children’s literature textbook—Essentials of Children’s Literature (2008) by Lynch-Brown and Tomlinson—revealed the same exclusion of LGBT-themed literature. </w:t>
      </w:r>
    </w:p>
    <w:p w:rsidR="00834FB5" w:rsidRDefault="00834FB5" w:rsidP="00834FB5">
      <w:pPr>
        <w:pStyle w:val="Heading4"/>
      </w:pPr>
      <w:r>
        <w:t>Alt cause- Social studies education</w:t>
      </w:r>
    </w:p>
    <w:p w:rsidR="00834FB5" w:rsidRDefault="00834FB5" w:rsidP="00834FB5">
      <w:pPr>
        <w:rPr>
          <w:rStyle w:val="Style13ptBold"/>
        </w:rPr>
      </w:pPr>
      <w:proofErr w:type="spellStart"/>
      <w:r>
        <w:rPr>
          <w:rStyle w:val="Style13ptBold"/>
        </w:rPr>
        <w:t>Maguth</w:t>
      </w:r>
      <w:proofErr w:type="spellEnd"/>
      <w:r>
        <w:rPr>
          <w:rStyle w:val="Style13ptBold"/>
        </w:rPr>
        <w:t xml:space="preserve">, Associate Professor </w:t>
      </w:r>
      <w:r w:rsidRPr="007C520E">
        <w:rPr>
          <w:rStyle w:val="Style13ptBold"/>
        </w:rPr>
        <w:t>Curricular &amp; Instructional Studies</w:t>
      </w:r>
      <w:r>
        <w:rPr>
          <w:rStyle w:val="Style13ptBold"/>
        </w:rPr>
        <w:t xml:space="preserve"> at Akron University, and Taylor, Professor of Education at Ohio State University, 2014 </w:t>
      </w:r>
    </w:p>
    <w:p w:rsidR="00834FB5" w:rsidRDefault="00834FB5" w:rsidP="00834FB5">
      <w:r w:rsidRPr="007C520E">
        <w:t>(</w:t>
      </w:r>
      <w:r>
        <w:t xml:space="preserve">Brad M., and Nathan, “Bringing LGBTQ Topics into the Social Studies Classroom,” Social Studies. Jan/Feb2014, Vol. 105 Issue 1, p23-28, </w:t>
      </w:r>
      <w:proofErr w:type="spellStart"/>
      <w:r>
        <w:t>ebscohost</w:t>
      </w:r>
      <w:proofErr w:type="spellEnd"/>
      <w:r>
        <w:t xml:space="preserve">, ATH) </w:t>
      </w:r>
    </w:p>
    <w:p w:rsidR="00834FB5" w:rsidRDefault="00834FB5" w:rsidP="00834FB5">
      <w:pPr>
        <w:rPr>
          <w:rStyle w:val="StyleUnderline"/>
        </w:rPr>
      </w:pPr>
      <w:r w:rsidRPr="00BE0BFC">
        <w:rPr>
          <w:rStyle w:val="StyleUnderline"/>
        </w:rPr>
        <w:lastRenderedPageBreak/>
        <w:t>While the field of education is replete with discussions concerning heteronormativity as it relates to</w:t>
      </w:r>
      <w:r>
        <w:t xml:space="preserve"> gay-straight alliances (Griffin et al. 2003; Lee 2002), </w:t>
      </w:r>
      <w:r w:rsidRPr="00BE0BFC">
        <w:rPr>
          <w:rStyle w:val="StyleUnderline"/>
        </w:rPr>
        <w:t>anti-bullying policies/homophobia</w:t>
      </w:r>
      <w:r>
        <w:t xml:space="preserve"> (</w:t>
      </w:r>
      <w:proofErr w:type="spellStart"/>
      <w:r>
        <w:t>Espelage</w:t>
      </w:r>
      <w:proofErr w:type="spellEnd"/>
      <w:r>
        <w:t xml:space="preserve"> et al. 2008; Russ et al. 2008), curricula inclusion (Robinson and Davies, 2008; </w:t>
      </w:r>
      <w:proofErr w:type="spellStart"/>
      <w:r>
        <w:t>Sumara</w:t>
      </w:r>
      <w:proofErr w:type="spellEnd"/>
      <w:r>
        <w:t xml:space="preserve"> and Davies 1999), pedagogical practices/programs (Cotton-Huston and Waite 2000; Franck 2002), as well as 24 </w:t>
      </w:r>
      <w:proofErr w:type="spellStart"/>
      <w:r>
        <w:t>Maguth</w:t>
      </w:r>
      <w:proofErr w:type="spellEnd"/>
      <w:r>
        <w:t xml:space="preserve"> and Taylor masculinity in boys’ lives and resistance to heteronormative practices (Jeppesen 2010; Martino 2000; Martino and </w:t>
      </w:r>
      <w:proofErr w:type="spellStart"/>
      <w:r>
        <w:t>Pallotta-Chiarolli</w:t>
      </w:r>
      <w:proofErr w:type="spellEnd"/>
      <w:r>
        <w:t xml:space="preserve"> 2003), there has been little educational research on bringing LGBTQ topics into the social studies classroom. Despite Thornton’s (2003) clarion call for the inclusion of LGBTQ topics in the social studies curriculum, </w:t>
      </w:r>
      <w:r w:rsidRPr="00BE0BFC">
        <w:rPr>
          <w:rStyle w:val="StyleUnderline"/>
        </w:rPr>
        <w:t>there has been a paucity of work done on this topic by practitioners and researchers in the field of social studies education</w:t>
      </w:r>
      <w:r>
        <w:t>. In his call, Thornton (2003) acknowledged that “</w:t>
      </w:r>
      <w:r w:rsidRPr="00BE0BFC">
        <w:rPr>
          <w:rStyle w:val="StyleUnderline"/>
        </w:rPr>
        <w:t>few social studies materials appear to have a substantive treatment of gay history and issues. ... It is as if the millions of gay inhabitants of the United States, past and present, did not exist</w:t>
      </w:r>
      <w:r>
        <w:t xml:space="preserve">” (87). This erasure of a people not only has consequences for the historical accuracy of what social studies teachers teach in their classrooms but it negates students’ identities within the classroom. </w:t>
      </w:r>
      <w:r w:rsidRPr="00BE0BFC">
        <w:rPr>
          <w:rStyle w:val="StyleUnderline"/>
        </w:rPr>
        <w:t xml:space="preserve">While inclusion of LGBTQ topics in social studies classrooms will not solely ameliorate the harmful effects of heteronormativity, it is a key piece in creating a more accurate reading of the world in which students live their lives today. </w:t>
      </w:r>
      <w:r>
        <w:t xml:space="preserve">We draw from the definition of Lauren </w:t>
      </w:r>
      <w:proofErr w:type="spellStart"/>
      <w:r>
        <w:t>Berlant</w:t>
      </w:r>
      <w:proofErr w:type="spellEnd"/>
      <w:r>
        <w:t xml:space="preserve"> and Michael Warner (2000), who define </w:t>
      </w:r>
      <w:r w:rsidRPr="00BE0BFC">
        <w:rPr>
          <w:rStyle w:val="StyleUnderline"/>
        </w:rPr>
        <w:t xml:space="preserve">heteronormativity as: ... more than ideology, or prejudice, or phobia against gays and lesbians; it is produced in almost every aspect of the forms of the arrangements of social life reproducing itself systemically in nationality, the state, and the law; commerce; medicine; and education as well as in the conventions and </w:t>
      </w:r>
      <w:proofErr w:type="spellStart"/>
      <w:r w:rsidRPr="00BE0BFC">
        <w:rPr>
          <w:rStyle w:val="StyleUnderline"/>
        </w:rPr>
        <w:t>affects</w:t>
      </w:r>
      <w:proofErr w:type="spellEnd"/>
      <w:r w:rsidRPr="00BE0BFC">
        <w:rPr>
          <w:rStyle w:val="StyleUnderline"/>
        </w:rPr>
        <w:t xml:space="preserve"> of narrativity, romance and other protected spaces of culture</w:t>
      </w:r>
      <w:r>
        <w:t xml:space="preserve"> (318–9). Or, more succinctly put, heteronormativity is the “heterosexual culture’s exclusive ability to interpret itself as society” (Warner 1993, xxi). As such, </w:t>
      </w:r>
      <w:r w:rsidRPr="00BE0BFC">
        <w:rPr>
          <w:rStyle w:val="StyleUnderline"/>
        </w:rPr>
        <w:t>the inclusion of LGBTQ topics in the social studies will not only begin to dismantle the process of erasure for millions of U.S. students but will provide a greater understanding of how heteronormativity operates in the United States</w:t>
      </w:r>
      <w:r>
        <w:t>. According to the Gay Lesbian &amp; Straight Education Network (GLSEN), gay-straight alliances, enumerated policies, teacher training, and curricula inclusion are all needed to reduce heterosexism and homophobia in schools. To illustrate this need, GLSEN reports that nearly nine of ten LGBT students experience harassment, nearly two-thirds of students feel unsafe because of their sexual orientation, 84.6 percent of LGBT students reported being verbally harassed, 40.1 percent reported being physically harassed, and 72.4 percent heard homophobic remarks such as “faggot” or “dyke” frequently or often at school (GLSEN 2009</w:t>
      </w:r>
      <w:r w:rsidRPr="00BE0BFC">
        <w:rPr>
          <w:rStyle w:val="StyleUnderline"/>
        </w:rPr>
        <w:t xml:space="preserve">). The inclusion of LGBTQ topics in social studies classrooms is an important step in creating a safe, relevant, and affirming classroom </w:t>
      </w:r>
      <w:r>
        <w:t xml:space="preserve">(Jennings 2006). While </w:t>
      </w:r>
      <w:proofErr w:type="spellStart"/>
      <w:r>
        <w:t>Marchman</w:t>
      </w:r>
      <w:proofErr w:type="spellEnd"/>
      <w:r>
        <w:t xml:space="preserve"> (2002) conducted important research on reducing homophobia in a high school civics class, we focus on Diana Hess’s (2009) work, entitled Teaching About Same-Sex Marriage as a Policy and Constitutional Issue. Her work is more recent and relevant to today’s educational environment, and it specifically addresses the need to include LGBTQ topics in social studies classrooms—the same topic we address in our article. Hess does a thorough job of explaining to the reader how to incorporate LGBTQ issues into the social studies classroom, </w:t>
      </w:r>
      <w:proofErr w:type="spellStart"/>
      <w:r>
        <w:t>specifi</w:t>
      </w:r>
      <w:proofErr w:type="spellEnd"/>
      <w:r>
        <w:t xml:space="preserve">- </w:t>
      </w:r>
      <w:proofErr w:type="spellStart"/>
      <w:r>
        <w:t>cally</w:t>
      </w:r>
      <w:proofErr w:type="spellEnd"/>
      <w:r>
        <w:t xml:space="preserve"> as it relates to legislative policy and constitutional issues of same-sex marriage and the Defense of Marriage Act (DOMA). Diana Hess (2009) rightly notes that “... avoiding the issue deprives students of the opportunity to prepare to participate in the national debate over one of the most significant civil rights issues of our time” (344). Hess sees same-sex marriage as an “open question” due to its unresolved status throughout the United States. </w:t>
      </w:r>
      <w:r w:rsidRPr="00BE0BFC">
        <w:rPr>
          <w:rStyle w:val="StyleUnderline"/>
        </w:rPr>
        <w:t>More pragmatically, centering the discussion on same-sex marriage as an “open question” allows for the topic to be addressed in schools where parents and administrators might resist the inclusion of this topic within a social studies classroom.</w:t>
      </w:r>
    </w:p>
    <w:p w:rsidR="00834FB5" w:rsidRDefault="00834FB5" w:rsidP="00834FB5">
      <w:pPr>
        <w:pStyle w:val="Heading4"/>
      </w:pPr>
      <w:r>
        <w:lastRenderedPageBreak/>
        <w:t xml:space="preserve">Without LGBT social studies curriculum, LGBT students feel that they don’t exist within the “real” United States </w:t>
      </w:r>
    </w:p>
    <w:p w:rsidR="00834FB5" w:rsidRDefault="00834FB5" w:rsidP="00834FB5">
      <w:pPr>
        <w:rPr>
          <w:rStyle w:val="Style13ptBold"/>
        </w:rPr>
      </w:pPr>
      <w:proofErr w:type="spellStart"/>
      <w:r>
        <w:rPr>
          <w:rStyle w:val="Style13ptBold"/>
        </w:rPr>
        <w:t>Maguth</w:t>
      </w:r>
      <w:proofErr w:type="spellEnd"/>
      <w:r>
        <w:rPr>
          <w:rStyle w:val="Style13ptBold"/>
        </w:rPr>
        <w:t xml:space="preserve">, Associate Professor </w:t>
      </w:r>
      <w:r w:rsidRPr="007C520E">
        <w:rPr>
          <w:rStyle w:val="Style13ptBold"/>
        </w:rPr>
        <w:t>Curricular &amp; Instructional Studies</w:t>
      </w:r>
      <w:r>
        <w:rPr>
          <w:rStyle w:val="Style13ptBold"/>
        </w:rPr>
        <w:t xml:space="preserve"> at Akron University, and Taylor, Professor of Education at Ohio State University, 2014 </w:t>
      </w:r>
    </w:p>
    <w:p w:rsidR="00834FB5" w:rsidRDefault="00834FB5" w:rsidP="00834FB5">
      <w:r w:rsidRPr="007C520E">
        <w:t>(</w:t>
      </w:r>
      <w:r>
        <w:t xml:space="preserve">Brad M., and Nathan, “Bringing LGBTQ Topics into the Social Studies Classroom,” Social Studies. Jan/Feb2014, Vol. 105 Issue 1, p23-28, </w:t>
      </w:r>
      <w:proofErr w:type="spellStart"/>
      <w:r>
        <w:t>ebscohost</w:t>
      </w:r>
      <w:proofErr w:type="spellEnd"/>
      <w:r>
        <w:t xml:space="preserve">, ATH) </w:t>
      </w:r>
    </w:p>
    <w:p w:rsidR="00834FB5" w:rsidRDefault="00834FB5" w:rsidP="00834FB5">
      <w:pPr>
        <w:rPr>
          <w:rStyle w:val="StyleUnderline"/>
        </w:rPr>
      </w:pPr>
      <w:proofErr w:type="gramStart"/>
      <w:r w:rsidRPr="00BE0BFC">
        <w:rPr>
          <w:rStyle w:val="StyleUnderline"/>
        </w:rPr>
        <w:t>A number of</w:t>
      </w:r>
      <w:proofErr w:type="gramEnd"/>
      <w:r w:rsidRPr="00BE0BFC">
        <w:rPr>
          <w:rStyle w:val="StyleUnderline"/>
        </w:rPr>
        <w:t xml:space="preserve"> teachers have told us that they don’t know how to protect students in their classes that identify as gay, lesbian, bisexual, transgender, or queer</w:t>
      </w:r>
      <w:r>
        <w:t xml:space="preserve">. These teachers fear that one of their students may be the next Jamey </w:t>
      </w:r>
      <w:proofErr w:type="spellStart"/>
      <w:r>
        <w:t>Rodemeyer</w:t>
      </w:r>
      <w:proofErr w:type="spellEnd"/>
      <w:r>
        <w:t>. Loving teachers from all around the country want nothing but the best for their students. To avoid unwanted attention on the subject, teachers often avoid bringing issues of sexual identity up in classroom discussions</w:t>
      </w:r>
      <w:r w:rsidRPr="00BE0BFC">
        <w:rPr>
          <w:rStyle w:val="StyleUnderline"/>
        </w:rPr>
        <w:t>. As the social studies community stays silent on this issue, LGBTQ youth are more vulnerable than ever before to emotional and physical harassment</w:t>
      </w:r>
      <w:r>
        <w:t xml:space="preserve">. Nine in ten LGBTQ students in Ohio report feeling unsafe in school and fear being bullied (GLSEN 2009). </w:t>
      </w:r>
      <w:r w:rsidRPr="00BE0BFC">
        <w:rPr>
          <w:rStyle w:val="StyleUnderline"/>
        </w:rPr>
        <w:t>These same students are exposed to a social studies curriculum, supposedly designed to prepare them to live in the “real world,” yet it does not even acknowledge the existence of LGBTQ people, movements, and events</w:t>
      </w:r>
      <w:r>
        <w:t xml:space="preserve">. We believe that the social studies </w:t>
      </w:r>
      <w:proofErr w:type="gramStart"/>
      <w:r>
        <w:t>has</w:t>
      </w:r>
      <w:proofErr w:type="gramEnd"/>
      <w:r>
        <w:t xml:space="preserve"> a responsibility to teach a fundamental lesson to all students. Jamey </w:t>
      </w:r>
      <w:proofErr w:type="spellStart"/>
      <w:r>
        <w:t>Rodemyer</w:t>
      </w:r>
      <w:proofErr w:type="spellEnd"/>
      <w:r>
        <w:t xml:space="preserve"> understood the first half of this message, “I am worth something. That’s all we </w:t>
      </w:r>
      <w:proofErr w:type="gramStart"/>
      <w:r>
        <w:t>have to</w:t>
      </w:r>
      <w:proofErr w:type="gramEnd"/>
      <w:r>
        <w:t xml:space="preserve"> do. Just love yourself and you’re set.” We advocate for </w:t>
      </w:r>
      <w:proofErr w:type="gramStart"/>
      <w:r>
        <w:t>a social studies</w:t>
      </w:r>
      <w:proofErr w:type="gramEnd"/>
      <w:r>
        <w:t xml:space="preserve"> that allows students to learn from historic figures facing similar struggles and experiences faced by teens in their own life—figures, events, and movements that communicate to students that they are not alone. This means </w:t>
      </w:r>
      <w:r w:rsidRPr="00BE0BFC">
        <w:rPr>
          <w:rStyle w:val="StyleUnderline"/>
        </w:rPr>
        <w:t xml:space="preserve">creating </w:t>
      </w:r>
      <w:proofErr w:type="gramStart"/>
      <w:r w:rsidRPr="00BE0BFC">
        <w:rPr>
          <w:rStyle w:val="StyleUnderline"/>
        </w:rPr>
        <w:t>a social studies</w:t>
      </w:r>
      <w:proofErr w:type="gramEnd"/>
      <w:r w:rsidRPr="00BE0BFC">
        <w:rPr>
          <w:rStyle w:val="StyleUnderline"/>
        </w:rPr>
        <w:t xml:space="preserve"> that is relevant, meaningful, and potentially liberating for LGBTQ youth. As for the second half of Jamey’s message, “it will get better,” it will only get better if we make it better</w:t>
      </w:r>
      <w:r>
        <w:t xml:space="preserve">. </w:t>
      </w:r>
      <w:r w:rsidRPr="00BE0BFC">
        <w:rPr>
          <w:rStyle w:val="StyleUnderline"/>
        </w:rPr>
        <w:t>For social studies teachers, this involves telling the truth to our students about the historic and current struggle for LBGTQ citizens in their pursuits of life, liberty, and happiness</w:t>
      </w:r>
      <w:r>
        <w:t xml:space="preserve">. </w:t>
      </w:r>
      <w:r w:rsidRPr="00BE0BFC">
        <w:rPr>
          <w:rStyle w:val="StyleUnderline"/>
        </w:rPr>
        <w:t>It also means that instead of hoping it gets better, citizens take concrete actions to ensure that we make it better.</w:t>
      </w:r>
    </w:p>
    <w:p w:rsidR="00B34B0B" w:rsidRDefault="00B34B0B" w:rsidP="00B34B0B">
      <w:pPr>
        <w:pStyle w:val="Heading4"/>
      </w:pPr>
      <w:r>
        <w:t xml:space="preserve">Alt Cause—History curriculum perpetuates the power structure of the dominant sexual preference over the LGBTQ community </w:t>
      </w:r>
    </w:p>
    <w:p w:rsidR="00B34B0B" w:rsidRDefault="00B34B0B" w:rsidP="00B34B0B">
      <w:pPr>
        <w:rPr>
          <w:rStyle w:val="Style13ptBold"/>
        </w:rPr>
      </w:pPr>
      <w:proofErr w:type="spellStart"/>
      <w:r>
        <w:rPr>
          <w:rStyle w:val="Style13ptBold"/>
        </w:rPr>
        <w:t>Camicia</w:t>
      </w:r>
      <w:proofErr w:type="spellEnd"/>
      <w:r>
        <w:rPr>
          <w:rStyle w:val="Style13ptBold"/>
        </w:rPr>
        <w:t>, Associate Professor of Postcolonial and Queer Theory at Utah State University, 2016</w:t>
      </w:r>
    </w:p>
    <w:p w:rsidR="00B34B0B" w:rsidRPr="005F531A" w:rsidRDefault="00B34B0B" w:rsidP="00B34B0B">
      <w:r w:rsidRPr="005F531A">
        <w:t>(</w:t>
      </w:r>
      <w:r>
        <w:t xml:space="preserve">Steven P., “Critical Democratic Education and LGBTQ-inclusive Curriculum: Opportunities and Constraints,” </w:t>
      </w:r>
      <w:hyperlink r:id="rId7" w:anchor="v=onepage&amp;q&amp;f=false" w:history="1">
        <w:r w:rsidRPr="00953BF8">
          <w:rPr>
            <w:rStyle w:val="Hyperlink"/>
          </w:rPr>
          <w:t>https://books.google.com/books?hl=en&amp;lr=&amp;id=gaZJDAAAQBAJ&amp;oi=fnd&amp;pg=PP1&amp;dq=%22LGBTQ+curriculum%22+%22perpetuate%22+harms+OR+%22fail+to+resolve+issue%22+&amp;ots=hSYb67Aq0O&amp;sig=EABHDd3PDZNu-fG6FX5Qz-dp_kk#v=onepage&amp;q&amp;f=false</w:t>
        </w:r>
      </w:hyperlink>
      <w:r>
        <w:t>, June 3</w:t>
      </w:r>
      <w:r w:rsidRPr="005F531A">
        <w:rPr>
          <w:vertAlign w:val="superscript"/>
        </w:rPr>
        <w:t>rd</w:t>
      </w:r>
      <w:r>
        <w:t xml:space="preserve">, ATH) </w:t>
      </w:r>
    </w:p>
    <w:p w:rsidR="00B34B0B" w:rsidRPr="00953BF8" w:rsidRDefault="00B34B0B" w:rsidP="00B34B0B">
      <w:r>
        <w:t xml:space="preserve">As another example, </w:t>
      </w:r>
      <w:r w:rsidRPr="00953BF8">
        <w:rPr>
          <w:rStyle w:val="StyleUnderline"/>
        </w:rPr>
        <w:t>history curriculum reflects historical narratives that mirror those of the dominant culture</w:t>
      </w:r>
      <w:r>
        <w:t xml:space="preserve">. </w:t>
      </w:r>
      <w:r w:rsidRPr="00953BF8">
        <w:rPr>
          <w:rStyle w:val="StyleUnderline"/>
        </w:rPr>
        <w:t>Curriculum works toward constructing and maintaining a dominant culture’s perspectives and perpetuating racism through history curriculum</w:t>
      </w:r>
      <w:r>
        <w:t xml:space="preserve"> (Leonardo &amp; Grubb, 2014). </w:t>
      </w:r>
      <w:r w:rsidRPr="00953BF8">
        <w:rPr>
          <w:rStyle w:val="StyleUnderline"/>
        </w:rPr>
        <w:t xml:space="preserve">The curriculum represents a </w:t>
      </w:r>
      <w:proofErr w:type="gramStart"/>
      <w:r w:rsidRPr="00953BF8">
        <w:rPr>
          <w:rStyle w:val="StyleUnderline"/>
        </w:rPr>
        <w:t>particular worldview</w:t>
      </w:r>
      <w:proofErr w:type="gramEnd"/>
      <w:r w:rsidRPr="00953BF8">
        <w:rPr>
          <w:rStyle w:val="StyleUnderline"/>
        </w:rPr>
        <w:t xml:space="preserve"> that communicates society’s past, present and hopes for the future</w:t>
      </w:r>
      <w:r>
        <w:t xml:space="preserve"> (Pinar, 2004). It is no wonder that differing beliefs about the past, present, and future of society cause disagreements over curriculum. </w:t>
      </w:r>
      <w:r w:rsidRPr="00953BF8">
        <w:rPr>
          <w:rStyle w:val="StyleUnderline"/>
        </w:rPr>
        <w:t>As it relates to LGBTQ recognition</w:t>
      </w:r>
      <w:r>
        <w:t xml:space="preserve">, who benefits from excluding LBGTQ individuals and </w:t>
      </w:r>
      <w:r>
        <w:lastRenderedPageBreak/>
        <w:t xml:space="preserve">perspectives from the history curriculum? </w:t>
      </w:r>
      <w:r w:rsidRPr="00953BF8">
        <w:rPr>
          <w:rStyle w:val="StyleUnderline"/>
        </w:rPr>
        <w:t>Who benefits from curriculum tailored toward prohibiting conversations and discourses surrounding sexualities and gender identities as they have historically been expressed throughout history?</w:t>
      </w:r>
      <w:r>
        <w:t xml:space="preserve"> When these questions are not asked</w:t>
      </w:r>
      <w:r w:rsidRPr="00953BF8">
        <w:rPr>
          <w:rStyle w:val="StyleUnderline"/>
        </w:rPr>
        <w:t>, the curriculum serves the interest of those who identify and are identified with dominant forms of sexuality and gender identity.</w:t>
      </w:r>
      <w:r>
        <w:t xml:space="preserve"> </w:t>
      </w:r>
    </w:p>
    <w:p w:rsidR="00B34B0B" w:rsidRDefault="00B34B0B" w:rsidP="00B34B0B">
      <w:pPr>
        <w:rPr>
          <w:rFonts w:asciiTheme="minorHAnsi" w:hAnsiTheme="minorHAnsi"/>
        </w:rPr>
      </w:pPr>
    </w:p>
    <w:p w:rsidR="00B34B0B" w:rsidRDefault="00B34B0B" w:rsidP="00B34B0B">
      <w:pPr>
        <w:rPr>
          <w:rFonts w:asciiTheme="minorHAnsi" w:hAnsiTheme="minorHAnsi"/>
        </w:rPr>
      </w:pPr>
    </w:p>
    <w:p w:rsidR="00B34B0B" w:rsidRDefault="00B34B0B" w:rsidP="00B34B0B">
      <w:pPr>
        <w:rPr>
          <w:rFonts w:asciiTheme="minorHAnsi" w:hAnsiTheme="minorHAnsi"/>
        </w:rPr>
      </w:pPr>
    </w:p>
    <w:p w:rsidR="00834FB5" w:rsidRPr="00834FB5" w:rsidRDefault="00834FB5" w:rsidP="00834FB5">
      <w:pPr>
        <w:pStyle w:val="Heading3"/>
      </w:pPr>
      <w:r w:rsidRPr="00834FB5">
        <w:lastRenderedPageBreak/>
        <w:t>No Solvency- Curriculum Not Sufficient</w:t>
      </w:r>
    </w:p>
    <w:p w:rsidR="00834FB5" w:rsidRPr="00ED7501" w:rsidRDefault="00834FB5" w:rsidP="00834FB5">
      <w:pPr>
        <w:pStyle w:val="Heading4"/>
        <w:rPr>
          <w:rStyle w:val="Style13ptBold"/>
          <w:b/>
        </w:rPr>
      </w:pPr>
      <w:r>
        <w:rPr>
          <w:rStyle w:val="Style13ptBold"/>
          <w:b/>
        </w:rPr>
        <w:t xml:space="preserve">No solvency—curriculum does not systemically address the environment in schools, training is key </w:t>
      </w:r>
    </w:p>
    <w:p w:rsidR="00834FB5" w:rsidRPr="00DF3713" w:rsidRDefault="00834FB5" w:rsidP="00834FB5">
      <w:pPr>
        <w:rPr>
          <w:rStyle w:val="Style13ptBold"/>
        </w:rPr>
      </w:pPr>
      <w:r w:rsidRPr="00DF3713">
        <w:rPr>
          <w:rStyle w:val="Style13ptBold"/>
        </w:rPr>
        <w:t xml:space="preserve">Dinkins, School of Education at Bellarmine University, and Englert, School of Education at Bellarmine University, 2015 </w:t>
      </w:r>
    </w:p>
    <w:p w:rsidR="00834FB5" w:rsidRDefault="00834FB5" w:rsidP="00834FB5">
      <w:r>
        <w:t xml:space="preserve">(Elizabeth G., and Patrick, “LGBTQ literature in middle school classrooms: possibilities for challenging heteronormative environments,” Sex Education. Jul2015, Vol. 15 Issue 4, p392-40, </w:t>
      </w:r>
      <w:proofErr w:type="spellStart"/>
      <w:r>
        <w:t>ebscohost</w:t>
      </w:r>
      <w:proofErr w:type="spellEnd"/>
      <w:r>
        <w:t xml:space="preserve">, ATH) </w:t>
      </w:r>
    </w:p>
    <w:p w:rsidR="00834FB5" w:rsidRDefault="00834FB5" w:rsidP="00834FB5">
      <w:r>
        <w:t xml:space="preserve">This study underscores the importance of training educators in how best to incorporate LGBTQ literature into the classroom and develop awareness of practices that create and perpetuate heteronormative environments. </w:t>
      </w:r>
      <w:r w:rsidRPr="00504303">
        <w:rPr>
          <w:rStyle w:val="StyleUnderline"/>
        </w:rPr>
        <w:t xml:space="preserve">Merely including LGBTQ </w:t>
      </w:r>
      <w:r>
        <w:t xml:space="preserve">texts in the </w:t>
      </w:r>
      <w:r w:rsidRPr="00504303">
        <w:rPr>
          <w:rStyle w:val="StyleUnderline"/>
        </w:rPr>
        <w:t>curriculum does not systematically address the pervading heteronormative environment in the classroom. It is imperative that classroom contexts represent spaces free of heterosexual dominance and rigid binaries. Countering heteronormative environments</w:t>
      </w:r>
      <w:r>
        <w:t xml:space="preserve"> </w:t>
      </w:r>
      <w:r w:rsidRPr="00504303">
        <w:rPr>
          <w:rStyle w:val="StyleUnderline"/>
        </w:rPr>
        <w:t>engenders students to consider possibilities and appreciate new perspectives of community.</w:t>
      </w:r>
      <w:r>
        <w:t xml:space="preserve"> </w:t>
      </w:r>
      <w:r w:rsidRPr="00504303">
        <w:rPr>
          <w:rStyle w:val="StyleUnderline"/>
        </w:rPr>
        <w:t>Training is needed to move educators towards a critical engagement with discourse and dialogue in the classroom</w:t>
      </w:r>
      <w:r>
        <w:t xml:space="preserve">. Interpreting texts through windows and mirrors has the potential to build cultural competence that moves beyond tolerance and merely embracing difference. Further research is necessary to inform the practice of using queer literature in classroom curriculum designed for students between the ages of 12 and 14. </w:t>
      </w:r>
      <w:proofErr w:type="gramStart"/>
      <w:r>
        <w:t>In particular, this</w:t>
      </w:r>
      <w:proofErr w:type="gramEnd"/>
      <w:r>
        <w:t xml:space="preserve"> research should continue to examine different ways LGBTQ literature can challenge the heteronormative nature of schools in relation to possibilities for anti-oppressive education. The middle school setting is a rich laboratory as students are actively beginning to explore their identities and beliefs.</w:t>
      </w:r>
    </w:p>
    <w:p w:rsidR="00B34B0B" w:rsidRDefault="00B34B0B" w:rsidP="00B34B0B">
      <w:pPr>
        <w:pStyle w:val="Heading4"/>
      </w:pPr>
      <w:r>
        <w:t>I</w:t>
      </w:r>
      <w:r>
        <w:t>nclusive LGBTQ curricula doesn’t provide an explanation of the inequity is entrenched in our social experience</w:t>
      </w:r>
    </w:p>
    <w:p w:rsidR="00B34B0B" w:rsidRDefault="00B34B0B" w:rsidP="00B34B0B">
      <w:pPr>
        <w:rPr>
          <w:rStyle w:val="Style13ptBold"/>
        </w:rPr>
      </w:pPr>
      <w:r>
        <w:rPr>
          <w:rStyle w:val="Style13ptBold"/>
        </w:rPr>
        <w:t xml:space="preserve">Schmidt, Assistant Professor of Social Studies Education at Columbia, 2015 </w:t>
      </w:r>
    </w:p>
    <w:p w:rsidR="00B34B0B" w:rsidRPr="00F31248" w:rsidRDefault="00B34B0B" w:rsidP="00B34B0B">
      <w:r w:rsidRPr="00F31248">
        <w:t>(</w:t>
      </w:r>
      <w:r>
        <w:t xml:space="preserve">Sandra J., “A queer arrangement of school: using spatiality to understand inequity,” Journal of Curriculum Studies. Apr2015, Vol. 47 Issue 2, p253-273, </w:t>
      </w:r>
      <w:proofErr w:type="spellStart"/>
      <w:r>
        <w:t>ebscohost</w:t>
      </w:r>
      <w:proofErr w:type="spellEnd"/>
      <w:r>
        <w:t xml:space="preserve">, ATH) </w:t>
      </w:r>
    </w:p>
    <w:p w:rsidR="00B34B0B" w:rsidRDefault="00B34B0B" w:rsidP="00834FB5">
      <w:pPr>
        <w:rPr>
          <w:rStyle w:val="StyleUnderline"/>
        </w:rPr>
      </w:pPr>
      <w:r w:rsidRPr="00F31248">
        <w:rPr>
          <w:rStyle w:val="StyleUnderline"/>
        </w:rPr>
        <w:t xml:space="preserve">A loud veil of silence surrounds lesbian, gay, </w:t>
      </w:r>
      <w:proofErr w:type="gramStart"/>
      <w:r w:rsidRPr="00F31248">
        <w:rPr>
          <w:rStyle w:val="StyleUnderline"/>
        </w:rPr>
        <w:t>bisexual</w:t>
      </w:r>
      <w:proofErr w:type="gramEnd"/>
      <w:r w:rsidRPr="00F31248">
        <w:rPr>
          <w:rStyle w:val="StyleUnderline"/>
        </w:rPr>
        <w:t xml:space="preserve"> and queer issues, identities and persons within K-12 settings</w:t>
      </w:r>
      <w:r w:rsidRPr="00F31248">
        <w:t xml:space="preserve">. Too often, </w:t>
      </w:r>
      <w:r w:rsidRPr="00F31248">
        <w:rPr>
          <w:rStyle w:val="StyleUnderline"/>
        </w:rPr>
        <w:t>LGBQ persons are not identifiable in visual images students encounter throughout school; implications of oppression based on sexuality are not highlighted in economics classrooms, lessons from history, literature students read, math problems that graph (in)equity, sex education, or the limitations of sexuality in biology class</w:t>
      </w:r>
      <w:r w:rsidRPr="00F31248">
        <w:t>; and school policies do not name the social</w:t>
      </w:r>
      <w:r>
        <w:t xml:space="preserve"> </w:t>
      </w:r>
      <w:r w:rsidRPr="00F31248">
        <w:t>injustices that produce the discipline problems—bullying and sexual</w:t>
      </w:r>
      <w:r>
        <w:t xml:space="preserve"> </w:t>
      </w:r>
      <w:r w:rsidRPr="00F31248">
        <w:t>harassment—they monitor (</w:t>
      </w:r>
      <w:proofErr w:type="spellStart"/>
      <w:r w:rsidRPr="00F31248">
        <w:t>Ferfolja</w:t>
      </w:r>
      <w:proofErr w:type="spellEnd"/>
      <w:r w:rsidRPr="00F31248">
        <w:t>, 2007; Taylor et al., 2011; Thornton,</w:t>
      </w:r>
      <w:r>
        <w:t xml:space="preserve"> </w:t>
      </w:r>
      <w:r w:rsidRPr="00F31248">
        <w:t xml:space="preserve">2003). </w:t>
      </w:r>
      <w:r w:rsidRPr="00F31248">
        <w:rPr>
          <w:rStyle w:val="StyleUnderline"/>
        </w:rPr>
        <w:t>Absence marginalizes; it reproduces heterosexuality as normal and non-heterosexual identities recognizable only in opposition</w:t>
      </w:r>
      <w:r w:rsidRPr="00F31248">
        <w:t>. The normalization</w:t>
      </w:r>
      <w:r>
        <w:t xml:space="preserve"> </w:t>
      </w:r>
      <w:r w:rsidRPr="00F31248">
        <w:t xml:space="preserve">of heterosexuality supports exclusion, physical </w:t>
      </w:r>
      <w:proofErr w:type="gramStart"/>
      <w:r w:rsidRPr="00F31248">
        <w:t>harassment</w:t>
      </w:r>
      <w:proofErr w:type="gramEnd"/>
      <w:r w:rsidRPr="00F31248">
        <w:t xml:space="preserve"> and disassociation</w:t>
      </w:r>
      <w:r>
        <w:t xml:space="preserve"> </w:t>
      </w:r>
      <w:r w:rsidRPr="00F31248">
        <w:t>(</w:t>
      </w:r>
      <w:proofErr w:type="spellStart"/>
      <w:r w:rsidRPr="00F31248">
        <w:t>Kosciw</w:t>
      </w:r>
      <w:proofErr w:type="spellEnd"/>
      <w:r w:rsidRPr="00F31248">
        <w:t xml:space="preserve">, </w:t>
      </w:r>
      <w:proofErr w:type="spellStart"/>
      <w:r w:rsidRPr="00F31248">
        <w:t>Greytak</w:t>
      </w:r>
      <w:proofErr w:type="spellEnd"/>
      <w:r w:rsidRPr="00F31248">
        <w:t xml:space="preserve">, </w:t>
      </w:r>
      <w:proofErr w:type="spellStart"/>
      <w:r w:rsidRPr="00F31248">
        <w:t>Bartkiewicz</w:t>
      </w:r>
      <w:proofErr w:type="spellEnd"/>
      <w:r w:rsidRPr="00F31248">
        <w:t xml:space="preserve">, </w:t>
      </w:r>
      <w:proofErr w:type="spellStart"/>
      <w:r w:rsidRPr="00F31248">
        <w:t>Boesen</w:t>
      </w:r>
      <w:proofErr w:type="spellEnd"/>
      <w:r w:rsidRPr="00F31248">
        <w:t>, &amp; Palmer, 2012;</w:t>
      </w:r>
      <w:r>
        <w:t xml:space="preserve"> </w:t>
      </w:r>
      <w:r w:rsidRPr="00F31248">
        <w:t>Taylor et al., 2011; Toomey, McGuire, &amp; Russell, 2012; Wilkinson &amp;</w:t>
      </w:r>
      <w:r>
        <w:t xml:space="preserve"> </w:t>
      </w:r>
      <w:r w:rsidRPr="00F31248">
        <w:t>Pearson, 2009). Marginalization and lack of recognition limit access to</w:t>
      </w:r>
      <w:r>
        <w:t xml:space="preserve"> </w:t>
      </w:r>
      <w:r w:rsidRPr="00F31248">
        <w:t>educational resources (Fields &amp; Hirschman, 2007; Fraser, 2003</w:t>
      </w:r>
      <w:r w:rsidRPr="00F31248">
        <w:rPr>
          <w:rStyle w:val="StyleUnderline"/>
        </w:rPr>
        <w:t>). If marginal is an attribute society wishes to assign to LGBQ persons, then the sexuality landscape of schools offers a powerful curriculum. A common response to marginalization is increased visibility and recognition</w:t>
      </w:r>
      <w:r>
        <w:t xml:space="preserve"> </w:t>
      </w:r>
      <w:r w:rsidRPr="00F31248">
        <w:t xml:space="preserve">(Fraser, 2003; Thornton, 2003). Unlike other </w:t>
      </w:r>
      <w:r w:rsidRPr="00F31248">
        <w:lastRenderedPageBreak/>
        <w:t>identity/structural</w:t>
      </w:r>
      <w:r>
        <w:t xml:space="preserve"> </w:t>
      </w:r>
      <w:r w:rsidRPr="00F31248">
        <w:t xml:space="preserve">inequities (race, gender, class, ethnicity), </w:t>
      </w:r>
      <w:r w:rsidRPr="00F31248">
        <w:rPr>
          <w:rStyle w:val="StyleUnderline"/>
        </w:rPr>
        <w:t>sexuality is made visible largely through extracurricular inclusions—gay–straight alliances, bullying policies, suicide prevention assemblies</w:t>
      </w:r>
      <w:r w:rsidRPr="00F31248">
        <w:t xml:space="preserve"> (Schmidt, 2012). </w:t>
      </w:r>
      <w:r w:rsidRPr="00F31248">
        <w:rPr>
          <w:rStyle w:val="StyleUnderline"/>
        </w:rPr>
        <w:t>This attention matters but does not displace the need to query sexuality in non-extra/central functions of school—curriculum, pedagogy, learning, teaching.</w:t>
      </w:r>
      <w:r w:rsidRPr="00F31248">
        <w:t xml:space="preserve"> Researchers</w:t>
      </w:r>
      <w:r>
        <w:t xml:space="preserve"> </w:t>
      </w:r>
      <w:r w:rsidRPr="00F31248">
        <w:t>have long advocated for inclusion of sexuality at the curricular level.</w:t>
      </w:r>
      <w:r>
        <w:t xml:space="preserve"> </w:t>
      </w:r>
      <w:r w:rsidRPr="00F31248">
        <w:t>Curricular redress may involve the approach taken in California (USA)—</w:t>
      </w:r>
      <w:r>
        <w:t xml:space="preserve"> </w:t>
      </w:r>
      <w:r w:rsidRPr="00F31248">
        <w:t>inclusion of stories that have been ignored for too long (Sears &amp; Letts,</w:t>
      </w:r>
      <w:r>
        <w:t xml:space="preserve"> </w:t>
      </w:r>
      <w:r w:rsidRPr="00F31248">
        <w:t xml:space="preserve">1997; </w:t>
      </w:r>
      <w:proofErr w:type="spellStart"/>
      <w:r w:rsidRPr="00F31248">
        <w:t>Unks</w:t>
      </w:r>
      <w:proofErr w:type="spellEnd"/>
      <w:r w:rsidRPr="00F31248">
        <w:t xml:space="preserve">, 1995). </w:t>
      </w:r>
      <w:r w:rsidRPr="00F31248">
        <w:rPr>
          <w:rStyle w:val="StyleUnderline"/>
        </w:rPr>
        <w:t xml:space="preserve">Other curricular approaches encourage the refusal of the heterosexual paradigm as the only lens through which to recognize people, </w:t>
      </w:r>
      <w:proofErr w:type="gramStart"/>
      <w:r w:rsidRPr="00F31248">
        <w:rPr>
          <w:rStyle w:val="StyleUnderline"/>
        </w:rPr>
        <w:t>rights</w:t>
      </w:r>
      <w:proofErr w:type="gramEnd"/>
      <w:r w:rsidRPr="00F31248">
        <w:rPr>
          <w:rStyle w:val="StyleUnderline"/>
        </w:rPr>
        <w:t xml:space="preserve"> and relationships</w:t>
      </w:r>
      <w:r w:rsidRPr="00F31248">
        <w:t xml:space="preserve"> (</w:t>
      </w:r>
      <w:proofErr w:type="spellStart"/>
      <w:r w:rsidRPr="00F31248">
        <w:t>Bickmore</w:t>
      </w:r>
      <w:proofErr w:type="spellEnd"/>
      <w:r w:rsidRPr="00F31248">
        <w:t xml:space="preserve">, 2002; </w:t>
      </w:r>
      <w:proofErr w:type="spellStart"/>
      <w:r w:rsidRPr="00F31248">
        <w:t>Marchman</w:t>
      </w:r>
      <w:proofErr w:type="spellEnd"/>
      <w:r w:rsidRPr="00F31248">
        <w:t>, 2002).</w:t>
      </w:r>
      <w:r>
        <w:t xml:space="preserve"> </w:t>
      </w:r>
      <w:r w:rsidRPr="00F31248">
        <w:rPr>
          <w:rStyle w:val="StyleUnderline"/>
        </w:rPr>
        <w:t xml:space="preserve">Inclusive curricula—including those that share multiple perspectives and voices—have not been effective enough in combatting social, spatial, </w:t>
      </w:r>
      <w:proofErr w:type="gramStart"/>
      <w:r w:rsidRPr="00F31248">
        <w:rPr>
          <w:rStyle w:val="StyleUnderline"/>
        </w:rPr>
        <w:t>political</w:t>
      </w:r>
      <w:proofErr w:type="gramEnd"/>
      <w:r w:rsidRPr="00F31248">
        <w:rPr>
          <w:rStyle w:val="StyleUnderline"/>
        </w:rPr>
        <w:t xml:space="preserve"> and economic patterns of inequity. One reason may be that this redress does not require an understanding of how inequity is entrenched in our social experience. </w:t>
      </w:r>
      <w:r w:rsidRPr="00F31248">
        <w:t>Such distinction reflects a divide between LGBT</w:t>
      </w:r>
      <w:r>
        <w:t xml:space="preserve"> </w:t>
      </w:r>
      <w:r w:rsidRPr="00F31248">
        <w:t>studies and queer theory (Halperin, 2003). Queer theorists do not presume</w:t>
      </w:r>
      <w:r>
        <w:t xml:space="preserve"> </w:t>
      </w:r>
      <w:r w:rsidRPr="00F31248">
        <w:t>an easily recognizable queer subject who can be made visible</w:t>
      </w:r>
      <w:r>
        <w:t xml:space="preserve"> </w:t>
      </w:r>
      <w:r w:rsidRPr="00F31248">
        <w:t>through curricular inclusion. They query when and how queer subjects are</w:t>
      </w:r>
      <w:r>
        <w:t xml:space="preserve"> </w:t>
      </w:r>
      <w:r w:rsidRPr="00F31248">
        <w:t xml:space="preserve">produced and iterated through(out) the curriculum (Epstein, </w:t>
      </w:r>
      <w:proofErr w:type="spellStart"/>
      <w:r w:rsidRPr="00F31248">
        <w:t>O’Flynn</w:t>
      </w:r>
      <w:proofErr w:type="spellEnd"/>
      <w:r w:rsidRPr="00F31248">
        <w:t>, &amp;</w:t>
      </w:r>
      <w:r>
        <w:t xml:space="preserve"> </w:t>
      </w:r>
      <w:r w:rsidRPr="00F31248">
        <w:t xml:space="preserve">Telford, 2000–2001; Pinar, 1998). </w:t>
      </w:r>
      <w:r w:rsidRPr="00F31248">
        <w:rPr>
          <w:rStyle w:val="StyleUnderline"/>
        </w:rPr>
        <w:t>The queer subject is performed each time norms are advanced and adherence encouraged. It occurs through the disciplining of school into concrete subjects, when ‘good citizens’ are evaluated on report cards</w:t>
      </w:r>
      <w:r w:rsidRPr="00F31248">
        <w:t>, in the differentiated way we teach about Susan</w:t>
      </w:r>
      <w:r>
        <w:t xml:space="preserve"> </w:t>
      </w:r>
      <w:r w:rsidRPr="00F31248">
        <w:t>B. Anthony, an unmarried US suffragist, and Elizabeth Cady Stanton, her</w:t>
      </w:r>
      <w:r>
        <w:t xml:space="preserve"> </w:t>
      </w:r>
      <w:r w:rsidRPr="00F31248">
        <w:t>heterosexual counterpart, when goodness and heroism are assigned to protagonists</w:t>
      </w:r>
      <w:r>
        <w:t xml:space="preserve"> </w:t>
      </w:r>
      <w:r w:rsidRPr="00F31248">
        <w:t xml:space="preserve">(Schmidt, 2010; Macintosh &amp; </w:t>
      </w:r>
      <w:proofErr w:type="spellStart"/>
      <w:r w:rsidRPr="00F31248">
        <w:t>Loutzenheiser</w:t>
      </w:r>
      <w:proofErr w:type="spellEnd"/>
      <w:r w:rsidRPr="00F31248">
        <w:t>, 2006). The outliers</w:t>
      </w:r>
      <w:r>
        <w:t xml:space="preserve"> </w:t>
      </w:r>
      <w:r w:rsidRPr="00F31248">
        <w:t>produced in these experiences are queer. Queer critique complicates how</w:t>
      </w:r>
      <w:r>
        <w:t xml:space="preserve"> </w:t>
      </w:r>
      <w:r w:rsidRPr="00F31248">
        <w:t>we recognize injustice, redress inequitable access to educational resources</w:t>
      </w:r>
      <w:r>
        <w:t xml:space="preserve"> </w:t>
      </w:r>
      <w:r w:rsidRPr="00F31248">
        <w:t>(for queer students) and study justice-oriented policy solutions.</w:t>
      </w:r>
      <w:r>
        <w:t xml:space="preserve"> </w:t>
      </w:r>
      <w:r w:rsidRPr="00F31248">
        <w:t>Geographers contend that understanding inequity requires attention</w:t>
      </w:r>
      <w:r>
        <w:t xml:space="preserve"> </w:t>
      </w:r>
      <w:r w:rsidRPr="00F31248">
        <w:t>to space, for it is through the production and engagement with space that</w:t>
      </w:r>
      <w:r>
        <w:t xml:space="preserve"> </w:t>
      </w:r>
      <w:r w:rsidRPr="00F31248">
        <w:t>inequity becomes entrenched in our social experiences (</w:t>
      </w:r>
      <w:proofErr w:type="spellStart"/>
      <w:r w:rsidRPr="00F31248">
        <w:t>Soja</w:t>
      </w:r>
      <w:proofErr w:type="spellEnd"/>
      <w:r w:rsidRPr="00F31248">
        <w:t>, 2010).</w:t>
      </w:r>
      <w:r>
        <w:t xml:space="preserve"> </w:t>
      </w:r>
      <w:r w:rsidRPr="00F31248">
        <w:rPr>
          <w:rStyle w:val="StyleUnderline"/>
        </w:rPr>
        <w:t>Studying space is a curriculum of (in)justice. If injustice is written into space, then a curricular challenge is how to understand inequity through space and produce responses that reorganize space. This article critically examines space2 —its uses and possibilities—to expand ideas of curricular ‘inclusion’</w:t>
      </w:r>
      <w:r w:rsidRPr="00F31248">
        <w:t>. It uses an empirical study about how young people represent,</w:t>
      </w:r>
      <w:r>
        <w:t xml:space="preserve"> </w:t>
      </w:r>
      <w:r w:rsidRPr="00F31248">
        <w:t>construct and experience school to interrogate schools as spaces where</w:t>
      </w:r>
      <w:r>
        <w:t xml:space="preserve"> </w:t>
      </w:r>
      <w:r w:rsidRPr="00F31248">
        <w:t>queer subjects are made while producing a curriculum for critiquing</w:t>
      </w:r>
      <w:r>
        <w:t xml:space="preserve"> </w:t>
      </w:r>
      <w:r w:rsidRPr="00F31248">
        <w:t xml:space="preserve">space. </w:t>
      </w:r>
      <w:r w:rsidRPr="00F31248">
        <w:rPr>
          <w:rStyle w:val="StyleUnderline"/>
        </w:rPr>
        <w:t>Largely invisible in schools, this study is not directly about the experiences of LGBQ youth. Instead, it is an enquiry into how queries about space afford us curricular tools for studying sexuality inequality past this exercise. Queer in its exclusive reference to sexuality will briefly become lost while exploring a methodology for recovering it for curricular inclusion</w:t>
      </w:r>
      <w:r w:rsidRPr="00F31248">
        <w:t>. Allowing queer to stand in for identities and associations that</w:t>
      </w:r>
      <w:r>
        <w:t xml:space="preserve"> </w:t>
      </w:r>
      <w:r w:rsidRPr="00F31248">
        <w:t xml:space="preserve">are held </w:t>
      </w:r>
      <w:proofErr w:type="gramStart"/>
      <w:r w:rsidRPr="00F31248">
        <w:t>in reference to</w:t>
      </w:r>
      <w:proofErr w:type="gramEnd"/>
      <w:r w:rsidRPr="00F31248">
        <w:t xml:space="preserve"> the dominant social positions exposes how social</w:t>
      </w:r>
      <w:r>
        <w:t xml:space="preserve"> </w:t>
      </w:r>
      <w:r w:rsidRPr="00F31248">
        <w:t>254 S.J. SCHMIDT</w:t>
      </w:r>
      <w:r>
        <w:t xml:space="preserve"> </w:t>
      </w:r>
      <w:r w:rsidRPr="00F31248">
        <w:t>relationships function in this school so that we can rethink the sexually</w:t>
      </w:r>
      <w:r>
        <w:t xml:space="preserve"> </w:t>
      </w:r>
      <w:r w:rsidRPr="00F31248">
        <w:t xml:space="preserve">queer subject in school. </w:t>
      </w:r>
      <w:r w:rsidRPr="00F31248">
        <w:rPr>
          <w:rStyle w:val="StyleUnderline"/>
        </w:rPr>
        <w:t>The article first introduces theories of spatial inequity, then briefly outlines the study, discusses findings through queer spatiality and finally considers its contributions to curricular inclusion.</w:t>
      </w:r>
    </w:p>
    <w:p w:rsidR="00B34B0B" w:rsidRDefault="00B34B0B" w:rsidP="00B34B0B">
      <w:pPr>
        <w:pStyle w:val="Heading4"/>
      </w:pPr>
      <w:r>
        <w:t xml:space="preserve">LGBTQ curriculum doesn’t address the underlying structures of communication that marginalize the LGBTQ community—structures of power prevent </w:t>
      </w:r>
    </w:p>
    <w:p w:rsidR="00B34B0B" w:rsidRDefault="00B34B0B" w:rsidP="00B34B0B">
      <w:pPr>
        <w:rPr>
          <w:rStyle w:val="Style13ptBold"/>
        </w:rPr>
      </w:pPr>
      <w:proofErr w:type="spellStart"/>
      <w:r>
        <w:rPr>
          <w:rStyle w:val="Style13ptBold"/>
        </w:rPr>
        <w:t>Camicia</w:t>
      </w:r>
      <w:proofErr w:type="spellEnd"/>
      <w:r>
        <w:rPr>
          <w:rStyle w:val="Style13ptBold"/>
        </w:rPr>
        <w:t>, Associate Professor of Postcolonial and Queer Theory at Utah State University, 2016</w:t>
      </w:r>
    </w:p>
    <w:p w:rsidR="00B34B0B" w:rsidRPr="005F531A" w:rsidRDefault="00B34B0B" w:rsidP="00B34B0B">
      <w:r w:rsidRPr="005F531A">
        <w:lastRenderedPageBreak/>
        <w:t>(</w:t>
      </w:r>
      <w:r>
        <w:t xml:space="preserve">Steven P., “Critical Democratic Education and LGBTQ-inclusive Curriculum: Opportunities and Constraints,” </w:t>
      </w:r>
      <w:hyperlink r:id="rId8" w:anchor="v=onepage&amp;q&amp;f=false" w:history="1">
        <w:r w:rsidRPr="000A3958">
          <w:rPr>
            <w:rStyle w:val="Hyperlink"/>
          </w:rPr>
          <w:t>https://books.google.com/books?hl=en&amp;lr=&amp;id=gaZJDAAAQBAJ&amp;oi=fnd&amp;pg=PP1&amp;dq=%22LGBTQ+curriculum%22+%22perpetuate%22+harms+OR+%22fail+to+resolve+issue%22+&amp;ots=hSYb67Aq0O&amp;sig=EABHDd3PDZNu-fG6FX5Qz-dp_kk#v=onepage&amp;q&amp;f=false</w:t>
        </w:r>
      </w:hyperlink>
      <w:r>
        <w:t>, June 3</w:t>
      </w:r>
      <w:r w:rsidRPr="005F531A">
        <w:rPr>
          <w:vertAlign w:val="superscript"/>
        </w:rPr>
        <w:t>rd</w:t>
      </w:r>
      <w:r>
        <w:t xml:space="preserve">, ATH) </w:t>
      </w:r>
    </w:p>
    <w:p w:rsidR="00B34B0B" w:rsidRPr="00B34B0B" w:rsidRDefault="00B34B0B" w:rsidP="00834FB5">
      <w:r>
        <w:t xml:space="preserve">One of the main hindrances to democracy is a lack of recognition of individuals in our communities. As I discuss later, whereas the perspectives of marginalized individuals and groups might be added to the conversation, dominant groups often define the rules of inclusion. </w:t>
      </w:r>
      <w:r w:rsidRPr="000F69FC">
        <w:rPr>
          <w:rStyle w:val="StyleUnderline"/>
        </w:rPr>
        <w:t>Structures of communication enact values and modes that reflect dominant cultures or identities in conversat</w:t>
      </w:r>
      <w:r>
        <w:t xml:space="preserve">ion. Because these structures can join conversations. Whereas on the surface, </w:t>
      </w:r>
      <w:r w:rsidRPr="000F69FC">
        <w:rPr>
          <w:rStyle w:val="StyleUnderline"/>
        </w:rPr>
        <w:t>communication in public meetings such as school council meetings seem to be structured for equality, forces of power and privilege often determine the limits of who and what gets recognized as legitimate in conversation and deliberation</w:t>
      </w:r>
      <w:r>
        <w:t xml:space="preserve">s. </w:t>
      </w:r>
      <w:r w:rsidRPr="000F69FC">
        <w:rPr>
          <w:rStyle w:val="StyleUnderline"/>
        </w:rPr>
        <w:t>Under such conditions, even if a perspective is added to the conversation, the addition is somewhat superficial because it is embedded in a larger structure of communication that reflects dominant assumptions. Curriculum, as a complicated conversation, reflects this phenomenon.</w:t>
      </w:r>
      <w:r>
        <w:t xml:space="preserve"> </w:t>
      </w:r>
      <w:r w:rsidRPr="000F69FC">
        <w:rPr>
          <w:rStyle w:val="StyleUnderline"/>
        </w:rPr>
        <w:t>Additive approaches to meetings or curriculum do not sufficiently account for the underlying workings of inequitable power relations embedded in communications. One of the ways to address inequitable recognition is to examine the ways that power shapes conversations, deliberations, discourses, curriculum, and forms of recognition. Additive approaches do not address the underlying structures in communication that marginalize the additions of individuals, perspectives, issues</w:t>
      </w:r>
      <w:r w:rsidRPr="000F69FC">
        <w:t xml:space="preserve">, and LGBTQ-inclusive curriculum. </w:t>
      </w:r>
    </w:p>
    <w:p w:rsidR="00A32C02" w:rsidRDefault="00A32C02" w:rsidP="00A32C02">
      <w:pPr>
        <w:pStyle w:val="Heading3"/>
      </w:pPr>
      <w:r>
        <w:lastRenderedPageBreak/>
        <w:t>Congress CP</w:t>
      </w:r>
    </w:p>
    <w:p w:rsidR="00A32C02" w:rsidRDefault="00A32C02" w:rsidP="00A32C02">
      <w:pPr>
        <w:pStyle w:val="Heading4"/>
      </w:pPr>
      <w:r>
        <w:t>Law alone is not a catalyst for social change- especially a SCOTUS ruling, which occurs without the transformative discussion afforded in legislative branches</w:t>
      </w:r>
    </w:p>
    <w:p w:rsidR="00A32C02" w:rsidRDefault="00A32C02" w:rsidP="00A32C02">
      <w:pPr>
        <w:rPr>
          <w:b/>
          <w:color w:val="000000"/>
        </w:rPr>
      </w:pPr>
      <w:r>
        <w:rPr>
          <w:b/>
          <w:color w:val="000000"/>
        </w:rPr>
        <w:t xml:space="preserve">Stoddard, NYU Prof., </w:t>
      </w:r>
      <w:r w:rsidRPr="00570F8D">
        <w:rPr>
          <w:b/>
          <w:i/>
          <w:color w:val="000000"/>
        </w:rPr>
        <w:t>gay rights</w:t>
      </w:r>
      <w:r>
        <w:rPr>
          <w:b/>
          <w:color w:val="000000"/>
        </w:rPr>
        <w:t xml:space="preserve"> lawyer,</w:t>
      </w:r>
      <w:r w:rsidRPr="00316EB8">
        <w:rPr>
          <w:b/>
          <w:color w:val="000000"/>
        </w:rPr>
        <w:t xml:space="preserve"> </w:t>
      </w:r>
      <w:r>
        <w:rPr>
          <w:b/>
          <w:color w:val="000000"/>
        </w:rPr>
        <w:t xml:space="preserve">and gay </w:t>
      </w:r>
      <w:r w:rsidRPr="00570F8D">
        <w:rPr>
          <w:b/>
          <w:i/>
          <w:color w:val="000000"/>
        </w:rPr>
        <w:t>rights lawyer</w:t>
      </w:r>
      <w:r>
        <w:rPr>
          <w:b/>
          <w:color w:val="000000"/>
        </w:rPr>
        <w:t>, 1997</w:t>
      </w:r>
      <w:r w:rsidRPr="00316EB8">
        <w:rPr>
          <w:b/>
          <w:color w:val="000000"/>
        </w:rPr>
        <w:t xml:space="preserve"> </w:t>
      </w:r>
    </w:p>
    <w:p w:rsidR="00A32C02" w:rsidRDefault="00A32C02" w:rsidP="00A32C02">
      <w:pPr>
        <w:rPr>
          <w:color w:val="000000"/>
        </w:rPr>
      </w:pPr>
      <w:r w:rsidRPr="00316EB8">
        <w:rPr>
          <w:color w:val="000000"/>
        </w:rPr>
        <w:t>(</w:t>
      </w:r>
      <w:r>
        <w:rPr>
          <w:color w:val="000000"/>
        </w:rPr>
        <w:t>Thomas B.</w:t>
      </w:r>
      <w:r w:rsidRPr="00316EB8">
        <w:rPr>
          <w:color w:val="000000"/>
        </w:rPr>
        <w:t>, “</w:t>
      </w:r>
      <w:r>
        <w:t>Bleeding Heart: Reflections on Using the Law to Make Social Change</w:t>
      </w:r>
      <w:r w:rsidRPr="00316EB8">
        <w:rPr>
          <w:color w:val="000000"/>
        </w:rPr>
        <w:t xml:space="preserve">,” </w:t>
      </w:r>
      <w:r w:rsidRPr="00C952F6">
        <w:rPr>
          <w:i/>
        </w:rPr>
        <w:t>NYU Law Review</w:t>
      </w:r>
      <w:r w:rsidRPr="00316EB8">
        <w:rPr>
          <w:color w:val="000000"/>
        </w:rPr>
        <w:t xml:space="preserve">, Volume: </w:t>
      </w:r>
      <w:r>
        <w:rPr>
          <w:color w:val="000000"/>
        </w:rPr>
        <w:t>72, Number 5</w:t>
      </w:r>
      <w:r w:rsidRPr="00316EB8">
        <w:rPr>
          <w:color w:val="000000"/>
        </w:rPr>
        <w:t xml:space="preserve">, </w:t>
      </w:r>
      <w:r>
        <w:rPr>
          <w:color w:val="000000"/>
        </w:rPr>
        <w:t>November 1997, p. 969-970, MM</w:t>
      </w:r>
      <w:r w:rsidRPr="00316EB8">
        <w:rPr>
          <w:color w:val="000000"/>
        </w:rPr>
        <w:t xml:space="preserve">). </w:t>
      </w:r>
    </w:p>
    <w:p w:rsidR="00A32C02" w:rsidRDefault="00A32C02" w:rsidP="00A32C02">
      <w:r>
        <w:t xml:space="preserve">In </w:t>
      </w:r>
      <w:r w:rsidRPr="000B31F5">
        <w:rPr>
          <w:u w:val="single"/>
        </w:rPr>
        <w:t>flying to Auckland, I was eager to see how such a gay-friendly world-a world unimaginable to gay people living in the United States in 1996-would look and feel. After a few days</w:t>
      </w:r>
      <w:r>
        <w:t xml:space="preserve"> in Auckland, </w:t>
      </w:r>
      <w:r w:rsidRPr="000B31F5">
        <w:rPr>
          <w:u w:val="single"/>
        </w:rPr>
        <w:t>I had my answer: Auckland in 1996, from the point of view of a gay man, looked and felt</w:t>
      </w:r>
      <w:r>
        <w:t xml:space="preserve"> very much </w:t>
      </w:r>
      <w:r w:rsidRPr="000B31F5">
        <w:rPr>
          <w:u w:val="single"/>
        </w:rPr>
        <w:t>like a large American city</w:t>
      </w:r>
      <w:r>
        <w:t xml:space="preserve"> (Washing- ton, D.C., perhaps, or Chicago or Los Angeles) </w:t>
      </w:r>
      <w:r w:rsidRPr="000B31F5">
        <w:rPr>
          <w:u w:val="single"/>
        </w:rPr>
        <w:t>twenty years earlier</w:t>
      </w:r>
      <w:r>
        <w:t xml:space="preserve">. The city of Auckland, and </w:t>
      </w:r>
      <w:r w:rsidRPr="000B31F5">
        <w:rPr>
          <w:u w:val="single"/>
        </w:rPr>
        <w:t>the entire country</w:t>
      </w:r>
      <w:r>
        <w:t xml:space="preserve"> of New Zealand, was just beginning to experience the emergence of a collective gay conscious- ness. It ha</w:t>
      </w:r>
      <w:r w:rsidRPr="000B31F5">
        <w:rPr>
          <w:u w:val="single"/>
        </w:rPr>
        <w:t>d yet to undergo the transformation already worked on my own city of New York,</w:t>
      </w:r>
      <w:r>
        <w:t xml:space="preserve"> where a quarter century of a visible "gay liber- </w:t>
      </w:r>
      <w:proofErr w:type="spellStart"/>
      <w:r>
        <w:t>ation</w:t>
      </w:r>
      <w:proofErr w:type="spellEnd"/>
      <w:r>
        <w:t xml:space="preserve">" movement had altered every aspect of day to day life for </w:t>
      </w:r>
      <w:proofErr w:type="spellStart"/>
      <w:r>
        <w:t>lesbi</w:t>
      </w:r>
      <w:proofErr w:type="spellEnd"/>
      <w:r>
        <w:t xml:space="preserve">- </w:t>
      </w:r>
      <w:proofErr w:type="spellStart"/>
      <w:r>
        <w:t>ans</w:t>
      </w:r>
      <w:proofErr w:type="spellEnd"/>
      <w:r>
        <w:t xml:space="preserve"> and gay people, from politics to publishing, from socializing to grocery shopping.</w:t>
      </w:r>
    </w:p>
    <w:p w:rsidR="00A32C02" w:rsidRDefault="00A32C02" w:rsidP="00A32C02">
      <w:r>
        <w:t xml:space="preserve">In short, </w:t>
      </w:r>
      <w:r w:rsidRPr="000B31F5">
        <w:rPr>
          <w:u w:val="single"/>
        </w:rPr>
        <w:t>New Zealand was not utopia-it merely had the formal rules</w:t>
      </w:r>
      <w:r>
        <w:t xml:space="preserve"> that ought to govern any utopia that includes lesbians and gay men. This realization, which hit me with greater and greater force during my stay in New Zealand, caused me consternation. </w:t>
      </w:r>
      <w:r w:rsidRPr="000B31F5">
        <w:rPr>
          <w:u w:val="single"/>
        </w:rPr>
        <w:t xml:space="preserve">New </w:t>
      </w:r>
      <w:proofErr w:type="spellStart"/>
      <w:r w:rsidRPr="000B31F5">
        <w:rPr>
          <w:u w:val="single"/>
        </w:rPr>
        <w:t>Zea</w:t>
      </w:r>
      <w:proofErr w:type="spellEnd"/>
      <w:r w:rsidRPr="000B31F5">
        <w:rPr>
          <w:u w:val="single"/>
        </w:rPr>
        <w:t>- land had already put in place many</w:t>
      </w:r>
      <w:r>
        <w:t>-although certainly not all-</w:t>
      </w:r>
      <w:r w:rsidRPr="000B31F5">
        <w:rPr>
          <w:u w:val="single"/>
        </w:rPr>
        <w:t>legal reforms for which lesbians and gay men in the United States had longed from the beginning of their (our) movement to assert civil rights.</w:t>
      </w:r>
      <w:r>
        <w:t xml:space="preserve"> </w:t>
      </w:r>
      <w:r w:rsidRPr="000B31F5">
        <w:rPr>
          <w:u w:val="single"/>
        </w:rPr>
        <w:t>Most forms of discrimination against them were now forbid- den,</w:t>
      </w:r>
      <w:r>
        <w:t xml:space="preserve"> and </w:t>
      </w:r>
      <w:r w:rsidRPr="000B31F5">
        <w:rPr>
          <w:u w:val="single"/>
        </w:rPr>
        <w:t>the system offered official and</w:t>
      </w:r>
      <w:r>
        <w:t xml:space="preserve">, as far as I could tell, </w:t>
      </w:r>
      <w:r w:rsidRPr="000B31F5">
        <w:rPr>
          <w:u w:val="single"/>
        </w:rPr>
        <w:t>effective redress</w:t>
      </w:r>
      <w:r>
        <w:t xml:space="preserve">. According to my understanding of the gay rights movement, such a development should cause lesbians and gay men to shed their previous condition of fear and hiding, to-in the argot of our move- </w:t>
      </w:r>
      <w:proofErr w:type="spellStart"/>
      <w:r>
        <w:t>ment</w:t>
      </w:r>
      <w:proofErr w:type="spellEnd"/>
      <w:r>
        <w:t xml:space="preserve">-"come out." </w:t>
      </w:r>
      <w:r w:rsidRPr="000B31F5">
        <w:rPr>
          <w:u w:val="single"/>
        </w:rPr>
        <w:t>But</w:t>
      </w:r>
      <w:r>
        <w:t xml:space="preserve">, I soon discovered, </w:t>
      </w:r>
      <w:r w:rsidRPr="000B31F5">
        <w:rPr>
          <w:u w:val="single"/>
        </w:rPr>
        <w:t>most gay people</w:t>
      </w:r>
      <w:r>
        <w:t xml:space="preserve"> in New Zealand </w:t>
      </w:r>
      <w:r w:rsidRPr="000B31F5">
        <w:rPr>
          <w:u w:val="single"/>
        </w:rPr>
        <w:t>still did not feel safe enough to "come out," even though their laws now offered them protection</w:t>
      </w:r>
      <w:r>
        <w:t xml:space="preserve">. Thus, I learned, to my sur- </w:t>
      </w:r>
      <w:proofErr w:type="spellStart"/>
      <w:r>
        <w:t>prise</w:t>
      </w:r>
      <w:proofErr w:type="spellEnd"/>
      <w:r>
        <w:t xml:space="preserve">, that none of the individuals I met in Auckland could name even one lesbian or gay lawyer who worked openly as a gay person for one of the large commercial law firms in that city. </w:t>
      </w:r>
      <w:r w:rsidRPr="000B31F5">
        <w:rPr>
          <w:u w:val="single"/>
        </w:rPr>
        <w:t>This was not utopia.</w:t>
      </w:r>
    </w:p>
    <w:p w:rsidR="00A32C02" w:rsidRPr="00A32C02" w:rsidRDefault="00A32C02" w:rsidP="00A32C02">
      <w:pPr>
        <w:rPr>
          <w:u w:val="single"/>
        </w:rPr>
      </w:pPr>
      <w:r>
        <w:t xml:space="preserve">I was confounded by my discovery. As a lawyer working for so- </w:t>
      </w:r>
      <w:proofErr w:type="spellStart"/>
      <w:r>
        <w:t>cial</w:t>
      </w:r>
      <w:proofErr w:type="spellEnd"/>
      <w:r>
        <w:t xml:space="preserve"> change, </w:t>
      </w:r>
      <w:r w:rsidRPr="000B31F5">
        <w:rPr>
          <w:u w:val="single"/>
        </w:rPr>
        <w:t>I had assumed-and hoped-that changes in the rules that governed a society would inevitably lead to some form of larger cultural transformation.</w:t>
      </w:r>
      <w:r>
        <w:t xml:space="preserve"> Protecting gay people from discrimination under the law would, for example, cause gay people to cast off the centuries of persecution that are their history, at least in the English- speaking world, and promote a flowering of gay culture, whatever that may be. But my trip to New Zealand suggested that </w:t>
      </w:r>
      <w:r w:rsidRPr="000B31F5">
        <w:rPr>
          <w:u w:val="single"/>
        </w:rPr>
        <w:t xml:space="preserve">I was mistaken in my assumptions about the ways that the law acts as a catalyst for so- </w:t>
      </w:r>
      <w:proofErr w:type="spellStart"/>
      <w:r w:rsidRPr="000B31F5">
        <w:rPr>
          <w:u w:val="single"/>
        </w:rPr>
        <w:t>cial</w:t>
      </w:r>
      <w:proofErr w:type="spellEnd"/>
      <w:r w:rsidRPr="000B31F5">
        <w:rPr>
          <w:u w:val="single"/>
        </w:rPr>
        <w:t xml:space="preserve"> or cultural change.</w:t>
      </w:r>
    </w:p>
    <w:p w:rsidR="00A32C02" w:rsidRDefault="00A32C02" w:rsidP="00A32C02">
      <w:pPr>
        <w:rPr>
          <w:rFonts w:asciiTheme="minorHAnsi" w:hAnsiTheme="minorHAnsi"/>
        </w:rPr>
      </w:pPr>
    </w:p>
    <w:p w:rsidR="00A32C02" w:rsidRDefault="00A32C02" w:rsidP="00A32C02">
      <w:pPr>
        <w:pStyle w:val="Heading4"/>
      </w:pPr>
      <w:r>
        <w:t>The legislative process is key to changing public opinion and have necessary discussions on civil rights</w:t>
      </w:r>
    </w:p>
    <w:p w:rsidR="00A32C02" w:rsidRDefault="00A32C02" w:rsidP="00A32C02">
      <w:pPr>
        <w:rPr>
          <w:b/>
          <w:color w:val="000000"/>
        </w:rPr>
      </w:pPr>
      <w:r>
        <w:rPr>
          <w:b/>
          <w:color w:val="000000"/>
        </w:rPr>
        <w:t xml:space="preserve">Stoddard, NYU Prof., </w:t>
      </w:r>
      <w:r w:rsidRPr="00570F8D">
        <w:rPr>
          <w:b/>
          <w:i/>
          <w:color w:val="000000"/>
        </w:rPr>
        <w:t>gay rights</w:t>
      </w:r>
      <w:r>
        <w:rPr>
          <w:b/>
          <w:color w:val="000000"/>
        </w:rPr>
        <w:t xml:space="preserve"> lawyer,</w:t>
      </w:r>
      <w:r w:rsidRPr="00316EB8">
        <w:rPr>
          <w:b/>
          <w:color w:val="000000"/>
        </w:rPr>
        <w:t xml:space="preserve"> </w:t>
      </w:r>
      <w:r>
        <w:rPr>
          <w:b/>
          <w:color w:val="000000"/>
        </w:rPr>
        <w:t xml:space="preserve">and gay </w:t>
      </w:r>
      <w:r w:rsidRPr="00570F8D">
        <w:rPr>
          <w:b/>
          <w:i/>
          <w:color w:val="000000"/>
        </w:rPr>
        <w:t>rights lawyer</w:t>
      </w:r>
      <w:r>
        <w:rPr>
          <w:b/>
          <w:color w:val="000000"/>
        </w:rPr>
        <w:t>, 1997</w:t>
      </w:r>
      <w:r w:rsidRPr="00316EB8">
        <w:rPr>
          <w:b/>
          <w:color w:val="000000"/>
        </w:rPr>
        <w:t xml:space="preserve"> </w:t>
      </w:r>
    </w:p>
    <w:p w:rsidR="00A32C02" w:rsidRDefault="00A32C02" w:rsidP="00A32C02">
      <w:pPr>
        <w:rPr>
          <w:color w:val="000000"/>
        </w:rPr>
      </w:pPr>
      <w:r w:rsidRPr="00316EB8">
        <w:rPr>
          <w:color w:val="000000"/>
        </w:rPr>
        <w:lastRenderedPageBreak/>
        <w:t>(</w:t>
      </w:r>
      <w:r>
        <w:rPr>
          <w:color w:val="000000"/>
        </w:rPr>
        <w:t>Thomas B.</w:t>
      </w:r>
      <w:r w:rsidRPr="00316EB8">
        <w:rPr>
          <w:color w:val="000000"/>
        </w:rPr>
        <w:t>, “</w:t>
      </w:r>
      <w:r>
        <w:t>Bleeding Heart: Reflections on Using the Law to Make Social Change</w:t>
      </w:r>
      <w:r w:rsidRPr="00316EB8">
        <w:rPr>
          <w:color w:val="000000"/>
        </w:rPr>
        <w:t xml:space="preserve">,” </w:t>
      </w:r>
      <w:r w:rsidRPr="00C952F6">
        <w:rPr>
          <w:i/>
        </w:rPr>
        <w:t>NYU Law Review</w:t>
      </w:r>
      <w:r w:rsidRPr="00316EB8">
        <w:rPr>
          <w:color w:val="000000"/>
        </w:rPr>
        <w:t xml:space="preserve">, Volume: </w:t>
      </w:r>
      <w:r>
        <w:rPr>
          <w:color w:val="000000"/>
        </w:rPr>
        <w:t>72, Number 5</w:t>
      </w:r>
      <w:r w:rsidRPr="00316EB8">
        <w:rPr>
          <w:color w:val="000000"/>
        </w:rPr>
        <w:t xml:space="preserve">, </w:t>
      </w:r>
      <w:r>
        <w:rPr>
          <w:color w:val="000000"/>
        </w:rPr>
        <w:t>November 1997, p. 990-991, MM</w:t>
      </w:r>
      <w:r w:rsidRPr="00316EB8">
        <w:rPr>
          <w:color w:val="000000"/>
        </w:rPr>
        <w:t xml:space="preserve">). </w:t>
      </w:r>
    </w:p>
    <w:p w:rsidR="00A32C02" w:rsidRDefault="00A32C02" w:rsidP="00A32C02">
      <w:pPr>
        <w:rPr>
          <w:color w:val="000000"/>
        </w:rPr>
      </w:pPr>
      <w:r w:rsidRPr="00FD6D3C">
        <w:rPr>
          <w:color w:val="000000"/>
          <w:u w:val="single"/>
        </w:rPr>
        <w:t>In New Zealand</w:t>
      </w:r>
      <w:r>
        <w:rPr>
          <w:color w:val="000000"/>
        </w:rPr>
        <w:t xml:space="preserve"> and afterward, </w:t>
      </w:r>
      <w:r w:rsidRPr="00FD6D3C">
        <w:rPr>
          <w:color w:val="000000"/>
          <w:u w:val="single"/>
        </w:rPr>
        <w:t>I puzzled over the disjunction be- tween that country's formal protections for gay people</w:t>
      </w:r>
      <w:r>
        <w:rPr>
          <w:color w:val="000000"/>
        </w:rPr>
        <w:t xml:space="preserve"> on the one hand, </w:t>
      </w:r>
      <w:r w:rsidRPr="00FD6D3C">
        <w:rPr>
          <w:color w:val="000000"/>
          <w:u w:val="single"/>
        </w:rPr>
        <w:t>and its limited cultural integration of gay people</w:t>
      </w:r>
      <w:r>
        <w:rPr>
          <w:color w:val="000000"/>
        </w:rPr>
        <w:t xml:space="preserve"> on the other. Now I am considerably less puzzled. </w:t>
      </w:r>
      <w:r w:rsidRPr="00FD6D3C">
        <w:rPr>
          <w:color w:val="000000"/>
          <w:u w:val="single"/>
        </w:rPr>
        <w:t>In enacting legal protections for lesbians and gay men, New Zealand changed the applicable rules of law, but did not alter in any significant way the underlying culture</w:t>
      </w:r>
      <w:r>
        <w:rPr>
          <w:color w:val="000000"/>
        </w:rPr>
        <w:t xml:space="preserve">-in short, </w:t>
      </w:r>
      <w:r w:rsidRPr="00FD6D3C">
        <w:rPr>
          <w:color w:val="000000"/>
          <w:u w:val="single"/>
        </w:rPr>
        <w:t xml:space="preserve">New Zealand engaged in "rule-shifting" but not "culture-shift- </w:t>
      </w:r>
      <w:proofErr w:type="spellStart"/>
      <w:r w:rsidRPr="00FD6D3C">
        <w:rPr>
          <w:color w:val="000000"/>
          <w:u w:val="single"/>
        </w:rPr>
        <w:t>ing</w:t>
      </w:r>
      <w:proofErr w:type="spellEnd"/>
      <w:r w:rsidRPr="00FD6D3C">
        <w:rPr>
          <w:color w:val="000000"/>
          <w:u w:val="single"/>
        </w:rPr>
        <w:t>."</w:t>
      </w:r>
      <w:r>
        <w:rPr>
          <w:color w:val="000000"/>
        </w:rPr>
        <w:t xml:space="preserve"> I remain uncertain of the reasons for New Zealand's formal </w:t>
      </w:r>
      <w:proofErr w:type="spellStart"/>
      <w:r>
        <w:rPr>
          <w:color w:val="000000"/>
        </w:rPr>
        <w:t>em</w:t>
      </w:r>
      <w:proofErr w:type="spellEnd"/>
      <w:r>
        <w:rPr>
          <w:color w:val="000000"/>
        </w:rPr>
        <w:t xml:space="preserve">- brace of gay rights protections, but I think I now better </w:t>
      </w:r>
      <w:r w:rsidRPr="00FD6D3C">
        <w:rPr>
          <w:color w:val="000000"/>
          <w:u w:val="single"/>
        </w:rPr>
        <w:t>understand the possible disjunctions between law and culture.</w:t>
      </w:r>
      <w:r>
        <w:rPr>
          <w:color w:val="000000"/>
        </w:rPr>
        <w:t xml:space="preserve"> </w:t>
      </w:r>
    </w:p>
    <w:p w:rsidR="00A32C02" w:rsidRDefault="00A32C02" w:rsidP="00A32C02">
      <w:r>
        <w:t xml:space="preserve">On reflection, I should not have been surprised by the </w:t>
      </w:r>
      <w:proofErr w:type="spellStart"/>
      <w:r>
        <w:t>disjunc</w:t>
      </w:r>
      <w:proofErr w:type="spellEnd"/>
      <w:r>
        <w:t xml:space="preserve">- </w:t>
      </w:r>
      <w:proofErr w:type="spellStart"/>
      <w:r>
        <w:t>tion</w:t>
      </w:r>
      <w:proofErr w:type="spellEnd"/>
      <w:r>
        <w:t xml:space="preserve">. </w:t>
      </w:r>
      <w:r w:rsidRPr="00FD6D3C">
        <w:rPr>
          <w:u w:val="single"/>
        </w:rPr>
        <w:t xml:space="preserve">Most legal changes entail "rule-shifting" without "culture-shift- </w:t>
      </w:r>
      <w:proofErr w:type="spellStart"/>
      <w:r w:rsidRPr="00FD6D3C">
        <w:rPr>
          <w:u w:val="single"/>
        </w:rPr>
        <w:t>ing</w:t>
      </w:r>
      <w:proofErr w:type="spellEnd"/>
      <w:r w:rsidRPr="00FD6D3C">
        <w:rPr>
          <w:u w:val="single"/>
        </w:rPr>
        <w:t>."</w:t>
      </w:r>
      <w:r>
        <w:t xml:space="preserve"> In </w:t>
      </w:r>
      <w:r w:rsidRPr="00FD6D3C">
        <w:rPr>
          <w:u w:val="single"/>
        </w:rPr>
        <w:t>only a minority of instances does a legal change have cultural resonance</w:t>
      </w:r>
      <w:r>
        <w:t xml:space="preserve">. As already stated, in general </w:t>
      </w:r>
      <w:r w:rsidRPr="00FD6D3C">
        <w:rPr>
          <w:u w:val="single"/>
        </w:rPr>
        <w:t>such a change must involve</w:t>
      </w:r>
      <w:r>
        <w:t xml:space="preserve"> the following four elements:</w:t>
      </w:r>
    </w:p>
    <w:p w:rsidR="00A32C02" w:rsidRDefault="00A32C02" w:rsidP="00A32C02">
      <w:r>
        <w:t>(1) A change that is very broad or profound;</w:t>
      </w:r>
    </w:p>
    <w:p w:rsidR="00A32C02" w:rsidRDefault="00A32C02" w:rsidP="00A32C02">
      <w:r>
        <w:t xml:space="preserve">(2) </w:t>
      </w:r>
      <w:r w:rsidRPr="00FD6D3C">
        <w:rPr>
          <w:u w:val="single"/>
        </w:rPr>
        <w:t>Public awareness of that change</w:t>
      </w:r>
      <w:r>
        <w:t>;</w:t>
      </w:r>
    </w:p>
    <w:p w:rsidR="00A32C02" w:rsidRDefault="00A32C02" w:rsidP="00A32C02">
      <w:r>
        <w:t xml:space="preserve">(3) </w:t>
      </w:r>
      <w:r w:rsidRPr="00FD6D3C">
        <w:rPr>
          <w:u w:val="single"/>
        </w:rPr>
        <w:t>A general sense of the legitimacy</w:t>
      </w:r>
      <w:r>
        <w:t xml:space="preserve"> (or validity) </w:t>
      </w:r>
      <w:r w:rsidRPr="00FD6D3C">
        <w:rPr>
          <w:u w:val="single"/>
        </w:rPr>
        <w:t xml:space="preserve">of the </w:t>
      </w:r>
      <w:r w:rsidRPr="00FD6D3C">
        <w:t>change; and</w:t>
      </w:r>
    </w:p>
    <w:p w:rsidR="00A32C02" w:rsidRDefault="00A32C02" w:rsidP="00A32C02">
      <w:r>
        <w:t xml:space="preserve">(4) </w:t>
      </w:r>
      <w:r w:rsidRPr="00FD6D3C">
        <w:rPr>
          <w:u w:val="single"/>
        </w:rPr>
        <w:t>Continuous</w:t>
      </w:r>
      <w:r>
        <w:t xml:space="preserve">, appropriate </w:t>
      </w:r>
      <w:r w:rsidRPr="00FD6D3C">
        <w:rPr>
          <w:u w:val="single"/>
        </w:rPr>
        <w:t>enforcement of the change</w:t>
      </w:r>
      <w:r>
        <w:t xml:space="preserve">. Typically, the absence of any one of these factors will forestall the possibility of "culture-shifting," although, as the story of DOMA </w:t>
      </w:r>
      <w:proofErr w:type="spellStart"/>
      <w:r>
        <w:t>indi</w:t>
      </w:r>
      <w:proofErr w:type="spellEnd"/>
      <w:r>
        <w:t>- cates, there are exceptions.</w:t>
      </w:r>
    </w:p>
    <w:p w:rsidR="00A32C02" w:rsidRPr="00FD6D3C" w:rsidRDefault="00A32C02" w:rsidP="00A32C02">
      <w:pPr>
        <w:rPr>
          <w:u w:val="single"/>
        </w:rPr>
      </w:pPr>
      <w:r>
        <w:t xml:space="preserve">I have already expressed my view that </w:t>
      </w:r>
      <w:r w:rsidRPr="00FD6D3C">
        <w:rPr>
          <w:u w:val="single"/>
        </w:rPr>
        <w:t>in most circumstances, change through the legislature is more likely to engender "culture- shifting" than change through a court or an administrative agency,</w:t>
      </w:r>
      <w:r>
        <w:t xml:space="preserve"> and that </w:t>
      </w:r>
      <w:r w:rsidRPr="00FD6D3C">
        <w:rPr>
          <w:u w:val="single"/>
        </w:rPr>
        <w:t>legislative change is therefore</w:t>
      </w:r>
      <w:r>
        <w:t>-in general</w:t>
      </w:r>
      <w:r w:rsidRPr="00FD6D3C">
        <w:rPr>
          <w:u w:val="single"/>
        </w:rPr>
        <w:t>-preferable to other forms of change. It is deeper and lasts longer.</w:t>
      </w:r>
      <w:r>
        <w:t xml:space="preserve"> Conversely, it is also harder to attain, since legislatures are rambunctious places that </w:t>
      </w:r>
      <w:proofErr w:type="spellStart"/>
      <w:r>
        <w:t>oper</w:t>
      </w:r>
      <w:proofErr w:type="spellEnd"/>
      <w:r>
        <w:t xml:space="preserve">- ate slowly, untidily, and often illogically. </w:t>
      </w:r>
      <w:r w:rsidRPr="00FD6D3C">
        <w:rPr>
          <w:u w:val="single"/>
        </w:rPr>
        <w:t>Legislative change certainly does not assure</w:t>
      </w:r>
      <w:r>
        <w:t xml:space="preserve"> "culture-shifting," </w:t>
      </w:r>
      <w:r w:rsidRPr="00FD6D3C">
        <w:rPr>
          <w:u w:val="single"/>
        </w:rPr>
        <w:t>but it does make it more feasible.</w:t>
      </w:r>
    </w:p>
    <w:p w:rsidR="00A32C02" w:rsidRPr="00FD6D3C" w:rsidRDefault="00A32C02" w:rsidP="00A32C02">
      <w:pPr>
        <w:rPr>
          <w:u w:val="single"/>
        </w:rPr>
      </w:pPr>
      <w:r>
        <w:t xml:space="preserve">Many of my colleagues seeking social justice have deliberately avoided legislatures in recent decades, both because of the difficulty of making change there and because of the perception that politicians will not be receptive to their claims. They have turned by and large to the courts. While applauding the changes these lawyer-activists have helped to bring about, and while acknowledging the shortcomings and frustrations of legislative change, I submit that </w:t>
      </w:r>
      <w:r w:rsidRPr="00FD6D3C">
        <w:rPr>
          <w:u w:val="single"/>
        </w:rPr>
        <w:t xml:space="preserve">those of us in the </w:t>
      </w:r>
      <w:proofErr w:type="spellStart"/>
      <w:r w:rsidRPr="00FD6D3C">
        <w:rPr>
          <w:u w:val="single"/>
        </w:rPr>
        <w:t>busi</w:t>
      </w:r>
      <w:proofErr w:type="spellEnd"/>
      <w:r w:rsidRPr="00FD6D3C">
        <w:rPr>
          <w:u w:val="single"/>
        </w:rPr>
        <w:t>- ness of "culture-shifting" should upend our traditional preference for judicial activity and embrace the special advantages of legislative change.</w:t>
      </w:r>
    </w:p>
    <w:p w:rsidR="00A32C02" w:rsidRDefault="00A32C02" w:rsidP="00A32C02">
      <w:r>
        <w:t xml:space="preserve">E.M. Forster appended to the title page of his novel Howard's End the enigmatic aphorism: "Only connect...- 46 It is an apt </w:t>
      </w:r>
      <w:proofErr w:type="spellStart"/>
      <w:r>
        <w:t>injunc</w:t>
      </w:r>
      <w:proofErr w:type="spellEnd"/>
      <w:r>
        <w:t xml:space="preserve">- </w:t>
      </w:r>
      <w:proofErr w:type="spellStart"/>
      <w:r>
        <w:t>tion</w:t>
      </w:r>
      <w:proofErr w:type="spellEnd"/>
      <w:r>
        <w:t xml:space="preserve"> to lawyers like me. </w:t>
      </w:r>
      <w:r w:rsidRPr="00FD6D3C">
        <w:rPr>
          <w:u w:val="single"/>
        </w:rPr>
        <w:t xml:space="preserve">If we lawyer-activists truly seek deep, lasting change, we </w:t>
      </w:r>
      <w:proofErr w:type="gramStart"/>
      <w:r w:rsidRPr="00FD6D3C">
        <w:rPr>
          <w:u w:val="single"/>
        </w:rPr>
        <w:t>have to</w:t>
      </w:r>
      <w:proofErr w:type="gramEnd"/>
      <w:r w:rsidRPr="00FD6D3C">
        <w:rPr>
          <w:u w:val="single"/>
        </w:rPr>
        <w:t xml:space="preserve"> "connect" with the public.</w:t>
      </w:r>
      <w:r>
        <w:t xml:space="preserve"> </w:t>
      </w:r>
      <w:r w:rsidRPr="00FD6D3C">
        <w:rPr>
          <w:u w:val="single"/>
        </w:rPr>
        <w:t xml:space="preserve">We </w:t>
      </w:r>
      <w:proofErr w:type="gramStart"/>
      <w:r w:rsidRPr="00FD6D3C">
        <w:rPr>
          <w:u w:val="single"/>
        </w:rPr>
        <w:t>have to</w:t>
      </w:r>
      <w:proofErr w:type="gramEnd"/>
      <w:r w:rsidRPr="00FD6D3C">
        <w:rPr>
          <w:u w:val="single"/>
        </w:rPr>
        <w:t xml:space="preserve"> accord as much attention to public attitudes as we do to the formal rules that</w:t>
      </w:r>
      <w:r>
        <w:t xml:space="preserve"> purport to guide or </w:t>
      </w:r>
      <w:r w:rsidRPr="00FD6D3C">
        <w:rPr>
          <w:u w:val="single"/>
        </w:rPr>
        <w:t>mold those attitudes</w:t>
      </w:r>
      <w:r>
        <w:t xml:space="preserve">. </w:t>
      </w:r>
      <w:r w:rsidRPr="00FD6D3C">
        <w:rPr>
          <w:u w:val="single"/>
        </w:rPr>
        <w:t>That means thinking</w:t>
      </w:r>
      <w:r>
        <w:t xml:space="preserve"> as con- </w:t>
      </w:r>
      <w:proofErr w:type="spellStart"/>
      <w:r>
        <w:t>certedly</w:t>
      </w:r>
      <w:proofErr w:type="spellEnd"/>
      <w:r>
        <w:t xml:space="preserve"> </w:t>
      </w:r>
      <w:r w:rsidRPr="00FD6D3C">
        <w:rPr>
          <w:u w:val="single"/>
        </w:rPr>
        <w:t>about process</w:t>
      </w:r>
      <w:r>
        <w:t xml:space="preserve"> as we do about substance. </w:t>
      </w:r>
      <w:r w:rsidRPr="00FD6D3C">
        <w:rPr>
          <w:u w:val="single"/>
        </w:rPr>
        <w:t>Process matters</w:t>
      </w:r>
      <w:r>
        <w:t xml:space="preserve">. </w:t>
      </w:r>
      <w:r w:rsidRPr="00FD6D3C">
        <w:rPr>
          <w:u w:val="single"/>
        </w:rPr>
        <w:t>How a new rule comes about may</w:t>
      </w:r>
      <w:r>
        <w:t xml:space="preserve">, in the end, </w:t>
      </w:r>
      <w:r w:rsidRPr="00FD6D3C">
        <w:rPr>
          <w:u w:val="single"/>
        </w:rPr>
        <w:t>be as important as what it says</w:t>
      </w:r>
      <w:r>
        <w:t>.</w:t>
      </w:r>
    </w:p>
    <w:p w:rsidR="00A32C02" w:rsidRDefault="00A32C02" w:rsidP="00A32C02">
      <w:pPr>
        <w:rPr>
          <w:u w:val="single"/>
        </w:rPr>
      </w:pPr>
      <w:r>
        <w:lastRenderedPageBreak/>
        <w:t xml:space="preserve">The world yearns for change-and for changemakers. But those of us who try </w:t>
      </w:r>
      <w:r w:rsidRPr="00FD6D3C">
        <w:rPr>
          <w:u w:val="single"/>
        </w:rPr>
        <w:t>to make change</w:t>
      </w:r>
      <w:r>
        <w:t xml:space="preserve"> ought to </w:t>
      </w:r>
      <w:r w:rsidRPr="00FD6D3C">
        <w:rPr>
          <w:u w:val="single"/>
        </w:rPr>
        <w:t>think</w:t>
      </w:r>
      <w:r>
        <w:t xml:space="preserve"> more </w:t>
      </w:r>
      <w:r w:rsidRPr="00FD6D3C">
        <w:rPr>
          <w:u w:val="single"/>
        </w:rPr>
        <w:t>systematically</w:t>
      </w:r>
      <w:r>
        <w:t xml:space="preserve"> about what we do and why. For </w:t>
      </w:r>
      <w:r w:rsidRPr="00FD6D3C">
        <w:rPr>
          <w:u w:val="single"/>
        </w:rPr>
        <w:t>the world deserves effective change, not just new rules.</w:t>
      </w:r>
    </w:p>
    <w:p w:rsidR="00B34B0B" w:rsidRDefault="00B34B0B" w:rsidP="00B34B0B">
      <w:pPr>
        <w:pStyle w:val="Heading4"/>
      </w:pPr>
      <w:r>
        <w:t>Courts solvency isn’t immediate nor certain</w:t>
      </w:r>
    </w:p>
    <w:p w:rsidR="00B34B0B" w:rsidRPr="006F7E0A" w:rsidRDefault="00B34B0B" w:rsidP="00B34B0B">
      <w:pPr>
        <w:rPr>
          <w:rStyle w:val="Style13ptBold"/>
          <w:b w:val="0"/>
          <w:sz w:val="22"/>
        </w:rPr>
      </w:pPr>
      <w:proofErr w:type="spellStart"/>
      <w:r>
        <w:rPr>
          <w:rStyle w:val="Style13ptBold"/>
        </w:rPr>
        <w:t>Balkin</w:t>
      </w:r>
      <w:proofErr w:type="spellEnd"/>
      <w:r>
        <w:rPr>
          <w:rStyle w:val="Style13ptBold"/>
        </w:rPr>
        <w:t xml:space="preserve">, Legal Scholar, ’97 </w:t>
      </w:r>
      <w:r>
        <w:rPr>
          <w:rStyle w:val="Style13ptBold"/>
          <w:b w:val="0"/>
          <w:sz w:val="22"/>
        </w:rPr>
        <w:t xml:space="preserve">(J.M., </w:t>
      </w:r>
      <w:r>
        <w:rPr>
          <w:rStyle w:val="Style13ptBold"/>
          <w:b w:val="0"/>
          <w:i/>
          <w:sz w:val="22"/>
        </w:rPr>
        <w:t xml:space="preserve">Yale Law Journal, </w:t>
      </w:r>
      <w:r>
        <w:rPr>
          <w:rStyle w:val="Style13ptBold"/>
          <w:b w:val="0"/>
          <w:sz w:val="22"/>
        </w:rPr>
        <w:t xml:space="preserve">“The Constitution of Status,” 1997, </w:t>
      </w:r>
      <w:hyperlink r:id="rId9" w:history="1">
        <w:r w:rsidRPr="000E3370">
          <w:rPr>
            <w:rStyle w:val="Hyperlink"/>
          </w:rPr>
          <w:t>http://heinonline.org/HOL/Page?public=false&amp;handle=hein.journals/ylr106&amp;page=2313&amp;collection=journals</w:t>
        </w:r>
      </w:hyperlink>
      <w:r>
        <w:rPr>
          <w:rStyle w:val="Style13ptBold"/>
          <w:b w:val="0"/>
          <w:sz w:val="22"/>
        </w:rPr>
        <w:t>, accessed 07/20/2017, JME.)</w:t>
      </w:r>
    </w:p>
    <w:p w:rsidR="00B34B0B" w:rsidRDefault="00B34B0B" w:rsidP="00B34B0B">
      <w:pPr>
        <w:rPr>
          <w:rStyle w:val="StyleUnderline"/>
        </w:rPr>
      </w:pPr>
      <w:r w:rsidRPr="006F7E0A">
        <w:rPr>
          <w:rStyle w:val="StyleUnderline"/>
        </w:rPr>
        <w:t xml:space="preserve">In this Essay, I argue that the Constitution is committed to the realization of a democratic culture, even though constitutional law—and indeed, law generally—cannot realize this goal by its own efforts. Large-scale changes in social structure require social transformation over long periods of time, and law </w:t>
      </w:r>
      <w:proofErr w:type="spellStart"/>
      <w:r w:rsidRPr="006F7E0A">
        <w:rPr>
          <w:rStyle w:val="StyleUnderline"/>
        </w:rPr>
        <w:t>forms</w:t>
      </w:r>
      <w:proofErr w:type="spellEnd"/>
      <w:r w:rsidRPr="006F7E0A">
        <w:rPr>
          <w:rStyle w:val="StyleUnderline"/>
        </w:rPr>
        <w:t xml:space="preserve"> only a part of that phenomenon. But to understand the Constitution's proper role in forging a democratic culture, we must understand something about the nature of social hierarchies and how social groups struggle for power and st</w:t>
      </w:r>
      <w:r>
        <w:rPr>
          <w:rStyle w:val="StyleUnderline"/>
        </w:rPr>
        <w:t>atus within those hierarchies.</w:t>
      </w:r>
    </w:p>
    <w:p w:rsidR="00B34B0B" w:rsidRDefault="00B34B0B" w:rsidP="00B34B0B">
      <w:pPr>
        <w:rPr>
          <w:rFonts w:asciiTheme="minorHAnsi" w:hAnsiTheme="minorHAnsi"/>
        </w:rPr>
      </w:pPr>
    </w:p>
    <w:p w:rsidR="00B34B0B" w:rsidRDefault="00B34B0B" w:rsidP="00B34B0B">
      <w:pPr>
        <w:rPr>
          <w:rFonts w:asciiTheme="minorHAnsi" w:hAnsiTheme="minorHAnsi"/>
        </w:rPr>
      </w:pPr>
    </w:p>
    <w:p w:rsidR="00A32C02" w:rsidRDefault="00A32C02" w:rsidP="00A32C02">
      <w:pPr>
        <w:pStyle w:val="Heading3"/>
      </w:pPr>
      <w:r>
        <w:lastRenderedPageBreak/>
        <w:t>First Amendment CP</w:t>
      </w:r>
    </w:p>
    <w:p w:rsidR="00A32C02" w:rsidRPr="00316EB8" w:rsidRDefault="00A32C02" w:rsidP="00A32C02">
      <w:pPr>
        <w:pStyle w:val="Heading4"/>
      </w:pPr>
      <w:r>
        <w:t>Affirming teachers’ First Amendment Free Speech Rights are key to democratic classrooms</w:t>
      </w:r>
    </w:p>
    <w:p w:rsidR="00A32C02" w:rsidRPr="00A32C02" w:rsidRDefault="00A32C02" w:rsidP="00A32C02">
      <w:pPr>
        <w:rPr>
          <w:rStyle w:val="Style13ptBold"/>
        </w:rPr>
      </w:pPr>
      <w:proofErr w:type="spellStart"/>
      <w:r w:rsidRPr="00A32C02">
        <w:rPr>
          <w:rStyle w:val="Style13ptBold"/>
        </w:rPr>
        <w:t>DuBuisson</w:t>
      </w:r>
      <w:proofErr w:type="spellEnd"/>
      <w:r w:rsidRPr="00A32C02">
        <w:rPr>
          <w:rStyle w:val="Style13ptBold"/>
        </w:rPr>
        <w:t xml:space="preserve">, lawyer, 2006 </w:t>
      </w:r>
    </w:p>
    <w:p w:rsidR="00A32C02" w:rsidRPr="00B91F96" w:rsidRDefault="00A32C02" w:rsidP="00A32C02">
      <w:pPr>
        <w:rPr>
          <w:color w:val="000000"/>
        </w:rPr>
      </w:pPr>
      <w:r>
        <w:rPr>
          <w:color w:val="000000"/>
        </w:rPr>
        <w:t>(Eva</w:t>
      </w:r>
      <w:r w:rsidRPr="00316EB8">
        <w:rPr>
          <w:color w:val="000000"/>
        </w:rPr>
        <w:t>, “</w:t>
      </w:r>
      <w:r>
        <w:rPr>
          <w:color w:val="000000"/>
        </w:rPr>
        <w:t>Teaching from the Closet: Freedom of Expression and Out speech by Public School Teachers</w:t>
      </w:r>
      <w:r w:rsidRPr="00316EB8">
        <w:rPr>
          <w:color w:val="000000"/>
        </w:rPr>
        <w:t xml:space="preserve">,” </w:t>
      </w:r>
      <w:r>
        <w:rPr>
          <w:i/>
          <w:color w:val="000000"/>
        </w:rPr>
        <w:t>North Carolina Law Review</w:t>
      </w:r>
      <w:r>
        <w:rPr>
          <w:color w:val="000000"/>
        </w:rPr>
        <w:t>, Volume 85: Number 1, 12-1-06, page 347-348, MM</w:t>
      </w:r>
      <w:r w:rsidRPr="00316EB8">
        <w:rPr>
          <w:color w:val="000000"/>
        </w:rPr>
        <w:t xml:space="preserve">). </w:t>
      </w:r>
    </w:p>
    <w:p w:rsidR="00A32C02" w:rsidRDefault="00A32C02" w:rsidP="00A32C02">
      <w:r w:rsidRPr="00B91F96">
        <w:rPr>
          <w:u w:val="single"/>
        </w:rPr>
        <w:t>Teachers</w:t>
      </w:r>
      <w:r w:rsidRPr="007832D3">
        <w:t xml:space="preserve"> do not, and </w:t>
      </w:r>
      <w:r w:rsidRPr="00B91F96">
        <w:rPr>
          <w:u w:val="single"/>
        </w:rPr>
        <w:t>should not, surrender their constitutionally guaranteed freedom of expression at the schoolhouse gate</w:t>
      </w:r>
      <w:r w:rsidRPr="007832D3">
        <w:t xml:space="preserve">." 8 7 </w:t>
      </w:r>
      <w:r w:rsidRPr="00B91F96">
        <w:rPr>
          <w:u w:val="single"/>
        </w:rPr>
        <w:t>That freedom protects their out-speech in the workplace as well as in the wider community,</w:t>
      </w:r>
      <w:r w:rsidRPr="007832D3">
        <w:t xml:space="preserve"> as long as they are expressing themselves in an appropriate and </w:t>
      </w:r>
      <w:proofErr w:type="spellStart"/>
      <w:r w:rsidRPr="007832D3">
        <w:t>nondisruptive</w:t>
      </w:r>
      <w:proofErr w:type="spellEnd"/>
      <w:r w:rsidRPr="007832D3">
        <w:t xml:space="preserve"> manner. Schools should not be allowed to legitimate private prejudice by enforcing a "heckler's veto" against gay teachers. Outside the classroom, </w:t>
      </w:r>
      <w:r w:rsidRPr="00B91F96">
        <w:rPr>
          <w:u w:val="single"/>
        </w:rPr>
        <w:t xml:space="preserve">teachers should be entitled to make statements about their own sexual orientation </w:t>
      </w:r>
      <w:proofErr w:type="gramStart"/>
      <w:r w:rsidRPr="007832D3">
        <w:t>as long as</w:t>
      </w:r>
      <w:proofErr w:type="gramEnd"/>
      <w:r w:rsidRPr="007832D3">
        <w:t xml:space="preserve"> they are not disruptive in the manner proscribed by Tinker. </w:t>
      </w:r>
      <w:r w:rsidRPr="00B35643">
        <w:rPr>
          <w:u w:val="single"/>
        </w:rPr>
        <w:t>Insi</w:t>
      </w:r>
      <w:r w:rsidRPr="00B25266">
        <w:rPr>
          <w:u w:val="single"/>
        </w:rPr>
        <w:t xml:space="preserve">de the classroom, the best way to protect teachers' First Amendment freedoms and prevent </w:t>
      </w:r>
      <w:r>
        <w:t xml:space="preserve">emotional, ad hoc </w:t>
      </w:r>
      <w:r w:rsidRPr="00B25266">
        <w:rPr>
          <w:u w:val="single"/>
        </w:rPr>
        <w:t>retaliation for protected speech is for schools to create</w:t>
      </w:r>
      <w:r>
        <w:t xml:space="preserve"> in advance a narrowly drawn, viewpoint neutral classroom </w:t>
      </w:r>
      <w:r w:rsidRPr="00B25266">
        <w:rPr>
          <w:u w:val="single"/>
        </w:rPr>
        <w:t>speech policy.</w:t>
      </w:r>
    </w:p>
    <w:p w:rsidR="00A32C02" w:rsidRDefault="00A32C02" w:rsidP="00A32C02">
      <w:r w:rsidRPr="00B91F96">
        <w:rPr>
          <w:u w:val="single"/>
        </w:rPr>
        <w:t>Important educational policy goals underlie this argument</w:t>
      </w:r>
      <w:r>
        <w:t xml:space="preserve">. </w:t>
      </w:r>
      <w:r w:rsidRPr="00B25266">
        <w:rPr>
          <w:u w:val="single"/>
        </w:rPr>
        <w:t>Teachers are charged with a</w:t>
      </w:r>
      <w:r>
        <w:t xml:space="preserve"> sensitive and complicated </w:t>
      </w:r>
      <w:r w:rsidRPr="00B25266">
        <w:rPr>
          <w:u w:val="single"/>
        </w:rPr>
        <w:t>mission: to prepare youth for active participation in American society, shaping their attitudes toward their country and fellow citizens.</w:t>
      </w:r>
      <w:r>
        <w:t xml:space="preserve"> 2 88 It is inevitable that their actions and utterances will be subject to </w:t>
      </w:r>
      <w:proofErr w:type="gramStart"/>
      <w:r>
        <w:t>close scrutiny</w:t>
      </w:r>
      <w:proofErr w:type="gramEnd"/>
      <w:r>
        <w:t xml:space="preserve">. In focusing on whether students are learning values at school that do not fit exactly with their parents' preferences, however, it is too easy to forget that </w:t>
      </w:r>
      <w:r w:rsidRPr="00B25266">
        <w:rPr>
          <w:u w:val="single"/>
        </w:rPr>
        <w:t xml:space="preserve">schools are </w:t>
      </w:r>
      <w:proofErr w:type="gramStart"/>
      <w:r w:rsidRPr="00B25266">
        <w:rPr>
          <w:u w:val="single"/>
        </w:rPr>
        <w:t>first and foremost</w:t>
      </w:r>
      <w:proofErr w:type="gramEnd"/>
      <w:r w:rsidRPr="00B25266">
        <w:rPr>
          <w:u w:val="single"/>
        </w:rPr>
        <w:t xml:space="preserve"> incubators of democracy.</w:t>
      </w:r>
      <w:r w:rsidRPr="00B25266">
        <w:t xml:space="preserve"> </w:t>
      </w:r>
      <w:r w:rsidRPr="00B25266">
        <w:rPr>
          <w:u w:val="single"/>
        </w:rPr>
        <w:t>The state's interest in inculcating values of civility and maturity in its future citizens extends to teaching "tolerance of divergent political and religious views, even when the views expressed may be unpopular."</w:t>
      </w:r>
      <w:r>
        <w:t xml:space="preserve"> ' 28 9 The students in Wendy Weaver's and Gerry Crane's classrooms surely learned a lasting and negative lesson when they watched administrators bow to community pressures and force good teachers from their jobs. Those students have not been well prepared by their public schools to function in a wider society that includes many gay members.</w:t>
      </w:r>
    </w:p>
    <w:p w:rsidR="00A32C02" w:rsidRDefault="00B34B0B" w:rsidP="00A32C02">
      <w:pPr>
        <w:pStyle w:val="Heading3"/>
      </w:pPr>
      <w:r>
        <w:lastRenderedPageBreak/>
        <w:t>State Courts</w:t>
      </w:r>
    </w:p>
    <w:p w:rsidR="00A32C02" w:rsidRDefault="00A32C02" w:rsidP="00A32C02">
      <w:pPr>
        <w:pStyle w:val="Heading4"/>
      </w:pPr>
      <w:r>
        <w:t xml:space="preserve">Prefer state courts for 5 reasons: 1) state constitutions provide positive rights like education, 2) state governments aren’t as limited as the fed, 3) state judges are </w:t>
      </w:r>
      <w:proofErr w:type="gramStart"/>
      <w:r>
        <w:t>elected,  4</w:t>
      </w:r>
      <w:proofErr w:type="gramEnd"/>
      <w:r>
        <w:t xml:space="preserve">) state courts are involved in the policymaking process, allowing them to address the needs of their community better </w:t>
      </w:r>
    </w:p>
    <w:p w:rsidR="00A32C02" w:rsidRPr="00125F62" w:rsidRDefault="00A32C02" w:rsidP="00A32C02">
      <w:pPr>
        <w:rPr>
          <w:rStyle w:val="Style13ptBold"/>
        </w:rPr>
      </w:pPr>
      <w:r>
        <w:rPr>
          <w:rStyle w:val="Style13ptBold"/>
        </w:rPr>
        <w:t>Elder 07</w:t>
      </w:r>
    </w:p>
    <w:p w:rsidR="00A32C02" w:rsidRDefault="00A32C02" w:rsidP="00A32C02">
      <w:r>
        <w:t xml:space="preserve">[Sonja Ralston, professor at Duke University School of Law, “STANDING UP TO LEGISLATIVE BULLIES: SEPARATION OF POWERS, STATE COURTS, AND EDUCATIONAL RIGHTS”, 2007, </w:t>
      </w:r>
      <w:hyperlink r:id="rId10" w:history="1">
        <w:r w:rsidRPr="000267EA">
          <w:rPr>
            <w:rStyle w:val="Hyperlink"/>
          </w:rPr>
          <w:t>http://scholarship.law.duke.edu/cgi/viewcontent.cgi?article=1344&amp;context=dlj</w:t>
        </w:r>
      </w:hyperlink>
      <w:r>
        <w:t>, accessed 7/7/17, NW]</w:t>
      </w:r>
    </w:p>
    <w:p w:rsidR="00A32C02" w:rsidRPr="001F6672" w:rsidRDefault="00A32C02" w:rsidP="00A32C02">
      <w:pPr>
        <w:rPr>
          <w:u w:val="single"/>
        </w:rPr>
      </w:pPr>
      <w:r w:rsidRPr="00C72C43">
        <w:rPr>
          <w:sz w:val="10"/>
        </w:rPr>
        <w:t>State Constitutions Provide Positive Rights First and most importantly</w:t>
      </w:r>
      <w:r w:rsidRPr="00215B79">
        <w:rPr>
          <w:u w:val="single"/>
        </w:rPr>
        <w:t xml:space="preserve">, </w:t>
      </w:r>
      <w:r w:rsidRPr="006C75A5">
        <w:rPr>
          <w:u w:val="single"/>
        </w:rPr>
        <w:t>state courts enforce state constitutions that are substantively different from the federal constitution</w:t>
      </w:r>
      <w:r w:rsidRPr="00C72C43">
        <w:rPr>
          <w:sz w:val="10"/>
        </w:rPr>
        <w:t xml:space="preserve">. </w:t>
      </w:r>
      <w:r w:rsidRPr="006C75A5">
        <w:rPr>
          <w:u w:val="single"/>
        </w:rPr>
        <w:t>As the Supreme Court envisions it, the federal constitution is one of negative rights</w:t>
      </w:r>
      <w:r w:rsidRPr="00C72C43">
        <w:rPr>
          <w:sz w:val="10"/>
        </w:rPr>
        <w:t>27—</w:t>
      </w:r>
      <w:r w:rsidRPr="00215B79">
        <w:rPr>
          <w:u w:val="single"/>
        </w:rPr>
        <w:t xml:space="preserve">rights that prevent the government from doing something to people, like unreasonably searching their homes </w:t>
      </w:r>
      <w:r w:rsidRPr="00C72C43">
        <w:rPr>
          <w:sz w:val="10"/>
        </w:rPr>
        <w:t xml:space="preserve">28 </w:t>
      </w:r>
      <w:r w:rsidRPr="00215B79">
        <w:rPr>
          <w:u w:val="single"/>
        </w:rPr>
        <w:t>and that cannot be violated by government inaction. In contrast</w:t>
      </w:r>
      <w:r w:rsidRPr="00C5438E">
        <w:rPr>
          <w:highlight w:val="cyan"/>
          <w:u w:val="single"/>
        </w:rPr>
        <w:t xml:space="preserve">, all state constitutions contain </w:t>
      </w:r>
      <w:r w:rsidRPr="006C75A5">
        <w:rPr>
          <w:u w:val="single"/>
        </w:rPr>
        <w:t xml:space="preserve">at least some </w:t>
      </w:r>
      <w:r w:rsidRPr="00C5438E">
        <w:rPr>
          <w:highlight w:val="cyan"/>
          <w:u w:val="single"/>
        </w:rPr>
        <w:t>positive rights</w:t>
      </w:r>
      <w:r w:rsidRPr="00C72C43">
        <w:rPr>
          <w:sz w:val="10"/>
        </w:rPr>
        <w:t>29—</w:t>
      </w:r>
      <w:r w:rsidRPr="00C5438E">
        <w:rPr>
          <w:highlight w:val="cyan"/>
          <w:u w:val="single"/>
        </w:rPr>
        <w:t xml:space="preserve">rights that entitle people to some benefit or action from the state </w:t>
      </w:r>
      <w:r w:rsidRPr="006C75A5">
        <w:rPr>
          <w:u w:val="single"/>
        </w:rPr>
        <w:t>government</w:t>
      </w:r>
      <w:r w:rsidRPr="00C72C43">
        <w:rPr>
          <w:sz w:val="10"/>
        </w:rPr>
        <w:t xml:space="preserve">;30 </w:t>
      </w:r>
      <w:r w:rsidRPr="00C5438E">
        <w:rPr>
          <w:highlight w:val="cyan"/>
          <w:u w:val="single"/>
        </w:rPr>
        <w:t>the right to education is a quintessential example of a positive right</w:t>
      </w:r>
      <w:r w:rsidRPr="00C72C43">
        <w:rPr>
          <w:sz w:val="10"/>
        </w:rPr>
        <w:t>. By including these positive rights, state constitutions “explicitly engage state courts in substantive areas that have historically been outside the Article III domain.”</w:t>
      </w:r>
      <w:r w:rsidRPr="00215B79">
        <w:rPr>
          <w:u w:val="single"/>
        </w:rPr>
        <w:t xml:space="preserve">31 With positive rights, </w:t>
      </w:r>
      <w:r w:rsidRPr="00C5438E">
        <w:rPr>
          <w:highlight w:val="cyan"/>
          <w:u w:val="single"/>
        </w:rPr>
        <w:t>the courts have to be more involved because it is more difficult to “ensure that the government is doing its job</w:t>
      </w:r>
      <w:r w:rsidRPr="00215B79">
        <w:rPr>
          <w:u w:val="single"/>
        </w:rPr>
        <w:t xml:space="preserve">”32 </w:t>
      </w:r>
      <w:r w:rsidRPr="00C5438E">
        <w:rPr>
          <w:highlight w:val="cyan"/>
          <w:u w:val="single"/>
        </w:rPr>
        <w:t>than it is to prohibit certain behaviors.</w:t>
      </w:r>
      <w:r w:rsidRPr="00C72C43">
        <w:rPr>
          <w:sz w:val="10"/>
        </w:rPr>
        <w:t xml:space="preserve">33 As Professor Helen </w:t>
      </w:r>
      <w:proofErr w:type="spellStart"/>
      <w:r w:rsidRPr="00C72C43">
        <w:rPr>
          <w:sz w:val="10"/>
        </w:rPr>
        <w:t>Hershkoff</w:t>
      </w:r>
      <w:proofErr w:type="spellEnd"/>
      <w:r w:rsidRPr="00C72C43">
        <w:rPr>
          <w:sz w:val="10"/>
        </w:rPr>
        <w:t xml:space="preserve"> puts it, “[t]he enforcement of positive rights thus requires a state court to share explicitly in public governance, engaging in the principled dialogue that commentators traditionally associate with the common law resolution of social and economic issues.”34 An appropriate application of the separation of powers doctrine to positive rights would “recognize that legislative action satisfying a constitutional obligation is extremely unlikely unless judicial rulings call for such action.”35 In the absence of the judicial requirement to provide the right and judicial threat to act in the stead of a recalcitrant legislature, legislative actors have little incentive to spend money raised in their own districts on constituents in other districts because there is no electoral return for the political risk.36 Judicial threats are a common means of enforcing constitutional rights; for example, Article III courts threaten through the exclusionary rule to suppress evidence gathered in violation of the Fourth Amendment.37Because state courts are charged with enforcing a different type of constitutional right, different types of judicial threats are appropriate. State Governments Are Not As Limited As the Federal Government </w:t>
      </w:r>
      <w:r w:rsidRPr="00215B79">
        <w:rPr>
          <w:u w:val="single"/>
        </w:rPr>
        <w:t>One reason frequently given for the need for restraint and deference from the federal courts is that the federal government as a whole is one of limited powers</w:t>
      </w:r>
      <w:r w:rsidRPr="00C72C43">
        <w:rPr>
          <w:sz w:val="10"/>
        </w:rPr>
        <w:t>.38 Article III courts were established in direct rejection of the English common law system of courts in which final appeal rested with the House of Lords, which frequently mixed policymaking with judicial determinations.39 On the other hand</w:t>
      </w:r>
      <w:r w:rsidRPr="00215B79">
        <w:rPr>
          <w:u w:val="single"/>
        </w:rPr>
        <w:t xml:space="preserve">, </w:t>
      </w:r>
      <w:r w:rsidRPr="005677B3">
        <w:rPr>
          <w:highlight w:val="cyan"/>
          <w:u w:val="single"/>
        </w:rPr>
        <w:t xml:space="preserve">states are sovereigns with </w:t>
      </w:r>
      <w:r w:rsidRPr="00C72C43">
        <w:rPr>
          <w:u w:val="single"/>
        </w:rPr>
        <w:t xml:space="preserve">legislative and judicial </w:t>
      </w:r>
      <w:r w:rsidRPr="005677B3">
        <w:rPr>
          <w:highlight w:val="cyan"/>
          <w:u w:val="single"/>
        </w:rPr>
        <w:t xml:space="preserve">powers broader than </w:t>
      </w:r>
      <w:r w:rsidRPr="00C72C43">
        <w:rPr>
          <w:u w:val="single"/>
        </w:rPr>
        <w:t xml:space="preserve">those of </w:t>
      </w:r>
      <w:r w:rsidRPr="005677B3">
        <w:rPr>
          <w:highlight w:val="cyan"/>
          <w:u w:val="single"/>
        </w:rPr>
        <w:t>the fed</w:t>
      </w:r>
      <w:r w:rsidRPr="00C72C43">
        <w:rPr>
          <w:u w:val="single"/>
        </w:rPr>
        <w:t>eral government,</w:t>
      </w:r>
      <w:r w:rsidRPr="00215B79">
        <w:rPr>
          <w:u w:val="single"/>
        </w:rPr>
        <w:t xml:space="preserve">40 </w:t>
      </w:r>
      <w:r w:rsidRPr="005677B3">
        <w:rPr>
          <w:highlight w:val="cyan"/>
          <w:u w:val="single"/>
        </w:rPr>
        <w:t>and state courts have inherent powers as well as statutorily granted ones</w:t>
      </w:r>
      <w:r w:rsidRPr="00215B79">
        <w:rPr>
          <w:u w:val="single"/>
        </w:rPr>
        <w:t>.</w:t>
      </w:r>
      <w:r w:rsidRPr="00C72C43">
        <w:rPr>
          <w:sz w:val="10"/>
        </w:rPr>
        <w:t xml:space="preserve">41 Article III courts are also subjected to substantial limits on their powers through the Constitution’s jurisdictional restraints.42 Many state courts are not similarly restricted.43 Moreover, </w:t>
      </w:r>
      <w:r w:rsidRPr="005677B3">
        <w:rPr>
          <w:highlight w:val="cyan"/>
          <w:u w:val="single"/>
        </w:rPr>
        <w:t>nearly all state courts are common law courts, directly engaged in crafting the law as well as applying it</w:t>
      </w:r>
      <w:r w:rsidRPr="00C72C43">
        <w:rPr>
          <w:sz w:val="10"/>
        </w:rPr>
        <w:t xml:space="preserve">.44 </w:t>
      </w:r>
      <w:r w:rsidRPr="006C75A5">
        <w:rPr>
          <w:u w:val="single"/>
        </w:rPr>
        <w:t>Common law jurisprudence is inherently a policymaking enterprise because the process of selecting a legal test for tort liability or good faith dealing</w:t>
      </w:r>
      <w:r w:rsidRPr="00C72C43">
        <w:rPr>
          <w:sz w:val="10"/>
        </w:rPr>
        <w:t xml:space="preserve">, for example, rests in large part on what values the court decides to uphold and then on how such values can be promoted through rules, tests, and doctrines.45 </w:t>
      </w:r>
      <w:r w:rsidRPr="005677B3">
        <w:rPr>
          <w:highlight w:val="cyan"/>
          <w:u w:val="single"/>
        </w:rPr>
        <w:t xml:space="preserve">It is </w:t>
      </w:r>
      <w:r w:rsidRPr="00C72C43">
        <w:rPr>
          <w:sz w:val="10"/>
        </w:rPr>
        <w:t>therefore</w:t>
      </w:r>
      <w:r w:rsidRPr="00C72C43">
        <w:rPr>
          <w:u w:val="single"/>
        </w:rPr>
        <w:t xml:space="preserve"> </w:t>
      </w:r>
      <w:r w:rsidRPr="005677B3">
        <w:rPr>
          <w:highlight w:val="cyan"/>
          <w:u w:val="single"/>
        </w:rPr>
        <w:t xml:space="preserve">not out of place for state courts to engage in the policymaking decisions necessary to enforce and uphold constitutional rights. </w:t>
      </w:r>
      <w:r w:rsidRPr="00C72C43">
        <w:rPr>
          <w:sz w:val="10"/>
        </w:rPr>
        <w:t xml:space="preserve">State Judges Are Not </w:t>
      </w:r>
      <w:proofErr w:type="gramStart"/>
      <w:r w:rsidRPr="00C72C43">
        <w:rPr>
          <w:sz w:val="10"/>
        </w:rPr>
        <w:t>beyond</w:t>
      </w:r>
      <w:proofErr w:type="gramEnd"/>
      <w:r w:rsidRPr="00C72C43">
        <w:rPr>
          <w:sz w:val="10"/>
        </w:rPr>
        <w:t xml:space="preserve"> Popular Review Another oft-cited reason for judicial restraint at the federal level is that the </w:t>
      </w:r>
      <w:r w:rsidRPr="005677B3">
        <w:rPr>
          <w:highlight w:val="cyan"/>
          <w:u w:val="single"/>
        </w:rPr>
        <w:t>federal judiciary is beyond popular control: judges are appointed by the executive for life terms</w:t>
      </w:r>
      <w:r w:rsidRPr="00C72C43">
        <w:rPr>
          <w:sz w:val="10"/>
        </w:rPr>
        <w:t xml:space="preserve">.46 In such a </w:t>
      </w:r>
      <w:r w:rsidRPr="001B5442">
        <w:rPr>
          <w:sz w:val="10"/>
        </w:rPr>
        <w:t xml:space="preserve">system, </w:t>
      </w:r>
      <w:r w:rsidRPr="001B5442">
        <w:rPr>
          <w:u w:val="single"/>
        </w:rPr>
        <w:t>there is legitimate concern for those worried about a loss of democratic control if judges insert themselves too much into policymaking, which, by design, is to be carried out by the popularly elected</w:t>
      </w:r>
      <w:r w:rsidRPr="00215B79">
        <w:rPr>
          <w:u w:val="single"/>
        </w:rPr>
        <w:t xml:space="preserve"> branches of government</w:t>
      </w:r>
      <w:r w:rsidRPr="00710829">
        <w:rPr>
          <w:u w:val="single"/>
        </w:rPr>
        <w:t>. Thirty-eight states, however, engage in some form of judicial elections.</w:t>
      </w:r>
      <w:r w:rsidRPr="00C72C43">
        <w:rPr>
          <w:sz w:val="10"/>
        </w:rPr>
        <w:t xml:space="preserve">47 </w:t>
      </w:r>
      <w:r w:rsidRPr="00710829">
        <w:rPr>
          <w:u w:val="single"/>
        </w:rPr>
        <w:t>Eleven of the remaining twelve states usually appoint judges for terms that are renewable by the state legislature; only Rhode Island appoints judges for life</w:t>
      </w:r>
      <w:r w:rsidRPr="00C72C43">
        <w:rPr>
          <w:sz w:val="10"/>
        </w:rPr>
        <w:t xml:space="preserve">.48 Although the merits of judicial elections are debatable, </w:t>
      </w:r>
      <w:r w:rsidRPr="00215B79">
        <w:rPr>
          <w:u w:val="single"/>
        </w:rPr>
        <w:t xml:space="preserve">the fact that </w:t>
      </w:r>
      <w:r w:rsidRPr="00710829">
        <w:rPr>
          <w:highlight w:val="cyan"/>
          <w:u w:val="single"/>
        </w:rPr>
        <w:t xml:space="preserve">nearly all state court judges are elected or subject to review by elected officials </w:t>
      </w:r>
      <w:r w:rsidRPr="00C72C43">
        <w:rPr>
          <w:u w:val="single"/>
        </w:rPr>
        <w:t>means that criticisms of so-called judicial activism based on life tenure are largely inapplicable to state courts</w:t>
      </w:r>
      <w:r w:rsidRPr="00C72C43">
        <w:rPr>
          <w:sz w:val="10"/>
        </w:rPr>
        <w:t xml:space="preserve">. State Courts Are Competent Policymakers Finally, there is concern about the policymaking competence of Article III courts. These concerns come in two varieties: federalist and interbranch. The federalist concern, as the Supreme Court put it in Rodriguez, says that </w:t>
      </w:r>
      <w:r w:rsidRPr="006C75A5">
        <w:rPr>
          <w:highlight w:val="cyan"/>
          <w:u w:val="single"/>
        </w:rPr>
        <w:t>a key reason the federal courts should stay out of local policy issues like education is their incompetence regarding the policymaking that school funding inevitably requires</w:t>
      </w:r>
      <w:r w:rsidRPr="00215B79">
        <w:rPr>
          <w:u w:val="single"/>
        </w:rPr>
        <w:t>.</w:t>
      </w:r>
      <w:r w:rsidRPr="00C72C43">
        <w:rPr>
          <w:sz w:val="10"/>
        </w:rPr>
        <w:t xml:space="preserve">49 </w:t>
      </w:r>
      <w:r w:rsidRPr="00215B79">
        <w:rPr>
          <w:u w:val="single"/>
        </w:rPr>
        <w:t xml:space="preserve">There is little question that crafting </w:t>
      </w:r>
      <w:r w:rsidRPr="00215B79">
        <w:rPr>
          <w:u w:val="single"/>
        </w:rPr>
        <w:lastRenderedPageBreak/>
        <w:t>a constitutional school funding system, like the remedial phase of much public law litigation, is “essentially part of a process of policy design and implementation.”</w:t>
      </w:r>
      <w:r w:rsidRPr="00C72C43">
        <w:rPr>
          <w:sz w:val="10"/>
        </w:rPr>
        <w:t xml:space="preserve">50 Yet that does not necessarily mean that courts should stay out; courts routinely deal with complex and controversial issues. In their continued struggle to desegregate American schools, even the federal courts made use of some unusual tools, such as special masters, that substantially improved the courts’ competence in designing remedies.51 Additionally, </w:t>
      </w:r>
      <w:r w:rsidRPr="006C75A5">
        <w:rPr>
          <w:highlight w:val="cyan"/>
          <w:u w:val="single"/>
        </w:rPr>
        <w:t>state courts have smaller jurisdictions and closer ties to the community, so their competence in crafting appropriate remedies in positive rights cases is arguably much greater than that of their federal counterparts</w:t>
      </w:r>
      <w:r w:rsidRPr="00215B79">
        <w:rPr>
          <w:u w:val="single"/>
        </w:rPr>
        <w:t>.</w:t>
      </w:r>
      <w:r w:rsidRPr="00C72C43">
        <w:rPr>
          <w:sz w:val="10"/>
        </w:rPr>
        <w:t xml:space="preserve">52 The interbranch concern pertains to the comparative competence of the branches; most state constitutions “do not reflect the same level of trust in state legislative decision making as does the federal Constitution in congressional decisionmaking.”53 This lack of trust is eminently reasonable. Some states have only part-time legislatures54 or ones that only meet biennially.55 Even in those states where serving as a representative is a full-time job, legislatures are often understaffed56 and rarely have the time to fully research national trends or best practices. Many states have constitutional provisions limiting the actions of the legislature such as bans on special legislation, which were enacted to combat legislative abuses and corruption.57 In sum, unlike the situation between Congress and the Article III courts, </w:t>
      </w:r>
      <w:r w:rsidRPr="006C75A5">
        <w:rPr>
          <w:u w:val="single"/>
        </w:rPr>
        <w:t>many state legislatures do not possess an institutional competency greater than that of their state courts; therefore, interbranch concerns about competence do not apply to the state courts in the same blanket way they are applied to the</w:t>
      </w:r>
      <w:r w:rsidRPr="00215B79">
        <w:rPr>
          <w:u w:val="single"/>
        </w:rPr>
        <w:t xml:space="preserve"> federal courts, and federalist concerns are, by definition, inapplicable to state courts dealing with state issues.</w:t>
      </w:r>
    </w:p>
    <w:p w:rsidR="00A32C02" w:rsidRDefault="00A32C02" w:rsidP="00A32C02">
      <w:pPr>
        <w:pStyle w:val="Heading4"/>
      </w:pPr>
      <w:r>
        <w:t xml:space="preserve">State courts have </w:t>
      </w:r>
      <w:proofErr w:type="gramStart"/>
      <w:r>
        <w:t>jurisdiction</w:t>
      </w:r>
      <w:proofErr w:type="gramEnd"/>
      <w:r>
        <w:t xml:space="preserve"> to vote on equal protection based on state constitutions. </w:t>
      </w:r>
    </w:p>
    <w:p w:rsidR="00A32C02" w:rsidRDefault="00A32C02" w:rsidP="00A32C02">
      <w:pPr>
        <w:rPr>
          <w:rStyle w:val="Style13ptBold"/>
        </w:rPr>
      </w:pPr>
      <w:r>
        <w:rPr>
          <w:rStyle w:val="Style13ptBold"/>
        </w:rPr>
        <w:t xml:space="preserve">Parness, civil </w:t>
      </w:r>
      <w:proofErr w:type="gramStart"/>
      <w:r>
        <w:rPr>
          <w:rStyle w:val="Style13ptBold"/>
        </w:rPr>
        <w:t>procedure</w:t>
      </w:r>
      <w:proofErr w:type="gramEnd"/>
      <w:r>
        <w:rPr>
          <w:rStyle w:val="Style13ptBold"/>
        </w:rPr>
        <w:t xml:space="preserve"> and administrative law professor emeritus at Northern Illinois University College of Law, 2009. </w:t>
      </w:r>
    </w:p>
    <w:p w:rsidR="00A32C02" w:rsidRPr="004070C7" w:rsidRDefault="00A32C02" w:rsidP="00A32C02">
      <w:r w:rsidRPr="004070C7">
        <w:t>(</w:t>
      </w:r>
      <w:r>
        <w:t xml:space="preserve">Jeffrey A., “American State Constitutional Equalities,” </w:t>
      </w:r>
      <w:r>
        <w:rPr>
          <w:i/>
        </w:rPr>
        <w:t>Gonzaga Law Review</w:t>
      </w:r>
      <w:r>
        <w:t xml:space="preserve">, volume: 45, issue: 3, 9-18-2009, pp. 773-774, </w:t>
      </w:r>
      <w:r w:rsidRPr="00076A5F">
        <w:t>https://www.law.gonzaga.edu/law-review/files/2011/02/Parness.pdf</w:t>
      </w:r>
      <w:r>
        <w:t>, accessed 7-19-2017, ATN.)</w:t>
      </w:r>
    </w:p>
    <w:p w:rsidR="00A32C02" w:rsidRDefault="00A32C02" w:rsidP="00A32C02">
      <w:r>
        <w:t xml:space="preserve">As with the United States Constitution, many </w:t>
      </w:r>
      <w:r w:rsidRPr="00E13ABB">
        <w:rPr>
          <w:rStyle w:val="StyleUnderline"/>
          <w:highlight w:val="cyan"/>
        </w:rPr>
        <w:t>American state constitutions contain provisions condemning equal protection denials by government. State provisions often have the same wording as the Equal Protection clause of the federal Constitution.</w:t>
      </w:r>
      <w:r>
        <w:t xml:space="preserve"> Many state courts also read such state equal protection provisions, as well as other state constitutional equalities, to guarantee no greater protections than are afforded federally. They are “in lockstep,” though spurring occasional criticism. But some American state constitutions contain special equality provisions that go beyond general equal protection and that have no federal counterparts. These provisions necessitate independent state constitutional interpretation as there can be no </w:t>
      </w:r>
      <w:proofErr w:type="spellStart"/>
      <w:r>
        <w:t>lockstepping</w:t>
      </w:r>
      <w:proofErr w:type="spellEnd"/>
      <w:r>
        <w:t xml:space="preserve">. For example, some state constitutional rights are self-executing or self-operative. As well, in Illinois, there are three special equality provisions, dealing with employment, housing, local </w:t>
      </w:r>
      <w:proofErr w:type="gramStart"/>
      <w:r>
        <w:t>government</w:t>
      </w:r>
      <w:proofErr w:type="gramEnd"/>
      <w:r>
        <w:t xml:space="preserve"> and school districts. Of course, special state constitutional equality provisions can extend, but not diminish, any federal constitutional equalities. </w:t>
      </w:r>
    </w:p>
    <w:p w:rsidR="00A32C02" w:rsidRDefault="00A32C02" w:rsidP="00A32C02">
      <w:pPr>
        <w:pStyle w:val="Heading4"/>
      </w:pPr>
      <w:r>
        <w:t>State courts can resolve education equality cases based on equal protection in state constitutions.</w:t>
      </w:r>
    </w:p>
    <w:p w:rsidR="00A32C02" w:rsidRDefault="00A32C02" w:rsidP="00A32C02">
      <w:pPr>
        <w:rPr>
          <w:rStyle w:val="Style13ptBold"/>
        </w:rPr>
      </w:pPr>
      <w:r>
        <w:rPr>
          <w:rStyle w:val="Style13ptBold"/>
        </w:rPr>
        <w:t xml:space="preserve">Jensen 1997. </w:t>
      </w:r>
    </w:p>
    <w:p w:rsidR="00A32C02" w:rsidRPr="001F6672" w:rsidRDefault="00A32C02" w:rsidP="00A32C02">
      <w:r>
        <w:t xml:space="preserve">(Robert M., “Advancing Education Through Education Clauses of State Constitutions,” </w:t>
      </w:r>
      <w:r>
        <w:rPr>
          <w:i/>
        </w:rPr>
        <w:t>Brigham Young University Education and Law Journal</w:t>
      </w:r>
      <w:r>
        <w:t xml:space="preserve">, volume: 1997, issue: 1, 3-1-1997, p. 27, </w:t>
      </w:r>
      <w:r w:rsidRPr="00BF1A0A">
        <w:t>http://digitalcommons.law.byu.edu/cgi/viewcontent.cgi?article=1077&amp;context=elj</w:t>
      </w:r>
      <w:r>
        <w:t xml:space="preserve">, accessed 7-19-2017, ATN).  </w:t>
      </w:r>
    </w:p>
    <w:p w:rsidR="00A32C02" w:rsidRPr="008E1AD9" w:rsidRDefault="00A32C02" w:rsidP="00A32C02">
      <w:r w:rsidRPr="008E1AD9">
        <w:t xml:space="preserve">Without question, the group of cases with the highest success rate have been those decided solely on grounds of adequacy. Claims stated purely in terms of equality have not been a close second. However, the largest group, in terms of sheer numbers of successful plaintiffs, has used a hybrid approach. 172 </w:t>
      </w:r>
      <w:r w:rsidRPr="00B4661F">
        <w:rPr>
          <w:rStyle w:val="StyleUnderline"/>
        </w:rPr>
        <w:t>A hybrid suit combines the equal protection/equality claim with the education clause/adequacy claim.</w:t>
      </w:r>
      <w:r w:rsidRPr="008E1AD9">
        <w:t xml:space="preserve"> Such an approach </w:t>
      </w:r>
      <w:r w:rsidRPr="00B4661F">
        <w:rPr>
          <w:rStyle w:val="StyleUnderline"/>
        </w:rPr>
        <w:t>has proven to be a very successful and flexible alternative</w:t>
      </w:r>
      <w:r w:rsidRPr="008E1AD9">
        <w:t xml:space="preserve">. 173 The hybrid suit is </w:t>
      </w:r>
      <w:r w:rsidRPr="008E1AD9">
        <w:lastRenderedPageBreak/>
        <w:t xml:space="preserve">essentially an education clause/adequacy suit, using the language of equality as "just one measure of adequacy"174 to advance the quality of education. Whether the litigant seeks equitable taxing and spending methods or a better quality of education, the litigant will be more successful by alleging inadequacy of education. 175 And with the flexibility of the hybrid approach, the litigant can make use of qualitative as well as </w:t>
      </w:r>
      <w:proofErr w:type="spellStart"/>
      <w:r w:rsidRPr="008E1AD9">
        <w:t>equalitative</w:t>
      </w:r>
      <w:proofErr w:type="spellEnd"/>
      <w:r w:rsidRPr="008E1AD9">
        <w:t xml:space="preserve"> evidence to show such inadequacy. In other words, with a hybrid approach, a plaintiff may allege inadequacy but offer proof of a disparate educational offering or educational funding. Combined with evidence of inadequacy, </w:t>
      </w:r>
      <w:r w:rsidRPr="0045398A">
        <w:rPr>
          <w:rStyle w:val="StyleUnderline"/>
        </w:rPr>
        <w:t xml:space="preserve">the evidence of disparity bolsters the claim of poor and inadequate education. </w:t>
      </w:r>
      <w:r w:rsidRPr="00F90708">
        <w:t>Scholars often call attention to the courts' confusion of the issues;</w:t>
      </w:r>
      <w:r w:rsidRPr="0045398A">
        <w:rPr>
          <w:rStyle w:val="StyleUnderline"/>
        </w:rPr>
        <w:t xml:space="preserve"> equality arguments and evidence are mixed with adequacy arguments and evidence.</w:t>
      </w:r>
      <w:r w:rsidRPr="008E1AD9">
        <w:t xml:space="preserve"> 176 For instance, one scholar takes great pains to note the reluctance of both the courts and plaintiffs to let go of the equal protection clause challenge in exchange for the adequacy arguments of the education clause. 177 While admitting the truth of such reluctance, and the resulting confusion of the issues, one should not overlook the fact that courts in hybrid suits are using qualitative language to ground their opinions even when plaintiffs present </w:t>
      </w:r>
      <w:proofErr w:type="spellStart"/>
      <w:r w:rsidRPr="008E1AD9">
        <w:t>equalitative</w:t>
      </w:r>
      <w:proofErr w:type="spellEnd"/>
      <w:r w:rsidRPr="008E1AD9">
        <w:t xml:space="preserve"> proof, and </w:t>
      </w:r>
      <w:r w:rsidRPr="00A046D4">
        <w:rPr>
          <w:rStyle w:val="StyleUnderline"/>
        </w:rPr>
        <w:t>such suits are relatively successful.</w:t>
      </w:r>
    </w:p>
    <w:p w:rsidR="00A32C02" w:rsidRPr="00A32C02" w:rsidRDefault="00A32C02" w:rsidP="00A32C02"/>
    <w:sectPr w:rsidR="00A32C02" w:rsidRPr="00A32C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93"/>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93562208"/>
    <w:docVar w:name="VerbatimVersion" w:val="5.1"/>
  </w:docVars>
  <w:rsids>
    <w:rsidRoot w:val="00A32C02"/>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34FB5"/>
    <w:rsid w:val="00845B9D"/>
    <w:rsid w:val="00860984"/>
    <w:rsid w:val="008B3ECB"/>
    <w:rsid w:val="008B4E85"/>
    <w:rsid w:val="008C1B2E"/>
    <w:rsid w:val="0091627E"/>
    <w:rsid w:val="0097032B"/>
    <w:rsid w:val="009D2EAD"/>
    <w:rsid w:val="009D54B2"/>
    <w:rsid w:val="009E1922"/>
    <w:rsid w:val="009F7ED2"/>
    <w:rsid w:val="00A32C02"/>
    <w:rsid w:val="00A93661"/>
    <w:rsid w:val="00A95652"/>
    <w:rsid w:val="00AC0AB8"/>
    <w:rsid w:val="00B33C6D"/>
    <w:rsid w:val="00B34B0B"/>
    <w:rsid w:val="00B4508F"/>
    <w:rsid w:val="00B55AD5"/>
    <w:rsid w:val="00B8057C"/>
    <w:rsid w:val="00BD6238"/>
    <w:rsid w:val="00BE4664"/>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0BC57"/>
  <w15:chartTrackingRefBased/>
  <w15:docId w15:val="{659AB186-1B0C-4694-B195-1EC08D894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A32C02"/>
    <w:rPr>
      <w:rFonts w:ascii="Calibri" w:hAnsi="Calibri"/>
    </w:rPr>
  </w:style>
  <w:style w:type="paragraph" w:styleId="Heading1">
    <w:name w:val="heading 1"/>
    <w:aliases w:val="Pocket"/>
    <w:basedOn w:val="Normal"/>
    <w:next w:val="Normal"/>
    <w:link w:val="Heading1Char"/>
    <w:qFormat/>
    <w:rsid w:val="00A32C0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32C0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32C0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A32C0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32C0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2C02"/>
  </w:style>
  <w:style w:type="character" w:customStyle="1" w:styleId="Heading1Char">
    <w:name w:val="Heading 1 Char"/>
    <w:aliases w:val="Pocket Char"/>
    <w:basedOn w:val="DefaultParagraphFont"/>
    <w:link w:val="Heading1"/>
    <w:rsid w:val="00A32C0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32C0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9"/>
    <w:rsid w:val="00A32C02"/>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A32C02"/>
    <w:rPr>
      <w:rFonts w:ascii="Calibri" w:eastAsiaTheme="majorEastAsia" w:hAnsi="Calibri" w:cstheme="majorBidi"/>
      <w:b/>
      <w:iCs/>
      <w:sz w:val="26"/>
    </w:rPr>
  </w:style>
  <w:style w:type="character" w:styleId="Emphasis">
    <w:name w:val="Emphasis"/>
    <w:basedOn w:val="DefaultParagraphFont"/>
    <w:uiPriority w:val="20"/>
    <w:qFormat/>
    <w:rsid w:val="00A32C02"/>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
    <w:basedOn w:val="DefaultParagraphFont"/>
    <w:uiPriority w:val="5"/>
    <w:qFormat/>
    <w:rsid w:val="00A32C02"/>
    <w:rPr>
      <w:b/>
      <w:bCs/>
      <w:sz w:val="26"/>
      <w:u w:val="none"/>
    </w:rPr>
  </w:style>
  <w:style w:type="character" w:customStyle="1" w:styleId="StyleUnderline">
    <w:name w:val="Style Underline"/>
    <w:aliases w:val="Underline,Style Bold Underline"/>
    <w:basedOn w:val="DefaultParagraphFont"/>
    <w:uiPriority w:val="6"/>
    <w:qFormat/>
    <w:rsid w:val="00A32C02"/>
    <w:rPr>
      <w:b w:val="0"/>
      <w:sz w:val="22"/>
      <w:u w:val="single"/>
    </w:rPr>
  </w:style>
  <w:style w:type="character" w:styleId="Hyperlink">
    <w:name w:val="Hyperlink"/>
    <w:basedOn w:val="DefaultParagraphFont"/>
    <w:uiPriority w:val="99"/>
    <w:unhideWhenUsed/>
    <w:rsid w:val="00A32C02"/>
    <w:rPr>
      <w:color w:val="auto"/>
      <w:u w:val="none"/>
    </w:rPr>
  </w:style>
  <w:style w:type="character" w:styleId="FollowedHyperlink">
    <w:name w:val="FollowedHyperlink"/>
    <w:basedOn w:val="DefaultParagraphFont"/>
    <w:uiPriority w:val="99"/>
    <w:semiHidden/>
    <w:unhideWhenUsed/>
    <w:rsid w:val="00A32C02"/>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oks.google.com/books?hl=en&amp;lr=&amp;id=gaZJDAAAQBAJ&amp;oi=fnd&amp;pg=PP1&amp;dq=%22LGBTQ+curriculum%22+%22perpetuate%22+harms+OR+%22fail+to+resolve+issue%22+&amp;ots=hSYb67Aq0O&amp;sig=EABHDd3PDZNu-fG6FX5Qz-dp_kk" TargetMode="External"/><Relationship Id="rId3" Type="http://schemas.openxmlformats.org/officeDocument/2006/relationships/styles" Target="styles.xml"/><Relationship Id="rId7" Type="http://schemas.openxmlformats.org/officeDocument/2006/relationships/hyperlink" Target="https://books.google.com/books?hl=en&amp;lr=&amp;id=gaZJDAAAQBAJ&amp;oi=fnd&amp;pg=PP1&amp;dq=%22LGBTQ+curriculum%22+%22perpetuate%22+harms+OR+%22fail+to+resolve+issue%22+&amp;ots=hSYb67Aq0O&amp;sig=EABHDd3PDZNu-fG6FX5Qz-dp_kk"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washingtonpost.com/opinions/trumps-budget-would-discriminate-against-lgbt-students-like-me/2017/07/06/c3d3d5fa-5a81-11e7-9b7d-14576dc0f39d_story.html?utm_term=.2e0f86cba04c"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cholarship.law.duke.edu/cgi/viewcontent.cgi?article=1344&amp;context=dlj" TargetMode="External"/><Relationship Id="rId4" Type="http://schemas.openxmlformats.org/officeDocument/2006/relationships/settings" Target="settings.xml"/><Relationship Id="rId9" Type="http://schemas.openxmlformats.org/officeDocument/2006/relationships/hyperlink" Target="http://heinonline.org/HOL/Page?public=false&amp;handle=hein.journals/ylr106&amp;page=2313&amp;collection=journal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of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BB332A-B392-41F1-8AB0-3A1CA004FE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38</TotalTime>
  <Pages>25</Pages>
  <Words>9555</Words>
  <Characters>54469</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Geoff</dc:creator>
  <cp:keywords>5.1.1</cp:keywords>
  <dc:description/>
  <cp:lastModifiedBy>Geoff Lundeen</cp:lastModifiedBy>
  <cp:revision>1</cp:revision>
  <dcterms:created xsi:type="dcterms:W3CDTF">2017-07-21T20:28:00Z</dcterms:created>
  <dcterms:modified xsi:type="dcterms:W3CDTF">2017-07-21T21:10:00Z</dcterms:modified>
</cp:coreProperties>
</file>