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46F4" w:rsidRDefault="002B46F4" w:rsidP="002B46F4">
      <w:pPr>
        <w:pStyle w:val="Heading1"/>
      </w:pPr>
      <w:r>
        <w:t xml:space="preserve">CTE 2.0—CPPR </w:t>
      </w:r>
      <w:bookmarkStart w:id="0" w:name="_GoBack"/>
      <w:bookmarkEnd w:id="0"/>
    </w:p>
    <w:p w:rsidR="00C12070" w:rsidRDefault="00C12070" w:rsidP="00C12070">
      <w:pPr>
        <w:pStyle w:val="Heading2"/>
      </w:pPr>
      <w:r>
        <w:t xml:space="preserve">Solvency </w:t>
      </w:r>
    </w:p>
    <w:p w:rsidR="002B46F4" w:rsidRDefault="002B46F4" w:rsidP="002B46F4">
      <w:pPr>
        <w:pStyle w:val="Heading3"/>
      </w:pPr>
      <w:r>
        <w:t>No Solvency – Laundry List / A2 Econ Args*</w:t>
      </w:r>
    </w:p>
    <w:p w:rsidR="002B46F4" w:rsidRDefault="002B46F4" w:rsidP="002B46F4">
      <w:pPr>
        <w:pStyle w:val="Heading4"/>
      </w:pPr>
      <w:r>
        <w:t xml:space="preserve">CTE overblown – </w:t>
      </w:r>
      <w:r w:rsidRPr="00FC043C">
        <w:rPr>
          <w:u w:val="single"/>
        </w:rPr>
        <w:t>mis-directed funding</w:t>
      </w:r>
      <w:r>
        <w:t xml:space="preserve"> &amp; </w:t>
      </w:r>
      <w:r w:rsidRPr="00FC043C">
        <w:rPr>
          <w:u w:val="single"/>
        </w:rPr>
        <w:t>no correlation</w:t>
      </w:r>
      <w:r>
        <w:t xml:space="preserve"> with employment </w:t>
      </w:r>
    </w:p>
    <w:p w:rsidR="002B46F4" w:rsidRDefault="002B46F4" w:rsidP="002B46F4">
      <w:r w:rsidRPr="00FC043C">
        <w:rPr>
          <w:rStyle w:val="Style13ptBold"/>
        </w:rPr>
        <w:t>Bernick 16</w:t>
      </w:r>
      <w:r>
        <w:t xml:space="preserve"> (Michael, California labor department director from 1999-2004, “Career Technical Education: What It Can and Cannot Do in Building a Next Middle Class,” 12/28, https://www.forbes.com/sites/michaelbernick/2016/09/28/career-technical-education-what-it-can-and-cannot-do-in-building-a-next-middle-class/2/#5e619e7b4d40)//cmr</w:t>
      </w:r>
    </w:p>
    <w:p w:rsidR="002B46F4" w:rsidRPr="00A15A0A" w:rsidRDefault="002B46F4" w:rsidP="002B46F4">
      <w:pPr>
        <w:rPr>
          <w:u w:val="single"/>
        </w:rPr>
      </w:pPr>
      <w:r w:rsidRPr="00FC043C">
        <w:rPr>
          <w:sz w:val="16"/>
        </w:rPr>
        <w:t xml:space="preserve">DeVol’s latest research is valuable in drawing our attention to CTE and its potential in providing new mid-level of jobs. However, two </w:t>
      </w:r>
      <w:r w:rsidRPr="00FC043C">
        <w:rPr>
          <w:rStyle w:val="StyleUnderline"/>
        </w:rPr>
        <w:t>caveats might be added about</w:t>
      </w:r>
      <w:r w:rsidRPr="00FC043C">
        <w:rPr>
          <w:sz w:val="16"/>
        </w:rPr>
        <w:t xml:space="preserve"> the need to monitor </w:t>
      </w:r>
      <w:r w:rsidRPr="00FC043C">
        <w:rPr>
          <w:rStyle w:val="StyleUnderline"/>
        </w:rPr>
        <w:t>CTE funds</w:t>
      </w:r>
      <w:r w:rsidRPr="00FC043C">
        <w:rPr>
          <w:sz w:val="16"/>
        </w:rPr>
        <w:t xml:space="preserve"> going forward, and the need to place CTE impacts in broader employment context. Already, </w:t>
      </w:r>
      <w:r w:rsidRPr="00FC043C">
        <w:rPr>
          <w:rStyle w:val="StyleUnderline"/>
        </w:rPr>
        <w:t xml:space="preserve">CTE money is </w:t>
      </w:r>
      <w:r w:rsidRPr="00FC043C">
        <w:rPr>
          <w:sz w:val="16"/>
        </w:rPr>
        <w:t xml:space="preserve">being </w:t>
      </w:r>
      <w:r w:rsidRPr="00FC043C">
        <w:rPr>
          <w:rStyle w:val="StyleUnderline"/>
        </w:rPr>
        <w:t xml:space="preserve">spread around for conferences, committees and bureaucracies, as well as for ill-defined “system orientation” and “collaboration.” </w:t>
      </w:r>
      <w:r w:rsidRPr="00FC043C">
        <w:rPr>
          <w:sz w:val="16"/>
        </w:rPr>
        <w:t xml:space="preserve">This is common in higher education — under the rubric of “system building,” </w:t>
      </w:r>
      <w:r w:rsidRPr="00FC043C">
        <w:rPr>
          <w:rStyle w:val="StyleUnderline"/>
        </w:rPr>
        <w:t>educators</w:t>
      </w:r>
      <w:r w:rsidRPr="00FC043C">
        <w:rPr>
          <w:sz w:val="16"/>
        </w:rPr>
        <w:t xml:space="preserve"> and consultants </w:t>
      </w:r>
      <w:r w:rsidRPr="00FC043C">
        <w:rPr>
          <w:rStyle w:val="StyleUnderline"/>
        </w:rPr>
        <w:t>are paid to go to meetings, write Venn diagrams and develop Powerpoints</w:t>
      </w:r>
      <w:r w:rsidRPr="00FC043C">
        <w:rPr>
          <w:sz w:val="16"/>
        </w:rPr>
        <w:t xml:space="preserve">. A stronger filter is needed to direct the money to specific training. </w:t>
      </w:r>
      <w:r w:rsidRPr="00FC043C">
        <w:rPr>
          <w:rStyle w:val="StyleUnderline"/>
        </w:rPr>
        <w:t>CTE, by itself,</w:t>
      </w:r>
      <w:r w:rsidRPr="00FC043C">
        <w:rPr>
          <w:sz w:val="16"/>
        </w:rPr>
        <w:t xml:space="preserve"> will </w:t>
      </w:r>
      <w:r w:rsidRPr="00FC043C">
        <w:rPr>
          <w:rStyle w:val="StyleUnderline"/>
        </w:rPr>
        <w:t xml:space="preserve">have </w:t>
      </w:r>
      <w:r w:rsidRPr="00FC043C">
        <w:rPr>
          <w:rStyle w:val="Emphasis"/>
        </w:rPr>
        <w:t>limited impact</w:t>
      </w:r>
      <w:r w:rsidRPr="00FC043C">
        <w:rPr>
          <w:sz w:val="16"/>
        </w:rPr>
        <w:t xml:space="preserve"> </w:t>
      </w:r>
      <w:r w:rsidRPr="00FC043C">
        <w:rPr>
          <w:rStyle w:val="StyleUnderline"/>
        </w:rPr>
        <w:t>on overall employment and income levels.</w:t>
      </w:r>
      <w:r w:rsidRPr="00FC043C">
        <w:rPr>
          <w:sz w:val="16"/>
        </w:rPr>
        <w:t xml:space="preserve"> </w:t>
      </w:r>
      <w:r w:rsidRPr="00FC043C">
        <w:rPr>
          <w:rStyle w:val="StyleUnderline"/>
        </w:rPr>
        <w:t xml:space="preserve">The number of new technician jobs is sufficient in number for </w:t>
      </w:r>
      <w:r w:rsidRPr="00FC043C">
        <w:rPr>
          <w:rStyle w:val="Emphasis"/>
        </w:rPr>
        <w:t xml:space="preserve">only a portion of job seekers </w:t>
      </w:r>
      <w:r w:rsidRPr="00FC043C">
        <w:rPr>
          <w:sz w:val="16"/>
        </w:rPr>
        <w:t xml:space="preserve">— </w:t>
      </w:r>
      <w:r w:rsidRPr="00FC043C">
        <w:rPr>
          <w:rStyle w:val="StyleUnderline"/>
        </w:rPr>
        <w:t>and among these job seekers, there will be many who have neither the proclivity nor ability to be</w:t>
      </w:r>
      <w:r w:rsidRPr="00FC043C">
        <w:rPr>
          <w:sz w:val="16"/>
        </w:rPr>
        <w:t xml:space="preserve">, say, </w:t>
      </w:r>
      <w:r w:rsidRPr="00FC043C">
        <w:rPr>
          <w:rStyle w:val="StyleUnderline"/>
        </w:rPr>
        <w:t>a respiratory therapist or bioscience technician.</w:t>
      </w:r>
      <w:r w:rsidRPr="00FC043C">
        <w:rPr>
          <w:sz w:val="16"/>
        </w:rPr>
        <w:t xml:space="preserve"> Regarding income distribution, </w:t>
      </w:r>
      <w:r w:rsidRPr="00FC043C">
        <w:rPr>
          <w:rStyle w:val="StyleUnderline"/>
        </w:rPr>
        <w:t>CTE does not address the lower wages associated with the 40 percent or more of jobs that are below the “new technician” jobs.</w:t>
      </w:r>
    </w:p>
    <w:p w:rsidR="002B46F4" w:rsidRPr="00774DCA" w:rsidRDefault="002B46F4" w:rsidP="002B46F4">
      <w:pPr>
        <w:pStyle w:val="Heading4"/>
        <w:rPr>
          <w:u w:val="single"/>
        </w:rPr>
      </w:pPr>
      <w:r w:rsidRPr="00774DCA">
        <w:rPr>
          <w:u w:val="single"/>
        </w:rPr>
        <w:t>Fragmentation</w:t>
      </w:r>
      <w:r>
        <w:t xml:space="preserve">, lack of </w:t>
      </w:r>
      <w:r w:rsidRPr="00774DCA">
        <w:rPr>
          <w:u w:val="single"/>
        </w:rPr>
        <w:t xml:space="preserve">data </w:t>
      </w:r>
      <w:r>
        <w:t xml:space="preserve">and </w:t>
      </w:r>
      <w:r w:rsidRPr="00774DCA">
        <w:rPr>
          <w:u w:val="single"/>
        </w:rPr>
        <w:t xml:space="preserve">oversight </w:t>
      </w:r>
      <w:r>
        <w:t xml:space="preserve">– even optimal programs </w:t>
      </w:r>
      <w:r w:rsidRPr="00774DCA">
        <w:rPr>
          <w:u w:val="single"/>
        </w:rPr>
        <w:t xml:space="preserve">fail to match the needs of employers </w:t>
      </w:r>
    </w:p>
    <w:p w:rsidR="002B46F4" w:rsidRDefault="002B46F4" w:rsidP="002B46F4">
      <w:r w:rsidRPr="009D4F42">
        <w:rPr>
          <w:rStyle w:val="Style13ptBold"/>
        </w:rPr>
        <w:t>Martz 14</w:t>
      </w:r>
      <w:r>
        <w:t xml:space="preserve"> (Michael, “Va. workforce training programs called ineffective,” http://www.richmond.com/va-workforce-training-programs-called-ineffective/article_bcaa3c9b-e3ce-5a91-8b38-57ba31577851.html)//cmr</w:t>
      </w:r>
    </w:p>
    <w:p w:rsidR="002B46F4" w:rsidRPr="002B46F4" w:rsidRDefault="002B46F4" w:rsidP="002B46F4">
      <w:pPr>
        <w:rPr>
          <w:sz w:val="16"/>
        </w:rPr>
      </w:pPr>
      <w:r w:rsidRPr="00FC043C">
        <w:rPr>
          <w:rStyle w:val="StyleUnderline"/>
        </w:rPr>
        <w:t>A new report gives</w:t>
      </w:r>
      <w:r w:rsidRPr="009D4F42">
        <w:rPr>
          <w:sz w:val="16"/>
        </w:rPr>
        <w:t xml:space="preserve"> Virginia's </w:t>
      </w:r>
      <w:r w:rsidRPr="00FC043C">
        <w:rPr>
          <w:rStyle w:val="StyleUnderline"/>
        </w:rPr>
        <w:t xml:space="preserve">workforce training programs the business, calling them </w:t>
      </w:r>
      <w:r w:rsidRPr="00FC043C">
        <w:rPr>
          <w:rStyle w:val="Emphasis"/>
        </w:rPr>
        <w:t>fragmented</w:t>
      </w:r>
      <w:r w:rsidRPr="00FC043C">
        <w:rPr>
          <w:rStyle w:val="StyleUnderline"/>
        </w:rPr>
        <w:t xml:space="preserve">, </w:t>
      </w:r>
      <w:r w:rsidRPr="00FC043C">
        <w:rPr>
          <w:rStyle w:val="Emphasis"/>
        </w:rPr>
        <w:t>ineffective</w:t>
      </w:r>
      <w:r w:rsidRPr="00FC043C">
        <w:rPr>
          <w:rStyle w:val="StyleUnderline"/>
        </w:rPr>
        <w:t xml:space="preserve"> and</w:t>
      </w:r>
      <w:r w:rsidRPr="009D4F42">
        <w:rPr>
          <w:sz w:val="16"/>
        </w:rPr>
        <w:t xml:space="preserve"> almost </w:t>
      </w:r>
      <w:r w:rsidRPr="00FC043C">
        <w:rPr>
          <w:rStyle w:val="Emphasis"/>
        </w:rPr>
        <w:t>impossible to measure for results.</w:t>
      </w:r>
      <w:r w:rsidRPr="009D4F42">
        <w:rPr>
          <w:sz w:val="16"/>
        </w:rPr>
        <w:t xml:space="preserve"> The Joint Legislative Audit and Review Commission received a report from its staff that recommends 30 changes in how Virginia runs workforce programs, which are spread among nine agencies that distribute more than $340 million in federal and state funds for employee assistance and training. Members of the commission expressed dismay at findings that </w:t>
      </w:r>
      <w:r w:rsidRPr="009D4F42">
        <w:rPr>
          <w:rStyle w:val="StyleUnderline"/>
        </w:rPr>
        <w:t>the state has done a poor job of defining performance measures for the program or even collecting information from the programs about how many people receive training for professions that need workers</w:t>
      </w:r>
      <w:r w:rsidRPr="009D4F42">
        <w:rPr>
          <w:sz w:val="16"/>
        </w:rPr>
        <w:t xml:space="preserve">, much less what the state gets for the money it spends. "No accountability - that's part of the problem," said Sen. John Watkins, R-Powhatan, the commission's chairman, after the presentation Monday. The administration of Gov. Terry McAuliffe embraced the JLARC findings and recommendations, with one exception, and made clear that it has begun collecting information that the previous administration under Gov. Bob McDonnell had not. "This was not asked for before we came into office," Secretary of Commerce and Trade Maurice A. Jones said about data the state previously had not collected from local school divisions and community colleges on the number of people who are trained and credentialed in various professions. The issue of workforce development is likely to be a major issue in the assembly session that convenes Jan. 14. McAuliffe will present budget proposals next week to cut $322 million from the two-year budget to finish closing a $2.4 billion revenue shortfall, but he said on Friday that he intends to seek more state money, not less, for workforce training and the state's economic development deal-closing fund. "I do think this is the most important item we have to work on for the economic health and economic development of Virginia," Jones told the commission. The administration said it differs from the JLARC staff on only one recommendation - where to consolidate a state apprenticeship program now administered by the Virginia Community College System and the Department of Labor and Industry. The staff recommends giving the full responsibility to the community college system, which provides training across the state, while the administration wants to bring the program fully into the department, which Jones said is closer to the businesses that would employ apprentices. Del. R. Steven Landes, R-Augusta, said the community colleges are far more visible and accessible than the department in his district in the Shenandoah Valley. The JLARC staff said the department is "less proactive" in promoting apprenticeships, which account for only 10 percent of the agency budget. The report also found fault with the Virginia Employment Commission for having little or no presence in one-stop employment centers in some parts of the state, including the Richmond region, and recommended development of a plan to incorporate VEC offices into all workforce centers. The report said </w:t>
      </w:r>
      <w:r w:rsidRPr="009D4F42">
        <w:rPr>
          <w:rStyle w:val="StyleUnderline"/>
        </w:rPr>
        <w:t>responsibility for carrying out federal workforce laws is scattered among nine state agencies in three secretariats,</w:t>
      </w:r>
      <w:r w:rsidRPr="009D4F42">
        <w:rPr>
          <w:sz w:val="16"/>
        </w:rPr>
        <w:t xml:space="preserve"> and that </w:t>
      </w:r>
      <w:r w:rsidRPr="009D4F42">
        <w:rPr>
          <w:rStyle w:val="StyleUnderline"/>
        </w:rPr>
        <w:t xml:space="preserve">the state board responsible for workforce development has </w:t>
      </w:r>
      <w:r w:rsidRPr="009D4F42">
        <w:rPr>
          <w:rStyle w:val="Emphasis"/>
        </w:rPr>
        <w:t>neither the staff</w:t>
      </w:r>
      <w:r w:rsidRPr="009D4F42">
        <w:rPr>
          <w:rStyle w:val="StyleUnderline"/>
        </w:rPr>
        <w:t xml:space="preserve"> </w:t>
      </w:r>
      <w:r w:rsidRPr="009D4F42">
        <w:rPr>
          <w:rStyle w:val="Emphasis"/>
        </w:rPr>
        <w:t>nor the authority</w:t>
      </w:r>
      <w:r w:rsidRPr="009D4F42">
        <w:rPr>
          <w:rStyle w:val="StyleUnderline"/>
        </w:rPr>
        <w:t xml:space="preserve"> to coordinate various programs at the state level.</w:t>
      </w:r>
      <w:r>
        <w:rPr>
          <w:rStyle w:val="StyleUnderline"/>
        </w:rPr>
        <w:t xml:space="preserve"> </w:t>
      </w:r>
      <w:r w:rsidRPr="009D4F42">
        <w:rPr>
          <w:rStyle w:val="StyleUnderline"/>
        </w:rPr>
        <w:t>The biggest concern</w:t>
      </w:r>
      <w:r w:rsidRPr="009D4F42">
        <w:rPr>
          <w:sz w:val="16"/>
        </w:rPr>
        <w:t xml:space="preserve"> documented by the report </w:t>
      </w:r>
      <w:r w:rsidRPr="009D4F42">
        <w:rPr>
          <w:rStyle w:val="StyleUnderline"/>
        </w:rPr>
        <w:t>is the failure of workforce programs to produce employees with the skills for the professions that need them</w:t>
      </w:r>
      <w:r w:rsidRPr="009D4F42">
        <w:rPr>
          <w:sz w:val="16"/>
        </w:rPr>
        <w:t xml:space="preserve">, such as health services, or business needs specific to different regions of the state. </w:t>
      </w:r>
      <w:r w:rsidRPr="009D4F42">
        <w:rPr>
          <w:rStyle w:val="StyleUnderline"/>
        </w:rPr>
        <w:t xml:space="preserve">The fault lies in part with local school systems in developing curricula for career and technical education that </w:t>
      </w:r>
      <w:r w:rsidRPr="009D4F42">
        <w:rPr>
          <w:rStyle w:val="Emphasis"/>
        </w:rPr>
        <w:t>doesn't match the needs of businesses</w:t>
      </w:r>
      <w:r w:rsidRPr="009D4F42">
        <w:rPr>
          <w:rStyle w:val="StyleUnderline"/>
        </w:rPr>
        <w:t xml:space="preserve"> looking for employees in their regions</w:t>
      </w:r>
      <w:r w:rsidRPr="009D4F42">
        <w:rPr>
          <w:sz w:val="16"/>
        </w:rPr>
        <w:t>, the report concludes. "</w:t>
      </w:r>
      <w:r w:rsidRPr="009D4F42">
        <w:rPr>
          <w:rStyle w:val="StyleUnderline"/>
        </w:rPr>
        <w:t>Workforce development programs do not</w:t>
      </w:r>
      <w:r w:rsidRPr="009D4F42">
        <w:rPr>
          <w:sz w:val="16"/>
        </w:rPr>
        <w:t xml:space="preserve"> appear to </w:t>
      </w:r>
      <w:r w:rsidRPr="009D4F42">
        <w:rPr>
          <w:rStyle w:val="StyleUnderline"/>
        </w:rPr>
        <w:t>meet the expectations of many employers with</w:t>
      </w:r>
      <w:r w:rsidRPr="009D4F42">
        <w:rPr>
          <w:sz w:val="16"/>
        </w:rPr>
        <w:t xml:space="preserve"> respect </w:t>
      </w:r>
      <w:r w:rsidRPr="009D4F42">
        <w:rPr>
          <w:rStyle w:val="StyleUnderline"/>
        </w:rPr>
        <w:t>to producing the workforce they need and providing the services they value</w:t>
      </w:r>
      <w:r w:rsidRPr="009D4F42">
        <w:rPr>
          <w:sz w:val="16"/>
        </w:rPr>
        <w:t xml:space="preserve">," states the report, which said </w:t>
      </w:r>
      <w:r w:rsidRPr="009D4F42">
        <w:rPr>
          <w:rStyle w:val="StyleUnderline"/>
        </w:rPr>
        <w:t xml:space="preserve">only </w:t>
      </w:r>
      <w:r w:rsidRPr="009D4F42">
        <w:rPr>
          <w:rStyle w:val="Emphasis"/>
        </w:rPr>
        <w:t>16 percent</w:t>
      </w:r>
      <w:r w:rsidRPr="009D4F42">
        <w:rPr>
          <w:rStyle w:val="StyleUnderline"/>
        </w:rPr>
        <w:t xml:space="preserve"> of employers surveyed for the study sought help from public workforce programs when they had difficulty in filling positions</w:t>
      </w:r>
      <w:r w:rsidRPr="009D4F42">
        <w:rPr>
          <w:sz w:val="16"/>
        </w:rPr>
        <w:t xml:space="preserve">. For example, the report said, </w:t>
      </w:r>
      <w:r w:rsidRPr="009D4F42">
        <w:rPr>
          <w:rStyle w:val="StyleUnderline"/>
        </w:rPr>
        <w:t xml:space="preserve">health sciences account for 18 percent of job openings but </w:t>
      </w:r>
      <w:r w:rsidRPr="009D4F42">
        <w:rPr>
          <w:rStyle w:val="Emphasis"/>
        </w:rPr>
        <w:t>only 3 percent</w:t>
      </w:r>
      <w:r w:rsidRPr="009D4F42">
        <w:rPr>
          <w:rStyle w:val="StyleUnderline"/>
        </w:rPr>
        <w:t xml:space="preserve"> of high school career and technical education programs</w:t>
      </w:r>
      <w:r w:rsidRPr="009D4F42">
        <w:rPr>
          <w:sz w:val="16"/>
        </w:rPr>
        <w:t xml:space="preserve">. At the same time, </w:t>
      </w:r>
      <w:r w:rsidRPr="009D4F42">
        <w:rPr>
          <w:rStyle w:val="StyleUnderline"/>
        </w:rPr>
        <w:t>20 percent of the high school courses focus on arts, communications and human services, which account for 5 percent of job openings</w:t>
      </w:r>
      <w:r w:rsidRPr="009D4F42">
        <w:rPr>
          <w:sz w:val="16"/>
        </w:rPr>
        <w:t xml:space="preserve">. Members of the commission made clear they expect the programs to develop performance measures to judge the return on the state's financial investment, which is about one-third of all money spent on the programs. "We're allocating capital here; </w:t>
      </w:r>
      <w:r w:rsidRPr="009D4F42">
        <w:rPr>
          <w:rStyle w:val="Emphasis"/>
        </w:rPr>
        <w:t>what kind of return are we getting</w:t>
      </w:r>
      <w:r w:rsidRPr="009D4F42">
        <w:rPr>
          <w:sz w:val="16"/>
        </w:rPr>
        <w:t xml:space="preserve"> on it?" asked Del. Jimmie Massie, R-Henrico.</w:t>
      </w:r>
    </w:p>
    <w:p w:rsidR="002B46F4" w:rsidRPr="00A15A0A" w:rsidRDefault="002B46F4" w:rsidP="002B46F4">
      <w:pPr>
        <w:pStyle w:val="Heading4"/>
      </w:pPr>
      <w:r w:rsidRPr="00A15A0A">
        <w:t xml:space="preserve">No solvency – </w:t>
      </w:r>
      <w:r w:rsidRPr="00A15A0A">
        <w:rPr>
          <w:u w:val="single"/>
        </w:rPr>
        <w:t>data gaps</w:t>
      </w:r>
      <w:r w:rsidRPr="00A15A0A">
        <w:t xml:space="preserve">, </w:t>
      </w:r>
      <w:r w:rsidRPr="00A15A0A">
        <w:rPr>
          <w:u w:val="single"/>
        </w:rPr>
        <w:t xml:space="preserve">disconnect from business </w:t>
      </w:r>
      <w:r w:rsidRPr="00A15A0A">
        <w:t xml:space="preserve">and </w:t>
      </w:r>
      <w:r w:rsidRPr="00A15A0A">
        <w:rPr>
          <w:u w:val="single"/>
        </w:rPr>
        <w:t>post-secondary schools</w:t>
      </w:r>
      <w:r w:rsidRPr="00A15A0A">
        <w:t xml:space="preserve"> – reforms fails </w:t>
      </w:r>
    </w:p>
    <w:p w:rsidR="002B46F4" w:rsidRDefault="002B46F4" w:rsidP="002B46F4">
      <w:r w:rsidRPr="007D2B67">
        <w:rPr>
          <w:rStyle w:val="Style13ptBold"/>
        </w:rPr>
        <w:t>Business Roundtable 15</w:t>
      </w:r>
      <w:r>
        <w:t xml:space="preserve"> (“Policy for the Reauthorization of the Carl D. Perkins Career And Technical Education Act,” Oct 28, </w:t>
      </w:r>
      <w:hyperlink r:id="rId6" w:history="1">
        <w:r w:rsidRPr="00E62C40">
          <w:rPr>
            <w:rStyle w:val="Hyperlink"/>
          </w:rPr>
          <w:t>http://businessroundtable.org/sites/default/files/reports/BRT%20Policies%20for%20CTE.pdf)//cmr</w:t>
        </w:r>
      </w:hyperlink>
      <w:r>
        <w:t xml:space="preserve"> </w:t>
      </w:r>
    </w:p>
    <w:p w:rsidR="002B46F4" w:rsidRDefault="002B46F4" w:rsidP="002B46F4">
      <w:pPr>
        <w:rPr>
          <w:rStyle w:val="StyleUnderline"/>
        </w:rPr>
      </w:pPr>
      <w:r w:rsidRPr="007D2B67">
        <w:rPr>
          <w:sz w:val="16"/>
        </w:rPr>
        <w:t xml:space="preserve">Despite these additions, </w:t>
      </w:r>
      <w:r w:rsidRPr="007D2B67">
        <w:rPr>
          <w:rStyle w:val="StyleUnderline"/>
        </w:rPr>
        <w:t>the Perkins Act has been criticized for a lack of reliable and comparable data measuring student outcomes</w:t>
      </w:r>
      <w:r w:rsidRPr="007D2B67">
        <w:rPr>
          <w:sz w:val="16"/>
        </w:rPr>
        <w:t xml:space="preserve">; </w:t>
      </w:r>
      <w:r w:rsidRPr="007D2B67">
        <w:rPr>
          <w:rStyle w:val="StyleUnderline"/>
        </w:rPr>
        <w:t>limited alignment with the needs of business and industry; and insufficient collaboration between secondary and post-secondary institutions and other stakeholders to improve the quality of CTE programs</w:t>
      </w:r>
      <w:r w:rsidRPr="007D2B67">
        <w:rPr>
          <w:sz w:val="16"/>
        </w:rPr>
        <w:t xml:space="preserve">. Several concerns were also raised as part of the Investing in America’s Future: A Blueprint for Transforming Career and Technical Education released by Secretary of Education Arne Duncan in early 2012. </w:t>
      </w:r>
      <w:r w:rsidRPr="007D2B67">
        <w:rPr>
          <w:rStyle w:val="StyleUnderline"/>
        </w:rPr>
        <w:t xml:space="preserve">In referencing the 2006 reauthorization, the Blueprint noted “these changes helped to improve the learning experiences of students but did not go far enough to systemically create better outcomes for students and employers competing in a 21st-century global economy.” </w:t>
      </w:r>
    </w:p>
    <w:p w:rsidR="002B46F4" w:rsidRDefault="002B46F4" w:rsidP="002B46F4"/>
    <w:p w:rsidR="00C12070" w:rsidRDefault="00C12070" w:rsidP="00C12070">
      <w:pPr>
        <w:pStyle w:val="Heading3"/>
      </w:pPr>
      <w:r>
        <w:t xml:space="preserve">No Solvency – CTE Irrelevant </w:t>
      </w:r>
    </w:p>
    <w:p w:rsidR="00C12070" w:rsidRDefault="00C12070" w:rsidP="00C12070">
      <w:pPr>
        <w:pStyle w:val="Heading4"/>
      </w:pPr>
      <w:r>
        <w:t>CTE teaches contextualizes job skills based on the current economic situations – means employees can’t adapt to changes economic patterns – CTE-taught employees don’t get hired</w:t>
      </w:r>
    </w:p>
    <w:p w:rsidR="00C12070" w:rsidRPr="001C7479" w:rsidRDefault="00C12070" w:rsidP="00C12070">
      <w:pPr>
        <w:rPr>
          <w:rStyle w:val="Style13ptBold"/>
        </w:rPr>
      </w:pPr>
      <w:r>
        <w:rPr>
          <w:rStyle w:val="Style13ptBold"/>
        </w:rPr>
        <w:t xml:space="preserve">Leonhardt, 2017 </w:t>
      </w:r>
      <w:r w:rsidRPr="001C7479">
        <w:rPr>
          <w:rStyle w:val="Style13ptBold"/>
          <w:sz w:val="16"/>
        </w:rPr>
        <w:t>[David- an American journalist and columnist writing from a liberal, left-of-center perspective. His column appears in The New York Times on Tuesdays, and he also writes a daily e-mail newsletter, Opinion Today, “The Trouble With Trade School”, 7/17/17, The New York Times, https://www.nytimes.com/2017/07/17/opinion/vocational-education-jobs.html]</w:t>
      </w:r>
    </w:p>
    <w:p w:rsidR="00C12070" w:rsidRDefault="00C12070" w:rsidP="00C12070">
      <w:pPr>
        <w:pStyle w:val="story-body-text"/>
        <w:shd w:val="clear" w:color="auto" w:fill="FFFFFF"/>
        <w:spacing w:before="0" w:beforeAutospacing="0" w:after="240" w:afterAutospacing="0"/>
        <w:rPr>
          <w:rFonts w:ascii="Calibri" w:hAnsi="Calibri"/>
          <w:color w:val="000000" w:themeColor="text1"/>
          <w:sz w:val="14"/>
        </w:rPr>
      </w:pPr>
      <w:r w:rsidRPr="001C7479">
        <w:rPr>
          <w:rFonts w:ascii="Calibri" w:hAnsi="Calibri"/>
          <w:color w:val="000000" w:themeColor="text1"/>
          <w:sz w:val="14"/>
        </w:rPr>
        <w:t xml:space="preserve">Across the political spectrum, just about everyone seems to be in favor of expanding vocational education. The idea makes a lot of sense, too. A four-year college degree should not be the only path to the middle class. Students should also be able to learn technical skills that lead to good-paying, blue-collar jobs. But I’m worried that </w:t>
      </w:r>
      <w:r w:rsidRPr="008502A5">
        <w:rPr>
          <w:rFonts w:ascii="Calibri" w:hAnsi="Calibri"/>
          <w:color w:val="000000" w:themeColor="text1"/>
          <w:u w:val="single"/>
        </w:rPr>
        <w:t>the idea of vocational education has become so popular — backed by Presidents Trump and Obama</w:t>
      </w:r>
      <w:r w:rsidRPr="001C7479">
        <w:rPr>
          <w:rFonts w:ascii="Calibri" w:hAnsi="Calibri"/>
          <w:color w:val="000000" w:themeColor="text1"/>
          <w:sz w:val="14"/>
        </w:rPr>
        <w:t xml:space="preserve"> — </w:t>
      </w:r>
      <w:r w:rsidRPr="008502A5">
        <w:rPr>
          <w:rFonts w:ascii="Calibri" w:hAnsi="Calibri"/>
          <w:color w:val="000000" w:themeColor="text1"/>
          <w:u w:val="single"/>
        </w:rPr>
        <w:t xml:space="preserve">that its advocates have not thought through the potential downsides. </w:t>
      </w:r>
      <w:r w:rsidRPr="001C7479">
        <w:rPr>
          <w:rFonts w:ascii="Calibri" w:hAnsi="Calibri"/>
          <w:color w:val="000000" w:themeColor="text1"/>
          <w:sz w:val="14"/>
        </w:rPr>
        <w:t xml:space="preserve">Those downsides appear to be significant, according to new research by a group of professors in the United States, Germany and China. </w:t>
      </w:r>
      <w:r w:rsidRPr="001C7479">
        <w:rPr>
          <w:rFonts w:ascii="Calibri" w:hAnsi="Calibri"/>
          <w:color w:val="000000" w:themeColor="text1"/>
          <w:u w:val="single"/>
        </w:rPr>
        <w:t>Vocational education, done right, helps workers find jobs when they are young. But as they age — and job requirements change — workers are often not well prepared for the changes</w:t>
      </w:r>
      <w:r w:rsidRPr="001C7479">
        <w:rPr>
          <w:rFonts w:ascii="Calibri" w:hAnsi="Calibri"/>
          <w:color w:val="000000" w:themeColor="text1"/>
          <w:sz w:val="14"/>
        </w:rPr>
        <w:t xml:space="preserve">, according to the study, published in The Journal of Human Resources. </w:t>
      </w:r>
      <w:r w:rsidRPr="001C7479">
        <w:rPr>
          <w:rFonts w:ascii="Calibri" w:hAnsi="Calibri"/>
          <w:color w:val="000000" w:themeColor="text1"/>
          <w:u w:val="single"/>
        </w:rPr>
        <w:t>Rather than retraining workers, many companies decide to let them go and hire other workers.</w:t>
      </w:r>
      <w:r w:rsidRPr="001C7479">
        <w:rPr>
          <w:rFonts w:ascii="Calibri" w:hAnsi="Calibri"/>
          <w:color w:val="000000" w:themeColor="text1"/>
          <w:sz w:val="14"/>
        </w:rPr>
        <w:t xml:space="preserve"> Most strikingly, the research found that </w:t>
      </w:r>
      <w:r w:rsidRPr="001C7479">
        <w:rPr>
          <w:rFonts w:ascii="Calibri" w:hAnsi="Calibri"/>
          <w:color w:val="000000" w:themeColor="text1"/>
          <w:u w:val="single"/>
        </w:rPr>
        <w:t>people who received a broad, general education earned more over their lifetimes</w:t>
      </w:r>
      <w:r w:rsidRPr="001C7479">
        <w:rPr>
          <w:rFonts w:ascii="Calibri" w:hAnsi="Calibri"/>
          <w:color w:val="000000" w:themeColor="text1"/>
          <w:sz w:val="14"/>
        </w:rPr>
        <w:t xml:space="preserve"> </w:t>
      </w:r>
      <w:r w:rsidRPr="001C7479">
        <w:rPr>
          <w:rFonts w:ascii="Calibri" w:hAnsi="Calibri"/>
          <w:color w:val="000000" w:themeColor="text1"/>
          <w:u w:val="single"/>
        </w:rPr>
        <w:t>than</w:t>
      </w:r>
      <w:r w:rsidRPr="001C7479">
        <w:rPr>
          <w:rFonts w:ascii="Calibri" w:hAnsi="Calibri"/>
          <w:color w:val="000000" w:themeColor="text1"/>
          <w:sz w:val="14"/>
        </w:rPr>
        <w:t xml:space="preserve"> otherwise similar </w:t>
      </w:r>
      <w:r w:rsidRPr="001C7479">
        <w:rPr>
          <w:rFonts w:ascii="Calibri" w:hAnsi="Calibri"/>
          <w:color w:val="000000" w:themeColor="text1"/>
          <w:u w:val="single"/>
        </w:rPr>
        <w:t>people</w:t>
      </w:r>
      <w:r w:rsidRPr="001C7479">
        <w:rPr>
          <w:rFonts w:ascii="Calibri" w:hAnsi="Calibri"/>
          <w:color w:val="000000" w:themeColor="text1"/>
          <w:sz w:val="14"/>
        </w:rPr>
        <w:t xml:space="preserve"> (that is, with similar test scores and years of schooling) </w:t>
      </w:r>
      <w:r w:rsidRPr="001C7479">
        <w:rPr>
          <w:rFonts w:ascii="Calibri" w:hAnsi="Calibri"/>
          <w:color w:val="000000" w:themeColor="text1"/>
          <w:u w:val="single"/>
        </w:rPr>
        <w:t>who had attended vocational programs.</w:t>
      </w:r>
      <w:r w:rsidRPr="001C7479">
        <w:rPr>
          <w:rFonts w:ascii="Calibri" w:hAnsi="Calibri"/>
          <w:color w:val="000000" w:themeColor="text1"/>
          <w:sz w:val="14"/>
        </w:rPr>
        <w:t xml:space="preserve"> Notably, the </w:t>
      </w:r>
      <w:r w:rsidRPr="001C7479">
        <w:rPr>
          <w:rFonts w:ascii="Calibri" w:hAnsi="Calibri"/>
          <w:color w:val="000000" w:themeColor="text1"/>
          <w:u w:val="single"/>
        </w:rPr>
        <w:t xml:space="preserve">vocational graduates in most countries were more likely to be unemployed while older. </w:t>
      </w:r>
      <w:r w:rsidRPr="001C7479">
        <w:rPr>
          <w:rFonts w:ascii="Calibri" w:hAnsi="Calibri"/>
          <w:color w:val="000000" w:themeColor="text1"/>
          <w:sz w:val="14"/>
        </w:rPr>
        <w:t>“</w:t>
      </w:r>
      <w:r w:rsidRPr="001C7479">
        <w:rPr>
          <w:rFonts w:ascii="Calibri" w:hAnsi="Calibri"/>
          <w:color w:val="000000" w:themeColor="text1"/>
          <w:u w:val="single"/>
        </w:rPr>
        <w:t>The largest problem of skills in the U.S. today</w:t>
      </w:r>
      <w:r w:rsidRPr="001C7479">
        <w:rPr>
          <w:rFonts w:ascii="Calibri" w:hAnsi="Calibri"/>
          <w:color w:val="000000" w:themeColor="text1"/>
          <w:sz w:val="14"/>
        </w:rPr>
        <w:t xml:space="preserve"> isn’t a shortage of young workers with specific competencies,” Eric Hanushek, one of the researchers and a Stanford professor, wrote in a recent Wall Street Journal op-ed. “Instead</w:t>
      </w:r>
      <w:r w:rsidRPr="001C7479">
        <w:rPr>
          <w:rFonts w:ascii="Calibri" w:hAnsi="Calibri"/>
          <w:color w:val="000000" w:themeColor="text1"/>
          <w:u w:val="single"/>
        </w:rPr>
        <w:t xml:space="preserve"> it is a need for more general cognitive skills that give workers the ability to adapt to new circumstances and new jobs</w:t>
      </w:r>
      <w:r w:rsidRPr="001C7479">
        <w:rPr>
          <w:rFonts w:ascii="Calibri" w:hAnsi="Calibri"/>
          <w:color w:val="000000" w:themeColor="text1"/>
          <w:sz w:val="14"/>
        </w:rPr>
        <w:t xml:space="preserve">.” Clearly, this country still needs more and better vocational education. It remains a path to good blue-collar jobs for many Americans, and it could be a path for even more. </w:t>
      </w:r>
      <w:r w:rsidRPr="001C7479">
        <w:rPr>
          <w:rFonts w:ascii="Calibri" w:hAnsi="Calibri"/>
          <w:color w:val="000000" w:themeColor="text1"/>
          <w:u w:val="single"/>
        </w:rPr>
        <w:t>But vocational education is not a perfect solution to blue-collar wage stagnation, and it can’t be the only solution. We also need to think about how to retrain people as they age</w:t>
      </w:r>
      <w:r w:rsidRPr="001C7479">
        <w:rPr>
          <w:rFonts w:ascii="Calibri" w:hAnsi="Calibri"/>
          <w:color w:val="000000" w:themeColor="text1"/>
          <w:sz w:val="14"/>
        </w:rPr>
        <w:t>. And we shouldn’t be promoting vocational education at the expense of general education. Expanding the number of four-year college graduates also deserves to be a national priority. They continue to fare much better in the job market than people who have not had the benefit of a broad, flexible education.</w:t>
      </w:r>
    </w:p>
    <w:p w:rsidR="00C12070" w:rsidRDefault="00C12070" w:rsidP="00C12070">
      <w:pPr>
        <w:pStyle w:val="Heading4"/>
      </w:pPr>
      <w:r>
        <w:t>Increasing CTE funding alone doesn’t solve – auditing systems and internships are needed in order to reap the full benefits of any CTE training</w:t>
      </w:r>
    </w:p>
    <w:p w:rsidR="00C12070" w:rsidRPr="001C7479" w:rsidRDefault="00C12070" w:rsidP="00C12070">
      <w:pPr>
        <w:rPr>
          <w:rStyle w:val="Style13ptBold"/>
        </w:rPr>
      </w:pPr>
      <w:r>
        <w:rPr>
          <w:rStyle w:val="Style13ptBold"/>
        </w:rPr>
        <w:t xml:space="preserve">Paul, 2011 </w:t>
      </w:r>
      <w:r w:rsidRPr="002B1B31">
        <w:rPr>
          <w:rStyle w:val="Style13ptBold"/>
          <w:sz w:val="16"/>
        </w:rPr>
        <w:t>[Jane Scott- Retired chief executive of AAT, University of Oxford Delegacy of Local Examinations, “Are vocational qualifications a better option than university?”, 5/24/11, The Guardian, https://www.theguardian.com/education/mortarboard/2011/may/24/vocation-qualifications-graduate-unemployment-university]</w:t>
      </w:r>
    </w:p>
    <w:p w:rsidR="00C12070" w:rsidRPr="001C7479" w:rsidRDefault="00C12070" w:rsidP="00C12070">
      <w:pPr>
        <w:rPr>
          <w:sz w:val="14"/>
        </w:rPr>
      </w:pPr>
      <w:r w:rsidRPr="001C7479">
        <w:rPr>
          <w:sz w:val="14"/>
        </w:rPr>
        <w:t xml:space="preserve">However, </w:t>
      </w:r>
      <w:r w:rsidRPr="001C7479">
        <w:rPr>
          <w:u w:val="single"/>
        </w:rPr>
        <w:t>the vocational path is not a panacea</w:t>
      </w:r>
      <w:r w:rsidRPr="001C7479">
        <w:rPr>
          <w:sz w:val="14"/>
        </w:rPr>
        <w:t xml:space="preserve"> and there are a few significant issues that need to be addressed. First, </w:t>
      </w:r>
      <w:r w:rsidRPr="001C7479">
        <w:rPr>
          <w:u w:val="single"/>
        </w:rPr>
        <w:t>we need to make the distinction between soft vocational subjects and rigorous, high-quality courses that both equip young people with the skills employers demand and offer a direct vocational path to senior management</w:t>
      </w:r>
      <w:r w:rsidRPr="001C7479">
        <w:rPr>
          <w:sz w:val="14"/>
        </w:rPr>
        <w:t xml:space="preserve">. Second, we </w:t>
      </w:r>
      <w:r w:rsidRPr="001C7479">
        <w:rPr>
          <w:u w:val="single"/>
        </w:rPr>
        <w:t>need a vocational</w:t>
      </w:r>
      <w:r w:rsidRPr="001C7479">
        <w:rPr>
          <w:sz w:val="14"/>
        </w:rPr>
        <w:t xml:space="preserve"> equivalent to the Higher Education Statistics Agency </w:t>
      </w:r>
      <w:r w:rsidRPr="001C7479">
        <w:rPr>
          <w:u w:val="single"/>
        </w:rPr>
        <w:t>that tracks quality and employability rates for universities</w:t>
      </w:r>
      <w:r w:rsidRPr="001C7479">
        <w:rPr>
          <w:sz w:val="14"/>
        </w:rPr>
        <w:t xml:space="preserve">. With the plethora of vocational qualifications available, </w:t>
      </w:r>
      <w:r w:rsidRPr="001C7479">
        <w:rPr>
          <w:u w:val="single"/>
        </w:rPr>
        <w:t>it is high time that further education introduced a standardised auditing system</w:t>
      </w:r>
      <w:r w:rsidRPr="001C7479">
        <w:rPr>
          <w:sz w:val="14"/>
        </w:rPr>
        <w:t xml:space="preserve"> that allows young people and their advisors to identify the best options available. And finally, whilst it is encouraging to hear David Cameron pledge to fix our country's schools problem, his </w:t>
      </w:r>
      <w:r w:rsidRPr="001C7479">
        <w:rPr>
          <w:u w:val="single"/>
        </w:rPr>
        <w:t xml:space="preserve">government must </w:t>
      </w:r>
      <w:r w:rsidRPr="001C7479">
        <w:rPr>
          <w:sz w:val="14"/>
        </w:rPr>
        <w:t xml:space="preserve">live up to their commitment to </w:t>
      </w:r>
      <w:r w:rsidRPr="001C7479">
        <w:rPr>
          <w:u w:val="single"/>
        </w:rPr>
        <w:t>create more apprenticeships to help students combine their qualifications with valuable on-the-job training.</w:t>
      </w:r>
      <w:r w:rsidRPr="001C7479">
        <w:rPr>
          <w:sz w:val="14"/>
        </w:rPr>
        <w:t xml:space="preserve"> If young people are to reap the full benefits of high-quality vocational qualifications, the paradigm shift away from university must also be felt at the very top.</w:t>
      </w:r>
    </w:p>
    <w:p w:rsidR="00C12070" w:rsidRPr="001C7479" w:rsidRDefault="00C12070" w:rsidP="00C12070">
      <w:pPr>
        <w:pStyle w:val="story-body-text"/>
        <w:shd w:val="clear" w:color="auto" w:fill="FFFFFF"/>
        <w:spacing w:before="0" w:beforeAutospacing="0" w:after="240" w:afterAutospacing="0"/>
        <w:rPr>
          <w:rFonts w:ascii="Calibri" w:hAnsi="Calibri"/>
          <w:color w:val="000000" w:themeColor="text1"/>
          <w:sz w:val="14"/>
        </w:rPr>
      </w:pPr>
    </w:p>
    <w:p w:rsidR="00C12070" w:rsidRDefault="00C12070" w:rsidP="00C12070">
      <w:pPr>
        <w:pStyle w:val="Heading3"/>
      </w:pPr>
      <w:r>
        <w:t>No Solvency – Enrollment/Backlash</w:t>
      </w:r>
    </w:p>
    <w:p w:rsidR="00C12070" w:rsidRPr="002831C8" w:rsidRDefault="00C12070" w:rsidP="00C12070">
      <w:pPr>
        <w:pStyle w:val="Heading4"/>
        <w:rPr>
          <w:rStyle w:val="Style13ptBold"/>
          <w:b/>
        </w:rPr>
      </w:pPr>
      <w:r>
        <w:rPr>
          <w:rStyle w:val="Style13ptBold"/>
          <w:b/>
        </w:rPr>
        <w:t xml:space="preserve">There is lack of parent support for CTE due to concerns over skills gained and their specific uses in college and packed student schedules --- CTE doesn’t seem worth it compared to other, more rigorous courses </w:t>
      </w:r>
    </w:p>
    <w:p w:rsidR="00C12070" w:rsidRPr="002831C8" w:rsidRDefault="00C12070" w:rsidP="00C12070">
      <w:pPr>
        <w:pStyle w:val="NormalWeb"/>
        <w:spacing w:before="255" w:beforeAutospacing="0" w:after="0" w:afterAutospacing="0"/>
        <w:textAlignment w:val="baseline"/>
        <w:rPr>
          <w:rStyle w:val="Style13ptBold"/>
          <w:rFonts w:ascii="Calibri" w:hAnsi="Calibri"/>
        </w:rPr>
      </w:pPr>
      <w:r w:rsidRPr="002831C8">
        <w:rPr>
          <w:rStyle w:val="Style13ptBold"/>
          <w:rFonts w:ascii="Calibri" w:hAnsi="Calibri"/>
        </w:rPr>
        <w:t>BUTRYMOWICZ</w:t>
      </w:r>
      <w:r>
        <w:rPr>
          <w:rStyle w:val="Style13ptBold"/>
          <w:rFonts w:ascii="Calibri" w:hAnsi="Calibri"/>
        </w:rPr>
        <w:t xml:space="preserve">, 2012 </w:t>
      </w:r>
      <w:r w:rsidRPr="007C6E22">
        <w:rPr>
          <w:rStyle w:val="Style13ptBold"/>
          <w:rFonts w:ascii="Calibri" w:hAnsi="Calibri"/>
          <w:sz w:val="16"/>
        </w:rPr>
        <w:t>[Sarah- she is data editor she spent four years as a staff writer for The Hechinger Report, covering k-12 education, “Push for career-technical education meets parent resistance”, The Hechinger Report, http://hechingerreport.org/push-for-career-technical-education-meets-parent-resistance/]</w:t>
      </w:r>
    </w:p>
    <w:p w:rsidR="00C12070" w:rsidRPr="002831C8" w:rsidRDefault="00C12070" w:rsidP="00C12070">
      <w:pPr>
        <w:pStyle w:val="NormalWeb"/>
        <w:spacing w:before="255" w:beforeAutospacing="0" w:after="0" w:afterAutospacing="0"/>
        <w:textAlignment w:val="baseline"/>
        <w:rPr>
          <w:b/>
          <w:sz w:val="26"/>
          <w:u w:val="single"/>
        </w:rPr>
      </w:pPr>
      <w:r w:rsidRPr="002831C8">
        <w:rPr>
          <w:rFonts w:ascii="Calibri" w:hAnsi="Calibri"/>
          <w:color w:val="000000" w:themeColor="text1"/>
          <w:sz w:val="16"/>
          <w:szCs w:val="26"/>
        </w:rPr>
        <w:t xml:space="preserve">SAN DIEGO — Career and technical education has come a long way since the days when students could be steered from academics into hairstyling, auto repairs or carpentry. But that doesn’t mean it’s easy to sell the concept of having all students take courses in CTE, as it is known. </w:t>
      </w:r>
      <w:r w:rsidRPr="002831C8">
        <w:rPr>
          <w:rFonts w:ascii="Calibri" w:hAnsi="Calibri"/>
          <w:color w:val="000000" w:themeColor="text1"/>
          <w:sz w:val="26"/>
          <w:szCs w:val="26"/>
          <w:u w:val="single"/>
        </w:rPr>
        <w:t>Take what happened</w:t>
      </w:r>
      <w:r w:rsidRPr="002831C8">
        <w:rPr>
          <w:rFonts w:ascii="Calibri" w:hAnsi="Calibri"/>
          <w:color w:val="000000" w:themeColor="text1"/>
          <w:sz w:val="16"/>
          <w:szCs w:val="26"/>
        </w:rPr>
        <w:t xml:space="preserve"> this</w:t>
      </w:r>
      <w:r w:rsidRPr="002831C8">
        <w:rPr>
          <w:rStyle w:val="Strong"/>
          <w:rFonts w:ascii="Calibri" w:hAnsi="Calibri"/>
          <w:color w:val="000000" w:themeColor="text1"/>
          <w:sz w:val="16"/>
          <w:szCs w:val="26"/>
          <w:bdr w:val="none" w:sz="0" w:space="0" w:color="auto" w:frame="1"/>
        </w:rPr>
        <w:t xml:space="preserve"> </w:t>
      </w:r>
      <w:r w:rsidRPr="002831C8">
        <w:rPr>
          <w:rFonts w:ascii="Calibri" w:hAnsi="Calibri"/>
          <w:color w:val="000000" w:themeColor="text1"/>
          <w:sz w:val="16"/>
          <w:szCs w:val="26"/>
        </w:rPr>
        <w:t xml:space="preserve">March </w:t>
      </w:r>
      <w:r w:rsidRPr="002831C8">
        <w:rPr>
          <w:rFonts w:ascii="Calibri" w:hAnsi="Calibri"/>
          <w:color w:val="000000" w:themeColor="text1"/>
          <w:sz w:val="26"/>
          <w:szCs w:val="26"/>
          <w:u w:val="single"/>
        </w:rPr>
        <w:t>in La Jolla, Calif. Parents rose in protest after the San Diego Unified School District proposed new high school graduation requirements mandating two years of career and technical education courses</w:t>
      </w:r>
      <w:r w:rsidRPr="002831C8">
        <w:rPr>
          <w:rFonts w:ascii="Calibri" w:hAnsi="Calibri"/>
          <w:color w:val="000000" w:themeColor="text1"/>
          <w:sz w:val="16"/>
          <w:szCs w:val="26"/>
        </w:rPr>
        <w:t xml:space="preserve">—or two to four courses. The district would have been the first in the nation to have such a mandate, experts believe. Parents circulated an online protest petition and school officials spent hours in a meeting to assure hundreds of parents that courses like computerized accounting, child development and website design could be in the best interest of all students. But afterwards, when parent leaders asked the crowd who favored the requirement, every single parent at the meeting voted against it. District officials were unprepared for the backlash in the affluent neighborhoods north of Interstate 8, the unofficial boundary between the haves and have-nots of the district. Just two years earlier, the school system passed a mandate—supported by the community—to make all students complete a set of courses required for entry to one of the state’s university systems. They viewed career and technical education courses as a logical extension of their goal to get all students “college and career ready,” said Sid Salazar, the district’s assistant superintendent for instructional support services. Attending college was once the sole way students could prepare for some professions but opportunities now exist in high school under an expanded definition of career and technical education. </w:t>
      </w:r>
      <w:r w:rsidRPr="002831C8">
        <w:rPr>
          <w:rFonts w:ascii="Calibri" w:hAnsi="Calibri"/>
          <w:color w:val="000000" w:themeColor="text1"/>
          <w:sz w:val="26"/>
          <w:szCs w:val="26"/>
          <w:u w:val="single"/>
        </w:rPr>
        <w:t>The parents, though, argued that college-bound students wouldn’t be helped by taking career and technical education classes. As one parent wrote on an online petition that garnered 1,326 signatures in 21 days: “If you force the children of … highly intelligent and very academic parents to take less-rigorous VoTech coursework, you will hurt their chances of admission to undergrad and grad school.” As San Diego demonstrated, despite more than a decade of efforts to revamp its image, technical education still battles a negative reputation. While college-prep graduation requirements are spreading rapidly in California, many affluent parents, and low-income parents who fear their child is being sold short, balk at technical education and assume it won’t lead to college.</w:t>
      </w:r>
      <w:r w:rsidRPr="002831C8">
        <w:rPr>
          <w:rFonts w:ascii="Calibri" w:hAnsi="Calibri"/>
          <w:color w:val="000000" w:themeColor="text1"/>
          <w:sz w:val="16"/>
          <w:szCs w:val="26"/>
        </w:rPr>
        <w:t xml:space="preserve"> Advocates are trying to convince people it’s not an either-or situation. They argue that although many career and technical fields do not require more than a certificate or an associate’s degree, CTE courses can be useful even to those on the four-year university path, including students preparing for professions like teaching and engineering. Advocates also point to data from the U.S. Department of Education demonstrating that those who concentrate in career and technical education classes in high school are more likely to graduate from high school: 90 percent earned their diploma in the 2007-2008 school year, compared with about 75 percent over all. And nearly 80 percent of those students enroll in post-secondary education within two years of high school graduation. “There’s always been a saying in the field that public attitude toward career and technical education—and I think this is accurate—[is] it’s great but for someone else’s kids,” said Kenneth Gray, an emeritus professor of education at Penn State, who has written extensively about the role of career and technical courses in high school. “I’m convinced that for a whole lot of people, they would much rather have their kid go to Yale and turn out to be a bum than go into career and technical education and be successful.” Gray added, however, that mandating it for all was not a solution. “To say everyone has to take it is as ridiculous in my view as saying everyone has to take calculus,” he said. Last year, the National Association of State Directors of Career Technical Education Consortium hired an outside communications firm and launched its second major PR move in as many decades. The new publicity campaign aims to demonstrate CTE’s links to college and the workforce. </w:t>
      </w:r>
      <w:r w:rsidRPr="002831C8">
        <w:rPr>
          <w:rFonts w:ascii="Calibri" w:hAnsi="Calibri"/>
          <w:color w:val="000000" w:themeColor="text1"/>
          <w:sz w:val="26"/>
          <w:szCs w:val="26"/>
          <w:u w:val="single"/>
        </w:rPr>
        <w:t>But when Kimberly Green, the consortium’s executive director, performs her personal litmus test—chatting with people on airplanes about her job—she still gets a similar response: “I’m so glad people have a place to go that’s not … college.” “I wouldn’t say the tide has turned,” she said. “The label is still a barrier.”</w:t>
      </w:r>
      <w:r w:rsidRPr="002831C8">
        <w:rPr>
          <w:rFonts w:ascii="Calibri" w:hAnsi="Calibri"/>
          <w:color w:val="000000" w:themeColor="text1"/>
          <w:sz w:val="16"/>
          <w:szCs w:val="26"/>
        </w:rPr>
        <w:t xml:space="preserve"> It’s not the only issue. </w:t>
      </w:r>
      <w:r w:rsidRPr="002831C8">
        <w:rPr>
          <w:rFonts w:ascii="Calibri" w:hAnsi="Calibri"/>
          <w:color w:val="000000" w:themeColor="text1"/>
          <w:sz w:val="26"/>
          <w:szCs w:val="26"/>
          <w:u w:val="single"/>
        </w:rPr>
        <w:t>Many San Diego parents worried about the limited amount of time in the school day, a problem even the staunchest technical education proponents recognize. “It’s not that we were against the career technical courses themselves, we were against making them a requirement,” said Fran Shrimp, a parent leader</w:t>
      </w:r>
      <w:r w:rsidRPr="002831C8">
        <w:rPr>
          <w:rFonts w:ascii="Calibri" w:hAnsi="Calibri"/>
          <w:color w:val="000000" w:themeColor="text1"/>
          <w:sz w:val="16"/>
          <w:szCs w:val="26"/>
        </w:rPr>
        <w:t xml:space="preserve"> in San Diego who organized the petition against mandating the courses. “Getting accepted into a good college is so competitive that students need to pack their schedules with the most challenging courses available just to be in the running.”</w:t>
      </w:r>
    </w:p>
    <w:p w:rsidR="00C12070" w:rsidRPr="00A54459" w:rsidRDefault="00C12070" w:rsidP="00C12070"/>
    <w:p w:rsidR="00C12070" w:rsidRDefault="00C12070" w:rsidP="00C12070">
      <w:pPr>
        <w:pStyle w:val="Heading3"/>
      </w:pPr>
      <w:r>
        <w:t>No Solvency – Teacher Shortages</w:t>
      </w:r>
    </w:p>
    <w:p w:rsidR="00C12070" w:rsidRDefault="00C12070" w:rsidP="00C12070">
      <w:pPr>
        <w:pStyle w:val="Heading4"/>
      </w:pPr>
      <w:r>
        <w:t>The last generation of teachers is retiring faster than ever and education as a career option has been pushed to the margins --- with the demand for teachers growing, teacher shortages are an imminent and serious threat</w:t>
      </w:r>
    </w:p>
    <w:p w:rsidR="00C12070" w:rsidRPr="003D303C" w:rsidRDefault="00C12070" w:rsidP="00C12070">
      <w:pPr>
        <w:rPr>
          <w:rStyle w:val="Style13ptBold"/>
        </w:rPr>
      </w:pPr>
      <w:r>
        <w:rPr>
          <w:rStyle w:val="Style13ptBold"/>
        </w:rPr>
        <w:t xml:space="preserve">No Author given, 7/12 </w:t>
      </w:r>
      <w:r w:rsidRPr="006E44A7">
        <w:rPr>
          <w:rStyle w:val="Style13ptBold"/>
          <w:sz w:val="16"/>
        </w:rPr>
        <w:t>[Lowcountry Graduate Center, “The Looming Teacher Shortage Crisis”, 7/12/2017, https://www.lowcountrygradcenter.org/the-looming-teacher-shortage-crisis/]</w:t>
      </w:r>
    </w:p>
    <w:p w:rsidR="00C12070" w:rsidRPr="00720530" w:rsidRDefault="00C12070" w:rsidP="00C12070">
      <w:pPr>
        <w:shd w:val="clear" w:color="auto" w:fill="FFFFFF"/>
        <w:spacing w:before="100" w:beforeAutospacing="1" w:after="360"/>
        <w:rPr>
          <w:rFonts w:cs="Times New Roman"/>
          <w:color w:val="000000" w:themeColor="text1"/>
          <w:sz w:val="16"/>
          <w:szCs w:val="28"/>
        </w:rPr>
      </w:pPr>
      <w:r w:rsidRPr="00720530">
        <w:rPr>
          <w:rFonts w:cs="Times New Roman"/>
          <w:color w:val="000000" w:themeColor="text1"/>
          <w:sz w:val="16"/>
          <w:szCs w:val="28"/>
        </w:rPr>
        <w:t>This is not a formula any science teacher would propose: Take a state that holds itself accountable in its constitution for “minimally adequate” education; combine legislative foot-dragging over a court decision demanding remediation of appalling conditions at schools along a poor section of the state dubbed the “corridor of shame;” and mix in a burdensome level of testing that is limiting teaching time and driving out veteran teachers. The result is a state that rates 48</w:t>
      </w:r>
      <w:r w:rsidRPr="00720530">
        <w:rPr>
          <w:rFonts w:cs="Times New Roman"/>
          <w:color w:val="000000" w:themeColor="text1"/>
          <w:sz w:val="16"/>
          <w:szCs w:val="28"/>
          <w:vertAlign w:val="superscript"/>
        </w:rPr>
        <w:t>th</w:t>
      </w:r>
      <w:r w:rsidRPr="00720530">
        <w:rPr>
          <w:rFonts w:cs="Times New Roman"/>
          <w:color w:val="000000" w:themeColor="text1"/>
          <w:sz w:val="16"/>
          <w:szCs w:val="28"/>
        </w:rPr>
        <w:t xml:space="preserve"> in the nation in K-12 education nationally. Now stir in a federal budget that would slash millions from the state’s schools and heat slowly over the next decade as </w:t>
      </w:r>
      <w:r w:rsidRPr="0005209D">
        <w:rPr>
          <w:rFonts w:cs="Times New Roman"/>
          <w:color w:val="000000" w:themeColor="text1"/>
          <w:sz w:val="28"/>
          <w:szCs w:val="28"/>
          <w:u w:val="single"/>
        </w:rPr>
        <w:t>Baby Boomer teachers retire in droves while the number of students enrolling in teacher education courses dives by a third in eight years</w:t>
      </w:r>
      <w:r w:rsidRPr="00720530">
        <w:rPr>
          <w:rFonts w:cs="Times New Roman"/>
          <w:color w:val="000000" w:themeColor="text1"/>
          <w:sz w:val="16"/>
          <w:szCs w:val="28"/>
        </w:rPr>
        <w:t xml:space="preserve">. Catalyze with booming population growth that creates a surge in demand for teachers over the next 20 years. You don’t need to be a chemistry teacher to see that the reaction could be explosive. If you’re a teacher, or a school administrator, it is replete with opportunity. That is the state of education in South Carolina today. </w:t>
      </w:r>
      <w:r w:rsidRPr="0005209D">
        <w:rPr>
          <w:rFonts w:cs="Times New Roman"/>
          <w:color w:val="000000" w:themeColor="text1"/>
          <w:sz w:val="28"/>
          <w:szCs w:val="28"/>
          <w:u w:val="single"/>
        </w:rPr>
        <w:t>A recent study</w:t>
      </w:r>
      <w:r w:rsidRPr="0005209D">
        <w:rPr>
          <w:color w:val="000000" w:themeColor="text1"/>
          <w:sz w:val="28"/>
          <w:szCs w:val="28"/>
          <w:u w:val="single"/>
        </w:rPr>
        <w:t xml:space="preserve"> </w:t>
      </w:r>
      <w:r w:rsidRPr="0005209D">
        <w:rPr>
          <w:rFonts w:cs="Times New Roman"/>
          <w:color w:val="000000" w:themeColor="text1"/>
          <w:sz w:val="28"/>
          <w:szCs w:val="28"/>
          <w:u w:val="single"/>
        </w:rPr>
        <w:t>by U.S. News and World Report found just 44% of South Carolina high schoolers met the standard for “college readiness” on the ACT exam’s English section. Students aren’t the only ones suffering. While attrition among teachers has always been high, the pipeline is not filling as readily as it used to. Nearly 6,500 teachers didn’t return to their positions this school year, leaving some schools unable to fill teaching positions – mostly in math, science, foreign language and special education</w:t>
      </w:r>
      <w:r w:rsidRPr="00720530">
        <w:rPr>
          <w:rFonts w:cs="Times New Roman"/>
          <w:color w:val="000000" w:themeColor="text1"/>
          <w:sz w:val="16"/>
          <w:szCs w:val="28"/>
        </w:rPr>
        <w:t xml:space="preserve">. The trend is not encouraging. </w:t>
      </w:r>
      <w:r w:rsidRPr="0005209D">
        <w:rPr>
          <w:rFonts w:cs="Times New Roman"/>
          <w:color w:val="000000" w:themeColor="text1"/>
          <w:sz w:val="28"/>
          <w:szCs w:val="28"/>
          <w:u w:val="single"/>
        </w:rPr>
        <w:t>The lowest percentage of teens aspire to be teachers</w:t>
      </w:r>
      <w:r w:rsidRPr="00720530">
        <w:rPr>
          <w:rFonts w:cs="Times New Roman"/>
          <w:color w:val="000000" w:themeColor="text1"/>
          <w:sz w:val="16"/>
          <w:szCs w:val="28"/>
        </w:rPr>
        <w:t xml:space="preserve"> than any time since the State Department of Education began tracking career aspirations among the youth. It couldn’t come at a worse time in the Lowcountry, where growth is straining a variety of resources. Berkeley County alone expects enrollment to triple in the next 20 years. A report by the National Center for Educational Statistics projects total teacher growth of roughly 20% during that time, leaving the district short about 1,600 teachers and another couple of hundred administrators. The hiring sign will be out. </w:t>
      </w:r>
      <w:r w:rsidRPr="00720530">
        <w:rPr>
          <w:rFonts w:cs="Times New Roman"/>
          <w:color w:val="000000" w:themeColor="text1"/>
          <w:sz w:val="28"/>
          <w:szCs w:val="28"/>
          <w:u w:val="single"/>
        </w:rPr>
        <w:t xml:space="preserve">The state legislature has attempted to remedy the impending shortage by slashing the standards students have to meet at alternative teacher certification programs. </w:t>
      </w:r>
      <w:r w:rsidRPr="00720530">
        <w:rPr>
          <w:rFonts w:cs="Times New Roman"/>
          <w:color w:val="000000" w:themeColor="text1"/>
          <w:sz w:val="16"/>
          <w:szCs w:val="28"/>
        </w:rPr>
        <w:t xml:space="preserve">Bob Perkins, associate professor and department chair for teacher education at College of Charleston, says there are now seven paths students can take to achieve teaching certification that lower the bar on their level of preparation. “If you saw a shortage of doctors, would you want some alternative way of getting people through medical school? When we send someone into a classroom they need to be ready for </w:t>
      </w:r>
      <w:r w:rsidRPr="00720530">
        <w:rPr>
          <w:rFonts w:cs="Times New Roman"/>
          <w:i/>
          <w:iCs/>
          <w:color w:val="000000" w:themeColor="text1"/>
          <w:sz w:val="16"/>
          <w:szCs w:val="28"/>
        </w:rPr>
        <w:t>any</w:t>
      </w:r>
      <w:r w:rsidRPr="00720530">
        <w:rPr>
          <w:rFonts w:cs="Times New Roman"/>
          <w:color w:val="000000" w:themeColor="text1"/>
          <w:sz w:val="16"/>
          <w:szCs w:val="28"/>
        </w:rPr>
        <w:t xml:space="preserve"> classroom,” he said. The good news is that the shortage will create opportunities for teachers and administrators. Already some school districts in South Carolina are offering teacher incentive bonuses of close to $5,000. The next issue will be retention. </w:t>
      </w:r>
      <w:r w:rsidRPr="00720530">
        <w:rPr>
          <w:rFonts w:cs="Times New Roman"/>
          <w:color w:val="000000" w:themeColor="text1"/>
          <w:sz w:val="28"/>
          <w:szCs w:val="28"/>
          <w:u w:val="single"/>
        </w:rPr>
        <w:t>With the dramatic growth in the number of schools, demand for teachers and administrators with advance degrees will grow as well</w:t>
      </w:r>
      <w:r w:rsidRPr="00720530">
        <w:rPr>
          <w:rFonts w:cs="Times New Roman"/>
          <w:color w:val="000000" w:themeColor="text1"/>
          <w:sz w:val="16"/>
          <w:szCs w:val="28"/>
        </w:rPr>
        <w:t>. Already at the Lowcountry Graduate Center, the University of Charleston, S.C. offers a graduate certificate program for Gifted and Talented Education. “Based on the growing demand for leadership in the teaching and administrative ranks, the Lowcountry Graduate Center has made pedagogical education one of our priority areas,” said Dr. Nancy Muller, associate dean and director of the LGC. “We expect to roll out more programs in the future.”</w:t>
      </w:r>
    </w:p>
    <w:p w:rsidR="002B46F4" w:rsidRDefault="002B46F4" w:rsidP="002B46F4">
      <w:pPr>
        <w:pStyle w:val="Heading3"/>
      </w:pPr>
      <w:r>
        <w:t xml:space="preserve">AT: Studies/Multiplier </w:t>
      </w:r>
    </w:p>
    <w:p w:rsidR="002B46F4" w:rsidRDefault="002B46F4" w:rsidP="002B46F4">
      <w:pPr>
        <w:pStyle w:val="Heading4"/>
      </w:pPr>
      <w:r w:rsidRPr="00A15A0A">
        <w:rPr>
          <w:u w:val="single"/>
        </w:rPr>
        <w:t>Zero studies</w:t>
      </w:r>
      <w:r>
        <w:t xml:space="preserve"> backing CTE results </w:t>
      </w:r>
    </w:p>
    <w:p w:rsidR="002B46F4" w:rsidRDefault="002B46F4" w:rsidP="002B46F4">
      <w:r w:rsidRPr="00903C8A">
        <w:rPr>
          <w:rStyle w:val="Style13ptBold"/>
        </w:rPr>
        <w:t>Wunderlich 16</w:t>
      </w:r>
      <w:r>
        <w:t xml:space="preserve"> (Annelise, is a documentary filmmaker, educator, and Youth Participation Manager at KQED, “Should More High Schools Offer Workforce Training?,” Jan 28, </w:t>
      </w:r>
      <w:hyperlink r:id="rId7" w:history="1">
        <w:r w:rsidRPr="00E62C40">
          <w:rPr>
            <w:rStyle w:val="Hyperlink"/>
          </w:rPr>
          <w:t>http://webcache.googleusercontent.com/search?q=cache:https://ww2.kqed.org/learning/2016/01/28/should-more-high-schools-offer-workforce-training/</w:t>
        </w:r>
      </w:hyperlink>
      <w:r>
        <w:t xml:space="preserve"> )//cmr </w:t>
      </w:r>
    </w:p>
    <w:p w:rsidR="002B46F4" w:rsidRPr="00903C8A" w:rsidRDefault="002B46F4" w:rsidP="002B46F4">
      <w:pPr>
        <w:rPr>
          <w:sz w:val="16"/>
        </w:rPr>
      </w:pPr>
      <w:r w:rsidRPr="00903C8A">
        <w:rPr>
          <w:sz w:val="16"/>
        </w:rPr>
        <w:t xml:space="preserve">So far, </w:t>
      </w:r>
      <w:r w:rsidRPr="00903C8A">
        <w:rPr>
          <w:rStyle w:val="Emphasis"/>
        </w:rPr>
        <w:t>the jury is still out</w:t>
      </w:r>
      <w:r w:rsidRPr="00903C8A">
        <w:rPr>
          <w:rStyle w:val="StyleUnderline"/>
        </w:rPr>
        <w:t xml:space="preserve"> about which approach will best prepare students for the future</w:t>
      </w:r>
      <w:r w:rsidRPr="00903C8A">
        <w:rPr>
          <w:sz w:val="16"/>
        </w:rPr>
        <w:t xml:space="preserve">. </w:t>
      </w:r>
      <w:r w:rsidRPr="00903C8A">
        <w:rPr>
          <w:rStyle w:val="StyleUnderline"/>
        </w:rPr>
        <w:t>Studies show that students in CTE programs get similar test scores in reading and math proficiency tests, but score far lower in more demanding tests like the SAT and Advanced Placement tests</w:t>
      </w:r>
      <w:r w:rsidRPr="00903C8A">
        <w:rPr>
          <w:sz w:val="16"/>
        </w:rPr>
        <w:t xml:space="preserve">. While </w:t>
      </w:r>
      <w:r w:rsidRPr="00903C8A">
        <w:rPr>
          <w:rStyle w:val="StyleUnderline"/>
        </w:rPr>
        <w:t>CTE graduates</w:t>
      </w:r>
      <w:r w:rsidRPr="00903C8A">
        <w:rPr>
          <w:sz w:val="16"/>
        </w:rPr>
        <w:t xml:space="preserve"> report earning higher salaries after graduation, they </w:t>
      </w:r>
      <w:r w:rsidRPr="00903C8A">
        <w:rPr>
          <w:rStyle w:val="StyleUnderline"/>
        </w:rPr>
        <w:t>may</w:t>
      </w:r>
      <w:r w:rsidRPr="00903C8A">
        <w:rPr>
          <w:sz w:val="16"/>
        </w:rPr>
        <w:t xml:space="preserve"> also </w:t>
      </w:r>
      <w:r w:rsidRPr="00903C8A">
        <w:rPr>
          <w:rStyle w:val="StyleUnderline"/>
        </w:rPr>
        <w:t xml:space="preserve">be entering narrow, technical fields that could become </w:t>
      </w:r>
      <w:r w:rsidRPr="00903C8A">
        <w:rPr>
          <w:rStyle w:val="Emphasis"/>
        </w:rPr>
        <w:t>obsolete</w:t>
      </w:r>
      <w:r w:rsidRPr="00903C8A">
        <w:rPr>
          <w:sz w:val="16"/>
        </w:rPr>
        <w:t xml:space="preserve">. </w:t>
      </w:r>
      <w:r w:rsidRPr="00903C8A">
        <w:rPr>
          <w:rStyle w:val="StyleUnderline"/>
        </w:rPr>
        <w:t>There are</w:t>
      </w:r>
      <w:r w:rsidRPr="00903C8A">
        <w:rPr>
          <w:sz w:val="16"/>
        </w:rPr>
        <w:t xml:space="preserve"> still </w:t>
      </w:r>
      <w:r w:rsidRPr="00903C8A">
        <w:rPr>
          <w:rStyle w:val="StyleUnderline"/>
        </w:rPr>
        <w:t>concerns about inequality: studies find that the majority of students in CTE programs come from low-income families</w:t>
      </w:r>
      <w:r w:rsidRPr="00903C8A">
        <w:rPr>
          <w:sz w:val="16"/>
        </w:rPr>
        <w:t>, while most students who gain four-year college degrees come from more affluent communities.</w:t>
      </w:r>
    </w:p>
    <w:p w:rsidR="002B46F4" w:rsidRDefault="002B46F4" w:rsidP="002B46F4"/>
    <w:p w:rsidR="00C12070" w:rsidRDefault="00C12070" w:rsidP="00C12070">
      <w:pPr>
        <w:pStyle w:val="Heading3"/>
      </w:pPr>
      <w:r>
        <w:t>AFF – A2 Teacher Shortages</w:t>
      </w:r>
    </w:p>
    <w:p w:rsidR="00C12070" w:rsidRDefault="00C12070" w:rsidP="00C12070">
      <w:pPr>
        <w:pStyle w:val="Heading4"/>
      </w:pPr>
      <w:r>
        <w:t>SQ solving teacher shortages --- Franken’s bill supports teacher training, national teacher databases, and places emphasis on funding and teacher availability in rural areas</w:t>
      </w:r>
    </w:p>
    <w:p w:rsidR="00C12070" w:rsidRPr="003D303C" w:rsidRDefault="00C12070" w:rsidP="00C12070">
      <w:pPr>
        <w:rPr>
          <w:rStyle w:val="Style13ptBold"/>
        </w:rPr>
      </w:pPr>
      <w:r>
        <w:rPr>
          <w:rStyle w:val="Style13ptBold"/>
        </w:rPr>
        <w:t xml:space="preserve">Dispatch, 7/15 </w:t>
      </w:r>
      <w:r w:rsidRPr="006E44A7">
        <w:rPr>
          <w:rStyle w:val="Style13ptBold"/>
          <w:sz w:val="16"/>
        </w:rPr>
        <w:t>[Brainerd Dispatch, “Franken introduces bill to fight teacher shortage”, 7/15/2017, http://www.brainerddispatch.com/news/politics/4298090-franken-introduces-bill-fight-teacher-shortage]</w:t>
      </w:r>
    </w:p>
    <w:p w:rsidR="00C12070" w:rsidRPr="0005209D" w:rsidRDefault="00C12070" w:rsidP="00C12070">
      <w:pPr>
        <w:pStyle w:val="NormalWeb"/>
        <w:spacing w:before="0" w:beforeAutospacing="0" w:after="330" w:afterAutospacing="0" w:line="384" w:lineRule="atLeast"/>
        <w:textAlignment w:val="baseline"/>
        <w:rPr>
          <w:rFonts w:ascii="Calibri" w:hAnsi="Calibri"/>
          <w:color w:val="000000" w:themeColor="text1"/>
          <w:sz w:val="14"/>
          <w:szCs w:val="28"/>
        </w:rPr>
      </w:pPr>
      <w:r w:rsidRPr="0005209D">
        <w:rPr>
          <w:rFonts w:ascii="Calibri" w:hAnsi="Calibri"/>
          <w:color w:val="000000" w:themeColor="text1"/>
          <w:sz w:val="14"/>
          <w:szCs w:val="28"/>
        </w:rPr>
        <w:t xml:space="preserve">WASHINGTON—In what he called a major push to ensure children receive the best possible education, </w:t>
      </w:r>
      <w:r w:rsidRPr="0005209D">
        <w:rPr>
          <w:rFonts w:ascii="Calibri" w:hAnsi="Calibri"/>
          <w:color w:val="000000" w:themeColor="text1"/>
          <w:sz w:val="28"/>
          <w:szCs w:val="28"/>
          <w:u w:val="single"/>
        </w:rPr>
        <w:t xml:space="preserve">U.S. Sen. Al Franken, D-Minn., introduced new legislation to address nationwide teacher shortages. The Supporting Future Educators Act would help to prepare and retain outstanding teachers, increase teacher diversity and support communities and schools that are facing teacher shortages. </w:t>
      </w:r>
      <w:r w:rsidRPr="0005209D">
        <w:rPr>
          <w:rFonts w:ascii="Calibri" w:hAnsi="Calibri"/>
          <w:color w:val="000000" w:themeColor="text1"/>
          <w:sz w:val="14"/>
          <w:szCs w:val="28"/>
        </w:rPr>
        <w:t xml:space="preserve">Franken's bill would give schools in both rural and urban districts the tools to hire and support the qualified teachers they need, a news release from his office said Thursday. "Last year, my office met with education leaders in every region of the state, and we heard time and again that </w:t>
      </w:r>
      <w:r w:rsidRPr="0005209D">
        <w:rPr>
          <w:rFonts w:ascii="Calibri" w:hAnsi="Calibri"/>
          <w:color w:val="000000" w:themeColor="text1"/>
          <w:sz w:val="28"/>
          <w:szCs w:val="28"/>
          <w:u w:val="single"/>
        </w:rPr>
        <w:t>teacher shortages</w:t>
      </w:r>
      <w:r w:rsidRPr="0005209D">
        <w:rPr>
          <w:rFonts w:ascii="Calibri" w:hAnsi="Calibri"/>
          <w:color w:val="000000" w:themeColor="text1"/>
          <w:sz w:val="14"/>
          <w:szCs w:val="28"/>
        </w:rPr>
        <w:t xml:space="preserve"> not only </w:t>
      </w:r>
      <w:r w:rsidRPr="0005209D">
        <w:rPr>
          <w:rFonts w:ascii="Calibri" w:hAnsi="Calibri"/>
          <w:color w:val="000000" w:themeColor="text1"/>
          <w:sz w:val="28"/>
          <w:szCs w:val="28"/>
          <w:u w:val="single"/>
        </w:rPr>
        <w:t>hurt their ability to educate students, but also take a toll on them financially</w:t>
      </w:r>
      <w:r w:rsidRPr="0005209D">
        <w:rPr>
          <w:rFonts w:ascii="Calibri" w:hAnsi="Calibri"/>
          <w:color w:val="000000" w:themeColor="text1"/>
          <w:sz w:val="14"/>
          <w:szCs w:val="28"/>
        </w:rPr>
        <w:t xml:space="preserve">," said Franken, a member of the Senate Education Committee, in a news release. "Now, I believe that every child should have access to a world-class education—no matter where they live. But right now, there are too many communities that struggle to hire and retain qualified teachers. I'm going to be working to pass my bill into law so that we can get more teachers to enter and stay in the profession. We need to ensure that all children—in Minnesota and across the country—receive the high-quality education they deserve." </w:t>
      </w:r>
      <w:r w:rsidRPr="0005209D">
        <w:rPr>
          <w:rFonts w:ascii="Calibri" w:hAnsi="Calibri"/>
          <w:color w:val="000000" w:themeColor="text1"/>
          <w:sz w:val="28"/>
          <w:szCs w:val="28"/>
          <w:u w:val="single"/>
        </w:rPr>
        <w:t>The Supporting Future Educators Act would support training for both new and current teachers, authorize the Education Department to create a national database to help teacher preparation programs better support their student teachers, and encourage an earlier start to pathways for becoming a teacher. More specifically, the bill would: Create a Strengthen-Our-Schools grant program—a portion of which would be specifically designated for addressing teacher shortage challenges in rural school districts—to support teacher residency programs, provide additional training for current teachers, and attract student teachers to placements in high-need districts. Funds would help to cover costs of tuition, resident salaries, mentor teacher incentives, and facilities or infrastructure for a distance learning classroom within the school for onsite coursework and practical learning</w:t>
      </w:r>
      <w:r w:rsidRPr="0005209D">
        <w:rPr>
          <w:rFonts w:ascii="Calibri" w:hAnsi="Calibri"/>
          <w:color w:val="000000" w:themeColor="text1"/>
          <w:sz w:val="14"/>
          <w:szCs w:val="28"/>
        </w:rPr>
        <w:t xml:space="preserve">. Authorize the Education Department to create a national database of qualified mentor teachers who can provide student teacher supervision. This would give teacher preparation programs access to the resources they would need to allow teacher candidates to complete their student teaching in areas where they have better access to affordable housing options, such as staying with family or friends. It would also help to diversify student teaching experiences by building an infrastructure in rural and urban areas that may not otherwise be options for student teachers because of the geographic location of their program. </w:t>
      </w:r>
      <w:r w:rsidRPr="0005209D">
        <w:rPr>
          <w:rFonts w:ascii="Calibri" w:hAnsi="Calibri"/>
          <w:color w:val="000000" w:themeColor="text1"/>
          <w:sz w:val="28"/>
          <w:szCs w:val="28"/>
          <w:u w:val="single"/>
        </w:rPr>
        <w:t>Formally recognize teaching as a part of Career and Technical Education to encourage an earlier start to pathways for becoming a teacher and allow schools access to a broader range of funding to support dual-enrollment programs in education.</w:t>
      </w:r>
      <w:r w:rsidRPr="0005209D">
        <w:rPr>
          <w:rFonts w:ascii="Calibri" w:hAnsi="Calibri"/>
          <w:color w:val="000000" w:themeColor="text1"/>
          <w:sz w:val="14"/>
          <w:szCs w:val="28"/>
        </w:rPr>
        <w:t xml:space="preserve"> Franken fought to get schools across Minnesota more of the resources they need in the recent overhaul of the "No Child Left Behind" law, now known as the Every Student Succeeds Act, which he helped write. And earlier this year, Franken helped introduce legislation that would reduce teacher shortages in rural Minnesota and in Indian Country, improving education for rural and Native American students across Minnesota.</w:t>
      </w:r>
    </w:p>
    <w:p w:rsidR="00C12070" w:rsidRDefault="00C12070" w:rsidP="00C12070"/>
    <w:p w:rsidR="00C12070" w:rsidRDefault="00C12070" w:rsidP="00C12070"/>
    <w:p w:rsidR="00C12070" w:rsidRPr="00F07B7C" w:rsidRDefault="00C12070" w:rsidP="00C12070">
      <w:pPr>
        <w:pStyle w:val="Heading2"/>
      </w:pPr>
      <w:r>
        <w:t>AT State Budgets A</w:t>
      </w:r>
      <w:r w:rsidRPr="00F07B7C">
        <w:t>dv</w:t>
      </w:r>
    </w:p>
    <w:p w:rsidR="00C12070" w:rsidRDefault="00C12070" w:rsidP="00C12070"/>
    <w:p w:rsidR="00C12070" w:rsidRDefault="00C12070" w:rsidP="00C12070">
      <w:pPr>
        <w:pStyle w:val="Heading3"/>
      </w:pPr>
      <w:r w:rsidRPr="00F07B7C">
        <w:t>1nc state budgets adv</w:t>
      </w:r>
    </w:p>
    <w:p w:rsidR="00C12070" w:rsidRDefault="00C12070" w:rsidP="00C12070">
      <w:pPr>
        <w:pStyle w:val="Heading4"/>
      </w:pPr>
      <w:r>
        <w:t>Mathematically impossible to resolve the pension crisis by increasing CTE funding - the multiplier effect has to cover $3 trillion dollars per the 1ac cx and ev</w:t>
      </w:r>
    </w:p>
    <w:p w:rsidR="00C12070" w:rsidRPr="005B30C3" w:rsidRDefault="00C12070" w:rsidP="00C12070">
      <w:r w:rsidRPr="00FB3FD8">
        <w:rPr>
          <w:b/>
        </w:rPr>
        <w:t>Donlan 17</w:t>
      </w:r>
      <w:r w:rsidRPr="00FB3FD8">
        <w:t xml:space="preserve"> [Thomas G. Donlan, editor at Barron’s, “There’s a Hole in State Pensions,” Feb 11, 2017, </w:t>
      </w:r>
      <w:hyperlink r:id="rId8" w:history="1">
        <w:r w:rsidRPr="00FB3FD8">
          <w:rPr>
            <w:rStyle w:val="Hyperlink"/>
          </w:rPr>
          <w:t>http://www.barrons.com/articles/theres-a-hole-in-state-pensions-1486794298</w:t>
        </w:r>
      </w:hyperlink>
      <w:r>
        <w:t>]</w:t>
      </w:r>
    </w:p>
    <w:p w:rsidR="00C12070" w:rsidRPr="00FB3FD8" w:rsidRDefault="00C12070" w:rsidP="00C12070">
      <w:pPr>
        <w:rPr>
          <w:sz w:val="16"/>
        </w:rPr>
      </w:pPr>
      <w:r w:rsidRPr="00FB3FD8">
        <w:rPr>
          <w:sz w:val="16"/>
        </w:rPr>
        <w:t>Pension Panic</w:t>
      </w:r>
    </w:p>
    <w:p w:rsidR="00C12070" w:rsidRPr="00FB3FD8" w:rsidRDefault="00C12070" w:rsidP="00C12070">
      <w:pPr>
        <w:rPr>
          <w:sz w:val="16"/>
        </w:rPr>
      </w:pPr>
      <w:r w:rsidRPr="00FB3FD8">
        <w:rPr>
          <w:sz w:val="16"/>
        </w:rPr>
        <w:t xml:space="preserve">Beyond the unfortunate short-term dependence of many states on money that falls from the federal heavens, there are the unfortunate longer-term policies of their own that have put many states in fiscal trouble. Chief among these is </w:t>
      </w:r>
      <w:r w:rsidRPr="00FB3FD8">
        <w:rPr>
          <w:rStyle w:val="Emphasis"/>
        </w:rPr>
        <w:t xml:space="preserve">the </w:t>
      </w:r>
      <w:r w:rsidRPr="000B6716">
        <w:rPr>
          <w:rStyle w:val="Emphasis"/>
          <w:highlight w:val="cyan"/>
        </w:rPr>
        <w:t xml:space="preserve">growing crisis in </w:t>
      </w:r>
      <w:r w:rsidRPr="000B6716">
        <w:rPr>
          <w:rStyle w:val="Emphasis"/>
        </w:rPr>
        <w:t>state</w:t>
      </w:r>
      <w:r w:rsidRPr="00FB3FD8">
        <w:rPr>
          <w:rStyle w:val="Emphasis"/>
        </w:rPr>
        <w:t xml:space="preserve"> and municipal </w:t>
      </w:r>
      <w:r w:rsidRPr="000B6716">
        <w:rPr>
          <w:rStyle w:val="Emphasis"/>
          <w:highlight w:val="cyan"/>
        </w:rPr>
        <w:t>pension</w:t>
      </w:r>
      <w:r w:rsidRPr="00FB3FD8">
        <w:rPr>
          <w:rStyle w:val="Emphasis"/>
        </w:rPr>
        <w:t xml:space="preserve"> funds.</w:t>
      </w:r>
    </w:p>
    <w:p w:rsidR="00C12070" w:rsidRPr="00FB3FD8" w:rsidRDefault="00C12070" w:rsidP="00C12070">
      <w:pPr>
        <w:rPr>
          <w:sz w:val="16"/>
        </w:rPr>
      </w:pPr>
      <w:r w:rsidRPr="00FB3FD8">
        <w:rPr>
          <w:sz w:val="16"/>
        </w:rPr>
        <w:t xml:space="preserve">Importantly, the condition of state and local pensions </w:t>
      </w:r>
      <w:r w:rsidRPr="000B6716">
        <w:rPr>
          <w:rStyle w:val="Emphasis"/>
          <w:highlight w:val="cyan"/>
        </w:rPr>
        <w:t>is worse than officially reported</w:t>
      </w:r>
      <w:r w:rsidRPr="00FB3FD8">
        <w:rPr>
          <w:sz w:val="16"/>
        </w:rPr>
        <w:t xml:space="preserve">. </w:t>
      </w:r>
      <w:r w:rsidRPr="00FB3FD8">
        <w:rPr>
          <w:rStyle w:val="StyleUnderline"/>
        </w:rPr>
        <w:t>Pension boards,</w:t>
      </w:r>
      <w:r w:rsidRPr="00FB3FD8">
        <w:rPr>
          <w:sz w:val="16"/>
        </w:rPr>
        <w:t xml:space="preserve"> their advisors, and their actuaries have been using unrealistic estimates of their investment returns that are left over from the years of higher inflation that ended in the 1990s.</w:t>
      </w:r>
    </w:p>
    <w:p w:rsidR="00C12070" w:rsidRPr="00FB3FD8" w:rsidRDefault="00C12070" w:rsidP="00C12070">
      <w:pPr>
        <w:rPr>
          <w:sz w:val="16"/>
        </w:rPr>
      </w:pPr>
      <w:r w:rsidRPr="00FB3FD8">
        <w:rPr>
          <w:sz w:val="16"/>
        </w:rPr>
        <w:t>The National Association of State Retirement Administrators surveyed 132 big government pension plans last year and found the average estimate of future annual investment returns—the discount rate—to be 7.6%. Hard-nosed reformers say they should be using a Treasury rate around 3%, but only seven of the funds in the survey were using discount rates below 7%.</w:t>
      </w:r>
    </w:p>
    <w:p w:rsidR="00C12070" w:rsidRPr="00FB3FD8" w:rsidRDefault="00C12070" w:rsidP="00C12070">
      <w:pPr>
        <w:rPr>
          <w:rStyle w:val="StyleUnderline"/>
        </w:rPr>
      </w:pPr>
      <w:r w:rsidRPr="00FB3FD8">
        <w:rPr>
          <w:sz w:val="16"/>
        </w:rPr>
        <w:t xml:space="preserve">The difference is powerful: </w:t>
      </w:r>
      <w:r w:rsidRPr="00FB3FD8">
        <w:rPr>
          <w:rStyle w:val="StyleUnderline"/>
        </w:rPr>
        <w:t xml:space="preserve">The </w:t>
      </w:r>
      <w:r w:rsidRPr="000B6716">
        <w:rPr>
          <w:rStyle w:val="StyleUnderline"/>
          <w:highlight w:val="cyan"/>
        </w:rPr>
        <w:t>funds pretend their investments are strong and</w:t>
      </w:r>
      <w:r w:rsidRPr="00FB3FD8">
        <w:rPr>
          <w:rStyle w:val="StyleUnderline"/>
        </w:rPr>
        <w:t xml:space="preserve"> that </w:t>
      </w:r>
      <w:r w:rsidRPr="000B6716">
        <w:rPr>
          <w:rStyle w:val="StyleUnderline"/>
          <w:highlight w:val="cyan"/>
        </w:rPr>
        <w:t>they are a mere $1 trillion short</w:t>
      </w:r>
      <w:r w:rsidRPr="00FB3FD8">
        <w:rPr>
          <w:rStyle w:val="StyleUnderline"/>
        </w:rPr>
        <w:t xml:space="preserve"> of what they will need to pay benefits that workers have already earne</w:t>
      </w:r>
      <w:r w:rsidRPr="00FB3FD8">
        <w:rPr>
          <w:sz w:val="16"/>
        </w:rPr>
        <w:t xml:space="preserve">d. </w:t>
      </w:r>
      <w:r w:rsidRPr="000B6716">
        <w:rPr>
          <w:rStyle w:val="StyleUnderline"/>
          <w:highlight w:val="cyan"/>
        </w:rPr>
        <w:t>Cutting the 7.6%</w:t>
      </w:r>
      <w:r w:rsidRPr="000B6716">
        <w:rPr>
          <w:rStyle w:val="StyleUnderline"/>
        </w:rPr>
        <w:t xml:space="preserve"> investment</w:t>
      </w:r>
      <w:r w:rsidRPr="00FB3FD8">
        <w:rPr>
          <w:rStyle w:val="StyleUnderline"/>
        </w:rPr>
        <w:t xml:space="preserve"> </w:t>
      </w:r>
      <w:r w:rsidRPr="000B6716">
        <w:rPr>
          <w:rStyle w:val="StyleUnderline"/>
          <w:highlight w:val="cyan"/>
        </w:rPr>
        <w:t>estimate back to 3% turns the $1 trillion deficit into a $</w:t>
      </w:r>
      <w:r w:rsidRPr="000B6716">
        <w:rPr>
          <w:rStyle w:val="Emphasis"/>
          <w:highlight w:val="cyan"/>
        </w:rPr>
        <w:t>3 trillion hole.</w:t>
      </w:r>
    </w:p>
    <w:p w:rsidR="00C12070" w:rsidRPr="006442A8" w:rsidRDefault="00C12070" w:rsidP="00C12070"/>
    <w:p w:rsidR="00C12070" w:rsidRPr="00F07B7C" w:rsidRDefault="00C12070" w:rsidP="00C12070">
      <w:pPr>
        <w:pStyle w:val="Heading4"/>
      </w:pPr>
      <w:r w:rsidRPr="00F07B7C">
        <w:t xml:space="preserve">The aff only solves in the short term – lack of stable revenue means deficits are inevitable </w:t>
      </w:r>
    </w:p>
    <w:p w:rsidR="00C12070" w:rsidRPr="00F07B7C" w:rsidRDefault="00C12070" w:rsidP="00C12070">
      <w:r w:rsidRPr="00F07B7C">
        <w:t xml:space="preserve">Jon </w:t>
      </w:r>
      <w:r w:rsidRPr="00F07B7C">
        <w:rPr>
          <w:rStyle w:val="Style13ptBold"/>
        </w:rPr>
        <w:t>Kamp</w:t>
      </w:r>
      <w:r w:rsidRPr="00F07B7C">
        <w:t xml:space="preserve"> </w:t>
      </w:r>
      <w:r w:rsidRPr="00F07B7C">
        <w:rPr>
          <w:rStyle w:val="Style13ptBold"/>
        </w:rPr>
        <w:t>6-29</w:t>
      </w:r>
      <w:r w:rsidRPr="00F07B7C">
        <w:t xml:space="preserve">-2017 (The Wall Street Journal’s Boston bureau journalist “State Budget Battles Show Few Signs of Letting Up” </w:t>
      </w:r>
      <w:hyperlink r:id="rId9" w:history="1">
        <w:r w:rsidRPr="00F07B7C">
          <w:rPr>
            <w:rStyle w:val="Hyperlink"/>
          </w:rPr>
          <w:t>https://www.wsj.com/articles/state-budget-battles-show-few-signs-of-letting-up-1498769391//)MBA</w:t>
        </w:r>
      </w:hyperlink>
      <w:r w:rsidRPr="00F07B7C">
        <w:t xml:space="preserve"> HBJ</w:t>
      </w:r>
    </w:p>
    <w:p w:rsidR="00C12070" w:rsidRPr="00F07B7C" w:rsidRDefault="00C12070" w:rsidP="00C12070">
      <w:pPr>
        <w:rPr>
          <w:sz w:val="8"/>
        </w:rPr>
      </w:pPr>
      <w:r w:rsidRPr="00F07B7C">
        <w:rPr>
          <w:rStyle w:val="StyleUnderline"/>
        </w:rPr>
        <w:t>Showdowns over state budgets are coming down to the wire around the U.S. as lawmakers struggle to hash out issues like education funding and taxes while,</w:t>
      </w:r>
      <w:r w:rsidRPr="00F07B7C">
        <w:rPr>
          <w:sz w:val="8"/>
        </w:rPr>
        <w:t xml:space="preserve"> in some cases, </w:t>
      </w:r>
      <w:r w:rsidRPr="00F07B7C">
        <w:rPr>
          <w:rStyle w:val="StyleUnderline"/>
        </w:rPr>
        <w:t xml:space="preserve">trying to ward off state shutdowns. </w:t>
      </w:r>
      <w:r w:rsidRPr="00F07B7C">
        <w:rPr>
          <w:sz w:val="8"/>
        </w:rPr>
        <w:t xml:space="preserve">The flurry of 11th-hour </w:t>
      </w:r>
      <w:r w:rsidRPr="0097171B">
        <w:rPr>
          <w:rStyle w:val="Emphasis"/>
          <w:highlight w:val="yellow"/>
        </w:rPr>
        <w:t>negotiating reflects the underlying revenue weakness that has broadly dogged states</w:t>
      </w:r>
      <w:r w:rsidRPr="00F07B7C">
        <w:rPr>
          <w:sz w:val="8"/>
        </w:rPr>
        <w:t xml:space="preserve"> in the past two years and inflamed debates over how to spend limited resources, according budget experts. Maine's Gov. Paul LePage has threatened to shutdown the state for the first time since 1991 over disagreements on taxes. In Connecticut, Gov. Dannel Malloy is preparing deep spending cuts as an agreement before Friday night appears elusive. </w:t>
      </w:r>
      <w:r w:rsidRPr="00F07B7C">
        <w:rPr>
          <w:rStyle w:val="StyleUnderline"/>
        </w:rPr>
        <w:t xml:space="preserve">All but four states start their next fiscal year on Saturday, and </w:t>
      </w:r>
      <w:r w:rsidRPr="0097171B">
        <w:rPr>
          <w:rStyle w:val="Emphasis"/>
          <w:highlight w:val="yellow"/>
        </w:rPr>
        <w:t>legislatures in 11 of those states had yet to finalize a budget</w:t>
      </w:r>
      <w:r w:rsidRPr="00F07B7C">
        <w:rPr>
          <w:rStyle w:val="StyleUnderline"/>
        </w:rPr>
        <w:t xml:space="preserve"> </w:t>
      </w:r>
      <w:r w:rsidRPr="00F07B7C">
        <w:rPr>
          <w:sz w:val="8"/>
        </w:rPr>
        <w:t xml:space="preserve">as of Wednesday, according to the National Association of State Budget Officers. "It's not untypical to wait to the end. </w:t>
      </w:r>
      <w:r w:rsidRPr="00F07B7C">
        <w:rPr>
          <w:rStyle w:val="StyleUnderline"/>
        </w:rPr>
        <w:t>What's untypical is the degree of crisis that we're seeing in terms of not being able to make the budget balance,</w:t>
      </w:r>
      <w:r w:rsidRPr="00F07B7C">
        <w:rPr>
          <w:sz w:val="8"/>
        </w:rPr>
        <w:t xml:space="preserve">" said Elizabeth McNichol, senior fellow at the left-leaning Center on Budget and Policy Priorities. She noted this kind of stress in budget negotiations is more common during a downturn. The lengthy budget processes may be another sign that states are on an unusually rocky fiscal road despite being eight years into an economic recovery. A recent Nasbo analysis of governors' spending proposals for the coming fiscal year showed </w:t>
      </w:r>
      <w:r w:rsidRPr="00F07B7C">
        <w:rPr>
          <w:rStyle w:val="StyleUnderline"/>
        </w:rPr>
        <w:t xml:space="preserve">they were aiming for just a 1% increase in general-fund spending, the smallest rise since fiscal 2010. </w:t>
      </w:r>
      <w:r w:rsidRPr="00F07B7C">
        <w:rPr>
          <w:sz w:val="8"/>
        </w:rPr>
        <w:t xml:space="preserve">Nowhere are the budget pressures greater than in Illinois, which faces a possible debt downgrade to junk status and hasn't had a budget for two years. The two-year budget stalemate has resulted in a nearly $15 billion backlog in unpaid bills. Gov. Bruce Rauner has told lawmakers he will keep them in session beyond Friday's deadline if they fail to agree on a balanced budget. Some states are finding a way forward. Washington state lawmakers Wednesday reached the outline of a deal that would avert a partial government shutdown. The sides had been at odds over education funding. Elsewhere, states like Pennsylvania and Connecticut are struggling to fill large deficits. </w:t>
      </w:r>
      <w:r w:rsidRPr="00F07B7C">
        <w:rPr>
          <w:rStyle w:val="StyleUnderline"/>
        </w:rPr>
        <w:t xml:space="preserve">"There's still a core number [of states] that are dealing with the fact that </w:t>
      </w:r>
      <w:r w:rsidRPr="0097171B">
        <w:rPr>
          <w:rStyle w:val="Emphasis"/>
          <w:highlight w:val="yellow"/>
        </w:rPr>
        <w:t>revenue is just not growing at the same pace as expenditures</w:t>
      </w:r>
      <w:r w:rsidRPr="00F07B7C">
        <w:rPr>
          <w:rStyle w:val="Emphasis"/>
        </w:rPr>
        <w:t>,</w:t>
      </w:r>
      <w:r w:rsidRPr="00F07B7C">
        <w:rPr>
          <w:rStyle w:val="StyleUnderline"/>
        </w:rPr>
        <w:t>"</w:t>
      </w:r>
      <w:r w:rsidRPr="00F07B7C">
        <w:rPr>
          <w:sz w:val="8"/>
        </w:rPr>
        <w:t xml:space="preserve"> said Marcy Block, lead Fitch Ratings analyst for Connecticut, New Jersey and Delaware.</w:t>
      </w:r>
    </w:p>
    <w:p w:rsidR="00C12070" w:rsidRPr="00F07B7C" w:rsidRDefault="00C12070" w:rsidP="00C12070">
      <w:pPr>
        <w:pStyle w:val="Heading4"/>
      </w:pPr>
      <w:r w:rsidRPr="00F07B7C">
        <w:t xml:space="preserve">Pension crisis overblown --- their ev is propaganda and there’s no risk of collapse for decades </w:t>
      </w:r>
    </w:p>
    <w:p w:rsidR="00C12070" w:rsidRPr="00F07B7C" w:rsidRDefault="00C12070" w:rsidP="00C12070">
      <w:r w:rsidRPr="00F07B7C">
        <w:rPr>
          <w:b/>
        </w:rPr>
        <w:t>Carter 11</w:t>
      </w:r>
      <w:r w:rsidRPr="00F07B7C">
        <w:t xml:space="preserve"> [Zach Carter is HuffPost's Senior Political Economy Reporter, working out of Washington D.C. Zach Carter is HuffPost's Senior Political Economy Reporter, working out of Washington D.C., “An Overblown ‘Crisis’ For State Pension Funds,” 3/7/11, http://www.huffingtonpost.com/2011/03/07/state-pension-plans_n_829112.html]</w:t>
      </w:r>
    </w:p>
    <w:p w:rsidR="00C12070" w:rsidRPr="00F07B7C" w:rsidRDefault="00C12070" w:rsidP="00C12070"/>
    <w:p w:rsidR="00C12070" w:rsidRPr="00F07B7C" w:rsidRDefault="00C12070" w:rsidP="00C12070">
      <w:pPr>
        <w:rPr>
          <w:sz w:val="16"/>
        </w:rPr>
      </w:pPr>
      <w:r w:rsidRPr="00F07B7C">
        <w:rPr>
          <w:sz w:val="16"/>
        </w:rPr>
        <w:t xml:space="preserve">In Wisconsin, Indiana, Ohio, Florida and New Jersey, </w:t>
      </w:r>
      <w:r w:rsidRPr="00F07B7C">
        <w:rPr>
          <w:rStyle w:val="StyleUnderline"/>
        </w:rPr>
        <w:t>Republicans swept into power last year by voters outraged about ongoing economic distress are now targeting benefits for pensioners</w:t>
      </w:r>
      <w:r w:rsidRPr="00F07B7C">
        <w:rPr>
          <w:sz w:val="16"/>
        </w:rPr>
        <w:t>, hiking taxes for employees who will one day receive a pension and, in Wisconsin, even trying to eliminate the right for public employees to collectively bargain for a pension.</w:t>
      </w:r>
    </w:p>
    <w:p w:rsidR="00C12070" w:rsidRPr="00F07B7C" w:rsidRDefault="00C12070" w:rsidP="00C12070">
      <w:pPr>
        <w:rPr>
          <w:sz w:val="16"/>
        </w:rPr>
      </w:pPr>
      <w:r w:rsidRPr="00F07B7C">
        <w:rPr>
          <w:sz w:val="16"/>
        </w:rPr>
        <w:t xml:space="preserve">Pensions, needless to say, are, like some bonuses, contractual obligations. They’re deferred compensation that formed the basis for years or, in some cases, decades of work already performed. </w:t>
      </w:r>
      <w:r w:rsidRPr="00F07B7C">
        <w:rPr>
          <w:rStyle w:val="StyleUnderline"/>
        </w:rPr>
        <w:t>Any state government that fails to pay those pensions in full are in default on the contracts</w:t>
      </w:r>
      <w:r w:rsidRPr="00F07B7C">
        <w:rPr>
          <w:sz w:val="16"/>
        </w:rPr>
        <w:t>. Pensions for workers who have already retired are protected by dozens of state constitutions.</w:t>
      </w:r>
    </w:p>
    <w:p w:rsidR="00C12070" w:rsidRPr="00F07B7C" w:rsidRDefault="00C12070" w:rsidP="00C12070">
      <w:pPr>
        <w:rPr>
          <w:sz w:val="16"/>
        </w:rPr>
      </w:pPr>
      <w:r w:rsidRPr="00F07B7C">
        <w:rPr>
          <w:sz w:val="16"/>
        </w:rPr>
        <w:t>The average annual pension for government workers is roughly $19,500 a year, according to the American Federation of State, County and Municipal Employees, one of the nation’s largest labor unions. That would mean $500,000 could provide about 25 years worth of payouts to a retired public servant. The $9 million bonus Goldman Sachs chief executive Lloyd Blankfein received for 2009 could have provided two decades of pension pay for 23 such public workers.</w:t>
      </w:r>
    </w:p>
    <w:p w:rsidR="00C12070" w:rsidRPr="00F07B7C" w:rsidRDefault="00C12070" w:rsidP="00C12070">
      <w:pPr>
        <w:rPr>
          <w:sz w:val="16"/>
        </w:rPr>
      </w:pPr>
      <w:r w:rsidRPr="00F07B7C">
        <w:rPr>
          <w:sz w:val="16"/>
        </w:rPr>
        <w:t xml:space="preserve">The push to rewrite pension agreements is predicated on the much-discussed fiscal challenges facing states. But </w:t>
      </w:r>
      <w:r w:rsidRPr="00F07B7C">
        <w:rPr>
          <w:rStyle w:val="StyleUnderline"/>
        </w:rPr>
        <w:t>while states do face gaps in their general budgets</w:t>
      </w:r>
      <w:r w:rsidRPr="00F07B7C">
        <w:rPr>
          <w:sz w:val="16"/>
        </w:rPr>
        <w:t xml:space="preserve"> — and, at the local level, municipal budget crises are forcing many cities to make tough choices — </w:t>
      </w:r>
      <w:r w:rsidRPr="0097171B">
        <w:rPr>
          <w:rStyle w:val="Emphasis"/>
          <w:highlight w:val="yellow"/>
        </w:rPr>
        <w:t>most states’ pension funds are doing just fine, including those of some states currently engaged in high-profile political budget stand</w:t>
      </w:r>
      <w:r w:rsidRPr="00F07B7C">
        <w:rPr>
          <w:sz w:val="16"/>
        </w:rPr>
        <w:t>offs.</w:t>
      </w:r>
    </w:p>
    <w:p w:rsidR="00C12070" w:rsidRPr="00F07B7C" w:rsidRDefault="00C12070" w:rsidP="00C12070">
      <w:pPr>
        <w:rPr>
          <w:sz w:val="16"/>
        </w:rPr>
      </w:pPr>
      <w:r w:rsidRPr="00F07B7C">
        <w:rPr>
          <w:sz w:val="16"/>
        </w:rPr>
        <w:t xml:space="preserve">Wisconsin’s plan, in fact, is one of the healthiest in the nation. While many states will need to bolster their pension programs over the coming years, </w:t>
      </w:r>
      <w:r w:rsidRPr="0097171B">
        <w:rPr>
          <w:rStyle w:val="Emphasis"/>
          <w:highlight w:val="yellow"/>
        </w:rPr>
        <w:t>none face an immediate crisi</w:t>
      </w:r>
      <w:r w:rsidRPr="0097171B">
        <w:rPr>
          <w:sz w:val="16"/>
          <w:highlight w:val="yellow"/>
        </w:rPr>
        <w:t xml:space="preserve">s. </w:t>
      </w:r>
      <w:r w:rsidRPr="0097171B">
        <w:rPr>
          <w:rStyle w:val="Emphasis"/>
          <w:highlight w:val="yellow"/>
        </w:rPr>
        <w:t>Even the most cash-strapped state plans in the nation are simply not in any danger of near-term financial distres</w:t>
      </w:r>
      <w:r w:rsidRPr="00F07B7C">
        <w:rPr>
          <w:sz w:val="16"/>
        </w:rPr>
        <w:t>s.</w:t>
      </w:r>
    </w:p>
    <w:p w:rsidR="00C12070" w:rsidRPr="00F07B7C" w:rsidRDefault="00C12070" w:rsidP="00C12070">
      <w:pPr>
        <w:rPr>
          <w:rStyle w:val="StyleUnderline"/>
        </w:rPr>
      </w:pPr>
      <w:r w:rsidRPr="00F07B7C">
        <w:rPr>
          <w:sz w:val="16"/>
        </w:rPr>
        <w:t>“</w:t>
      </w:r>
      <w:r w:rsidRPr="00F07B7C">
        <w:rPr>
          <w:rStyle w:val="StyleUnderline"/>
        </w:rPr>
        <w:t>It would require a calamity of unbelievable proportion to have a cash-flow shortage with pension fu</w:t>
      </w:r>
      <w:r w:rsidRPr="00F07B7C">
        <w:rPr>
          <w:sz w:val="16"/>
        </w:rPr>
        <w:t xml:space="preserve">nds,” said Monique Morrissey, an economist at the Economic Policy Institute, which is partly supported by labor unions. “They’re advance-funded, so in any given year, </w:t>
      </w:r>
      <w:r w:rsidRPr="00520103">
        <w:rPr>
          <w:rStyle w:val="StyleUnderline"/>
          <w:highlight w:val="yellow"/>
        </w:rPr>
        <w:t>pension fund benefit payouts are a very small fraction of what’s actually in a pension fund account</w:t>
      </w:r>
      <w:r w:rsidRPr="00F07B7C">
        <w:rPr>
          <w:rStyle w:val="StyleUnderline"/>
        </w:rPr>
        <w:t>.”</w:t>
      </w:r>
    </w:p>
    <w:p w:rsidR="00C12070" w:rsidRPr="00F07B7C" w:rsidRDefault="00C12070" w:rsidP="00C12070">
      <w:pPr>
        <w:rPr>
          <w:sz w:val="16"/>
        </w:rPr>
      </w:pPr>
      <w:r w:rsidRPr="00F07B7C">
        <w:rPr>
          <w:sz w:val="16"/>
        </w:rPr>
        <w:t>State pensions have garnered headlines for a variety of troubles during the recession — some have been underfunded in recent years, several took heavy losses on subprime mortgage bonds and nearly all took a beating during the 2008 and ‘09 stock market slides. As layoffs and foreclosures have depleted tax revenues for state governments, elected officials have targeted large public programs like pension funds in an effort to ease budget deficit concerns.</w:t>
      </w:r>
    </w:p>
    <w:p w:rsidR="00C12070" w:rsidRPr="00F07B7C" w:rsidRDefault="00C12070" w:rsidP="00C12070">
      <w:pPr>
        <w:rPr>
          <w:sz w:val="16"/>
        </w:rPr>
      </w:pPr>
      <w:r w:rsidRPr="00F07B7C">
        <w:rPr>
          <w:sz w:val="16"/>
        </w:rPr>
        <w:t xml:space="preserve">But </w:t>
      </w:r>
      <w:r w:rsidRPr="00F07B7C">
        <w:rPr>
          <w:rStyle w:val="StyleUnderline"/>
        </w:rPr>
        <w:t>while the recession has taken a major toll on state tax revenues, economists say it has not had a drastic impact on pension funds</w:t>
      </w:r>
      <w:r w:rsidRPr="00F07B7C">
        <w:rPr>
          <w:sz w:val="16"/>
        </w:rPr>
        <w:t xml:space="preserve"> — the stock losses were followed by a major market rebound, recovering losses. </w:t>
      </w:r>
      <w:r w:rsidRPr="00F07B7C">
        <w:rPr>
          <w:rStyle w:val="StyleUnderline"/>
        </w:rPr>
        <w:t>States pay out billions of dollars a year to pensioners, but every single state plan is also sitting on several billion more in revenue-generating assets</w:t>
      </w:r>
      <w:r w:rsidRPr="00F07B7C">
        <w:rPr>
          <w:sz w:val="16"/>
        </w:rPr>
        <w:t xml:space="preserve">. </w:t>
      </w:r>
      <w:r w:rsidRPr="00F07B7C">
        <w:rPr>
          <w:rStyle w:val="StyleUnderline"/>
        </w:rPr>
        <w:t>Many pension funds face no problems at all.</w:t>
      </w:r>
      <w:r w:rsidRPr="00F07B7C">
        <w:rPr>
          <w:sz w:val="16"/>
        </w:rPr>
        <w:t xml:space="preserve"> Those that do must deal with a long-term revenue shortfall, still several years away, which can be prevented with modest reforms in the present.</w:t>
      </w:r>
    </w:p>
    <w:p w:rsidR="00C12070" w:rsidRPr="00F07B7C" w:rsidRDefault="00C12070" w:rsidP="00C12070">
      <w:pPr>
        <w:rPr>
          <w:rStyle w:val="StyleUnderline"/>
        </w:rPr>
      </w:pPr>
      <w:r w:rsidRPr="00F07B7C">
        <w:rPr>
          <w:sz w:val="16"/>
        </w:rPr>
        <w:t xml:space="preserve">“In some cases you’re looking at 10 to 15 years, </w:t>
      </w:r>
      <w:r w:rsidRPr="00F07B7C">
        <w:rPr>
          <w:rStyle w:val="StyleUnderline"/>
        </w:rPr>
        <w:t>in some cases you’re looking at 30 to 40 years where you’re going to be running out of money</w:t>
      </w:r>
      <w:r w:rsidRPr="00F07B7C">
        <w:rPr>
          <w:sz w:val="16"/>
        </w:rPr>
        <w:t xml:space="preserve">,” said economist Christian Weller, a professor at the University of Massachusetts at Boston and an analyst for the Obama administration-allied Center for American Progress. </w:t>
      </w:r>
      <w:r w:rsidRPr="00F07B7C">
        <w:rPr>
          <w:rStyle w:val="StyleUnderline"/>
        </w:rPr>
        <w:t>“</w:t>
      </w:r>
      <w:r w:rsidRPr="00520103">
        <w:rPr>
          <w:rStyle w:val="StyleUnderline"/>
          <w:highlight w:val="yellow"/>
        </w:rPr>
        <w:t>The fixes in most cases are very manageable.</w:t>
      </w:r>
      <w:r w:rsidRPr="00F07B7C">
        <w:rPr>
          <w:rStyle w:val="StyleUnderline"/>
        </w:rPr>
        <w:t xml:space="preserve"> Many states had already started to address this years ago.”</w:t>
      </w:r>
    </w:p>
    <w:p w:rsidR="00C12070" w:rsidRPr="00F07B7C" w:rsidRDefault="00C12070" w:rsidP="00C12070">
      <w:pPr>
        <w:rPr>
          <w:sz w:val="16"/>
        </w:rPr>
      </w:pPr>
      <w:r w:rsidRPr="00F07B7C">
        <w:rPr>
          <w:sz w:val="16"/>
        </w:rPr>
        <w:t>Pension obligations can seem disproportionately large compared to the scope of annual state budgets, Weller and others say, because pension funds calculate their total liabilities over the entire estimated lifetime of every pensioner and current public employee budgets. And it’s easy to make those sums look even bigger by assuming that pension fund investments will only earn low rates of return, like those on Treasury bonds (which are currently producing record-low yields).</w:t>
      </w:r>
    </w:p>
    <w:p w:rsidR="00C12070" w:rsidRPr="00F07B7C" w:rsidRDefault="00C12070" w:rsidP="00C12070">
      <w:pPr>
        <w:rPr>
          <w:sz w:val="16"/>
        </w:rPr>
      </w:pPr>
      <w:r w:rsidRPr="00F07B7C">
        <w:rPr>
          <w:sz w:val="16"/>
        </w:rPr>
        <w:t>That operating assumption was used in a December study from the Mercatus Center, a think tank founded and funded by billionaires Charles and David Koch, oil barons who have supported Tea Party groups and invest heavily in conservative causes. Using that methodology, the report projected a $3 trillion shortfall for state pension funds and another $574 billion shortage for local government programs. Mercatus also prefers to project pension fund asset earnings at the 15-year Treasury bond interest rate, which is much lower than the 30-year interest rate, even though pension fund liabilities are calculated over a window that frequently eclipses 30 years.</w:t>
      </w:r>
    </w:p>
    <w:p w:rsidR="00C12070" w:rsidRPr="00F07B7C" w:rsidRDefault="00C12070" w:rsidP="00C12070">
      <w:pPr>
        <w:rPr>
          <w:sz w:val="16"/>
        </w:rPr>
      </w:pPr>
      <w:r w:rsidRPr="00F07B7C">
        <w:rPr>
          <w:sz w:val="16"/>
        </w:rPr>
        <w:t>The numbers in the Mercatus paper were taken from a study by Northwestern University economist Joshua Rauh and University of Rochester economist Robert Novy-Marx, who used the same assumptions. Eileen Norcross, the Mercatus author, insisted that the Treasury bond standard is not just an effort to game the numbers.</w:t>
      </w:r>
    </w:p>
    <w:p w:rsidR="00C12070" w:rsidRPr="00F07B7C" w:rsidRDefault="00C12070" w:rsidP="00C12070">
      <w:pPr>
        <w:rPr>
          <w:sz w:val="16"/>
        </w:rPr>
      </w:pPr>
      <w:r w:rsidRPr="00F07B7C">
        <w:rPr>
          <w:sz w:val="16"/>
        </w:rPr>
        <w:t>“You can’t pay out something that’s 100 percent certain with uncertain investments,” she said. “If they get those returns, that’s great. But there are also downturns, and you have to hedge against that. And what’s the hedge right now? It’s, ‘Oops, we have to raise taxes.’”</w:t>
      </w:r>
    </w:p>
    <w:p w:rsidR="00C12070" w:rsidRPr="00F07B7C" w:rsidRDefault="00C12070" w:rsidP="00C12070">
      <w:pPr>
        <w:rPr>
          <w:sz w:val="16"/>
        </w:rPr>
      </w:pPr>
      <w:r w:rsidRPr="00F07B7C">
        <w:rPr>
          <w:sz w:val="16"/>
        </w:rPr>
        <w:t>Others say such conservative projections are just hocus-pocus. Most pension funds have recovered from the losses taken in the 2008 stock market slide.</w:t>
      </w:r>
    </w:p>
    <w:p w:rsidR="00C12070" w:rsidRPr="00F07B7C" w:rsidRDefault="00C12070" w:rsidP="00C12070">
      <w:pPr>
        <w:rPr>
          <w:sz w:val="16"/>
        </w:rPr>
      </w:pPr>
      <w:r w:rsidRPr="00F07B7C">
        <w:rPr>
          <w:sz w:val="16"/>
        </w:rPr>
        <w:t>“These people would never invest all of their own money in Treasury bonds alone, yet they expect pensions to plan as if they did,” says EPI’s Morrissey. “They’re resorting to accounting gimmicks to make the hole look a lot bigger than it really is. The reality is that contributions can be adjusted very gradually because there isn’t any immediate cash-flow problem.”</w:t>
      </w:r>
    </w:p>
    <w:p w:rsidR="00C12070" w:rsidRPr="00F07B7C" w:rsidRDefault="00C12070" w:rsidP="00C12070">
      <w:pPr>
        <w:rPr>
          <w:sz w:val="16"/>
        </w:rPr>
      </w:pPr>
      <w:r w:rsidRPr="00F07B7C">
        <w:rPr>
          <w:rStyle w:val="StyleUnderline"/>
        </w:rPr>
        <w:t xml:space="preserve">A $3 trillion shortage would be a tremendous problem if governments had to cope with it in a single year. But </w:t>
      </w:r>
      <w:r w:rsidRPr="00520103">
        <w:rPr>
          <w:rStyle w:val="StyleUnderline"/>
          <w:highlight w:val="yellow"/>
        </w:rPr>
        <w:t>it’s actually a shortfall accumulated over about 30 years</w:t>
      </w:r>
      <w:r w:rsidRPr="00F07B7C">
        <w:rPr>
          <w:rStyle w:val="StyleUnderline"/>
        </w:rPr>
        <w:t>, or about $100 billion per year</w:t>
      </w:r>
      <w:r w:rsidRPr="00F07B7C">
        <w:rPr>
          <w:sz w:val="16"/>
        </w:rPr>
        <w:t>. In the context of a national economy generating $14.7 trillion a year, even amid the worst economic downturn in generations, that number is significant, but much less frightening.</w:t>
      </w:r>
    </w:p>
    <w:p w:rsidR="00C12070" w:rsidRPr="00F07B7C" w:rsidRDefault="00C12070" w:rsidP="00C12070">
      <w:pPr>
        <w:rPr>
          <w:sz w:val="16"/>
        </w:rPr>
      </w:pPr>
      <w:r w:rsidRPr="00F07B7C">
        <w:rPr>
          <w:sz w:val="16"/>
        </w:rPr>
        <w:t xml:space="preserve">And </w:t>
      </w:r>
      <w:r w:rsidRPr="00F07B7C">
        <w:rPr>
          <w:rStyle w:val="StyleUnderline"/>
        </w:rPr>
        <w:t>by assuming traditional rates of return for pension funds, the number gets far smalle</w:t>
      </w:r>
      <w:r w:rsidRPr="00F07B7C">
        <w:rPr>
          <w:sz w:val="16"/>
        </w:rPr>
        <w:t>r. A recent paper by economist Dean Baker, co-director of the progressive think tank Center for Economic Policy and Research, does exactly that, pegging the 30-year shortfall at $647 billion, or $21.6 billion per year, even if recent stock market gains for pension funds are not factored in.</w:t>
      </w:r>
    </w:p>
    <w:p w:rsidR="00C12070" w:rsidRPr="00F07B7C" w:rsidRDefault="00C12070" w:rsidP="00C12070">
      <w:pPr>
        <w:rPr>
          <w:sz w:val="16"/>
        </w:rPr>
      </w:pPr>
      <w:r w:rsidRPr="00F07B7C">
        <w:rPr>
          <w:sz w:val="16"/>
        </w:rPr>
        <w:t>The major immediate threats to state budgets are the same problems facing citizens: foreclosures — an estimated $19,000 or so a pop to local governments, and currently running at a rate of 1 million a year — along with plunging home values and layoffs. But generous upper-end tax cuts aren’t helping, either. When Wisconsin Gov. Scott Walker took office, for instance, he immediately implemented two tax cuts for the wealthy and large corporations that put the state’s budget under pressure.</w:t>
      </w:r>
    </w:p>
    <w:p w:rsidR="00C12070" w:rsidRPr="00F07B7C" w:rsidRDefault="00C12070" w:rsidP="00C12070">
      <w:pPr>
        <w:rPr>
          <w:sz w:val="16"/>
        </w:rPr>
      </w:pPr>
      <w:r w:rsidRPr="00F07B7C">
        <w:rPr>
          <w:sz w:val="16"/>
        </w:rPr>
        <w:t>“Look at Walker, he manufactured his deficit with tax cuts for the rich,” said Ron Blackwell, chief economist for the AFL-CIO, the largest federation of U.S. labor unions. “For pensions, the problem in general is not an especially bad one. And to the extent there are problems, they’re caused by the stock market declines. They have nothing to do with how public sector unions negotiate these so-called ‘generous’ benefits.”</w:t>
      </w:r>
    </w:p>
    <w:p w:rsidR="00C12070" w:rsidRPr="00F07B7C" w:rsidRDefault="00C12070" w:rsidP="00C12070">
      <w:pPr>
        <w:rPr>
          <w:sz w:val="16"/>
        </w:rPr>
      </w:pPr>
      <w:r w:rsidRPr="00F07B7C">
        <w:rPr>
          <w:sz w:val="16"/>
        </w:rPr>
        <w:t>Of course, some public employees really are enjoying extravagant retirements on the public dime. Unions representing California prison guards and other police forces have bargained for extremely generous payouts, while a handful of states have indeed mismanaged their pension plans. “For Illinois and New Jersey, ‘raided’ is probably a better word,” Morrissey, the EPI economist, says.</w:t>
      </w:r>
    </w:p>
    <w:p w:rsidR="00C12070" w:rsidRPr="00F07B7C" w:rsidRDefault="00C12070" w:rsidP="00C12070">
      <w:pPr>
        <w:rPr>
          <w:rStyle w:val="StyleUnderline"/>
        </w:rPr>
      </w:pPr>
      <w:r w:rsidRPr="00F07B7C">
        <w:rPr>
          <w:sz w:val="16"/>
        </w:rPr>
        <w:t xml:space="preserve">But </w:t>
      </w:r>
      <w:r w:rsidRPr="00F07B7C">
        <w:rPr>
          <w:rStyle w:val="StyleUnderline"/>
        </w:rPr>
        <w:t>while the excesses of a few are being used to justify drastic action against public workers everywhere, even some of the worst-off state systems</w:t>
      </w:r>
      <w:r w:rsidRPr="00F07B7C">
        <w:rPr>
          <w:sz w:val="16"/>
        </w:rPr>
        <w:t xml:space="preserve">, like New Jersey and California, </w:t>
      </w:r>
      <w:r w:rsidRPr="00F07B7C">
        <w:rPr>
          <w:rStyle w:val="StyleUnderline"/>
        </w:rPr>
        <w:t>do not face an immediate crisis.</w:t>
      </w:r>
    </w:p>
    <w:p w:rsidR="00C12070" w:rsidRPr="00F07B7C" w:rsidRDefault="00C12070" w:rsidP="00C12070"/>
    <w:p w:rsidR="00C12070" w:rsidRPr="00F07B7C" w:rsidRDefault="00C12070" w:rsidP="00C12070">
      <w:pPr>
        <w:pStyle w:val="Heading4"/>
      </w:pPr>
      <w:r w:rsidRPr="00F07B7C">
        <w:t>Economy is trending upward</w:t>
      </w:r>
    </w:p>
    <w:p w:rsidR="00C12070" w:rsidRPr="00F07B7C" w:rsidRDefault="00C12070" w:rsidP="00C12070">
      <w:r w:rsidRPr="00F07B7C">
        <w:t xml:space="preserve">Enda </w:t>
      </w:r>
      <w:r w:rsidRPr="00F07B7C">
        <w:rPr>
          <w:rStyle w:val="Style13ptBold"/>
        </w:rPr>
        <w:t>Curran</w:t>
      </w:r>
      <w:r w:rsidRPr="00F07B7C">
        <w:t xml:space="preserve"> </w:t>
      </w:r>
      <w:r w:rsidRPr="00F07B7C">
        <w:rPr>
          <w:rStyle w:val="Style13ptBold"/>
        </w:rPr>
        <w:t>and</w:t>
      </w:r>
      <w:r w:rsidRPr="00F07B7C">
        <w:t xml:space="preserve"> Tom </w:t>
      </w:r>
      <w:r w:rsidRPr="00F07B7C">
        <w:rPr>
          <w:rStyle w:val="Style13ptBold"/>
        </w:rPr>
        <w:t>Mackenzie, 6-1</w:t>
      </w:r>
      <w:r w:rsidRPr="00F07B7C">
        <w:t xml:space="preserve">-2017, (1. City University of London, 2. University of Warwick Bachelor of Science, "Gorman Says Dirty Little Secret Is U.S. Economy Doing Fine," </w:t>
      </w:r>
      <w:hyperlink r:id="rId10" w:history="1">
        <w:r w:rsidRPr="00F07B7C">
          <w:rPr>
            <w:rStyle w:val="Hyperlink"/>
          </w:rPr>
          <w:t>https://www.bloomberg.com/news/articles/2017-06-01/gorman-says-dirty-little-secret-is-u-s-economy-doing-just-fine//)MBA</w:t>
        </w:r>
      </w:hyperlink>
      <w:r w:rsidRPr="00F07B7C">
        <w:t xml:space="preserve"> HBJ</w:t>
      </w:r>
    </w:p>
    <w:p w:rsidR="00C12070" w:rsidRPr="00F07B7C" w:rsidRDefault="00C12070" w:rsidP="00C12070">
      <w:pPr>
        <w:rPr>
          <w:sz w:val="12"/>
        </w:rPr>
      </w:pPr>
      <w:r w:rsidRPr="00F07B7C">
        <w:rPr>
          <w:sz w:val="12"/>
        </w:rPr>
        <w:t xml:space="preserve">Morgan Stanley Chief Executive Officer James </w:t>
      </w:r>
      <w:r w:rsidRPr="00520103">
        <w:rPr>
          <w:rStyle w:val="StyleUnderline"/>
          <w:highlight w:val="yellow"/>
        </w:rPr>
        <w:t>Gorman</w:t>
      </w:r>
      <w:r w:rsidRPr="00520103">
        <w:rPr>
          <w:sz w:val="12"/>
          <w:highlight w:val="yellow"/>
        </w:rPr>
        <w:t xml:space="preserve"> </w:t>
      </w:r>
      <w:r w:rsidRPr="00520103">
        <w:rPr>
          <w:rStyle w:val="StyleUnderline"/>
          <w:highlight w:val="yellow"/>
        </w:rPr>
        <w:t>said</w:t>
      </w:r>
      <w:r w:rsidRPr="00520103">
        <w:rPr>
          <w:sz w:val="12"/>
          <w:highlight w:val="yellow"/>
        </w:rPr>
        <w:t xml:space="preserve"> </w:t>
      </w:r>
      <w:r w:rsidRPr="00520103">
        <w:rPr>
          <w:rStyle w:val="StyleUnderline"/>
          <w:highlight w:val="yellow"/>
        </w:rPr>
        <w:t>he’s very encouraged by the performance of the U.S. economy</w:t>
      </w:r>
      <w:r w:rsidRPr="00F07B7C">
        <w:rPr>
          <w:rStyle w:val="StyleUnderline"/>
        </w:rPr>
        <w:t>,</w:t>
      </w:r>
      <w:r w:rsidRPr="00F07B7C">
        <w:rPr>
          <w:sz w:val="12"/>
        </w:rPr>
        <w:t xml:space="preserve"> even amid the need for progress on some of the Trump administration’s legislative proposals. </w:t>
      </w:r>
      <w:r w:rsidRPr="00F07B7C">
        <w:rPr>
          <w:rStyle w:val="StyleUnderline"/>
        </w:rPr>
        <w:t>"The dirty little secret here is the U.S. economy is doing just fine</w:t>
      </w:r>
      <w:r w:rsidRPr="00F07B7C">
        <w:rPr>
          <w:sz w:val="12"/>
        </w:rPr>
        <w:t xml:space="preserve">," Gorman said in an interview with Bloomberg Television in Beijing. </w:t>
      </w:r>
      <w:r w:rsidRPr="00F07B7C">
        <w:rPr>
          <w:rStyle w:val="StyleUnderline"/>
        </w:rPr>
        <w:t xml:space="preserve">He pointed to </w:t>
      </w:r>
      <w:r w:rsidRPr="00520103">
        <w:rPr>
          <w:rStyle w:val="Emphasis"/>
          <w:highlight w:val="yellow"/>
        </w:rPr>
        <w:t>falling unemployment, a recovery in house prices, stabilizing local and state government deficits and some signs of quickening inflatio</w:t>
      </w:r>
      <w:r w:rsidRPr="00F07B7C">
        <w:rPr>
          <w:rStyle w:val="Emphasis"/>
        </w:rPr>
        <w:t>n</w:t>
      </w:r>
      <w:r w:rsidRPr="00F07B7C">
        <w:rPr>
          <w:rStyle w:val="StyleUnderline"/>
        </w:rPr>
        <w:t xml:space="preserve">. </w:t>
      </w:r>
      <w:r w:rsidRPr="00F07B7C">
        <w:rPr>
          <w:sz w:val="12"/>
        </w:rPr>
        <w:t xml:space="preserve">Gorman made the remarks as Federal Reserve Bank of San Francisco President John Williams told reporters in Seoul that the U.S. economy is doing very well and remains on a very good growth track. </w:t>
      </w:r>
      <w:r w:rsidRPr="00F07B7C">
        <w:rPr>
          <w:rStyle w:val="StyleUnderline"/>
        </w:rPr>
        <w:t>While the base case remains for three interest rate hikes this year, there’s scope for the Fed to raise four times in 2017 if the economy strengthens</w:t>
      </w:r>
      <w:r w:rsidRPr="00F07B7C">
        <w:rPr>
          <w:sz w:val="12"/>
        </w:rPr>
        <w:t>, Williams said. Unemployment in the world’s biggest economy fell to 4.4 percent in April while data show that consumer sentiment remains upbeat and the housing market remains tight. The S&amp;P CoreLogic Case-Shiller index of property values in 20 cities rose 5.9 percent in March from a year earlier, matching the biggest gain since July 2014. "If you look at it objectively, the U.S. economy is doing fine, not great, but fine," Gorman said. He described President Donald Trump’s policy agenda as "very bold" and said it wasn’t surprising that the administration had been experiencing "tough sledding." Still, as markets adopt a wait-and-see approach, the administration will need to deliver on some of its agenda, Gorman said. "We need progress on some of these legislative programs," he said.</w:t>
      </w:r>
    </w:p>
    <w:p w:rsidR="00C12070" w:rsidRPr="00F07B7C" w:rsidRDefault="00C12070" w:rsidP="00C12070"/>
    <w:p w:rsidR="00C12070" w:rsidRPr="00F07B7C" w:rsidRDefault="00C12070" w:rsidP="00C12070">
      <w:pPr>
        <w:pStyle w:val="Heading3"/>
      </w:pPr>
      <w:r w:rsidRPr="00F07B7C">
        <w:t>2nc pension defense</w:t>
      </w:r>
    </w:p>
    <w:p w:rsidR="00C12070" w:rsidRPr="00F07B7C" w:rsidRDefault="00C12070" w:rsidP="00C12070">
      <w:pPr>
        <w:pStyle w:val="Heading4"/>
      </w:pPr>
      <w:r w:rsidRPr="00F07B7C">
        <w:t xml:space="preserve">Pension reform inevitable --- their stats are political fear-mongering and there’s no risk of immanent collapse </w:t>
      </w:r>
    </w:p>
    <w:p w:rsidR="00C12070" w:rsidRPr="00F07B7C" w:rsidRDefault="00C12070" w:rsidP="00C12070">
      <w:r w:rsidRPr="00F07B7C">
        <w:rPr>
          <w:b/>
        </w:rPr>
        <w:t>Carter 11</w:t>
      </w:r>
      <w:r w:rsidRPr="00F07B7C">
        <w:t xml:space="preserve"> [Zach Carter is HuffPost's Senior Political Economy Reporter, working out of Washington D.C. Zach Carter is HuffPost's Senior Political Economy Reporter, working out of Washington D.C., “An Overblown ‘Crisis’ For State Pension Funds,” 3/7/11, http://www.huffingtonpost.com/2011/03/07/state-pension-plans_n_829112.html]</w:t>
      </w:r>
    </w:p>
    <w:p w:rsidR="00C12070" w:rsidRPr="00F07B7C" w:rsidRDefault="00C12070" w:rsidP="00C12070"/>
    <w:p w:rsidR="00C12070" w:rsidRPr="00F07B7C" w:rsidRDefault="00C12070" w:rsidP="00C12070">
      <w:pPr>
        <w:rPr>
          <w:sz w:val="16"/>
        </w:rPr>
      </w:pPr>
      <w:r w:rsidRPr="00F07B7C">
        <w:rPr>
          <w:rStyle w:val="StyleUnderline"/>
        </w:rPr>
        <w:t>While these big-ticket pensions reek of pay-for-play politics, they have a relatively minor impact on the state funds’ operations</w:t>
      </w:r>
      <w:r w:rsidRPr="00F07B7C">
        <w:rPr>
          <w:sz w:val="16"/>
        </w:rPr>
        <w:t>. California’s entire $100,000-plus club amounts to less than 1 percent of the state’s pensioners. The largest of California’s pension plans, CalPERS, which includes retired prison guards and highway patrolmen, pays benefits to over 1.6 million pensioners. CalSTRS, the teacher pension plan, has about 224,000 members. The average yearly pension for CalPERS, according to the plan’s data, was about $25,000 for a pensioner who spent more than 20 years working for the state. And those pensions are particularly important for retirees in California, one of several states in which public employees are not eligible for Social Security.</w:t>
      </w:r>
    </w:p>
    <w:p w:rsidR="00C12070" w:rsidRPr="00F07B7C" w:rsidRDefault="00C12070" w:rsidP="00C12070">
      <w:pPr>
        <w:rPr>
          <w:sz w:val="16"/>
        </w:rPr>
      </w:pPr>
      <w:r w:rsidRPr="00F07B7C">
        <w:rPr>
          <w:rStyle w:val="StyleUnderline"/>
        </w:rPr>
        <w:t>Studies like Baker’s suggest that states can manage their long-term pension costs without slashing benefits or dramatically raising taxes on state employees</w:t>
      </w:r>
      <w:r w:rsidRPr="00F07B7C">
        <w:rPr>
          <w:sz w:val="16"/>
        </w:rPr>
        <w:t xml:space="preserve">. </w:t>
      </w:r>
      <w:r w:rsidRPr="00F07B7C">
        <w:rPr>
          <w:rStyle w:val="Emphasis"/>
        </w:rPr>
        <w:t>In addition to sitting on big piles of assets, states typically make their own annual contributions to pension funds and require some kind of contribution from employees in order to grow that asset base</w:t>
      </w:r>
      <w:r w:rsidRPr="00F07B7C">
        <w:rPr>
          <w:sz w:val="16"/>
        </w:rPr>
        <w:t xml:space="preserve"> — all of which is stipulated in the employees’ contracts.</w:t>
      </w:r>
    </w:p>
    <w:p w:rsidR="00C12070" w:rsidRPr="00F07B7C" w:rsidRDefault="00C12070" w:rsidP="00C12070">
      <w:pPr>
        <w:rPr>
          <w:sz w:val="16"/>
        </w:rPr>
      </w:pPr>
      <w:r w:rsidRPr="00F07B7C">
        <w:rPr>
          <w:sz w:val="16"/>
        </w:rPr>
        <w:t>Yet some governors now seek to dismantle the public guaranteed-pension system in favor of riskier 401k plans, a practice long advocated by conservative antitax activists. As far back as 1999, the Grover Norquist-led group Americans for Tax Reform was promoting so-called “pension liberation,” a phrase that has since been adopted by the Koch-funded group Americans for Prosperity.</w:t>
      </w:r>
    </w:p>
    <w:p w:rsidR="00C12070" w:rsidRPr="00F07B7C" w:rsidRDefault="00C12070" w:rsidP="00C12070">
      <w:pPr>
        <w:rPr>
          <w:sz w:val="16"/>
        </w:rPr>
      </w:pPr>
      <w:r w:rsidRPr="00F07B7C">
        <w:rPr>
          <w:sz w:val="16"/>
        </w:rPr>
        <w:t>As it stands, pension contributions appear to have a relatively small impact on state budgets. According to an October study by the centrist Boston College Center for Retirement Research, those state pension expenditures accounted for just 3.8 percent of state government budgets in 2008. In order to meet long-term obligations under standard investment return expectations, the report claims that states should bolster that figure to 5.0 percent — assuming no increased burden on employees and no cuts to benefits. Assuming the Treasury bond-only investment strategy, however, states would have to ramp this up to around 9 percent.</w:t>
      </w:r>
    </w:p>
    <w:p w:rsidR="00C12070" w:rsidRPr="00F07B7C" w:rsidRDefault="00C12070" w:rsidP="00C12070">
      <w:pPr>
        <w:rPr>
          <w:sz w:val="16"/>
        </w:rPr>
      </w:pPr>
      <w:r w:rsidRPr="00F07B7C">
        <w:rPr>
          <w:rStyle w:val="Emphasis"/>
        </w:rPr>
        <w:t>Many of the states currently subject to the most intense political uproar over pensions have some of the strongest programs in the country</w:t>
      </w:r>
      <w:r w:rsidRPr="00F07B7C">
        <w:rPr>
          <w:sz w:val="16"/>
        </w:rPr>
        <w:t>. Despite major standoffs between conservative governments and labor unions in Wisconsin, Indiana, Ohio and Florida, these states’ pension plans are all on strong footing, even given disastrous economic conditions. Wisconsin and Ohio were each cited in a 2010 study by the Pew Center for the States as “a national leader in managing ... long-term liabilities for both pensions and retiree health care.” Florida was cited by the same report as a “top performer” for its pension fund.</w:t>
      </w:r>
    </w:p>
    <w:p w:rsidR="00C12070" w:rsidRPr="00F07B7C" w:rsidRDefault="00C12070" w:rsidP="00C12070">
      <w:pPr>
        <w:rPr>
          <w:sz w:val="16"/>
        </w:rPr>
      </w:pPr>
      <w:r w:rsidRPr="00F07B7C">
        <w:rPr>
          <w:rStyle w:val="StyleUnderline"/>
        </w:rPr>
        <w:t>Economists analyze several statistics to determine pension fund stability, but the most closely watched is a metric known as the “funding ratio,” which compares the assets currently owned by pension funds to the total lifetime payments required by every pensioner and every current worker who will eventually be eligible for a pension. T</w:t>
      </w:r>
      <w:r w:rsidRPr="00F07B7C">
        <w:rPr>
          <w:sz w:val="16"/>
        </w:rPr>
        <w:t>he Pew study, for instance, demands an 80 percent funding ratio for fiscal rectitude. To meet that mark, a pension fund must be able to cover at least 80 percent of its long-term costs if its investments were to be sold off now. At the time of the Pew study, Florida’s ratio was 101.39 percent, Wisconsin’s ratio was 99.67 percent, Ohio’s was at 86.83 percent, while Indiana was at 69.67 percent.</w:t>
      </w:r>
    </w:p>
    <w:p w:rsidR="00C12070" w:rsidRPr="00F07B7C" w:rsidRDefault="00C12070" w:rsidP="00C12070">
      <w:pPr>
        <w:rPr>
          <w:rStyle w:val="StyleUnderline"/>
        </w:rPr>
      </w:pPr>
      <w:r w:rsidRPr="00F07B7C">
        <w:rPr>
          <w:sz w:val="16"/>
        </w:rPr>
        <w:t xml:space="preserve">That last ratio was enough to justify “serious concerns” at Pew about the Indiana fund’s long-term viability. The Pew study found that 19 states fell below its favored 80-percent threshold, but other studies use lower benchmarks to measure stability. </w:t>
      </w:r>
      <w:r w:rsidRPr="00F07B7C">
        <w:rPr>
          <w:rStyle w:val="StyleUnderline"/>
        </w:rPr>
        <w:t>New methodology from Fitch Ratings requires a 70 percent funding ratio for pension fund stability, and doesn’t claim that any plan is “weak” unless its funding ratio drops below 60 percent. Fitch</w:t>
      </w:r>
      <w:r w:rsidRPr="00F07B7C">
        <w:rPr>
          <w:sz w:val="16"/>
        </w:rPr>
        <w:t xml:space="preserve">, in fact, </w:t>
      </w:r>
      <w:r w:rsidRPr="00F07B7C">
        <w:rPr>
          <w:rStyle w:val="StyleUnderline"/>
        </w:rPr>
        <w:t>dismissed concerns about Indiana’s relatively low funding ratio in a February report, arguing that other revenue factors made it of little concern.</w:t>
      </w:r>
    </w:p>
    <w:p w:rsidR="00C12070" w:rsidRPr="00F07B7C" w:rsidRDefault="00C12070" w:rsidP="00C12070">
      <w:pPr>
        <w:rPr>
          <w:sz w:val="16"/>
        </w:rPr>
      </w:pPr>
      <w:r w:rsidRPr="00F07B7C">
        <w:rPr>
          <w:sz w:val="16"/>
        </w:rPr>
        <w:t xml:space="preserve">And the Fitch report repeatedly emphasized that </w:t>
      </w:r>
      <w:r w:rsidRPr="00F07B7C">
        <w:rPr>
          <w:rStyle w:val="Emphasis"/>
        </w:rPr>
        <w:t>the vast majority of pension funds are not in crisis</w:t>
      </w:r>
      <w:r w:rsidRPr="00F07B7C">
        <w:rPr>
          <w:sz w:val="16"/>
        </w:rPr>
        <w:t>. “Fitch believes that the vast majority of governments will withstand the substantial pressures they face from their pension obligations,” the firm said.</w:t>
      </w:r>
    </w:p>
    <w:p w:rsidR="00C12070" w:rsidRPr="00F07B7C" w:rsidRDefault="00C12070" w:rsidP="00C12070">
      <w:pPr>
        <w:rPr>
          <w:sz w:val="16"/>
        </w:rPr>
      </w:pPr>
      <w:r w:rsidRPr="00F07B7C">
        <w:rPr>
          <w:sz w:val="16"/>
        </w:rPr>
        <w:t xml:space="preserve">That seems to be the story for state pension funds: </w:t>
      </w:r>
      <w:r w:rsidRPr="00F07B7C">
        <w:rPr>
          <w:rStyle w:val="StyleUnderline"/>
        </w:rPr>
        <w:t>Many will need to make adjustments, but none are insurmountable. And to the extent that any face problems, they are long-term issues</w:t>
      </w:r>
      <w:r w:rsidRPr="00F07B7C">
        <w:rPr>
          <w:sz w:val="16"/>
        </w:rPr>
        <w:t xml:space="preserve">. Hence: </w:t>
      </w:r>
      <w:r w:rsidRPr="00F07B7C">
        <w:rPr>
          <w:rStyle w:val="Emphasis"/>
        </w:rPr>
        <w:t>No immediate crisis in state pensions</w:t>
      </w:r>
      <w:r w:rsidRPr="00F07B7C">
        <w:rPr>
          <w:sz w:val="16"/>
        </w:rPr>
        <w:t>.</w:t>
      </w:r>
    </w:p>
    <w:p w:rsidR="00C12070" w:rsidRPr="00F07B7C" w:rsidRDefault="00C12070" w:rsidP="00C12070">
      <w:pPr>
        <w:rPr>
          <w:sz w:val="16"/>
        </w:rPr>
      </w:pPr>
      <w:r w:rsidRPr="00F07B7C">
        <w:rPr>
          <w:sz w:val="16"/>
        </w:rPr>
        <w:t>“</w:t>
      </w:r>
      <w:r w:rsidRPr="00F07B7C">
        <w:rPr>
          <w:rStyle w:val="Emphasis"/>
        </w:rPr>
        <w:t>They have time to make adjustments</w:t>
      </w:r>
      <w:r w:rsidRPr="00F07B7C">
        <w:rPr>
          <w:sz w:val="16"/>
        </w:rPr>
        <w:t>,” said Keith Brainard, research director for the National Association of State Retirement Administrators. “</w:t>
      </w:r>
      <w:r w:rsidRPr="00F07B7C">
        <w:rPr>
          <w:rStyle w:val="Emphasis"/>
        </w:rPr>
        <w:t>The idea of imminent insolvency is a gross distortion</w:t>
      </w:r>
      <w:r w:rsidRPr="00F07B7C">
        <w:rPr>
          <w:sz w:val="16"/>
        </w:rPr>
        <w:t>.”</w:t>
      </w:r>
    </w:p>
    <w:p w:rsidR="00C12070" w:rsidRPr="00F07B7C" w:rsidRDefault="00C12070" w:rsidP="00C12070"/>
    <w:p w:rsidR="00C12070" w:rsidRPr="00F07B7C" w:rsidRDefault="00C12070" w:rsidP="00C12070">
      <w:pPr>
        <w:pStyle w:val="Heading3"/>
      </w:pPr>
      <w:r w:rsidRPr="00F07B7C">
        <w:t xml:space="preserve">2nc no recession now </w:t>
      </w:r>
    </w:p>
    <w:p w:rsidR="00C12070" w:rsidRPr="00F07B7C" w:rsidRDefault="00C12070" w:rsidP="00C12070">
      <w:pPr>
        <w:pStyle w:val="Heading4"/>
      </w:pPr>
      <w:r w:rsidRPr="00F07B7C">
        <w:t xml:space="preserve">Only a 10% chance of a recession </w:t>
      </w:r>
    </w:p>
    <w:p w:rsidR="00C12070" w:rsidRPr="00F07B7C" w:rsidRDefault="00C12070" w:rsidP="00C12070">
      <w:pPr>
        <w:rPr>
          <w:rStyle w:val="Style13ptBold"/>
          <w:b w:val="0"/>
          <w:sz w:val="20"/>
        </w:rPr>
      </w:pPr>
      <w:r w:rsidRPr="00F07B7C">
        <w:rPr>
          <w:rStyle w:val="Style13ptBold"/>
        </w:rPr>
        <w:t xml:space="preserve">Reuters 17- </w:t>
      </w:r>
      <w:r w:rsidRPr="00F07B7C">
        <w:rPr>
          <w:rStyle w:val="Style13ptBold"/>
          <w:sz w:val="20"/>
        </w:rPr>
        <w:t xml:space="preserve">Reuters is an international news agency headquartered in London, United Kingdom. It is a division of Thomson Reuters, (“US Recession Remote in next 12 Months: Deutsche Bank,” Reuters, 13 June 2017, </w:t>
      </w:r>
      <w:hyperlink r:id="rId11" w:history="1">
        <w:r w:rsidRPr="00F07B7C">
          <w:rPr>
            <w:rStyle w:val="Hyperlink"/>
          </w:rPr>
          <w:t>https://www.reuters.com/article/us-usa-recession-deutsche-bank-idUSKBN1931X5 //</w:t>
        </w:r>
      </w:hyperlink>
      <w:r w:rsidRPr="00F07B7C">
        <w:rPr>
          <w:rStyle w:val="Style13ptBold"/>
          <w:sz w:val="20"/>
        </w:rPr>
        <w:t xml:space="preserve"> CGM</w:t>
      </w:r>
    </w:p>
    <w:p w:rsidR="00C12070" w:rsidRPr="00F07B7C" w:rsidRDefault="00C12070" w:rsidP="00C12070">
      <w:pPr>
        <w:rPr>
          <w:rStyle w:val="StyleUnderline"/>
        </w:rPr>
      </w:pPr>
      <w:r w:rsidRPr="00F07B7C">
        <w:rPr>
          <w:rStyle w:val="StyleUnderline"/>
        </w:rPr>
        <w:t xml:space="preserve">Chances are remote the U.S. economy will fall into a recession in the next 12 months despite a recent flattening of the U.S. yield curve suggesting growing recession risk, Deutsche Bank's economists said on Monday. Based on other bond market indicators, they estimated </w:t>
      </w:r>
      <w:r w:rsidRPr="00F07B7C">
        <w:rPr>
          <w:rStyle w:val="Emphasis"/>
        </w:rPr>
        <w:t xml:space="preserve">the probability of a U.S. recession from now to June 2018 at less than 10 percent. </w:t>
      </w:r>
      <w:r w:rsidRPr="00F07B7C">
        <w:t xml:space="preserve">This compared with the yield curve, or the gap between long-dated and short-dated yields, which currently implies roughly a 33 percent chance of a recession. </w:t>
      </w:r>
      <w:r w:rsidRPr="00F07B7C">
        <w:rPr>
          <w:rStyle w:val="StyleUnderline"/>
        </w:rPr>
        <w:t xml:space="preserve">"Despite this development, we do not see U.S. recession risk as particularly elevated; indeed, we think it is quite low for the next year," Deutsche Bank economists wrote in a research note. Historically, a sharp flattening of the yield curve has preceded a recession as traders pile into longer-dated Treasuries in anticipation of an economic contraction. </w:t>
      </w:r>
      <w:r w:rsidRPr="00F07B7C">
        <w:t xml:space="preserve">On Monday, the two-year to 10-year portion of the Treasury yield curve flattened to 83.80 basis points, its tightest since early October. It reached nearly 137 basis points in December, which was its steepest level in a year, Tradeweb data showed. </w:t>
      </w:r>
      <w:r w:rsidRPr="00F07B7C">
        <w:rPr>
          <w:rStyle w:val="StyleUnderline"/>
        </w:rPr>
        <w:t>Analysts and traders have attributed the curve flattening to doubts about any forthcoming fiscal stimulus from Washington and recent economic data that fell short of expectations. Still, some aspects of the U.S. economy such as the labor market and housing continue to perform well without signs they will overheat in the next 12 months, Deutsche Bank economists said.</w:t>
      </w:r>
    </w:p>
    <w:p w:rsidR="00C12070" w:rsidRPr="00F07B7C" w:rsidRDefault="00C12070" w:rsidP="00C12070">
      <w:pPr>
        <w:pStyle w:val="Heading4"/>
        <w:rPr>
          <w:rStyle w:val="StyleUnderline"/>
        </w:rPr>
      </w:pPr>
      <w:r w:rsidRPr="00F07B7C">
        <w:rPr>
          <w:rStyle w:val="StyleUnderline"/>
        </w:rPr>
        <w:t>Despite economic slowdown a recession is not likely anytime soon</w:t>
      </w:r>
    </w:p>
    <w:p w:rsidR="00C12070" w:rsidRPr="00F07B7C" w:rsidRDefault="00C12070" w:rsidP="00C12070">
      <w:pPr>
        <w:rPr>
          <w:rStyle w:val="Style13ptBold"/>
          <w:b w:val="0"/>
          <w:sz w:val="20"/>
        </w:rPr>
      </w:pPr>
      <w:r w:rsidRPr="00F07B7C">
        <w:rPr>
          <w:rStyle w:val="Style13ptBold"/>
        </w:rPr>
        <w:t xml:space="preserve">Yang 16- </w:t>
      </w:r>
      <w:r w:rsidRPr="00F07B7C">
        <w:rPr>
          <w:rStyle w:val="Style13ptBold"/>
          <w:sz w:val="20"/>
        </w:rPr>
        <w:t xml:space="preserve">Stephanie Yang is the associate producer of Trading Nation which is a program focusing on monetary issues on CNBC, (“No we’re not in a Recession: Corporate America,” CNBC, 26 January 2016, </w:t>
      </w:r>
      <w:hyperlink r:id="rId12" w:history="1">
        <w:r w:rsidRPr="00F07B7C">
          <w:rPr>
            <w:rStyle w:val="Hyperlink"/>
          </w:rPr>
          <w:t>http://www.cnbc.com/2016/01/25/no-were-not-in-a-recession-corporate-america.html //</w:t>
        </w:r>
      </w:hyperlink>
      <w:r w:rsidRPr="00F07B7C">
        <w:rPr>
          <w:rStyle w:val="Style13ptBold"/>
          <w:sz w:val="20"/>
        </w:rPr>
        <w:t xml:space="preserve"> CGM </w:t>
      </w:r>
    </w:p>
    <w:p w:rsidR="00C12070" w:rsidRPr="00F07B7C" w:rsidRDefault="00C12070" w:rsidP="00C12070">
      <w:r w:rsidRPr="00F07B7C">
        <w:rPr>
          <w:rStyle w:val="StyleUnderline"/>
        </w:rPr>
        <w:t xml:space="preserve">This earnings season could provide the answer to one of investors' biggest questions. The recent market rout may have some wondering whether the U.S. is headed for an economic recession. But in a Monday research note, Jonathan Golub of RBC Capital Markets wrote that </w:t>
      </w:r>
      <w:r w:rsidRPr="00F07B7C">
        <w:rPr>
          <w:rStyle w:val="Emphasis"/>
        </w:rPr>
        <w:t>the continued decline in year-over-year earnings is more emblematic of an economic slowdown than a recession.</w:t>
      </w:r>
      <w:r w:rsidRPr="00F07B7C">
        <w:t xml:space="preserve"> </w:t>
      </w:r>
      <w:r w:rsidRPr="00F07B7C">
        <w:rPr>
          <w:rStyle w:val="StyleUnderline"/>
        </w:rPr>
        <w:t xml:space="preserve">"The data shows that during past cycles, earnings do not simply drift toward zero during recessions; rather they decline quite dramatically. In 1997 and 1998, the Asian debt and Russian ruble crises led to earnings slowdowns," Golub wrote, but "neither metastasized into a full-blown recession." Fourth-quarter earnings for the S&amp;P 500 are expected to fall 6 percent compared to one year ago, according to FactSet. This would mark the third quarter in a row that earnings have dropped year over year, and extend the so-called earnings recession, marked by two consecutive quarters of declines. </w:t>
      </w:r>
      <w:r w:rsidRPr="00F07B7C">
        <w:rPr>
          <w:rStyle w:val="Emphasis"/>
        </w:rPr>
        <w:t>Despite negative earnings estimates</w:t>
      </w:r>
      <w:r w:rsidRPr="00F07B7C">
        <w:rPr>
          <w:rStyle w:val="StyleUnderline"/>
        </w:rPr>
        <w:t xml:space="preserve">, </w:t>
      </w:r>
      <w:r w:rsidRPr="00F07B7C">
        <w:t>Erin Gibbs of S&amp;P Investment Advisory Services said</w:t>
      </w:r>
      <w:r w:rsidRPr="00F07B7C">
        <w:rPr>
          <w:rStyle w:val="StyleUnderline"/>
        </w:rPr>
        <w:t xml:space="preserve"> </w:t>
      </w:r>
      <w:r w:rsidRPr="00F07B7C">
        <w:rPr>
          <w:rStyle w:val="Emphasis"/>
        </w:rPr>
        <w:t>investors shouldn't write off earnings growth for the year just yet.</w:t>
      </w:r>
      <w:r w:rsidRPr="00F07B7C">
        <w:rPr>
          <w:rStyle w:val="StyleUnderline"/>
        </w:rPr>
        <w:t xml:space="preserve"> "For 2016, we're looking at 5.5 percent growth, which is better than last year," Gibbs said Monday on CNBC's "Trading Nation."</w:t>
      </w:r>
      <w:r w:rsidRPr="00F07B7C">
        <w:t xml:space="preserve"> "We do see growth, but it is definitely slower than what we've typically seen." Earnings aside, Gibbs sees several other indicators that she said should be encouraging signs for the U.S. economy, such as strong unemployment rates and housing activity. </w:t>
      </w:r>
      <w:r w:rsidRPr="00F07B7C">
        <w:rPr>
          <w:rStyle w:val="StyleUnderline"/>
        </w:rPr>
        <w:t>The MBA purchasing index hit its second-highest level since 2010</w:t>
      </w:r>
      <w:r w:rsidRPr="00F07B7C">
        <w:t xml:space="preserve">, Gibbs noted, </w:t>
      </w:r>
      <w:r w:rsidRPr="00F07B7C">
        <w:rPr>
          <w:rStyle w:val="StyleUnderline"/>
        </w:rPr>
        <w:t>which indicates strength in the housing market. Given these positives, Gibbs said she expects GDP to see meager but positive gains this year.</w:t>
      </w:r>
      <w:r w:rsidRPr="00F07B7C">
        <w:t xml:space="preserve"> </w:t>
      </w:r>
      <w:r w:rsidRPr="00F07B7C">
        <w:rPr>
          <w:rStyle w:val="StyleUnderline"/>
        </w:rPr>
        <w:t>Ari Wald, head of technical analysis at Oppenheimer, pointed to another indicator of economic stability — the yield curve</w:t>
      </w:r>
      <w:r w:rsidRPr="00F07B7C">
        <w:t xml:space="preserve">. </w:t>
      </w:r>
      <w:r w:rsidRPr="00F07B7C">
        <w:rPr>
          <w:rStyle w:val="StyleUnderline"/>
        </w:rPr>
        <w:t>Looking at the difference between the 30-year Treasury bond and the two-year Treasury note, Wald noted that the spread remains much higher than in previous turbulent economic conditions. In a healthy economy, short-term bonds yield lower returns than long-term bonds.</w:t>
      </w:r>
      <w:r w:rsidRPr="00F07B7C">
        <w:t xml:space="preserve"> This is because bondholders are compensated more the longer they are willing to hold the investment, as inflation is more likely to rear its head</w:t>
      </w:r>
      <w:r w:rsidRPr="00F07B7C">
        <w:rPr>
          <w:rStyle w:val="StyleUnderline"/>
        </w:rPr>
        <w:t>. When short-term yields exceed long-term yields, the inverted curve is often seen as a lack of confidence in the economy, and an indicator of an impending recession.</w:t>
      </w:r>
      <w:r w:rsidRPr="00F07B7C">
        <w:t xml:space="preserve"> </w:t>
      </w:r>
    </w:p>
    <w:p w:rsidR="00C12070" w:rsidRPr="00F07B7C" w:rsidRDefault="00C12070" w:rsidP="00C12070">
      <w:pPr>
        <w:pStyle w:val="Heading4"/>
        <w:rPr>
          <w:rStyle w:val="Hyperlink"/>
        </w:rPr>
      </w:pPr>
      <w:r w:rsidRPr="00F07B7C">
        <w:rPr>
          <w:rStyle w:val="Hyperlink"/>
        </w:rPr>
        <w:t>Empirics prove US isn’t entering a recession anytime soon</w:t>
      </w:r>
    </w:p>
    <w:p w:rsidR="00C12070" w:rsidRPr="00F07B7C" w:rsidRDefault="00C12070" w:rsidP="00C12070">
      <w:pPr>
        <w:rPr>
          <w:rStyle w:val="Style13ptBold"/>
          <w:b w:val="0"/>
          <w:sz w:val="20"/>
        </w:rPr>
      </w:pPr>
      <w:r w:rsidRPr="00F07B7C">
        <w:rPr>
          <w:rStyle w:val="Style13ptBold"/>
        </w:rPr>
        <w:t xml:space="preserve">Irwin 16- </w:t>
      </w:r>
      <w:r w:rsidRPr="00F07B7C">
        <w:rPr>
          <w:rStyle w:val="Style13ptBold"/>
          <w:sz w:val="20"/>
        </w:rPr>
        <w:t xml:space="preserve">Neil Irwin is a senior economics correspondent for the New York Times, (“Will the Next President Face a Recession? Don’t Assume So,” the New York Times, 27 October 2016, </w:t>
      </w:r>
      <w:hyperlink r:id="rId13" w:history="1">
        <w:r w:rsidRPr="00F07B7C">
          <w:rPr>
            <w:rStyle w:val="Hyperlink"/>
          </w:rPr>
          <w:t>https://www.nytimes.com/2016/10/28/upshot/will-the-next-president-face-a-recession-dont-assume-so.html //</w:t>
        </w:r>
      </w:hyperlink>
      <w:r w:rsidRPr="00F07B7C">
        <w:rPr>
          <w:rStyle w:val="Style13ptBold"/>
          <w:sz w:val="20"/>
        </w:rPr>
        <w:t xml:space="preserve"> CGM</w:t>
      </w:r>
    </w:p>
    <w:p w:rsidR="00C12070" w:rsidRPr="00F07B7C" w:rsidRDefault="00C12070" w:rsidP="00C12070">
      <w:pPr>
        <w:rPr>
          <w:rStyle w:val="Hyperlink"/>
        </w:rPr>
      </w:pPr>
      <w:r w:rsidRPr="00F07B7C">
        <w:rPr>
          <w:rStyle w:val="Hyperlink"/>
        </w:rPr>
        <w:t xml:space="preserve">The economic expansion that has been underway in the United States since 2009 is getting old, and soon will die. At least that’s the conclusion you would reach from various news media prognostications about the economic environment the next president will face. “The next president will likely face a recession,” said a CNN headline. “Recession May Loom for Next U.S. President No Matter Who That Is,” said a Bloomberg headline in May. New York magazine was at least generous enough to frame the coming recession in the Clinton or Trump administration as an open question. These prognostications could turn out to be right, of course. </w:t>
      </w:r>
      <w:r w:rsidRPr="00F07B7C">
        <w:rPr>
          <w:rStyle w:val="StyleUnderline"/>
        </w:rPr>
        <w:t xml:space="preserve">The economy faces all sorts of risks and threats, any of which could lead to a contraction. But the fact that the current expansion is more than seven years old — “long in the tooth,” as commentators have often observed — reveals almost nothing about the likelihood of a contraction during the coming four years. </w:t>
      </w:r>
      <w:r w:rsidRPr="00F07B7C">
        <w:rPr>
          <w:rStyle w:val="Emphasis"/>
        </w:rPr>
        <w:t>The idea that it would happen is rooted in a faulty metaphor, and isn’t backed by modern economic history</w:t>
      </w:r>
      <w:r w:rsidRPr="00F07B7C">
        <w:rPr>
          <w:rStyle w:val="Hyperlink"/>
        </w:rPr>
        <w:t xml:space="preserve">. </w:t>
      </w:r>
      <w:r w:rsidRPr="00F07B7C">
        <w:rPr>
          <w:rStyle w:val="StyleUnderline"/>
        </w:rPr>
        <w:t>It’s tempting to think of an economic expansion as being like a life span. The older you get, the closer you are to death</w:t>
      </w:r>
      <w:r w:rsidRPr="00F07B7C">
        <w:rPr>
          <w:rStyle w:val="Hyperlink"/>
        </w:rPr>
        <w:t xml:space="preserve">; a 95-year-old probably has fewer years left to live than a 60-year-old. </w:t>
      </w:r>
      <w:r w:rsidRPr="00F07B7C">
        <w:rPr>
          <w:rStyle w:val="StyleUnderline"/>
        </w:rPr>
        <w:t xml:space="preserve">But this year Glenn D. Rudebusch, an economist at the Federal Reserve Bank of San Francisco, looked at the evidence from post-World War II United States economic expansions, and did not find that pattern held up at all. </w:t>
      </w:r>
      <w:r w:rsidRPr="00F07B7C">
        <w:rPr>
          <w:rStyle w:val="Emphasis"/>
        </w:rPr>
        <w:t>“A long recovery appears no more likely to end than a short one,”</w:t>
      </w:r>
      <w:r w:rsidRPr="00F07B7C">
        <w:rPr>
          <w:rStyle w:val="StyleUnderline"/>
        </w:rPr>
        <w:t xml:space="preserve"> Mr. Rudebusch wrote. “Like Peter Pan, recoveries appear to never grow old.” </w:t>
      </w:r>
      <w:r w:rsidRPr="00F07B7C">
        <w:rPr>
          <w:rStyle w:val="Hyperlink"/>
        </w:rPr>
        <w:t xml:space="preserve">Expansions don’t die of old age. They die because something specific killed them. It can be a wrong-footed central bank, the popping of a financial bubble or a shock from overseas. But age itself isn’t the problem. </w:t>
      </w:r>
      <w:r w:rsidRPr="00F07B7C">
        <w:rPr>
          <w:rStyle w:val="StyleUnderline"/>
        </w:rPr>
        <w:t>A look around the world also shows plenty of examples of expansions that have lasted a lot longer than either the seven years the current United States expansion has been underway or the longest expansion in American history, from 1991 to 2001. Britain had a nearly 17-year expansion from the early 1990s until the 2008 global financial crisis. France had a slightly longer expansion that ended in 1992. And the record-holders among advanced economies in modern times</w:t>
      </w:r>
      <w:r w:rsidRPr="00F07B7C">
        <w:rPr>
          <w:rStyle w:val="Hyperlink"/>
        </w:rPr>
        <w:t xml:space="preserve">, according to the research firm Longview Economics, are the Netherlands, which experienced a nearly 26-year “Dutch miracle” that ended in 2008, and Australia, which has an expansion that began in 1991 and is on track to overtake the Dutch soon for the longest on record. Will a President Hillary Clinton or Donald Trump face a serious economic downturn or a recession in the next four years? Quite possibly. The Federal Reserve could make a mistake, either raising interest rates too quickly, and stopping the expansion in its tracks, or raising them too slowly, and then needing to move abruptly to combat inflation. A new financial crisis could emerge; some shock we can’t even imagine might stop this expansion cold. </w:t>
      </w:r>
      <w:r w:rsidRPr="00F07B7C">
        <w:rPr>
          <w:rStyle w:val="StyleUnderline"/>
        </w:rPr>
        <w:t>There is a decent argument that the United States economy is more susceptible to recession now than it has been for most of the last several decades</w:t>
      </w:r>
      <w:r w:rsidRPr="00F07B7C">
        <w:rPr>
          <w:rStyle w:val="Hyperlink"/>
        </w:rPr>
        <w:t xml:space="preserve">, for two reasons. First, growth has been around 2 percent a year, below the 3 to 4 percent that was commonplace in the second half of the 20th century. That means there is less of a growth cushion. It takes a smaller negative shock to pull the economy into contraction territory. Second, the Fed may find itself with less room to reduce the damage of the next downturn. In modern recessions, the central bank has cut rates by an average of 5.5 percent, according to research by the Fed economist David Reifschneider. With rates below 0.5 percent and on track to rise very slowly, any small shock in the next few years could cause major economic damage, especially if the Fed’s less conventional monetary policy tools either go unused or don’t prove effective. </w:t>
      </w:r>
      <w:r w:rsidRPr="00F07B7C">
        <w:rPr>
          <w:rStyle w:val="StyleUnderline"/>
        </w:rPr>
        <w:t xml:space="preserve">But those are separate issues from the more general idea that “we’re due” for a recession, and they’re also issues that have been present for all seven years of the current expansion. </w:t>
      </w:r>
    </w:p>
    <w:p w:rsidR="00C12070" w:rsidRPr="00F07B7C" w:rsidRDefault="00C12070" w:rsidP="00C12070">
      <w:pPr>
        <w:pStyle w:val="Heading3"/>
      </w:pPr>
      <w:r w:rsidRPr="00F07B7C">
        <w:t>at: illinois budget crisis</w:t>
      </w:r>
    </w:p>
    <w:p w:rsidR="00C12070" w:rsidRPr="00F07B7C" w:rsidRDefault="00C12070" w:rsidP="00C12070">
      <w:pPr>
        <w:pStyle w:val="Heading4"/>
      </w:pPr>
      <w:r w:rsidRPr="00F07B7C">
        <w:t>Budget now</w:t>
      </w:r>
    </w:p>
    <w:p w:rsidR="00C12070" w:rsidRPr="00F07B7C" w:rsidRDefault="00C12070" w:rsidP="00C12070">
      <w:r w:rsidRPr="00F07B7C">
        <w:rPr>
          <w:rStyle w:val="Style13ptBold"/>
        </w:rPr>
        <w:t>AP 6-30</w:t>
      </w:r>
      <w:r w:rsidRPr="00F07B7C">
        <w:t xml:space="preserve">-2017 (Associated Press “The Latest: Illinois budget deal passes critical test” </w:t>
      </w:r>
      <w:hyperlink r:id="rId14" w:history="1">
        <w:r w:rsidRPr="00F07B7C">
          <w:rPr>
            <w:rStyle w:val="Hyperlink"/>
          </w:rPr>
          <w:t>http://www.cnbc.com/2017/06/30/the-associated-press-the-latest-illinois-budget-deal-passes-critical-test.html//)MBA</w:t>
        </w:r>
      </w:hyperlink>
      <w:r w:rsidRPr="00F07B7C">
        <w:t xml:space="preserve"> HBJ</w:t>
      </w:r>
    </w:p>
    <w:p w:rsidR="00C12070" w:rsidRPr="00F07B7C" w:rsidRDefault="00C12070" w:rsidP="00C12070">
      <w:pPr>
        <w:rPr>
          <w:sz w:val="8"/>
        </w:rPr>
      </w:pPr>
      <w:r w:rsidRPr="00F07B7C">
        <w:rPr>
          <w:sz w:val="8"/>
        </w:rPr>
        <w:t xml:space="preserve">SPRINGFIELD, Ill. (AP) — The Latest on legislative action in Springfield to seal a budget deal on the eve of a new fiscal year (all times local): 11:45 a.m. </w:t>
      </w:r>
      <w:r w:rsidRPr="00F07B7C">
        <w:rPr>
          <w:rStyle w:val="StyleUnderline"/>
        </w:rPr>
        <w:t>A proposed $36 billion state budget in Illinois has passed a critical test</w:t>
      </w:r>
      <w:r w:rsidRPr="00F07B7C">
        <w:rPr>
          <w:sz w:val="8"/>
        </w:rPr>
        <w:t xml:space="preserve">. But a powerful legislative leader says lawmakers will miss a midnight deadline to avoid starting a third consecutive fiscal year without a budget. </w:t>
      </w:r>
      <w:r w:rsidRPr="00520103">
        <w:rPr>
          <w:rStyle w:val="Emphasis"/>
          <w:highlight w:val="yellow"/>
        </w:rPr>
        <w:t>The House voted 90-25 late Friday morning on a version of a yearlong spending plan.</w:t>
      </w:r>
      <w:r w:rsidRPr="00F07B7C">
        <w:rPr>
          <w:sz w:val="8"/>
        </w:rPr>
        <w:t xml:space="preserve"> </w:t>
      </w:r>
      <w:r w:rsidRPr="00F07B7C">
        <w:rPr>
          <w:rStyle w:val="StyleUnderline"/>
        </w:rPr>
        <w:t xml:space="preserve">But the proposal was an amendment and would need another vote for final House approval. </w:t>
      </w:r>
      <w:r w:rsidRPr="00F07B7C">
        <w:rPr>
          <w:sz w:val="8"/>
        </w:rPr>
        <w:t xml:space="preserve">House Speaker Michael Madigan said </w:t>
      </w:r>
      <w:r w:rsidRPr="00F07B7C">
        <w:rPr>
          <w:rStyle w:val="StyleUnderline"/>
        </w:rPr>
        <w:t>after the vote that lawmakers will miss the deadline</w:t>
      </w:r>
      <w:r w:rsidRPr="00F07B7C">
        <w:rPr>
          <w:sz w:val="8"/>
        </w:rPr>
        <w:t xml:space="preserve"> for passing a budget before the new fiscal year begins Saturday. </w:t>
      </w:r>
      <w:r w:rsidRPr="00F07B7C">
        <w:rPr>
          <w:rStyle w:val="Emphasis"/>
        </w:rPr>
        <w:t>But</w:t>
      </w:r>
      <w:r w:rsidRPr="00F07B7C">
        <w:rPr>
          <w:sz w:val="8"/>
        </w:rPr>
        <w:t xml:space="preserve"> he says </w:t>
      </w:r>
      <w:r w:rsidRPr="00520103">
        <w:rPr>
          <w:rStyle w:val="Emphasis"/>
          <w:highlight w:val="yellow"/>
        </w:rPr>
        <w:t>lawmakers will continue working Saturday</w:t>
      </w:r>
      <w:r w:rsidRPr="00F07B7C">
        <w:rPr>
          <w:rStyle w:val="Emphasis"/>
        </w:rPr>
        <w:t xml:space="preserve">. </w:t>
      </w:r>
      <w:r w:rsidRPr="00F07B7C">
        <w:rPr>
          <w:rStyle w:val="StyleUnderline"/>
        </w:rPr>
        <w:t>A missed deadline means an almost certain downgrade in Illinois' creditworthiness to "junk" status.</w:t>
      </w:r>
      <w:r w:rsidRPr="00F07B7C">
        <w:rPr>
          <w:sz w:val="8"/>
        </w:rPr>
        <w:t xml:space="preserve"> Madigan says he's </w:t>
      </w:r>
      <w:r w:rsidRPr="00F07B7C">
        <w:rPr>
          <w:rStyle w:val="StyleUnderline"/>
        </w:rPr>
        <w:t xml:space="preserve">sending messages to the major bond-rating houses to give Illinois more time to secure a deal before a downgrade. </w:t>
      </w:r>
      <w:r w:rsidRPr="00520103">
        <w:rPr>
          <w:rStyle w:val="Emphasis"/>
          <w:highlight w:val="yellow"/>
        </w:rPr>
        <w:t>The proposed budget relies on more than $2 billion in spending cuts</w:t>
      </w:r>
      <w:r w:rsidRPr="00F07B7C">
        <w:rPr>
          <w:rStyle w:val="Emphasis"/>
        </w:rPr>
        <w:t xml:space="preserve"> </w:t>
      </w:r>
      <w:r w:rsidRPr="00F07B7C">
        <w:rPr>
          <w:sz w:val="8"/>
        </w:rPr>
        <w:t>and a likely increase in the income tax to raise $5 billion.</w:t>
      </w:r>
    </w:p>
    <w:p w:rsidR="00C12070" w:rsidRPr="00F07B7C" w:rsidRDefault="00C12070" w:rsidP="00C12070"/>
    <w:p w:rsidR="00C12070" w:rsidRPr="00F07B7C" w:rsidRDefault="00C12070" w:rsidP="00C12070">
      <w:pPr>
        <w:pStyle w:val="Heading4"/>
      </w:pPr>
      <w:r w:rsidRPr="00F07B7C">
        <w:t xml:space="preserve">Its too late </w:t>
      </w:r>
    </w:p>
    <w:p w:rsidR="00C12070" w:rsidRPr="00F07B7C" w:rsidRDefault="00C12070" w:rsidP="00C12070">
      <w:r w:rsidRPr="00F07B7C">
        <w:t xml:space="preserve">Jessica </w:t>
      </w:r>
      <w:r w:rsidRPr="00F07B7C">
        <w:rPr>
          <w:rStyle w:val="Style13ptBold"/>
        </w:rPr>
        <w:t>D'Onofrio</w:t>
      </w:r>
      <w:r w:rsidRPr="00F07B7C">
        <w:t xml:space="preserve"> </w:t>
      </w:r>
      <w:r w:rsidRPr="00F07B7C">
        <w:rPr>
          <w:rStyle w:val="Style13ptBold"/>
        </w:rPr>
        <w:t>and</w:t>
      </w:r>
      <w:r w:rsidRPr="00F07B7C">
        <w:t xml:space="preserve"> Craig </w:t>
      </w:r>
      <w:r w:rsidRPr="00F07B7C">
        <w:rPr>
          <w:rStyle w:val="Style13ptBold"/>
        </w:rPr>
        <w:t>Wall 6-30-</w:t>
      </w:r>
      <w:r w:rsidRPr="00F07B7C">
        <w:t xml:space="preserve">2017 (Assistance from Associated Press “Illinois lawmakers must pass budget by midnight” </w:t>
      </w:r>
      <w:hyperlink r:id="rId15" w:history="1">
        <w:r w:rsidRPr="00F07B7C">
          <w:rPr>
            <w:rStyle w:val="Hyperlink"/>
          </w:rPr>
          <w:t>http://abc7chicago.com/politics/illinois-lawmakers-must-pass-budget-by-midnight/2167095///)MBA</w:t>
        </w:r>
      </w:hyperlink>
      <w:r w:rsidRPr="00F07B7C">
        <w:t xml:space="preserve"> HBJ</w:t>
      </w:r>
    </w:p>
    <w:p w:rsidR="00C12070" w:rsidRPr="00F07B7C" w:rsidRDefault="00C12070" w:rsidP="00C12070">
      <w:pPr>
        <w:rPr>
          <w:sz w:val="8"/>
        </w:rPr>
      </w:pPr>
      <w:r w:rsidRPr="00F07B7C">
        <w:rPr>
          <w:sz w:val="8"/>
        </w:rPr>
        <w:t>SPRINGFIELD, Ill. (WLS) --</w:t>
      </w:r>
      <w:r w:rsidRPr="00F07B7C">
        <w:rPr>
          <w:rStyle w:val="StyleUnderline"/>
        </w:rPr>
        <w:t xml:space="preserve"> The Illinois budget crisis reached a critical point Friday. If there is no deal by midnight, </w:t>
      </w:r>
      <w:r w:rsidRPr="00520103">
        <w:rPr>
          <w:rStyle w:val="Emphasis"/>
          <w:highlight w:val="yellow"/>
        </w:rPr>
        <w:t>there will be immediate consequences. Those consequences include a new funding crunch</w:t>
      </w:r>
      <w:r w:rsidRPr="00F07B7C">
        <w:rPr>
          <w:sz w:val="8"/>
        </w:rPr>
        <w:t xml:space="preserve"> for Chicago Public Schools, which is saddled with debt, and the Powerball and Mega Millions lottery games will pull out of the state. Roadwork across Illinois will shut down - costing 25,000 jobs - </w:t>
      </w:r>
      <w:r w:rsidRPr="00520103">
        <w:rPr>
          <w:rStyle w:val="Emphasis"/>
          <w:highlight w:val="yellow"/>
        </w:rPr>
        <w:t>since the state would not have money to pay its contractors, and Illinois' credit rating will hit junk bond status.</w:t>
      </w:r>
      <w:r w:rsidRPr="00F07B7C">
        <w:rPr>
          <w:rStyle w:val="Emphasis"/>
        </w:rPr>
        <w:t xml:space="preserve"> </w:t>
      </w:r>
      <w:r w:rsidRPr="00F07B7C">
        <w:rPr>
          <w:sz w:val="8"/>
        </w:rPr>
        <w:t xml:space="preserve">Whether or not progress will be made Friday depends on what happens in the House and how the tally board lights up when House members vote on the budget and spending packages. House Republicans caucused Friday morning because they are the ones who will cast the make-or-break votes. Thirty of them will need to vote on the spending and revenue plans to reach the super-majority required under law. </w:t>
      </w:r>
      <w:r w:rsidRPr="00F07B7C">
        <w:rPr>
          <w:rStyle w:val="StyleUnderline"/>
        </w:rPr>
        <w:t>"We are at the precipice.</w:t>
      </w:r>
      <w:r w:rsidRPr="00F07B7C">
        <w:rPr>
          <w:sz w:val="8"/>
        </w:rPr>
        <w:t xml:space="preserve"> Today we have a chance to fix it. It's a balanced budget</w:t>
      </w:r>
      <w:r w:rsidRPr="00F07B7C">
        <w:rPr>
          <w:rStyle w:val="StyleUnderline"/>
        </w:rPr>
        <w:t xml:space="preserve">. It is less than the governor proposed in his budget. </w:t>
      </w:r>
      <w:r w:rsidRPr="00F07B7C">
        <w:rPr>
          <w:sz w:val="8"/>
        </w:rPr>
        <w:t xml:space="preserve">It's fully funded in a revenue package. </w:t>
      </w:r>
      <w:r w:rsidRPr="00F07B7C">
        <w:rPr>
          <w:rStyle w:val="StyleUnderline"/>
        </w:rPr>
        <w:t>I just hope to God we get it done</w:t>
      </w:r>
      <w:r w:rsidRPr="00F07B7C">
        <w:rPr>
          <w:sz w:val="8"/>
        </w:rPr>
        <w:t>," Democratic State Rep. Greg Harris said.</w:t>
      </w:r>
    </w:p>
    <w:p w:rsidR="00C12070" w:rsidRPr="00F07B7C" w:rsidRDefault="00C12070" w:rsidP="00C12070"/>
    <w:p w:rsidR="00C12070" w:rsidRPr="00F07B7C" w:rsidRDefault="00C12070" w:rsidP="00C12070"/>
    <w:p w:rsidR="00C12070" w:rsidRPr="00F07B7C" w:rsidRDefault="00C12070" w:rsidP="00C12070">
      <w:pPr>
        <w:pStyle w:val="Heading4"/>
      </w:pPr>
      <w:r w:rsidRPr="00F07B7C">
        <w:t>No budget deal and even if there was itd be too late</w:t>
      </w:r>
    </w:p>
    <w:p w:rsidR="00C12070" w:rsidRPr="00F07B7C" w:rsidRDefault="00C12070" w:rsidP="00C12070">
      <w:r w:rsidRPr="00F07B7C">
        <w:t xml:space="preserve">JULIE </w:t>
      </w:r>
      <w:r w:rsidRPr="00F07B7C">
        <w:rPr>
          <w:rStyle w:val="Style13ptBold"/>
        </w:rPr>
        <w:t>BOSMAN</w:t>
      </w:r>
      <w:r w:rsidRPr="00F07B7C">
        <w:t xml:space="preserve"> </w:t>
      </w:r>
      <w:r w:rsidRPr="00F07B7C">
        <w:rPr>
          <w:rStyle w:val="Style13ptBold"/>
        </w:rPr>
        <w:t>and</w:t>
      </w:r>
      <w:r w:rsidRPr="00F07B7C">
        <w:t xml:space="preserve"> MONICA </w:t>
      </w:r>
      <w:r w:rsidRPr="00F07B7C">
        <w:rPr>
          <w:rStyle w:val="Style13ptBold"/>
        </w:rPr>
        <w:t>DAVEY 6-29-</w:t>
      </w:r>
      <w:r w:rsidRPr="00F07B7C">
        <w:t xml:space="preserve">2017 (1. National Correspondent at The New York Times University of Wisconsin-Madison  and 2. The New York Times Brown University “‘Everything’s in Danger’: Illinois Approaches 3rd Year Without Budget” </w:t>
      </w:r>
      <w:hyperlink r:id="rId16" w:history="1">
        <w:r w:rsidRPr="00F07B7C">
          <w:rPr>
            <w:rStyle w:val="Hyperlink"/>
          </w:rPr>
          <w:t>https://www.nytimes.com/2017/06/29/us/illinois-state-budget-impasse.html?mcubz=0//)MBA</w:t>
        </w:r>
      </w:hyperlink>
      <w:r w:rsidRPr="00F07B7C">
        <w:t xml:space="preserve"> HBJ</w:t>
      </w:r>
    </w:p>
    <w:p w:rsidR="00C12070" w:rsidRPr="00F07B7C" w:rsidRDefault="00C12070" w:rsidP="00C12070"/>
    <w:p w:rsidR="00C12070" w:rsidRDefault="00C12070" w:rsidP="00C12070">
      <w:pPr>
        <w:rPr>
          <w:rStyle w:val="Emphasis"/>
        </w:rPr>
      </w:pPr>
      <w:r w:rsidRPr="00F07B7C">
        <w:rPr>
          <w:sz w:val="8"/>
        </w:rPr>
        <w:t xml:space="preserve">CHICAGO — Road construction and bridge repairs may come to a halt. </w:t>
      </w:r>
      <w:r w:rsidRPr="00520103">
        <w:rPr>
          <w:rStyle w:val="Emphasis"/>
          <w:highlight w:val="yellow"/>
        </w:rPr>
        <w:t>At least one agency has threatened to downgrade Illinois’s credit rating to junk, a crippling borrowing position no state has ever seen</w:t>
      </w:r>
      <w:r w:rsidRPr="00F07B7C">
        <w:rPr>
          <w:rStyle w:val="Emphasis"/>
        </w:rPr>
        <w:t xml:space="preserve">. </w:t>
      </w:r>
      <w:r w:rsidRPr="00F07B7C">
        <w:rPr>
          <w:sz w:val="8"/>
        </w:rPr>
        <w:t xml:space="preserve">And in perhaps the most visible and immediate sign of the pressure on Illinois leaders to solve their budget standoff at long last, the multistate lotteries — Mega Millions and Powerball — are to be suspended. With hours left before Illinois begins an unprecedented third year without a full budget, warring leaders were still trying to strike a deal in a political and fiscal crisis that has engulfed the state since 2015. After two years without a budget, many people who depend on state services — public university students, drug addicts, troubled teenagers, the elderly — have already felt the repercussions. But perhaps the most peculiar part of this endless budget standoff has been the opposite: Life has gone on uninterrupted for many residents. Because of court orders and other stopgap measures, state workers were paid. Schools opened. Prisons functioned. Roads were built. After a while, some people seemed to grow inured to the risks and consequences of a budget deadlock. “This impasse has been very cleverly designed to minimize the immediate obvious impact on middle-class families that don’t have a need for state-funded social services,” said Andrea Durbin, the chief executive of the Illinois Collaboration on Youth, an association for providers of youth and family services. “The people who get impacted are the people who are sick, who need the support from the state to be safe and healthy and get back on their feet and become self-sufficient, or to live their final days in dignity,” Ms. Durbin said. </w:t>
      </w:r>
      <w:r w:rsidRPr="00F07B7C">
        <w:rPr>
          <w:rStyle w:val="StyleUnderline"/>
        </w:rPr>
        <w:t>If a deal is not reached, officials and advocates here say, the crisis will soon be felt by all</w:t>
      </w:r>
      <w:r w:rsidRPr="00F07B7C">
        <w:rPr>
          <w:sz w:val="8"/>
        </w:rPr>
        <w:t xml:space="preserve">. Susana A. Mendoza, the state comptroller, says the unpaid bills top $15 billion and has warned leaders that </w:t>
      </w:r>
      <w:r w:rsidRPr="00520103">
        <w:rPr>
          <w:rStyle w:val="Emphasis"/>
          <w:highlight w:val="yellow"/>
        </w:rPr>
        <w:t>she foresees “unmanageable financial strains” starting in July</w:t>
      </w:r>
      <w:r w:rsidRPr="00F07B7C">
        <w:rPr>
          <w:rStyle w:val="Emphasis"/>
        </w:rPr>
        <w:t>.</w:t>
      </w:r>
    </w:p>
    <w:p w:rsidR="00C12070" w:rsidRDefault="00C12070" w:rsidP="00C12070">
      <w:pPr>
        <w:rPr>
          <w:rStyle w:val="Emphasis"/>
        </w:rPr>
      </w:pPr>
    </w:p>
    <w:p w:rsidR="00C12070" w:rsidRDefault="00C12070" w:rsidP="00C12070">
      <w:pPr>
        <w:pStyle w:val="Heading3"/>
        <w:rPr>
          <w:rStyle w:val="Emphasis"/>
          <w:sz w:val="32"/>
        </w:rPr>
      </w:pPr>
      <w:r w:rsidRPr="006442A8">
        <w:rPr>
          <w:rStyle w:val="Emphasis"/>
          <w:sz w:val="32"/>
        </w:rPr>
        <w:t>1nc sq solves</w:t>
      </w:r>
    </w:p>
    <w:p w:rsidR="00C12070" w:rsidRPr="008558CC" w:rsidRDefault="00C12070" w:rsidP="00C12070">
      <w:pPr>
        <w:pStyle w:val="Heading4"/>
      </w:pPr>
      <w:r w:rsidRPr="008558CC">
        <w:t>Leaked documents prove plan will pass – we have the most updated ev</w:t>
      </w:r>
    </w:p>
    <w:p w:rsidR="00C12070" w:rsidRPr="008558CC" w:rsidRDefault="00C12070" w:rsidP="00C12070">
      <w:r w:rsidRPr="008558CC">
        <w:rPr>
          <w:rStyle w:val="Style13ptBold"/>
        </w:rPr>
        <w:t>Wong 5/24/17</w:t>
      </w:r>
      <w:r w:rsidRPr="008558CC">
        <w:t xml:space="preserve"> (Alia Wong, Alia Wong is an associate editor at The Atlantic, where she oversees the education section. She previously wrote for Honolulu Civil Beat., “Trump’s Education Budget Takes Aim at the Working Class”, May 23</w:t>
      </w:r>
      <w:r w:rsidRPr="008558CC">
        <w:rPr>
          <w:vertAlign w:val="superscript"/>
        </w:rPr>
        <w:t>rd</w:t>
      </w:r>
      <w:r w:rsidRPr="008558CC">
        <w:t xml:space="preserve"> 2017, </w:t>
      </w:r>
      <w:hyperlink r:id="rId17" w:history="1">
        <w:r w:rsidRPr="008558CC">
          <w:rPr>
            <w:rStyle w:val="Hyperlink"/>
          </w:rPr>
          <w:t>https://www.theatlantic.com/education/archive/2017/05/trumps-education-budget-takes-aim-at-the-working-class/527718/)</w:t>
        </w:r>
      </w:hyperlink>
      <w:r w:rsidRPr="008558CC">
        <w:t xml:space="preserve"> </w:t>
      </w:r>
    </w:p>
    <w:p w:rsidR="00C12070" w:rsidRPr="008558CC" w:rsidRDefault="00C12070" w:rsidP="00C12070">
      <w:pPr>
        <w:rPr>
          <w:rStyle w:val="StyleUnderline"/>
        </w:rPr>
      </w:pPr>
      <w:r w:rsidRPr="008558CC">
        <w:t xml:space="preserve">Once known as vocational education, </w:t>
      </w:r>
      <w:r w:rsidRPr="008558CC">
        <w:rPr>
          <w:rStyle w:val="StyleUnderline"/>
        </w:rPr>
        <w:t>CTE today is often marketed as a practical, skills-focused path into the workforce for high-schooler</w:t>
      </w:r>
      <w:r w:rsidRPr="008558CC">
        <w:t xml:space="preserve">s, particularly those who aren’t interested in the traditional college experience. Research on its impact is mixed, though recent studies suggest that program quality is improving—and that it’s a worthwhile option for students who are drawn to technical fields, including those who might otherwise be at risk for dropping out. A study published last year by the right-leaning Fordham Institute, for example, found that students in Arkansas who participated in a concentrated CTE program were more likely to graduate from high school than otherwise identical students who didn’t participate in such a program. </w:t>
      </w:r>
      <w:r w:rsidRPr="008558CC">
        <w:rPr>
          <w:rStyle w:val="StyleUnderline"/>
          <w:highlight w:val="yellow"/>
        </w:rPr>
        <w:t>State grants for CTE were established as part of a 1984 law known as the Perkins Act</w:t>
      </w:r>
      <w:r w:rsidRPr="008558CC">
        <w:rPr>
          <w:rStyle w:val="StyleUnderline"/>
        </w:rPr>
        <w:t xml:space="preserve">, which was enacted in an effort </w:t>
      </w:r>
      <w:r w:rsidRPr="008558CC">
        <w:rPr>
          <w:rStyle w:val="StyleUnderline"/>
          <w:highlight w:val="yellow"/>
        </w:rPr>
        <w:t>to improve the quality of trade-focused education</w:t>
      </w:r>
      <w:r w:rsidRPr="008558CC">
        <w:rPr>
          <w:rStyle w:val="StyleUnderline"/>
        </w:rPr>
        <w:t xml:space="preserve"> in the country</w:t>
      </w:r>
      <w:r w:rsidRPr="008558CC">
        <w:t xml:space="preserve">. Today, the law helps states expand and enhance career and technical programs, supporting investments in things like professional development and facility updates; </w:t>
      </w:r>
      <w:r w:rsidRPr="008558CC">
        <w:rPr>
          <w:rStyle w:val="StyleUnderline"/>
        </w:rPr>
        <w:t xml:space="preserve">the grants also include strict accountability provisions aimed at ensuring quality. </w:t>
      </w:r>
      <w:r w:rsidRPr="008558CC">
        <w:t>Last week—coincidentally the same day that The Washington Post first reported on a leaked version of Trump’s education budget</w:t>
      </w:r>
      <w:r w:rsidRPr="008558CC">
        <w:rPr>
          <w:rStyle w:val="StyleUnderline"/>
        </w:rPr>
        <w:t>—</w:t>
      </w:r>
      <w:r w:rsidRPr="008558CC">
        <w:rPr>
          <w:rStyle w:val="StyleUnderline"/>
          <w:highlight w:val="yellow"/>
        </w:rPr>
        <w:t xml:space="preserve">the House Education and the Workforce committee </w:t>
      </w:r>
      <w:r w:rsidRPr="008558CC">
        <w:rPr>
          <w:rStyle w:val="Emphasis"/>
          <w:highlight w:val="yellow"/>
        </w:rPr>
        <w:t>unanimously</w:t>
      </w:r>
      <w:r w:rsidRPr="008558CC">
        <w:rPr>
          <w:rStyle w:val="StyleUnderline"/>
          <w:highlight w:val="yellow"/>
        </w:rPr>
        <w:t xml:space="preserve"> approved a bill seeking </w:t>
      </w:r>
      <w:r w:rsidRPr="008558CC">
        <w:rPr>
          <w:rStyle w:val="Emphasis"/>
          <w:highlight w:val="yellow"/>
        </w:rPr>
        <w:t>reauthorization</w:t>
      </w:r>
      <w:r w:rsidRPr="008558CC">
        <w:rPr>
          <w:rStyle w:val="StyleUnderline"/>
          <w:highlight w:val="yellow"/>
        </w:rPr>
        <w:t xml:space="preserve"> of the law.</w:t>
      </w:r>
    </w:p>
    <w:p w:rsidR="00C12070" w:rsidRPr="008558CC" w:rsidRDefault="00C12070" w:rsidP="00C12070"/>
    <w:p w:rsidR="00C12070" w:rsidRPr="008558CC" w:rsidRDefault="00C12070" w:rsidP="00C12070">
      <w:pPr>
        <w:pStyle w:val="Heading4"/>
        <w:rPr>
          <w:rStyle w:val="Emphasis"/>
          <w:b/>
          <w:iCs/>
          <w:sz w:val="26"/>
          <w:u w:val="none"/>
        </w:rPr>
      </w:pPr>
      <w:r w:rsidRPr="008558CC">
        <w:t xml:space="preserve">Status quo solves – public pension plans have benefited workers for </w:t>
      </w:r>
      <w:r w:rsidRPr="008558CC">
        <w:rPr>
          <w:rStyle w:val="Emphasis"/>
          <w:iCs/>
          <w:sz w:val="26"/>
          <w:u w:val="none"/>
        </w:rPr>
        <w:t>more than a hundred years</w:t>
      </w:r>
    </w:p>
    <w:p w:rsidR="00C12070" w:rsidRPr="008558CC" w:rsidRDefault="00C12070" w:rsidP="00C12070">
      <w:pPr>
        <w:rPr>
          <w:rStyle w:val="Style13ptBold"/>
          <w:b w:val="0"/>
        </w:rPr>
      </w:pPr>
      <w:r w:rsidRPr="008558CC">
        <w:rPr>
          <w:rStyle w:val="Style13ptBold"/>
        </w:rPr>
        <w:t xml:space="preserve">Bond 17 </w:t>
      </w:r>
      <w:r w:rsidRPr="008558CC">
        <w:rPr>
          <w:rStyle w:val="Style13ptBold"/>
          <w:b w:val="0"/>
        </w:rPr>
        <w:t xml:space="preserve">Tyler Bond has performed analyses on a dataset of 110,000 entries to pinpoint top 10 highest risk countries and works for IT Risk Assurance. (National Public Pension Coalition, “The Pension Crisis Is A Myth, Part One,” Tyler Bond, 7/13/17, </w:t>
      </w:r>
      <w:hyperlink r:id="rId18" w:history="1">
        <w:r w:rsidRPr="008558CC">
          <w:rPr>
            <w:rStyle w:val="Hyperlink"/>
          </w:rPr>
          <w:t>https://protectpensions.org/2017/07/13/pension-crisis-myth-part-one/)</w:t>
        </w:r>
      </w:hyperlink>
      <w:r w:rsidRPr="008558CC">
        <w:rPr>
          <w:rStyle w:val="Style13ptBold"/>
          <w:b w:val="0"/>
        </w:rPr>
        <w:t xml:space="preserve"> // SR</w:t>
      </w:r>
    </w:p>
    <w:p w:rsidR="00C12070" w:rsidRPr="00B66716" w:rsidRDefault="00C12070" w:rsidP="00C12070">
      <w:pPr>
        <w:rPr>
          <w:rStyle w:val="StyleUnderline"/>
        </w:rPr>
      </w:pPr>
      <w:r w:rsidRPr="00B66716">
        <w:rPr>
          <w:rStyle w:val="StyleUnderline"/>
        </w:rPr>
        <w:t>Public pension plans have existed for more than a hundred years</w:t>
      </w:r>
      <w:r w:rsidRPr="00B66716">
        <w:t xml:space="preserve">. Beginning in the late 19th century, cities and states started offering defined benefit pensions to ensure their employees would be able to retire with dignity. Especially from the employer’s perspective, </w:t>
      </w:r>
      <w:r w:rsidRPr="00B66716">
        <w:rPr>
          <w:rStyle w:val="StyleUnderline"/>
        </w:rPr>
        <w:t>traditional pensions also facilitate an orderly transition out of the workforce, allowing older workers to retire and younger workers to gain positions of leadership and responsibility. This system has worked well for teachers, firefighters, nurses, librarians, government office clerks, and other public employees in cities and states across the nation.</w:t>
      </w:r>
    </w:p>
    <w:p w:rsidR="00C12070" w:rsidRPr="00B66716" w:rsidRDefault="00C12070" w:rsidP="00C12070">
      <w:r w:rsidRPr="00B66716">
        <w:t xml:space="preserve">Although nearly every public pension fund took a hit to its investments during the 2008 financial crisis, so did individual investors with 401(k)s and IRAs. The losses during the financial crisis affected some public pension funds more severely than others, but </w:t>
      </w:r>
      <w:r w:rsidRPr="00B66716">
        <w:rPr>
          <w:rStyle w:val="StyleUnderline"/>
        </w:rPr>
        <w:t>the majority of public pension funds are recovering well from the recession</w:t>
      </w:r>
      <w:r w:rsidRPr="00B66716">
        <w:t xml:space="preserve">. </w:t>
      </w:r>
      <w:r w:rsidRPr="00B66716">
        <w:rPr>
          <w:rStyle w:val="StyleUnderline"/>
        </w:rPr>
        <w:t>Recent strong returns have benefited the Oklahoma Teachers Retirement System and the Virginia Retirement System</w:t>
      </w:r>
      <w:r w:rsidRPr="00B66716">
        <w:t xml:space="preserve">, to give just two examples. In a recent survey, NCPERS found that the </w:t>
      </w:r>
      <w:r w:rsidRPr="00B66716">
        <w:rPr>
          <w:rStyle w:val="StyleUnderline"/>
        </w:rPr>
        <w:t>average funding level for public pension plans is 76 percent</w:t>
      </w:r>
      <w:r w:rsidRPr="00B66716">
        <w:t>.</w:t>
      </w:r>
    </w:p>
    <w:p w:rsidR="00C12070" w:rsidRPr="00B66716" w:rsidRDefault="00C12070" w:rsidP="00C12070">
      <w:r w:rsidRPr="00B66716">
        <w:t>You may have heard, however, that there is a “pension crisis.” Critics of traditional pensions peddle a false, “sky-is-falling” narrative based on questionable and misleading numbers. Some of these critics are simply hostile to public employees. Others have a financial interest in converting defined benefit pensions to 401(k)-style, defined contribution plans.</w:t>
      </w:r>
    </w:p>
    <w:p w:rsidR="00C12070" w:rsidRPr="00B66716" w:rsidRDefault="00C12070" w:rsidP="00C12070">
      <w:r w:rsidRPr="00B66716">
        <w:t xml:space="preserve">Unfortunately for promoters of the pension crisis narrative, they have been proven wrong at every turn. One of the most outspoken proponents of the pension crisis narrative is Stanford professor </w:t>
      </w:r>
      <w:r w:rsidRPr="00B66716">
        <w:rPr>
          <w:rStyle w:val="StyleUnderline"/>
        </w:rPr>
        <w:t>Joshua Rauh. Back in 2010, Rauh famously, and wrongly, predicted that several states would “exhaust” their public pension funds within ten years and run out of money. Not a single state has reached “pension exhaustion”,</w:t>
      </w:r>
      <w:r w:rsidRPr="00B66716">
        <w:t xml:space="preserve"> despite Rauh’s prediction.</w:t>
      </w:r>
    </w:p>
    <w:p w:rsidR="00C12070" w:rsidRPr="00B66716" w:rsidRDefault="00C12070" w:rsidP="00C12070">
      <w:r w:rsidRPr="00B66716">
        <w:t xml:space="preserve">Why was Rauh so incredibly wrong in his predictions? Because he is the chief promoter of public pension plans using what he calls a “risk-free” discount rate. What does that mean? </w:t>
      </w:r>
      <w:r w:rsidRPr="00B66716">
        <w:rPr>
          <w:rStyle w:val="StyleUnderline"/>
        </w:rPr>
        <w:t>Public pension funds earn the majority of their revenue, sometimes as much as three-fourths, from returns on their investments</w:t>
      </w:r>
      <w:r w:rsidRPr="00B66716">
        <w:t xml:space="preserve">. However, since pension benefits are paid out over a long timespan, the people who manage pensions need to estimate what return they will achieve on their investments over the course of twenty or thirty years. To do this, they calculate what is called a discount rate. The people who manage pension funds are constantly evaluating and adjusting the discount rate based on the performance of the financial markets. At one time, the average discount rate was close to 8 percent. Recently though </w:t>
      </w:r>
      <w:r w:rsidRPr="00B66716">
        <w:rPr>
          <w:rStyle w:val="StyleUnderline"/>
        </w:rPr>
        <w:t>public pension plans have been lowering their discount rates and the average is now around 7.5 percent</w:t>
      </w:r>
      <w:r w:rsidRPr="00B66716">
        <w:t>.</w:t>
      </w:r>
    </w:p>
    <w:p w:rsidR="00C12070" w:rsidRPr="00B66716" w:rsidRDefault="00C12070" w:rsidP="00C12070">
      <w:r w:rsidRPr="00B66716">
        <w:rPr>
          <w:rStyle w:val="StyleUnderline"/>
        </w:rPr>
        <w:t>Joshua Rauh</w:t>
      </w:r>
      <w:r w:rsidRPr="00B66716">
        <w:t xml:space="preserve">, however, </w:t>
      </w:r>
      <w:r w:rsidRPr="00B66716">
        <w:rPr>
          <w:rStyle w:val="StyleUnderline"/>
        </w:rPr>
        <w:t>thinks pension funds should use the “risk-free” rate of U.S. Treasury bonds</w:t>
      </w:r>
      <w:r w:rsidRPr="00B66716">
        <w:t xml:space="preserve">, which currently is around 2.5 percent. If pension funds invested all their assets in Treasury bonds, they would basically be saying they do not plan to earn any returns on their investments. At that point, it would become a pay-as-you-go system, where benefits are paid out of the general fund with no investment for the future. Another </w:t>
      </w:r>
      <w:r w:rsidRPr="00B66716">
        <w:rPr>
          <w:rStyle w:val="StyleUnderline"/>
        </w:rPr>
        <w:t>effect of using a “risk-free” discount rate would be to dramatically increase the amount of money required by public employees and state and local governments to contribute to the pension fund, since the fund would no longer be earning any investment returns, the source of the majority of its revenue. Using a “risk-free” discount rate would undermine the very nature of defined benefit pension plans and, as a result, would dramatically increase costs for both public employees and taxpayers</w:t>
      </w:r>
      <w:r w:rsidRPr="00B66716">
        <w:t>. This would certainly create the very pension crisis Rauh is so keen to warn about.</w:t>
      </w:r>
    </w:p>
    <w:p w:rsidR="00C12070" w:rsidRPr="00B66716" w:rsidRDefault="00C12070" w:rsidP="00C12070">
      <w:r w:rsidRPr="00B66716">
        <w:rPr>
          <w:rStyle w:val="StyleUnderline"/>
        </w:rPr>
        <w:t>The so-called pension crisis is a myth promoted by people who are either hostile to public employees, have a financial interest in moving from pensions to 401(k)s, or both. All of the evidence indicates that the claims of these doomsayers are untrue</w:t>
      </w:r>
      <w:r w:rsidRPr="00B66716">
        <w:t xml:space="preserve"> and most of their predictions have been proven wrong. The real pension crisis in the United States is the lack of pensions by most working people. Many Americans are at risk of falling behind their standard of living in retirement. The move away from pensions to 401(k)s has made this worse, not better. Next week we will examine another false claim peddled by those pushing the pension crisis narrative.</w:t>
      </w:r>
    </w:p>
    <w:p w:rsidR="00C12070" w:rsidRPr="00B66716" w:rsidRDefault="00C12070" w:rsidP="00C12070"/>
    <w:p w:rsidR="00C12070" w:rsidRDefault="00C12070" w:rsidP="00C12070"/>
    <w:p w:rsidR="00C12070" w:rsidRDefault="00C12070" w:rsidP="00C12070"/>
    <w:p w:rsidR="00C12070" w:rsidRDefault="00C12070" w:rsidP="00C12070">
      <w:pPr>
        <w:pStyle w:val="Heading4"/>
      </w:pPr>
      <w:r>
        <w:t>The pension crisis doesn’t exist in the squo – unfunded liabilities are misleading</w:t>
      </w:r>
    </w:p>
    <w:p w:rsidR="00C12070" w:rsidRPr="00D206DE" w:rsidRDefault="00C12070" w:rsidP="00C12070">
      <w:pPr>
        <w:rPr>
          <w:rStyle w:val="Style13ptBold"/>
          <w:b w:val="0"/>
        </w:rPr>
      </w:pPr>
      <w:r w:rsidRPr="00D206DE">
        <w:rPr>
          <w:rStyle w:val="Style13ptBold"/>
        </w:rPr>
        <w:t xml:space="preserve">Bond 17 </w:t>
      </w:r>
      <w:r w:rsidRPr="00D206DE">
        <w:rPr>
          <w:rStyle w:val="Style13ptBold"/>
          <w:b w:val="0"/>
        </w:rPr>
        <w:t xml:space="preserve">Tyler Bond has performed analyses on a dataset of 110,000 entries to pinpoint top 10 highest risk countries and works for IT Risk Assurance (National Public Pension Coalition, “The ‘Pension Crisis’ Is A Myth, Part Two,” 7/17/17, </w:t>
      </w:r>
      <w:hyperlink r:id="rId19" w:history="1">
        <w:r w:rsidRPr="00D206DE">
          <w:rPr>
            <w:rStyle w:val="Hyperlink"/>
          </w:rPr>
          <w:t>https://protectpensions.org/2017/07/17/pension-crisis-myth-part-two/)</w:t>
        </w:r>
      </w:hyperlink>
      <w:r w:rsidRPr="00D206DE">
        <w:rPr>
          <w:rStyle w:val="Style13ptBold"/>
          <w:b w:val="0"/>
        </w:rPr>
        <w:t xml:space="preserve"> // SR</w:t>
      </w:r>
    </w:p>
    <w:p w:rsidR="00C12070" w:rsidRPr="00D206DE" w:rsidRDefault="00C12070" w:rsidP="00C12070">
      <w:pPr>
        <w:rPr>
          <w:rStyle w:val="StyleUnderline"/>
        </w:rPr>
      </w:pPr>
      <w:r w:rsidRPr="00D206DE">
        <w:t xml:space="preserve">Last week we wrote about how the so-called “pension crisis” is a myth promoted by people who are hostile to traditional pensions. We focused specifically on Stanford professor Joshua Rauh and his misleading argument for using a “risk-free” discount rate. </w:t>
      </w:r>
      <w:r w:rsidRPr="00D206DE">
        <w:rPr>
          <w:rStyle w:val="StyleUnderline"/>
        </w:rPr>
        <w:t>Today we want to address the question of unfunded liabilities in public pension plans and why pension critics typically misrepresent the truth about unfunded liabilities to promote their false pension crisis narrative. Pension critics also ignore the shocking unpreparedness of most Americans for retirement, which could be improved if more people were covered by pensions.</w:t>
      </w:r>
    </w:p>
    <w:p w:rsidR="00C12070" w:rsidRPr="00D206DE" w:rsidRDefault="00C12070" w:rsidP="00C12070">
      <w:r w:rsidRPr="00D206DE">
        <w:rPr>
          <w:rStyle w:val="StyleUnderline"/>
        </w:rPr>
        <w:t>Critics of traditional pensions constantly warn about unfunded liabilities in pension plans, but they seem to be deliberately misleading about how pension plans actually work</w:t>
      </w:r>
      <w:r w:rsidRPr="00D206DE">
        <w:t xml:space="preserve">. A large </w:t>
      </w:r>
      <w:r w:rsidRPr="00D206DE">
        <w:rPr>
          <w:rStyle w:val="StyleUnderline"/>
        </w:rPr>
        <w:t>public pension</w:t>
      </w:r>
      <w:r w:rsidRPr="00D206DE">
        <w:t xml:space="preserve"> plan covers hundreds of thousands of active public employees and current retirees. These </w:t>
      </w:r>
      <w:r w:rsidRPr="00D206DE">
        <w:rPr>
          <w:rStyle w:val="StyleUnderline"/>
        </w:rPr>
        <w:t>plans always have large liabilities because they are obligated to manage and pay out the retirement benefits</w:t>
      </w:r>
      <w:r w:rsidRPr="00D206DE">
        <w:t xml:space="preserve"> of these thousands of employees and retirees over the course of decades.</w:t>
      </w:r>
    </w:p>
    <w:p w:rsidR="00C12070" w:rsidRPr="00D206DE" w:rsidRDefault="00C12070" w:rsidP="00C12070">
      <w:pPr>
        <w:rPr>
          <w:rStyle w:val="StyleUnderline"/>
        </w:rPr>
      </w:pPr>
      <w:r w:rsidRPr="00D206DE">
        <w:t xml:space="preserve">When there is a difference between the total amount of benefits owed to ALL current employees &amp; retirees and the value of the financial assets the pension plan manages, then there is an “unfunded liability.” This means that at a specific point in time, </w:t>
      </w:r>
      <w:r w:rsidRPr="00D206DE">
        <w:rPr>
          <w:rStyle w:val="StyleUnderline"/>
        </w:rPr>
        <w:t>the pension plan does not have the full amount of money it will need to pay out ALL of the retirement benefits it will owe in the future to ALL of its current and former employees. But the system never needs all that money at one time. Here’s how it really works.</w:t>
      </w:r>
    </w:p>
    <w:p w:rsidR="00C12070" w:rsidRPr="00D206DE" w:rsidRDefault="00C12070" w:rsidP="00C12070">
      <w:r w:rsidRPr="00D206DE">
        <w:rPr>
          <w:rStyle w:val="StyleUnderline"/>
        </w:rPr>
        <w:t>An employee working today who will retire and begin collecting her pension benefit in twenty years won’t collect her entire benefit all at once</w:t>
      </w:r>
      <w:r w:rsidRPr="00D206DE">
        <w:t xml:space="preserve">. She will receive her pension benefit paid out in monthly installments over the course of her retirement, which could be another twenty years. So, for our public employee working today, the pension plan in which she participates has twenty years to earn investment returns on the contributions to her pension and may then have another twenty years over which to pay out those benefits. </w:t>
      </w:r>
      <w:r w:rsidRPr="00D206DE">
        <w:rPr>
          <w:rStyle w:val="StyleUnderline"/>
        </w:rPr>
        <w:t>If the pension fund today only has 85 percent of what it will owe her, that does not mean there is a pension crisis because the fund has a long time to earn investment returns and then pay out its obligations</w:t>
      </w:r>
      <w:r w:rsidRPr="00D206DE">
        <w:t>. Those pension critics wailing about unfunded liabilities either don’t understand or are being intentionally misleading about this very basic fact.</w:t>
      </w:r>
    </w:p>
    <w:p w:rsidR="00C12070" w:rsidRPr="00D206DE" w:rsidRDefault="00C12070" w:rsidP="00C12070">
      <w:pPr>
        <w:rPr>
          <w:rStyle w:val="StyleUnderline"/>
        </w:rPr>
      </w:pPr>
      <w:r w:rsidRPr="00D206DE">
        <w:t>The reality of financial markets means that as the value of financial assets goes up and down, a pension plan can be more or less well-funded at a certain point in time. Some states, like Wisconsin, that do have fully funded pension plans have specifically designed their pension plans with certain features to guarantee that the plan remains fully funded. Other plans, like those in New York and North Carolina, are funded somewhere between 90 and 100 percent, meaning they may not currently have every dollar they will ever owe, but they are pretty close</w:t>
      </w:r>
      <w:r w:rsidRPr="00D206DE">
        <w:rPr>
          <w:rStyle w:val="StyleUnderline"/>
        </w:rPr>
        <w:t xml:space="preserve">. Some states, like Illinois and New Jersey, do have real, legitimate problems with their public pension plans, but those problems are not caused by the nature of defined benefit pensions themselves. </w:t>
      </w:r>
      <w:r w:rsidRPr="00D206DE">
        <w:t>They are directly caused by political malfeasance, when governors and state legislatures- of both political parties- have neglected their pension obligations, often for decades.</w:t>
      </w:r>
    </w:p>
    <w:p w:rsidR="00C12070" w:rsidRPr="00D206DE" w:rsidRDefault="00C12070" w:rsidP="00C12070">
      <w:r w:rsidRPr="00D206DE">
        <w:t>The true unfunded liability in retirement is the lack of any real retirement savings of many Americans. At any time, slightly more than half of all working Americans do not have access to a retirement plan through their employer. This means they can’t participate in a defined benefit pension or contribute to a 401(k) or a 403(b)- nothing. The reality is that most of these Americans are saving nothing for retirement, since most IRA contributions are just rollovers from 401(k) accounts. Even for workers who are contributing to a 401(k) plan, they are most likely not contributing enough and will find themselves falling short of what they need financially in retirement. Except for those at the highest income levels, who have the disposable income to make the maximum contributions, most Americans simply can not or do not save enough money in their 401(k) plans. There are a number of other design flaws in 401(k) plans that mean most working families will come up short in retirement.</w:t>
      </w:r>
    </w:p>
    <w:p w:rsidR="00C12070" w:rsidRDefault="00C12070" w:rsidP="00C12070">
      <w:r w:rsidRPr="00D206DE">
        <w:t xml:space="preserve">As we said last week, </w:t>
      </w:r>
      <w:r w:rsidRPr="00D206DE">
        <w:rPr>
          <w:rStyle w:val="StyleUnderline"/>
        </w:rPr>
        <w:t>the “pension crisis” is a myth promoted by people who are either hostile to public employees, have a financial interest in moving from pensions to 401(k)s, or both.</w:t>
      </w:r>
      <w:r w:rsidRPr="00D206DE">
        <w:t xml:space="preserve"> The real pension crisis in the United States is the lack of pensions by most working people. Many Americans are at risk of falling behind their standard of living in retirement and the move away from pensions to 401(k)s has made this worse, not better. Here at NPPC we are fighting for real retirement security for working families. Will you join us?</w:t>
      </w:r>
    </w:p>
    <w:p w:rsidR="00C12070" w:rsidRDefault="00C12070" w:rsidP="00C12070"/>
    <w:p w:rsidR="00C12070" w:rsidRDefault="00C12070" w:rsidP="00C12070"/>
    <w:p w:rsidR="00C12070" w:rsidRDefault="00C12070" w:rsidP="00C12070">
      <w:pPr>
        <w:pStyle w:val="Heading4"/>
      </w:pPr>
      <w:r>
        <w:t>The pension crisis is overblown – people think about more than just money when retiring</w:t>
      </w:r>
    </w:p>
    <w:p w:rsidR="00C12070" w:rsidRPr="00CA5C63" w:rsidRDefault="00C12070" w:rsidP="00C12070">
      <w:pPr>
        <w:rPr>
          <w:rStyle w:val="Style13ptBold"/>
          <w:b w:val="0"/>
        </w:rPr>
      </w:pPr>
      <w:r>
        <w:rPr>
          <w:rStyle w:val="Style13ptBold"/>
        </w:rPr>
        <w:t xml:space="preserve">Eisenberg 17 </w:t>
      </w:r>
      <w:r>
        <w:rPr>
          <w:rStyle w:val="Style13ptBold"/>
          <w:b w:val="0"/>
        </w:rPr>
        <w:t xml:space="preserve">Richard Eisenberg is the Senior Web Editor of the Money and Security and Work and Purpose channels and a personal finance editor for CBS. (Forbes, “Could The Retirement Crisis Be Overblown,” 2/15/17, </w:t>
      </w:r>
      <w:hyperlink r:id="rId20" w:anchor="1860e38b6d4a)" w:history="1">
        <w:r w:rsidRPr="007D4178">
          <w:rPr>
            <w:rStyle w:val="Hyperlink"/>
          </w:rPr>
          <w:t>https://www.forbes.com/sites/nextavenue/2017/02/15/could-the-retirement-crisis-be-overblown/#1860e38b6d4a)</w:t>
        </w:r>
      </w:hyperlink>
      <w:r>
        <w:rPr>
          <w:rStyle w:val="Style13ptBold"/>
          <w:b w:val="0"/>
        </w:rPr>
        <w:t xml:space="preserve"> // SR</w:t>
      </w:r>
    </w:p>
    <w:p w:rsidR="00C12070" w:rsidRPr="00AF2E43" w:rsidRDefault="00C12070" w:rsidP="00C12070">
      <w:r w:rsidRPr="00AF2E43">
        <w:t>Why the Retirement Crisis May Not Happen</w:t>
      </w:r>
    </w:p>
    <w:p w:rsidR="00C12070" w:rsidRPr="00AF2E43" w:rsidRDefault="00C12070" w:rsidP="00C12070">
      <w:r w:rsidRPr="00AF2E43">
        <w:t>“</w:t>
      </w:r>
      <w:r w:rsidRPr="00CA5C63">
        <w:rPr>
          <w:rStyle w:val="StyleUnderline"/>
        </w:rPr>
        <w:t>Thinking only about money is missing the whole person when we’re thinking of retirement</w:t>
      </w:r>
      <w:r w:rsidRPr="00AF2E43">
        <w:t>," said Ken Dychtwald, president and founder of AgeWave and a 2016 Next Avenue Influencer in Aging. “</w:t>
      </w:r>
      <w:r w:rsidRPr="00CA5C63">
        <w:rPr>
          <w:rStyle w:val="StyleUnderline"/>
        </w:rPr>
        <w:t>When we dove into this study, we found people are thinking of the dimensions of their lives as currencies — activities and assets they could trade up or down or alter to make retirement more comfortable and secure</w:t>
      </w:r>
      <w:r>
        <w:t xml:space="preserve">.” </w:t>
      </w:r>
      <w:r w:rsidRPr="00AF2E43">
        <w:t>That left AgeWave and Merrill Lynch “feeling quite</w:t>
      </w:r>
      <w:r>
        <w:t xml:space="preserve"> enthusiastic,” said Dychtwald. </w:t>
      </w:r>
      <w:r w:rsidRPr="00AF2E43">
        <w:t xml:space="preserve">The tables included in this post show you some examples of intended course corrections, but the gist is this: </w:t>
      </w:r>
      <w:r w:rsidRPr="00CA5C63">
        <w:rPr>
          <w:rStyle w:val="StyleUnderline"/>
        </w:rPr>
        <w:t>If I won’t have enough money to retire the way I want</w:t>
      </w:r>
      <w:r w:rsidRPr="00AF2E43">
        <w:t xml:space="preserve">, pre-retirees say, </w:t>
      </w:r>
      <w:r w:rsidRPr="00CA5C63">
        <w:rPr>
          <w:rStyle w:val="StyleUnderline"/>
        </w:rPr>
        <w:t>I’ll just cut expenses, stay healthier, work longer, downsize my home or give less to family and charity.</w:t>
      </w:r>
    </w:p>
    <w:p w:rsidR="00C12070" w:rsidRPr="00AF2E43" w:rsidRDefault="00C12070" w:rsidP="00C12070">
      <w:r w:rsidRPr="00AF2E43">
        <w:t>The 'Course Corrections' People Say They'd Be Willing to Make</w:t>
      </w:r>
    </w:p>
    <w:p w:rsidR="00C12070" w:rsidRPr="00D206DE" w:rsidRDefault="00C12070" w:rsidP="00C12070">
      <w:r w:rsidRPr="00AF2E43">
        <w:t xml:space="preserve">A few examples of the course corrections pre-retirees say </w:t>
      </w:r>
      <w:r w:rsidRPr="00CA5C63">
        <w:rPr>
          <w:rStyle w:val="StyleUnderline"/>
        </w:rPr>
        <w:t>they’d be willing to make to have a more comfortable and secure retirement,</w:t>
      </w:r>
      <w:r w:rsidRPr="00AF2E43">
        <w:t xml:space="preserve"> in declining order (not good news f</w:t>
      </w:r>
      <w:r>
        <w:t>or their kids or for charities)</w:t>
      </w:r>
      <w:r w:rsidRPr="00AF2E43">
        <w:t>: A Solution For The Retirement Crisis?</w:t>
      </w:r>
      <w:r>
        <w:t xml:space="preserve"> </w:t>
      </w:r>
      <w:r w:rsidRPr="00CA5C63">
        <w:rPr>
          <w:rStyle w:val="StyleUnderline"/>
        </w:rPr>
        <w:t>Make healthier choices to save money later</w:t>
      </w:r>
      <w:r w:rsidRPr="00AF2E43">
        <w:t>: 91%</w:t>
      </w:r>
      <w:r>
        <w:t xml:space="preserve">. </w:t>
      </w:r>
      <w:r w:rsidRPr="00CA5C63">
        <w:rPr>
          <w:rStyle w:val="StyleUnderline"/>
        </w:rPr>
        <w:t>Cut back on expenses</w:t>
      </w:r>
      <w:r>
        <w:t xml:space="preserve">: 90%. </w:t>
      </w:r>
      <w:r w:rsidRPr="00CA5C63">
        <w:rPr>
          <w:rStyle w:val="StyleUnderline"/>
        </w:rPr>
        <w:t>Cut back on everyday leisure</w:t>
      </w:r>
      <w:r>
        <w:t xml:space="preserve">: 82%. </w:t>
      </w:r>
      <w:r w:rsidRPr="00AF2E43">
        <w:t>Limit or cut back on</w:t>
      </w:r>
      <w:r>
        <w:t xml:space="preserve"> my donations to charities: 77%. </w:t>
      </w:r>
      <w:r w:rsidRPr="00AF2E43">
        <w:t>Volunteer my time/skills more and gi</w:t>
      </w:r>
      <w:r>
        <w:t xml:space="preserve">ve monetary donations less: 75%. </w:t>
      </w:r>
      <w:r w:rsidRPr="00CA5C63">
        <w:rPr>
          <w:rStyle w:val="StyleUnderline"/>
        </w:rPr>
        <w:t>Work part-time in retirement</w:t>
      </w:r>
      <w:r>
        <w:t xml:space="preserve">: 75%. </w:t>
      </w:r>
      <w:r w:rsidRPr="00CA5C63">
        <w:rPr>
          <w:rStyle w:val="StyleUnderline"/>
        </w:rPr>
        <w:t>Downsize my home</w:t>
      </w:r>
      <w:r>
        <w:t xml:space="preserve">: 75%. </w:t>
      </w:r>
      <w:r w:rsidRPr="00AF2E43">
        <w:t>Cut back on fin</w:t>
      </w:r>
      <w:r>
        <w:t xml:space="preserve">ancial support to children: 70%. </w:t>
      </w:r>
      <w:r w:rsidRPr="00AF2E43">
        <w:t>Purchas</w:t>
      </w:r>
      <w:r>
        <w:t xml:space="preserve">e long-term care insurance: 68%. </w:t>
      </w:r>
      <w:r w:rsidRPr="00AF2E43">
        <w:t>Move to</w:t>
      </w:r>
      <w:r>
        <w:t xml:space="preserve"> a less expensive location: 67%. </w:t>
      </w:r>
      <w:r w:rsidRPr="00AF2E43">
        <w:t>Postpone taking Social Security: 64% (though 60% said they’d “take Social Security as early</w:t>
      </w:r>
      <w:r>
        <w:t xml:space="preserve"> as I can” — puzzling). </w:t>
      </w:r>
      <w:r w:rsidRPr="00AF2E43">
        <w:t>Turn a h</w:t>
      </w:r>
      <w:r>
        <w:t xml:space="preserve">obby into an income source: 62%. </w:t>
      </w:r>
      <w:r w:rsidRPr="00AF2E43">
        <w:t>Cut back on financial sup</w:t>
      </w:r>
      <w:r>
        <w:t xml:space="preserve">port to parents or in-laws: 59%. </w:t>
      </w:r>
      <w:r w:rsidRPr="00AF2E43">
        <w:t>Take a house</w:t>
      </w:r>
      <w:r>
        <w:t xml:space="preserve">mate or become a housemate: 28%. </w:t>
      </w:r>
      <w:r w:rsidRPr="00AF2E43">
        <w:t xml:space="preserve">Rent a room or part of my </w:t>
      </w:r>
      <w:r>
        <w:t xml:space="preserve">home on a short-term basis: 27%. </w:t>
      </w:r>
      <w:r w:rsidRPr="00CA5C63">
        <w:rPr>
          <w:rStyle w:val="StyleUnderline"/>
        </w:rPr>
        <w:t>Turn my car into a source of income</w:t>
      </w:r>
      <w:r>
        <w:t xml:space="preserve">: 24%. </w:t>
      </w:r>
      <w:r w:rsidRPr="00AF2E43">
        <w:t>Interesting, I think, that the pre-retirees are much more willing to cut back on financial support to their children than to their own parents. Dychtwald, who has written about “The Bank of Mom and Dad” before, agreed: “People said: 'I don’t want to cut back on my parents or in-laws; I love them, I owe them. Maybe my kids ought to be more independent, but they d</w:t>
      </w:r>
      <w:r>
        <w:t xml:space="preserve">on’t know enough about money.'” </w:t>
      </w:r>
      <w:r w:rsidRPr="00AF2E43">
        <w:t>The question I have: Will people really make these course corrections as th</w:t>
      </w:r>
      <w:r>
        <w:t xml:space="preserve">ey approach, or in, retirement? </w:t>
      </w:r>
      <w:r w:rsidRPr="00AF2E43">
        <w:t>To me, they sound a bit like New Year’s resolutions. It’s easy to say you plan to do something; it’s quite another to actually do it.</w:t>
      </w:r>
    </w:p>
    <w:p w:rsidR="00C12070" w:rsidRPr="006442A8" w:rsidRDefault="00C12070" w:rsidP="00C12070"/>
    <w:p w:rsidR="00C12070" w:rsidRPr="006442A8" w:rsidRDefault="00C12070" w:rsidP="00C12070"/>
    <w:p w:rsidR="00C12070" w:rsidRPr="00F07B7C" w:rsidRDefault="00C12070" w:rsidP="00C12070">
      <w:pPr>
        <w:pStyle w:val="Heading3"/>
      </w:pPr>
      <w:r w:rsidRPr="00F07B7C">
        <w:t>1nc stimulus fails</w:t>
      </w:r>
    </w:p>
    <w:p w:rsidR="00C12070" w:rsidRPr="00F07B7C" w:rsidRDefault="00C12070" w:rsidP="00C12070">
      <w:pPr>
        <w:pStyle w:val="Heading4"/>
      </w:pPr>
      <w:r w:rsidRPr="00F07B7C">
        <w:t xml:space="preserve">It would take years for stimulus to boost the economy </w:t>
      </w:r>
    </w:p>
    <w:p w:rsidR="00C12070" w:rsidRPr="00F07B7C" w:rsidRDefault="00C12070" w:rsidP="00C12070">
      <w:r w:rsidRPr="00F07B7C">
        <w:t>Gary</w:t>
      </w:r>
      <w:r w:rsidRPr="00F07B7C">
        <w:rPr>
          <w:rStyle w:val="Style13ptBold"/>
        </w:rPr>
        <w:t xml:space="preserve"> Shilling 5-9</w:t>
      </w:r>
      <w:r w:rsidRPr="00F07B7C">
        <w:t xml:space="preserve">-2017, (a Bloomberg View columnist, is president of A. Gary Shilling &amp; Co., a consultancy in Springfield, New Jersey “The Trump Trade Arrived Several Years Too Soon” </w:t>
      </w:r>
      <w:hyperlink r:id="rId21" w:history="1">
        <w:r w:rsidRPr="00F07B7C">
          <w:rPr>
            <w:rStyle w:val="Hyperlink"/>
          </w:rPr>
          <w:t>https://www.bloomberg.com/view/articles/2017-05-09/the-trump-trade-arrived-several-years-too-soon//)MBA</w:t>
        </w:r>
      </w:hyperlink>
      <w:r w:rsidRPr="00F07B7C">
        <w:t xml:space="preserve"> HBJ</w:t>
      </w:r>
    </w:p>
    <w:p w:rsidR="00C12070" w:rsidRPr="00F07B7C" w:rsidRDefault="00C12070" w:rsidP="00C12070">
      <w:pPr>
        <w:rPr>
          <w:sz w:val="8"/>
        </w:rPr>
      </w:pPr>
      <w:r w:rsidRPr="00F07B7C">
        <w:rPr>
          <w:sz w:val="8"/>
        </w:rPr>
        <w:t xml:space="preserve">The initial reaction by investors to Donald Trump’s election as U.S. President six months ago and continued Republican control of </w:t>
      </w:r>
      <w:r w:rsidRPr="00F07B7C">
        <w:rPr>
          <w:rStyle w:val="StyleUnderline"/>
        </w:rPr>
        <w:t>Congress</w:t>
      </w:r>
      <w:r w:rsidRPr="00F07B7C">
        <w:rPr>
          <w:sz w:val="8"/>
        </w:rPr>
        <w:t xml:space="preserve"> was nothing short of euphoric, overdone and possibly several years too soon. They </w:t>
      </w:r>
      <w:r w:rsidRPr="00F07B7C">
        <w:rPr>
          <w:rStyle w:val="StyleUnderline"/>
        </w:rPr>
        <w:t>assumed that literally overnight, huge tax cuts, massive deregulation and substantial fiscal stimuli would propel rapid economic growth, a surge in corporate profits and faster inflation</w:t>
      </w:r>
      <w:r w:rsidRPr="00F07B7C">
        <w:rPr>
          <w:sz w:val="8"/>
        </w:rPr>
        <w:t>. So stocks leaped, with the S&amp;P 500 Index jumping 12 percent between election day on Nov. 8 and March 1. Commodity prices also jumped along with the dollar amid expectations for quicker growth and major protectionist measures under Trump’s “America First” plans. Especially hard-hit in the weeks after the election was the Mexican peso as Trump reiterated his plan to build a wall along the southern U.S. border. Emerging-market stocks and bonds also suffered, especially those with huge dollar-denominated debts as their falling currencies would make those obligations increasingly difficult to service. Investors judged that these financial woes swamped the positive effects of developing-country currency weakness and U.S. economic growth on their exports. Anticipated major tax cuts and fiscal stimuli implied huge new financing by way of government debt, so Treasury notes and bonds nosedived in price as their yields climbed, with the 10-year note yield rising from 1.86 percent when Trump was elected to more than 2.6 percent in mid-March. Expectations of faster inflation were also a factor. And to rationalize market actions not backed by hard evidence, many resorted to “animal spirits” as an explanation. This term was used by John Maynard Keynes to explain why, in the absence of basic forces, businesses invest and consumers spend</w:t>
      </w:r>
      <w:r w:rsidRPr="00F07B7C">
        <w:rPr>
          <w:rStyle w:val="StyleUnderline"/>
        </w:rPr>
        <w:t xml:space="preserve">. It really amounts to a quantification of ignorance -- the hope that investor enthusiasm will eventually be substantiated. </w:t>
      </w:r>
      <w:r w:rsidRPr="00F07B7C">
        <w:rPr>
          <w:sz w:val="8"/>
        </w:rPr>
        <w:t xml:space="preserve">In short, </w:t>
      </w:r>
      <w:r w:rsidRPr="00F07B7C">
        <w:rPr>
          <w:rStyle w:val="StyleUnderline"/>
        </w:rPr>
        <w:t>this “Trump Trade</w:t>
      </w:r>
      <w:r w:rsidRPr="00F07B7C">
        <w:rPr>
          <w:sz w:val="8"/>
        </w:rPr>
        <w:t xml:space="preserve">” -- or “reflation trade” -- </w:t>
      </w:r>
      <w:r w:rsidRPr="00F07B7C">
        <w:rPr>
          <w:rStyle w:val="StyleUnderline"/>
        </w:rPr>
        <w:t xml:space="preserve">was on steroids. </w:t>
      </w:r>
      <w:r w:rsidRPr="00F07B7C">
        <w:rPr>
          <w:sz w:val="8"/>
        </w:rPr>
        <w:t xml:space="preserve">My reaction to all this euphoria was that investors were jumping the gun, vastly exaggerating the effects of any changes in Washington. Sure, voters in Europe and North America are mad because their purchasing power has been flat or declining for more than a decade. In response, they’ve rejected mainstream politicians in Western Europe and North America and turned to the fringes on the far right and the extreme left, as evidenced by the popularity of both Trump and fringe Democrat Bernie Sanders. Starting back in March 2015, I forecast that robust U.S. fiscal stimuli, regardless of who next occupied the White House and the halls of Congress, were in the cards. </w:t>
      </w:r>
      <w:r w:rsidRPr="00520103">
        <w:rPr>
          <w:rStyle w:val="Emphasis"/>
          <w:highlight w:val="yellow"/>
        </w:rPr>
        <w:t>Very aggressive monetary policy had proved to be impotent,</w:t>
      </w:r>
      <w:r w:rsidRPr="00F07B7C">
        <w:rPr>
          <w:rStyle w:val="Emphasis"/>
        </w:rPr>
        <w:t xml:space="preserve"> </w:t>
      </w:r>
      <w:r w:rsidRPr="00F07B7C">
        <w:rPr>
          <w:rStyle w:val="StyleUnderline"/>
        </w:rPr>
        <w:t>and voters were demanding economic growth and higher incomes.</w:t>
      </w:r>
      <w:r w:rsidRPr="00F07B7C">
        <w:rPr>
          <w:sz w:val="8"/>
        </w:rPr>
        <w:t xml:space="preserve"> Politicians of all stripes saw the writing on the wall and both Trump and Hillary Clinton put forth plans for major action during the election campaign. Investors have re-examined their Trump Trade convictions, given the lack of any meaningful movement on Trump’s proposals. His plan to replace Obamacare "on Day One" stalled in the face of opposition from both Democrats and moderate Republicans. Treasury Secretary Steven Mnuchin’s hopes for enactment of significant tax reform by August seemed hopelessly overambitious from the start and the administration’s hastily-crafted tax cut package was vague enough to fit on a single sheet of paper. Trump’s plan to limit immigration from Muslim countries is tied up in the courts and his vaunted Mexican wall plan failed to gain support in the just-passed budget to fund the government through September. He has issued executive orders to study excessive government regulations and to roll back Obama’s restrictions on energy production and signed a bill repealing Internet privacy rules enacted last year, but has made few meaningful proposals. He has also backtracked on his promise to brand China as a currency manipulator and withdraw the U.S. from NAFTA. Professionals offering actionable insights on markets, the economy and monetary policy. A roundup connecting the dots in global markets. Many are now realizing that little was accomplished in Trump’s first 100 days as President</w:t>
      </w:r>
      <w:r w:rsidRPr="00F07B7C">
        <w:rPr>
          <w:rStyle w:val="StyleUnderline"/>
        </w:rPr>
        <w:t xml:space="preserve">. So many investors are now swinging to my earlier conviction that much of the Trump Trade was a tempest in a teapot, at least in terms of instant actions. </w:t>
      </w:r>
      <w:r w:rsidRPr="00F07B7C">
        <w:rPr>
          <w:sz w:val="8"/>
        </w:rPr>
        <w:t xml:space="preserve">His approval ratings, which started out low, have dropped. Stocks’ upward trajectory has leveled, with the S&amp;P 500 and the Dow Jones Industrial Average essentially flat since the start of March. Commodities have fallen over the last two months, especially crude oil prices as OPEC struggles to cut production enough to offset supply increases from American frackers and curb excess inventories. </w:t>
      </w:r>
      <w:r w:rsidRPr="00F07B7C">
        <w:rPr>
          <w:rStyle w:val="StyleUnderline"/>
        </w:rPr>
        <w:t xml:space="preserve">The Mexican peso has rallied as Trump’s threats prove hollow, at least for now, and the dollar’s leap has been reversed. </w:t>
      </w:r>
      <w:r w:rsidRPr="00520103">
        <w:rPr>
          <w:rStyle w:val="StyleUnderline"/>
          <w:highlight w:val="yellow"/>
        </w:rPr>
        <w:t>Emerging-market stocks and bonds recovered and have jumped well above their pre-Trump election levels</w:t>
      </w:r>
      <w:r w:rsidRPr="00F07B7C">
        <w:rPr>
          <w:rStyle w:val="StyleUnderline"/>
        </w:rPr>
        <w:t>.</w:t>
      </w:r>
      <w:r w:rsidRPr="00F07B7C">
        <w:rPr>
          <w:sz w:val="8"/>
        </w:rPr>
        <w:t xml:space="preserve"> Meanwhile, </w:t>
      </w:r>
      <w:r w:rsidRPr="00F07B7C">
        <w:rPr>
          <w:rStyle w:val="StyleUnderline"/>
        </w:rPr>
        <w:t xml:space="preserve">Treasury note and bond prices have risen as their yields fall. </w:t>
      </w:r>
      <w:r w:rsidRPr="00F07B7C">
        <w:rPr>
          <w:sz w:val="8"/>
        </w:rPr>
        <w:t xml:space="preserve">I remain convinced that massive </w:t>
      </w:r>
      <w:r w:rsidRPr="00520103">
        <w:rPr>
          <w:rStyle w:val="StyleUnderline"/>
          <w:highlight w:val="yellow"/>
        </w:rPr>
        <w:t>fiscal stimuli</w:t>
      </w:r>
      <w:r w:rsidRPr="00520103">
        <w:rPr>
          <w:sz w:val="8"/>
          <w:highlight w:val="yellow"/>
        </w:rPr>
        <w:t xml:space="preserve"> </w:t>
      </w:r>
      <w:r w:rsidRPr="00520103">
        <w:rPr>
          <w:rStyle w:val="StyleUnderline"/>
          <w:highlight w:val="yellow"/>
        </w:rPr>
        <w:t>are</w:t>
      </w:r>
      <w:r w:rsidRPr="00F07B7C">
        <w:rPr>
          <w:sz w:val="8"/>
        </w:rPr>
        <w:t xml:space="preserve"> in the cards. It’s </w:t>
      </w:r>
      <w:r w:rsidRPr="00520103">
        <w:rPr>
          <w:rStyle w:val="StyleUnderline"/>
          <w:highlight w:val="yellow"/>
        </w:rPr>
        <w:t>needed</w:t>
      </w:r>
      <w:r w:rsidRPr="00F07B7C">
        <w:rPr>
          <w:rStyle w:val="StyleUnderline"/>
        </w:rPr>
        <w:t xml:space="preserve"> to restore rapid economic growth, spur income rises and assuage voters,</w:t>
      </w:r>
      <w:r w:rsidRPr="00F07B7C">
        <w:rPr>
          <w:sz w:val="8"/>
        </w:rPr>
        <w:t xml:space="preserve"> </w:t>
      </w:r>
      <w:r w:rsidRPr="00520103">
        <w:rPr>
          <w:rStyle w:val="Emphasis"/>
          <w:highlight w:val="yellow"/>
        </w:rPr>
        <w:t>but it will take two to three years to be effective</w:t>
      </w:r>
      <w:r w:rsidRPr="00F07B7C">
        <w:rPr>
          <w:sz w:val="8"/>
        </w:rPr>
        <w:t xml:space="preserve">. Trump ran as an outsider, opposing not only Democrats but also many Republicans. He has yet to build solid backing in Congress. Almost all politicians back badly-needed infrastructure improvements, but federal money for roads and bridges is actually spent by the states. So even after approval by Congress, the job-creating outlays are several years away. Two years after the “shovel-ready” projects in the big 2009 stimulus bill, only 30 percent of that money had been spent. </w:t>
      </w:r>
      <w:r w:rsidRPr="00F07B7C">
        <w:rPr>
          <w:rStyle w:val="StyleUnderline"/>
        </w:rPr>
        <w:t xml:space="preserve">With substantial fiscal action, I look for 3.0 percent to 3.5 percent real GDP growth and the restoration of meaningful personal income gains, but not for several years. </w:t>
      </w:r>
      <w:r w:rsidRPr="00F07B7C">
        <w:rPr>
          <w:sz w:val="8"/>
        </w:rPr>
        <w:t>It may not come soon enough to satisfy mad-as-hell voters in the 2018 elections. Trump will need to do a selling job on expectations that rivals Franklin Delano Roosevelt’s hype on the New Deal right after his 1933 inauguration.</w:t>
      </w:r>
    </w:p>
    <w:p w:rsidR="00C12070" w:rsidRPr="00F07B7C" w:rsidRDefault="00C12070" w:rsidP="00C12070"/>
    <w:p w:rsidR="00C12070" w:rsidRPr="00F07B7C" w:rsidRDefault="00C12070" w:rsidP="00C12070">
      <w:pPr>
        <w:pStyle w:val="Heading4"/>
      </w:pPr>
      <w:r w:rsidRPr="00F07B7C">
        <w:t>Stimulus fails even if its in productive sectors of the economy – its more likely to mess up growth</w:t>
      </w:r>
    </w:p>
    <w:p w:rsidR="00C12070" w:rsidRPr="00F07B7C" w:rsidRDefault="00C12070" w:rsidP="00C12070">
      <w:r w:rsidRPr="00F07B7C">
        <w:t>Aaron</w:t>
      </w:r>
      <w:r w:rsidRPr="00F07B7C">
        <w:rPr>
          <w:rStyle w:val="Style13ptBold"/>
        </w:rPr>
        <w:t xml:space="preserve"> Bandler 3-29-</w:t>
      </w:r>
      <w:r w:rsidRPr="00F07B7C">
        <w:t xml:space="preserve">2017 ( California Polytechnic State University-San Luis Obispo Bachelor of Sciences (B.S.) Journalism California Polytechnic State University-San Luis Obispo Economics Staff writer at the daily wire “8 Reasons Spending On Infrastructure Won't Fix The Economy” </w:t>
      </w:r>
      <w:hyperlink r:id="rId22" w:history="1">
        <w:r w:rsidRPr="00F07B7C">
          <w:rPr>
            <w:rStyle w:val="Hyperlink"/>
          </w:rPr>
          <w:t>http://www.dailywire.com/news/14880/8-reasons-spending-infrastructure-wont-fix-economy-aaron-bandler//)MBA</w:t>
        </w:r>
      </w:hyperlink>
      <w:r w:rsidRPr="00F07B7C">
        <w:t xml:space="preserve"> HBJ</w:t>
      </w:r>
    </w:p>
    <w:p w:rsidR="00C12070" w:rsidRPr="00F07B7C" w:rsidRDefault="00C12070" w:rsidP="00C12070">
      <w:pPr>
        <w:rPr>
          <w:rStyle w:val="StyleUnderline"/>
        </w:rPr>
      </w:pPr>
      <w:r w:rsidRPr="00F07B7C">
        <w:rPr>
          <w:sz w:val="8"/>
        </w:rPr>
        <w:t xml:space="preserve">One of President Donald </w:t>
      </w:r>
      <w:r w:rsidRPr="00F07B7C">
        <w:rPr>
          <w:rStyle w:val="StyleUnderline"/>
        </w:rPr>
        <w:t>Trump's</w:t>
      </w:r>
      <w:r w:rsidRPr="00F07B7C">
        <w:rPr>
          <w:sz w:val="8"/>
        </w:rPr>
        <w:t xml:space="preserve"> proposed </w:t>
      </w:r>
      <w:r w:rsidRPr="00F07B7C">
        <w:rPr>
          <w:rStyle w:val="StyleUnderline"/>
        </w:rPr>
        <w:t>initiatives</w:t>
      </w:r>
      <w:r w:rsidRPr="00F07B7C">
        <w:rPr>
          <w:sz w:val="8"/>
        </w:rPr>
        <w:t xml:space="preserve"> </w:t>
      </w:r>
      <w:r w:rsidRPr="00F07B7C">
        <w:rPr>
          <w:rStyle w:val="StyleUnderline"/>
        </w:rPr>
        <w:t>that</w:t>
      </w:r>
      <w:r w:rsidRPr="00F07B7C">
        <w:rPr>
          <w:sz w:val="8"/>
        </w:rPr>
        <w:t xml:space="preserve"> </w:t>
      </w:r>
      <w:r w:rsidRPr="00F07B7C">
        <w:rPr>
          <w:rStyle w:val="StyleUnderline"/>
        </w:rPr>
        <w:t xml:space="preserve">has drawn the ire of conservatives is his desire to push through </w:t>
      </w:r>
      <w:r w:rsidRPr="00F07B7C">
        <w:rPr>
          <w:sz w:val="8"/>
        </w:rPr>
        <w:t>massive</w:t>
      </w:r>
      <w:r w:rsidRPr="00F07B7C">
        <w:rPr>
          <w:rStyle w:val="StyleUnderline"/>
        </w:rPr>
        <w:t xml:space="preserve"> infrastructure spending</w:t>
      </w:r>
      <w:r w:rsidRPr="00F07B7C">
        <w:rPr>
          <w:sz w:val="8"/>
        </w:rPr>
        <w:t xml:space="preserve">. The president did little to assuage such concerns when he told Robert Draper of New York Times Magazine </w:t>
      </w:r>
      <w:r w:rsidRPr="00F07B7C">
        <w:rPr>
          <w:rStyle w:val="StyleUnderline"/>
        </w:rPr>
        <w:t xml:space="preserve">that it was necessary to "prime the pump" and "spend money to make a lot more money." </w:t>
      </w:r>
      <w:r w:rsidRPr="00F07B7C">
        <w:rPr>
          <w:sz w:val="8"/>
        </w:rPr>
        <w:t xml:space="preserve">"In order get this [economy] going, and going big league, and having the jobs coming in and the taxes that will be cut very substantially and the regulations that’ll be going, we're going to have to prime the pump to some extent," Trump said. "In other words: Spend money to make a lot more money in the future. And that'll happen." Draper sardonically noted, "A clearer elucidation of Keynesian liberalism could not have been delivered by Obama." Here are eight reasons why spending on infrastructure won't fix the economy. 1. It's based on the flawed theory of Keynesian economics. </w:t>
      </w:r>
      <w:r w:rsidRPr="00F07B7C">
        <w:rPr>
          <w:rStyle w:val="StyleUnderline"/>
        </w:rPr>
        <w:t xml:space="preserve">Keynesian theory is predicated on the notion that artificially increasing demand by opening the spigots of the federal government and allowing money to rain down on the economy will somehow magically solve the country's economic woes. </w:t>
      </w:r>
      <w:r w:rsidRPr="00520103">
        <w:rPr>
          <w:rStyle w:val="Emphasis"/>
          <w:highlight w:val="yellow"/>
        </w:rPr>
        <w:t>The flaw in this theory is the idea that money cannot simply appear out of thin air; in actuality the money has to be taken from elsewhere in the economy, "whether through increased taxes, increased borrowing, or increased inflation</w:t>
      </w:r>
      <w:r w:rsidRPr="00F07B7C">
        <w:rPr>
          <w:rStyle w:val="Emphasis"/>
        </w:rPr>
        <w:t>,"</w:t>
      </w:r>
      <w:r w:rsidRPr="00F07B7C">
        <w:rPr>
          <w:sz w:val="8"/>
        </w:rPr>
        <w:t xml:space="preserve"> notes entitlement and budget policy analyst Peter Ferrara. </w:t>
      </w:r>
      <w:r w:rsidRPr="00520103">
        <w:rPr>
          <w:rStyle w:val="Emphasis"/>
          <w:highlight w:val="yellow"/>
        </w:rPr>
        <w:t>"All of those drain an equivalent amount of resources from the private sector, leaving no net increase for the economy, if not a net, effective loss,</w:t>
      </w:r>
      <w:r w:rsidRPr="00F07B7C">
        <w:rPr>
          <w:rStyle w:val="Emphasis"/>
        </w:rPr>
        <w:t>"</w:t>
      </w:r>
      <w:r w:rsidRPr="00F07B7C">
        <w:rPr>
          <w:sz w:val="8"/>
        </w:rPr>
        <w:t xml:space="preserve"> Ferrara wrote in Forbes. Mark Levin also gave a thorough explanation on this in his 2009 bestseller Liberty and Tyranny: A Conservative Manifesto: </w:t>
      </w:r>
      <w:r w:rsidRPr="00F07B7C">
        <w:rPr>
          <w:rStyle w:val="StyleUnderline"/>
        </w:rPr>
        <w:t xml:space="preserve">  The government does not add value to the economy. It removes value from the economy by imposing taxes on one citizen and providing cash to another. Or it borrows money that would otherwise be used by investors and redistributes it elsewhere. Or it prints more money and threatens the value of the dollar. </w:t>
      </w:r>
      <w:r w:rsidRPr="00520103">
        <w:rPr>
          <w:rStyle w:val="Emphasis"/>
          <w:highlight w:val="yellow"/>
        </w:rPr>
        <w:t>Nothing is stimulated</w:t>
      </w:r>
      <w:r w:rsidRPr="00F07B7C">
        <w:rPr>
          <w:rStyle w:val="StyleUnderline"/>
        </w:rPr>
        <w:t>.</w:t>
      </w:r>
      <w:r w:rsidRPr="00F07B7C">
        <w:rPr>
          <w:sz w:val="8"/>
        </w:rPr>
        <w:t xml:space="preserve"> </w:t>
      </w:r>
      <w:r w:rsidRPr="00F07B7C">
        <w:rPr>
          <w:rStyle w:val="StyleUnderline"/>
        </w:rPr>
        <w:t xml:space="preserve">Spending power is not increased. </w:t>
      </w:r>
      <w:r w:rsidRPr="00F07B7C">
        <w:rPr>
          <w:sz w:val="8"/>
        </w:rPr>
        <w:t xml:space="preserve">Moreover, </w:t>
      </w:r>
      <w:r w:rsidRPr="00F07B7C">
        <w:rPr>
          <w:rStyle w:val="StyleUnderline"/>
        </w:rPr>
        <w:t>politicians and bureaucrats are substituting their uninformed, largely political decisions for those of the marketplace.</w:t>
      </w:r>
    </w:p>
    <w:p w:rsidR="00C12070" w:rsidRPr="00F07B7C" w:rsidRDefault="00C12070" w:rsidP="00C12070"/>
    <w:p w:rsidR="00C12070" w:rsidRPr="00F07B7C" w:rsidRDefault="00C12070" w:rsidP="00C12070">
      <w:pPr>
        <w:pStyle w:val="Heading4"/>
      </w:pPr>
      <w:r w:rsidRPr="00F07B7C">
        <w:t xml:space="preserve">Doesn’t solve – unemployment is so low that stimulus doesn’t boost growth </w:t>
      </w:r>
    </w:p>
    <w:p w:rsidR="00C12070" w:rsidRPr="00F07B7C" w:rsidRDefault="00C12070" w:rsidP="00C12070">
      <w:r w:rsidRPr="00F07B7C">
        <w:t xml:space="preserve">Bradley W. </w:t>
      </w:r>
      <w:r w:rsidRPr="00F07B7C">
        <w:rPr>
          <w:rStyle w:val="Style13ptBold"/>
        </w:rPr>
        <w:t>Bateman 4-7</w:t>
      </w:r>
      <w:r w:rsidRPr="00F07B7C">
        <w:t xml:space="preserve">-2017 (president of Randolph College “What Would Keynes Think of Trump's Infrastructure Plan?” </w:t>
      </w:r>
      <w:hyperlink r:id="rId23" w:history="1">
        <w:r w:rsidRPr="00F07B7C">
          <w:rPr>
            <w:rStyle w:val="Hyperlink"/>
          </w:rPr>
          <w:t>https://www.theatlantic.com/business/archive/2017/04/trump-infrastructure-keynes/522204///)MBA</w:t>
        </w:r>
      </w:hyperlink>
      <w:r w:rsidRPr="00F07B7C">
        <w:t xml:space="preserve"> HBJ</w:t>
      </w:r>
    </w:p>
    <w:p w:rsidR="00C12070" w:rsidRPr="00F07B7C" w:rsidRDefault="00C12070" w:rsidP="00C12070">
      <w:pPr>
        <w:rPr>
          <w:sz w:val="8"/>
        </w:rPr>
      </w:pPr>
      <w:r w:rsidRPr="00F07B7C">
        <w:rPr>
          <w:sz w:val="8"/>
        </w:rPr>
        <w:t xml:space="preserve">If President Donald Trump sticks to his campaign promises, politicians will soon be debating the merits of a $1 trillion infrastructure program. Before the election, he trumpeted an initiative that would create “jobs, jobs, jobs” in part by rebuilding the U.S.’s bridges and highways. After the failure of his efforts to repeal and replace the Affordable Care Act, he will likely be moving on to infrastructure soon. In fact, this week the president suggested that perhaps he will accelerate the introduction of infrastructure-related legislation since it has the potential to attract votes from Democratic members of Congress. Herein may lie Trump’s chance for a grand compromise and some real deal-making. And if the government is going to have a debate about infrastructure, then the public will almost certainly be hearing a lot more about John Maynard Keynes. After all, Keynes is widely considered the father of the idea that large government deficits can stimulate the economy and create jobs, and a $1 trillion infrastructure program will inevitably generate a debate about deficits. Further, </w:t>
      </w:r>
      <w:r w:rsidRPr="00F07B7C">
        <w:rPr>
          <w:rStyle w:val="StyleUnderline"/>
        </w:rPr>
        <w:t>Keynes is well known for having recommended large-scale public works projects as a means of combatting unemployment</w:t>
      </w:r>
      <w:r w:rsidRPr="00F07B7C">
        <w:rPr>
          <w:sz w:val="8"/>
        </w:rPr>
        <w:t xml:space="preserve">. He was the co-author in 1929 of the manifesto Can Lloyd George Do it?, which supported a £250 million public-works program mooted by the U.K.’s Liberal Party, and he wrote an open letter to Franklin D. Roosevelt in 1933 supporting an expansive public-works program financed by government borrowing. The last time Keynes’s legacy was invoked to make sense of the American economy was immediately after the collapse of Lehman Brothers triggered the Great Recession in 2008. Headlines around the world featured his name: “The Revenge of Keynes,” (Le Monde) “The undeniable shift to Keynes,” (Financial Times), “What Would Keynes Have Done?” (The New York Times). After decades of neglect by the economic mainstream and the financial press, it was Keynes’s moment: The Great Moderation—the two decades before the financial crisis when economists and policy makers were lulled into believing that they had mastered how to fine-tune the economy and prevent the possibility of a crisis—had fallen apart and experts were grabbing for a policy that could save capitalism. The questions now are somewhat different, however, than they were during the financial crisis. Capitalism does not appear to be near collapse and the Federal Reserve is starting to wind down many years of monetary stimulus as it sees its goals of lower unemployment and steadier economic growth borne out. So, given that the question will likely soon arise and many will profess to have an answer: Would Keynes approve of Trump’s infrastructure plan? </w:t>
      </w:r>
      <w:r w:rsidRPr="00F07B7C">
        <w:rPr>
          <w:rStyle w:val="StyleUnderline"/>
        </w:rPr>
        <w:t>If Trump’s intention is to stimulate the economy with a large dose of deficit spending, then the answer would actually be no.</w:t>
      </w:r>
      <w:r w:rsidRPr="00F07B7C">
        <w:rPr>
          <w:sz w:val="8"/>
        </w:rPr>
        <w:t xml:space="preserve"> This is perhaps the most misunderstood part of Keynes’s legacy, but the simple fact is that </w:t>
      </w:r>
      <w:r w:rsidRPr="00B51293">
        <w:rPr>
          <w:rStyle w:val="Emphasis"/>
          <w:highlight w:val="yellow"/>
        </w:rPr>
        <w:t>he did not</w:t>
      </w:r>
      <w:r w:rsidRPr="00F07B7C">
        <w:rPr>
          <w:sz w:val="8"/>
        </w:rPr>
        <w:t xml:space="preserve">, contrary to popular understanding, </w:t>
      </w:r>
      <w:r w:rsidRPr="00B51293">
        <w:rPr>
          <w:rStyle w:val="Emphasis"/>
          <w:highlight w:val="yellow"/>
        </w:rPr>
        <w:t>support deficit spending</w:t>
      </w:r>
      <w:r w:rsidRPr="00F07B7C">
        <w:rPr>
          <w:sz w:val="8"/>
        </w:rPr>
        <w:t xml:space="preserve">. </w:t>
      </w:r>
      <w:r w:rsidRPr="00F07B7C">
        <w:rPr>
          <w:rStyle w:val="StyleUnderline"/>
        </w:rPr>
        <w:t>Few deny Keynes’s brilliance, but rather than trying to learn from his nuanced analysis of the economy, many attempt to appropriate his brilliance for their own purposes: For those who want easy answers to difficult policy questions, he readily becomes a monochromatic advocate of their own best ideas</w:t>
      </w:r>
      <w:r w:rsidRPr="00F07B7C">
        <w:rPr>
          <w:sz w:val="8"/>
        </w:rPr>
        <w:t xml:space="preserve"> (or, alternatively, a statist fool who was too clever by half). Like any good theorist, his views evolved as he encountered new information and thought more deeply. In 1945, while he was working with the British Treasury on postwar planning, he wrote, “It is important to emphasize that it is no part of the purpose of the Exchequer or the Public Capital Budget to facilitate deficit financing.” This was not a late-in-life conversion (Keynes would die a year later), but rather sprang from a belief that he had held for at least two decades. Thus, while Keynes in 1929 or 1933 might have thought that the one-off economic boost from a large-scale infrastructure program was just the thing to help an economy like America’s in 2017, his writings just a few years later, in 1937 and during World War II, suggest that even with relatively high unemployment, he saw a much reduced role for ambitious public-works projects. The belief that drove his opposition to deficits in the ordinary budget (what he referred to as the “Exchequer” budget) was his adherence to the idea that governments should manage their budgets in the same way that businesses do: by breaking their capital expenditure and borrowing off into a separate capital budget. He advocated government borrowing only if the money was spent on capital assets that could generate the revenues to repay the loans—borrowing would never appear in the Exchequer budget. He did not believe that running a deficit in that budget was economically sound and he said so repeatedly. It is possible to use the mathematical models that Keynes built to show how a deficit-increasing measure put toward “consumption” rather than investment (i.e. to buy pencils or distribute food stamps) could stimulate the economy in theory, but he never advocated doing this. In his mind, </w:t>
      </w:r>
      <w:r w:rsidRPr="00B51293">
        <w:rPr>
          <w:rStyle w:val="Emphasis"/>
          <w:highlight w:val="yellow"/>
        </w:rPr>
        <w:t>the government should not borrow money for current expenditures</w:t>
      </w:r>
      <w:r w:rsidRPr="00F07B7C">
        <w:rPr>
          <w:sz w:val="8"/>
        </w:rPr>
        <w:t xml:space="preserve">—only for long-term capital expenditures. </w:t>
      </w:r>
      <w:r w:rsidRPr="00F07B7C">
        <w:rPr>
          <w:rStyle w:val="StyleUnderline"/>
        </w:rPr>
        <w:t>Keynes’s insistence that the government should run a capital account in the same way that a corporation does would seem to put a damper on the question of whether Keynes would have Trump’s infrastructure program: The U.S. government does not have a capital budget and there is no reasonable chance that there will be one anytime soon</w:t>
      </w:r>
      <w:r w:rsidRPr="00F07B7C">
        <w:rPr>
          <w:sz w:val="8"/>
        </w:rPr>
        <w:t>. Nor is it reasonable to believe that the Republican majority in Congress would ever raise taxes by $1 trillion to pay for new roads and bridges. However, given that</w:t>
      </w:r>
      <w:r w:rsidRPr="00F07B7C">
        <w:rPr>
          <w:rStyle w:val="StyleUnderline"/>
        </w:rPr>
        <w:t xml:space="preserve"> </w:t>
      </w:r>
      <w:r w:rsidRPr="00B51293">
        <w:rPr>
          <w:rStyle w:val="Emphasis"/>
          <w:highlight w:val="yellow"/>
        </w:rPr>
        <w:t>Keynes believed that borrowing should only be undertaken to finance capital project</w:t>
      </w:r>
      <w:r w:rsidRPr="00F07B7C">
        <w:rPr>
          <w:rStyle w:val="Emphasis"/>
        </w:rPr>
        <w:t>s</w:t>
      </w:r>
      <w:r w:rsidRPr="00F07B7C">
        <w:rPr>
          <w:sz w:val="8"/>
        </w:rPr>
        <w:t>, then it’d still be right to say that he would not in principle object to such borrowing. The more difficult question, then, is to determine whether Keynes would think such spending is wise given where the American economy is at the moment.</w:t>
      </w:r>
    </w:p>
    <w:p w:rsidR="00C12070" w:rsidRPr="00F07B7C" w:rsidRDefault="00C12070" w:rsidP="00C12070"/>
    <w:p w:rsidR="00C12070" w:rsidRPr="00F07B7C" w:rsidRDefault="00C12070" w:rsidP="00C12070"/>
    <w:p w:rsidR="00C12070" w:rsidRPr="00F07B7C" w:rsidRDefault="00C12070" w:rsidP="00C12070"/>
    <w:p w:rsidR="00C12070" w:rsidRPr="00F07B7C" w:rsidRDefault="00C12070" w:rsidP="00C12070">
      <w:pPr>
        <w:pStyle w:val="Heading4"/>
      </w:pPr>
      <w:r w:rsidRPr="00F07B7C">
        <w:t>Consumer spending and bizcon have surged – that’s key to consumer spending, investment and hiring – solves any stimulus good args</w:t>
      </w:r>
    </w:p>
    <w:p w:rsidR="00C12070" w:rsidRPr="00F07B7C" w:rsidRDefault="00C12070" w:rsidP="00C12070">
      <w:r w:rsidRPr="00F07B7C">
        <w:rPr>
          <w:rStyle w:val="Style13ptBold"/>
        </w:rPr>
        <w:t>Reuters, 3-28</w:t>
      </w:r>
      <w:r w:rsidRPr="00F07B7C">
        <w:t xml:space="preserve">-2017, "Consumer confidence hits 16-year high in boost to economy," Reuters, </w:t>
      </w:r>
      <w:hyperlink r:id="rId24" w:history="1">
        <w:r w:rsidRPr="00F07B7C">
          <w:rPr>
            <w:rStyle w:val="Hyperlink"/>
          </w:rPr>
          <w:t>http://www.reuters.com/article/us-usa-economy-idUSKBN16Z1MX//)MBA</w:t>
        </w:r>
      </w:hyperlink>
      <w:r w:rsidRPr="00F07B7C">
        <w:t xml:space="preserve"> HBJ</w:t>
      </w:r>
    </w:p>
    <w:p w:rsidR="00C12070" w:rsidRPr="00F07B7C" w:rsidRDefault="00C12070" w:rsidP="00C12070">
      <w:pPr>
        <w:rPr>
          <w:rStyle w:val="StyleUnderline"/>
        </w:rPr>
      </w:pPr>
      <w:r w:rsidRPr="00B51293">
        <w:rPr>
          <w:rStyle w:val="Emphasis"/>
          <w:highlight w:val="yellow"/>
        </w:rPr>
        <w:t>U.S. consumer confidence surged to a more than 16-year high in March amid growing labor market optimism while the goods trade deficit narrowed sharply</w:t>
      </w:r>
      <w:r w:rsidRPr="00F07B7C">
        <w:rPr>
          <w:rStyle w:val="Emphasis"/>
        </w:rPr>
        <w:t xml:space="preserve"> i</w:t>
      </w:r>
      <w:r w:rsidRPr="00F07B7C">
        <w:rPr>
          <w:sz w:val="8"/>
        </w:rPr>
        <w:t xml:space="preserve">n February, indicating </w:t>
      </w:r>
      <w:r w:rsidRPr="00F07B7C">
        <w:rPr>
          <w:rStyle w:val="StyleUnderline"/>
        </w:rPr>
        <w:t xml:space="preserve">the economy was regaining momentum after faltering at the start of the year. </w:t>
      </w:r>
      <w:r w:rsidRPr="00F07B7C">
        <w:rPr>
          <w:sz w:val="8"/>
        </w:rPr>
        <w:t xml:space="preserve">The economy's strengthening fundamentals were underscored by other data on Tuesday showing further increases in house prices in January. </w:t>
      </w:r>
      <w:r w:rsidRPr="00F07B7C">
        <w:rPr>
          <w:rStyle w:val="StyleUnderline"/>
        </w:rPr>
        <w:t xml:space="preserve">Robust consumer confidence and rising household wealth </w:t>
      </w:r>
      <w:r w:rsidRPr="00F07B7C">
        <w:rPr>
          <w:sz w:val="8"/>
        </w:rPr>
        <w:t>from the home price gains</w:t>
      </w:r>
      <w:r w:rsidRPr="00F07B7C">
        <w:rPr>
          <w:rStyle w:val="StyleUnderline"/>
        </w:rPr>
        <w:t xml:space="preserve"> suggest a </w:t>
      </w:r>
      <w:r w:rsidRPr="00B51293">
        <w:rPr>
          <w:rStyle w:val="Emphasis"/>
          <w:highlight w:val="yellow"/>
        </w:rPr>
        <w:t>recent slowdown in consumer spending</w:t>
      </w:r>
      <w:r w:rsidRPr="00F07B7C">
        <w:rPr>
          <w:rStyle w:val="StyleUnderline"/>
        </w:rPr>
        <w:t xml:space="preserve">, </w:t>
      </w:r>
      <w:r w:rsidRPr="00F07B7C">
        <w:rPr>
          <w:sz w:val="8"/>
        </w:rPr>
        <w:t>which has hurt growth</w:t>
      </w:r>
      <w:r w:rsidRPr="00F07B7C">
        <w:rPr>
          <w:rStyle w:val="Emphasis"/>
        </w:rPr>
        <w:t xml:space="preserve">, </w:t>
      </w:r>
      <w:r w:rsidRPr="00B51293">
        <w:rPr>
          <w:rStyle w:val="Emphasis"/>
          <w:highlight w:val="yellow"/>
        </w:rPr>
        <w:t>is</w:t>
      </w:r>
      <w:r w:rsidRPr="00F07B7C">
        <w:rPr>
          <w:rStyle w:val="Emphasis"/>
        </w:rPr>
        <w:t xml:space="preserve"> likely </w:t>
      </w:r>
      <w:r w:rsidRPr="00B51293">
        <w:rPr>
          <w:rStyle w:val="Emphasis"/>
          <w:highlight w:val="yellow"/>
        </w:rPr>
        <w:t xml:space="preserve">temporary. </w:t>
      </w:r>
      <w:r w:rsidRPr="00B51293">
        <w:rPr>
          <w:rStyle w:val="StyleUnderline"/>
          <w:highlight w:val="yellow"/>
        </w:rPr>
        <w:t>"</w:t>
      </w:r>
      <w:r w:rsidRPr="00F07B7C">
        <w:rPr>
          <w:rStyle w:val="StyleUnderline"/>
        </w:rPr>
        <w:t xml:space="preserve">We think that real consumption will firm moving forward," </w:t>
      </w:r>
      <w:r w:rsidRPr="00F07B7C">
        <w:rPr>
          <w:sz w:val="8"/>
        </w:rPr>
        <w:t xml:space="preserve">said Daniel Silver, an economist at JP Morgan in New York. "It looks likely that the recent spending data were held down by some temporary factors related to unusually mild weather and a delay in tax refund issuance." The Conference Board said its consumer confidence index jumped 9.5 points to 125.6 this month, the highest reading since December 2000. Consumers' assessment of both current business and labor market conditions improved sharply in March. They also anticipated an increase in their incomes. The survey's so-called labor market differential, derived from data about respondents who think jobs are hard to get and those who think jobs are plentiful, was the strongest since 2001. </w:t>
      </w:r>
      <w:r w:rsidRPr="00F07B7C">
        <w:rPr>
          <w:rStyle w:val="StyleUnderline"/>
        </w:rPr>
        <w:t>This measure closely correlates to the unemployment rate in the Labor Department's employment report. It is consistent with continued reduction in slack in the labor market</w:t>
      </w:r>
      <w:r w:rsidRPr="00F07B7C">
        <w:rPr>
          <w:sz w:val="8"/>
        </w:rPr>
        <w:t xml:space="preserve">, which is near full employment. The dollar rose against a basket of currencies, while prices for U.S. government bonds fell slightly. Stocks on Wall Street were trading higher, with Dow Jones industrial average .DJI on track to snap an eight-day losing streak. </w:t>
      </w:r>
      <w:r w:rsidRPr="00F07B7C">
        <w:rPr>
          <w:rStyle w:val="StyleUnderline"/>
        </w:rPr>
        <w:t>Both consumer and business confidence have surged in the wake of</w:t>
      </w:r>
      <w:r w:rsidRPr="00F07B7C">
        <w:rPr>
          <w:sz w:val="8"/>
        </w:rPr>
        <w:t xml:space="preserve"> Donald </w:t>
      </w:r>
      <w:r w:rsidRPr="00F07B7C">
        <w:rPr>
          <w:rStyle w:val="StyleUnderline"/>
        </w:rPr>
        <w:t>Trump's victory</w:t>
      </w:r>
      <w:r w:rsidRPr="00F07B7C">
        <w:rPr>
          <w:sz w:val="8"/>
        </w:rPr>
        <w:t xml:space="preserve"> in last November's presidential election. The </w:t>
      </w:r>
      <w:r w:rsidRPr="00F07B7C">
        <w:rPr>
          <w:rStyle w:val="StyleUnderline"/>
        </w:rPr>
        <w:t>Trump</w:t>
      </w:r>
      <w:r w:rsidRPr="00F07B7C">
        <w:rPr>
          <w:sz w:val="8"/>
        </w:rPr>
        <w:t xml:space="preserve"> administration has </w:t>
      </w:r>
      <w:r w:rsidRPr="00F07B7C">
        <w:rPr>
          <w:rStyle w:val="StyleUnderline"/>
        </w:rPr>
        <w:t>pledged to pursue business friendly policies, including tax cuts and deregulation.</w:t>
      </w:r>
    </w:p>
    <w:p w:rsidR="00C12070" w:rsidRPr="00F07B7C" w:rsidRDefault="00C12070" w:rsidP="00C12070"/>
    <w:p w:rsidR="00C12070" w:rsidRPr="00F07B7C" w:rsidRDefault="00C12070" w:rsidP="00C12070">
      <w:pPr>
        <w:pStyle w:val="Heading4"/>
        <w:rPr>
          <w:rStyle w:val="Style13ptBold"/>
        </w:rPr>
      </w:pPr>
      <w:r w:rsidRPr="00F07B7C">
        <w:t>Stimulus fails</w:t>
      </w:r>
    </w:p>
    <w:p w:rsidR="00C12070" w:rsidRPr="00F07B7C" w:rsidRDefault="00C12070" w:rsidP="00C12070">
      <w:pPr>
        <w:rPr>
          <w:sz w:val="12"/>
        </w:rPr>
      </w:pPr>
      <w:r w:rsidRPr="00F07B7C">
        <w:rPr>
          <w:b/>
        </w:rPr>
        <w:t>Reidl 10</w:t>
      </w:r>
      <w:r w:rsidRPr="00F07B7C">
        <w:rPr>
          <w:sz w:val="12"/>
        </w:rPr>
        <w:t xml:space="preserve">—lead budget analyst for the Heritage Foundation, bachelor's degree in economics and political science from the University of Wisconsin,  master's degree in public affairs from Princeton University; quoting John Cochrane, Professor of Finance at the University of Chicago (Brian, 1/8/10, “Why Government Spending Does Not Stimulate Economic Growth: Answering the Critics,” </w:t>
      </w:r>
      <w:hyperlink r:id="rId25" w:history="1">
        <w:r w:rsidRPr="00F07B7C">
          <w:rPr>
            <w:rStyle w:val="Hyperlink"/>
            <w:sz w:val="12"/>
          </w:rPr>
          <w:t>http://online.wsj.com/article/SB10001424052748703481004574646551469288292.html?mod=WSJ_latestheadlines</w:t>
        </w:r>
      </w:hyperlink>
      <w:r w:rsidRPr="00F07B7C">
        <w:rPr>
          <w:sz w:val="12"/>
        </w:rPr>
        <w:t>, RBatra)</w:t>
      </w:r>
    </w:p>
    <w:p w:rsidR="00C12070" w:rsidRPr="00F07B7C" w:rsidRDefault="00C12070" w:rsidP="00C12070">
      <w:pPr>
        <w:rPr>
          <w:sz w:val="12"/>
        </w:rPr>
      </w:pPr>
    </w:p>
    <w:p w:rsidR="00C12070" w:rsidRPr="00F07B7C" w:rsidRDefault="00C12070" w:rsidP="00C12070">
      <w:pPr>
        <w:rPr>
          <w:sz w:val="12"/>
        </w:rPr>
      </w:pPr>
      <w:r w:rsidRPr="00F07B7C">
        <w:rPr>
          <w:sz w:val="12"/>
        </w:rPr>
        <w:t>Why Government Spending Does Not End Recessions</w:t>
      </w:r>
    </w:p>
    <w:p w:rsidR="00C12070" w:rsidRPr="00F07B7C" w:rsidRDefault="00C12070" w:rsidP="00C12070">
      <w:pPr>
        <w:rPr>
          <w:sz w:val="12"/>
        </w:rPr>
      </w:pPr>
      <w:r w:rsidRPr="00F07B7C">
        <w:rPr>
          <w:sz w:val="12"/>
        </w:rPr>
        <w:t>Moving forward, the important question is why government spending fails to end recessions. Spending-</w:t>
      </w:r>
      <w:r w:rsidRPr="00F07B7C">
        <w:rPr>
          <w:u w:val="single"/>
        </w:rPr>
        <w:t>stimulus advocates claim that Congress can "inject" new money into the economy</w:t>
      </w:r>
      <w:r w:rsidRPr="00F07B7C">
        <w:rPr>
          <w:sz w:val="12"/>
        </w:rPr>
        <w:t xml:space="preserve">, increasing demand and therefore production. This raises the obvious question: From where does the government acquire the money it pumps into the economy? </w:t>
      </w:r>
      <w:r w:rsidRPr="00B51293">
        <w:rPr>
          <w:highlight w:val="yellow"/>
          <w:u w:val="single"/>
        </w:rPr>
        <w:t>Congress does not have a vault of money waiting to be distributed</w:t>
      </w:r>
      <w:r w:rsidRPr="00F07B7C">
        <w:rPr>
          <w:u w:val="single"/>
        </w:rPr>
        <w:t xml:space="preserve">. Every dollar Congress injects into the economy must first be taxed or borrowed out of the economy. </w:t>
      </w:r>
      <w:r w:rsidRPr="00B51293">
        <w:rPr>
          <w:b/>
          <w:highlight w:val="yellow"/>
          <w:u w:val="single"/>
        </w:rPr>
        <w:t>No new spending power is created. It is merely redistributed</w:t>
      </w:r>
      <w:r w:rsidRPr="00F07B7C">
        <w:rPr>
          <w:b/>
          <w:u w:val="single"/>
        </w:rPr>
        <w:t xml:space="preserve"> </w:t>
      </w:r>
      <w:r w:rsidRPr="00F07B7C">
        <w:rPr>
          <w:u w:val="single"/>
        </w:rPr>
        <w:t>from one group of people to another</w:t>
      </w:r>
      <w:r w:rsidRPr="00F07B7C">
        <w:rPr>
          <w:sz w:val="12"/>
        </w:rPr>
        <w:t>.[7]</w:t>
      </w:r>
    </w:p>
    <w:p w:rsidR="00C12070" w:rsidRPr="00F07B7C" w:rsidRDefault="00C12070" w:rsidP="00C12070">
      <w:pPr>
        <w:rPr>
          <w:sz w:val="12"/>
        </w:rPr>
      </w:pPr>
      <w:r w:rsidRPr="00F07B7C">
        <w:rPr>
          <w:sz w:val="12"/>
        </w:rPr>
        <w:t xml:space="preserve">Congress cannot create new purchasing power out of thin air. If it funds new spending with taxes, it is simply redistributing existing purchasing power (while decreasing incentives to produce income and output). If Congress instead borrows the money from domestic investors, those investors will have that much less to invest or to spend in the private economy. </w:t>
      </w:r>
      <w:r w:rsidRPr="00F07B7C">
        <w:rPr>
          <w:u w:val="single"/>
        </w:rPr>
        <w:t>If they borrow the money from foreigners, the balance of payments will adjust by equally raising net imports, leaving total demand and output unchanged. Every dollar Congress spends must first come from somewhere else.</w:t>
      </w:r>
    </w:p>
    <w:p w:rsidR="00C12070" w:rsidRPr="00F07B7C" w:rsidRDefault="00C12070" w:rsidP="00C12070">
      <w:pPr>
        <w:rPr>
          <w:sz w:val="12"/>
        </w:rPr>
      </w:pPr>
      <w:r w:rsidRPr="00F07B7C">
        <w:rPr>
          <w:sz w:val="12"/>
        </w:rPr>
        <w:t>For example, many lawmakers claim that every $1 billion in highway stimulus can create 47,576 new construction jobs. But Congress must first borrow that $1 billion from the private economy, which will then lose at least as many jobs.[8] Highway spending simply transfers jobs and income from one part of the economy to another. As Heritage Foundation economist Ronald Utt has explained, "</w:t>
      </w:r>
      <w:r w:rsidRPr="00B51293">
        <w:rPr>
          <w:highlight w:val="yellow"/>
          <w:u w:val="single"/>
        </w:rPr>
        <w:t>The only way that $1 billion of new highway spending can create 47,576 new jobs is if the $1 billion appears out of nowhere</w:t>
      </w:r>
      <w:r w:rsidRPr="00F07B7C">
        <w:rPr>
          <w:u w:val="single"/>
        </w:rPr>
        <w:t xml:space="preserve"> as if it were manna from heaven</w:t>
      </w:r>
      <w:r w:rsidRPr="00F07B7C">
        <w:rPr>
          <w:sz w:val="12"/>
        </w:rPr>
        <w:t xml:space="preserve">."[9] </w:t>
      </w:r>
      <w:r w:rsidRPr="00F07B7C">
        <w:rPr>
          <w:u w:val="single"/>
        </w:rPr>
        <w:t>This</w:t>
      </w:r>
      <w:r w:rsidRPr="00F07B7C">
        <w:rPr>
          <w:sz w:val="12"/>
        </w:rPr>
        <w:t xml:space="preserve"> statement </w:t>
      </w:r>
      <w:r w:rsidRPr="00F07B7C">
        <w:rPr>
          <w:u w:val="single"/>
        </w:rPr>
        <w:t xml:space="preserve">has been </w:t>
      </w:r>
      <w:r w:rsidRPr="00B51293">
        <w:rPr>
          <w:highlight w:val="yellow"/>
          <w:u w:val="single"/>
        </w:rPr>
        <w:t>confirmed by the Department of Transportation</w:t>
      </w:r>
      <w:r w:rsidRPr="00F07B7C">
        <w:rPr>
          <w:sz w:val="12"/>
        </w:rPr>
        <w:t xml:space="preserve">[10] </w:t>
      </w:r>
      <w:r w:rsidRPr="00F07B7C">
        <w:rPr>
          <w:u w:val="single"/>
        </w:rPr>
        <w:t>and the</w:t>
      </w:r>
      <w:r w:rsidRPr="00F07B7C">
        <w:rPr>
          <w:sz w:val="12"/>
        </w:rPr>
        <w:t xml:space="preserve"> General Accounting Office (since renamed the </w:t>
      </w:r>
      <w:r w:rsidRPr="00F07B7C">
        <w:rPr>
          <w:u w:val="single"/>
        </w:rPr>
        <w:t>Government Accountability Office</w:t>
      </w:r>
      <w:r w:rsidRPr="00F07B7C">
        <w:rPr>
          <w:sz w:val="12"/>
        </w:rPr>
        <w:t>),[11] yet lawmakers continue to base policy on this economic fallacy.</w:t>
      </w:r>
    </w:p>
    <w:p w:rsidR="00C12070" w:rsidRPr="00F07B7C" w:rsidRDefault="00C12070" w:rsidP="00C12070">
      <w:pPr>
        <w:rPr>
          <w:u w:val="single"/>
        </w:rPr>
      </w:pPr>
      <w:r w:rsidRPr="00F07B7C">
        <w:rPr>
          <w:sz w:val="12"/>
        </w:rPr>
        <w:t xml:space="preserve">Removing water from one end of a swimming pool and pouring it in the other end will not raise the overall water level. Similarly, </w:t>
      </w:r>
      <w:r w:rsidRPr="00B51293">
        <w:rPr>
          <w:highlight w:val="yellow"/>
          <w:u w:val="single"/>
        </w:rPr>
        <w:t>taking dollars from one part of the economy and distributing it to another part of the economy will not expand the economy.</w:t>
      </w:r>
    </w:p>
    <w:p w:rsidR="00C12070" w:rsidRPr="00F07B7C" w:rsidRDefault="00C12070" w:rsidP="00C12070">
      <w:pPr>
        <w:rPr>
          <w:u w:val="single"/>
        </w:rPr>
      </w:pPr>
      <w:r w:rsidRPr="00F07B7C">
        <w:rPr>
          <w:u w:val="single"/>
        </w:rPr>
        <w:t>University of Chicago economist</w:t>
      </w:r>
      <w:r w:rsidRPr="00F07B7C">
        <w:rPr>
          <w:sz w:val="12"/>
        </w:rPr>
        <w:t xml:space="preserve"> John </w:t>
      </w:r>
      <w:r w:rsidRPr="00F07B7C">
        <w:rPr>
          <w:u w:val="single"/>
        </w:rPr>
        <w:t>Cochrane adds that:</w:t>
      </w:r>
    </w:p>
    <w:p w:rsidR="00C12070" w:rsidRPr="00F07B7C" w:rsidRDefault="00C12070" w:rsidP="00C12070">
      <w:pPr>
        <w:rPr>
          <w:rFonts w:cs="Georgia"/>
          <w:u w:val="single"/>
        </w:rPr>
      </w:pPr>
      <w:r w:rsidRPr="00F07B7C">
        <w:rPr>
          <w:rFonts w:cs="Georgia"/>
          <w:sz w:val="12"/>
          <w:szCs w:val="14"/>
        </w:rPr>
        <w:t xml:space="preserve">Most </w:t>
      </w:r>
      <w:r w:rsidRPr="00F07B7C">
        <w:rPr>
          <w:rFonts w:cs="Georgia"/>
          <w:u w:val="single"/>
        </w:rPr>
        <w:t>fiscal stimulus arguments</w:t>
      </w:r>
      <w:r w:rsidRPr="00F07B7C">
        <w:rPr>
          <w:rFonts w:cs="Georgia"/>
          <w:sz w:val="12"/>
          <w:szCs w:val="14"/>
        </w:rPr>
        <w:t xml:space="preserve"> are based on fallacies, because they </w:t>
      </w:r>
      <w:r w:rsidRPr="00F07B7C">
        <w:rPr>
          <w:rFonts w:cs="Georgia"/>
          <w:u w:val="single"/>
        </w:rPr>
        <w:t>ignore three basic</w:t>
      </w:r>
      <w:r w:rsidRPr="00F07B7C">
        <w:rPr>
          <w:rFonts w:cs="Georgia"/>
          <w:sz w:val="12"/>
          <w:szCs w:val="14"/>
        </w:rPr>
        <w:t xml:space="preserve"> </w:t>
      </w:r>
      <w:r w:rsidRPr="00F07B7C">
        <w:rPr>
          <w:rFonts w:cs="Georgia"/>
          <w:u w:val="single"/>
        </w:rPr>
        <w:t>facts</w:t>
      </w:r>
      <w:r w:rsidRPr="00F07B7C">
        <w:rPr>
          <w:rFonts w:cs="Georgia"/>
          <w:sz w:val="12"/>
          <w:szCs w:val="14"/>
        </w:rPr>
        <w:t xml:space="preserve">. First, </w:t>
      </w:r>
      <w:r w:rsidRPr="00F07B7C">
        <w:rPr>
          <w:rFonts w:cs="Georgia"/>
          <w:u w:val="single"/>
        </w:rPr>
        <w:t>if money is not going to be printed, it has to come from somewhere</w:t>
      </w:r>
      <w:r w:rsidRPr="00F07B7C">
        <w:rPr>
          <w:rFonts w:cs="Georgia"/>
          <w:sz w:val="12"/>
          <w:szCs w:val="14"/>
        </w:rPr>
        <w:t xml:space="preserve">. </w:t>
      </w:r>
      <w:r w:rsidRPr="00F07B7C">
        <w:rPr>
          <w:rFonts w:cs="Georgia"/>
          <w:u w:val="single"/>
        </w:rPr>
        <w:t>If the government borrows a dollar from you, that is a dollar that you do not spend, or that you do not lend to a company</w:t>
      </w:r>
      <w:r w:rsidRPr="00F07B7C">
        <w:rPr>
          <w:rFonts w:cs="Georgia"/>
          <w:sz w:val="12"/>
          <w:szCs w:val="14"/>
        </w:rPr>
        <w:t xml:space="preserve"> to spend on new investment. </w:t>
      </w:r>
      <w:r w:rsidRPr="00F07B7C">
        <w:rPr>
          <w:rFonts w:cs="Georgia"/>
          <w:u w:val="single"/>
        </w:rPr>
        <w:t>Every dollar of increased</w:t>
      </w:r>
      <w:r w:rsidRPr="00F07B7C">
        <w:rPr>
          <w:rFonts w:cs="Georgia"/>
          <w:sz w:val="12"/>
          <w:szCs w:val="14"/>
        </w:rPr>
        <w:t xml:space="preserve"> </w:t>
      </w:r>
      <w:r w:rsidRPr="00F07B7C">
        <w:rPr>
          <w:rFonts w:cs="Georgia"/>
          <w:u w:val="single"/>
        </w:rPr>
        <w:t xml:space="preserve">government spending must correspond to one less dollar of private spending. </w:t>
      </w:r>
      <w:r w:rsidRPr="00B51293">
        <w:rPr>
          <w:rFonts w:cs="Georgia"/>
          <w:highlight w:val="yellow"/>
          <w:u w:val="single"/>
        </w:rPr>
        <w:t xml:space="preserve">Jobs created by stimulus spending </w:t>
      </w:r>
      <w:r w:rsidRPr="00B51293">
        <w:rPr>
          <w:rFonts w:cs="Georgia"/>
          <w:b/>
          <w:highlight w:val="yellow"/>
          <w:u w:val="single"/>
        </w:rPr>
        <w:t>are offset by jobs lost from the decline in private spending</w:t>
      </w:r>
      <w:r w:rsidRPr="00F07B7C">
        <w:rPr>
          <w:rFonts w:cs="Georgia"/>
          <w:u w:val="single"/>
        </w:rPr>
        <w:t>. We can build roads instead of factories, but fiscal stimulus can’t help us to build more of both</w:t>
      </w:r>
      <w:r w:rsidRPr="00F07B7C">
        <w:rPr>
          <w:rFonts w:cs="Georgia"/>
          <w:sz w:val="12"/>
          <w:szCs w:val="14"/>
        </w:rPr>
        <w:t xml:space="preserve">1 . </w:t>
      </w:r>
      <w:r w:rsidRPr="00F07B7C">
        <w:rPr>
          <w:rFonts w:cs="Georgia"/>
          <w:u w:val="single"/>
        </w:rPr>
        <w:t xml:space="preserve">This </w:t>
      </w:r>
      <w:r w:rsidRPr="00F07B7C">
        <w:rPr>
          <w:rFonts w:cs="Georgia"/>
          <w:sz w:val="12"/>
          <w:szCs w:val="14"/>
        </w:rPr>
        <w:t>form of “</w:t>
      </w:r>
      <w:r w:rsidRPr="00F07B7C">
        <w:rPr>
          <w:rFonts w:cs="Georgia"/>
          <w:u w:val="single"/>
        </w:rPr>
        <w:t>crowding out</w:t>
      </w:r>
      <w:r w:rsidRPr="00F07B7C">
        <w:rPr>
          <w:rFonts w:cs="Georgia"/>
          <w:sz w:val="12"/>
          <w:szCs w:val="14"/>
        </w:rPr>
        <w:t xml:space="preserve">” is just accounting, and </w:t>
      </w:r>
      <w:r w:rsidRPr="00F07B7C">
        <w:rPr>
          <w:rFonts w:cs="Georgia"/>
          <w:u w:val="single"/>
        </w:rPr>
        <w:t>doesn't rest on any</w:t>
      </w:r>
      <w:r w:rsidRPr="00F07B7C">
        <w:rPr>
          <w:rFonts w:cs="Georgia"/>
          <w:sz w:val="12"/>
          <w:szCs w:val="14"/>
        </w:rPr>
        <w:t xml:space="preserve"> perceptions or </w:t>
      </w:r>
      <w:r w:rsidRPr="00F07B7C">
        <w:rPr>
          <w:rFonts w:cs="Georgia"/>
          <w:u w:val="single"/>
        </w:rPr>
        <w:t xml:space="preserve">behavioral assumptions. </w:t>
      </w:r>
    </w:p>
    <w:p w:rsidR="00C12070" w:rsidRPr="00F07B7C" w:rsidRDefault="00C12070" w:rsidP="00C12070">
      <w:r w:rsidRPr="00F07B7C">
        <w:rPr>
          <w:rFonts w:cs="Georgia"/>
          <w:u w:val="single"/>
        </w:rPr>
        <w:t>Second, investment is “spending” every bit as much as is consumption</w:t>
      </w:r>
      <w:r w:rsidRPr="00F07B7C">
        <w:rPr>
          <w:rFonts w:cs="Georgia"/>
          <w:sz w:val="12"/>
          <w:szCs w:val="14"/>
        </w:rPr>
        <w:t xml:space="preserve">. Keynesian fiscal </w:t>
      </w:r>
      <w:r w:rsidRPr="00F07B7C">
        <w:rPr>
          <w:rFonts w:cs="Georgia"/>
          <w:u w:val="single"/>
        </w:rPr>
        <w:t>stimulus advocates want money spent on consumption, not saved.</w:t>
      </w:r>
      <w:r w:rsidRPr="00F07B7C">
        <w:rPr>
          <w:rFonts w:cs="Georgia"/>
          <w:sz w:val="12"/>
          <w:szCs w:val="14"/>
        </w:rPr>
        <w:t xml:space="preserve"> They evaluate past stimulus programs by whether people who got stimulus money spent it on consumption goods rather than save it. </w:t>
      </w:r>
      <w:r w:rsidRPr="00F07B7C">
        <w:rPr>
          <w:rFonts w:cs="Georgia"/>
          <w:u w:val="single"/>
        </w:rPr>
        <w:t>But the economy overall does not care if you buy a car, or if you lend money to a company that buys a forklift.</w:t>
      </w:r>
      <w:r w:rsidRPr="00F07B7C">
        <w:rPr>
          <w:rFonts w:cs="Georgia"/>
          <w:sz w:val="12"/>
        </w:rPr>
        <w:t xml:space="preserve"> </w:t>
      </w:r>
    </w:p>
    <w:p w:rsidR="00C12070" w:rsidRPr="00F07B7C" w:rsidRDefault="00C12070" w:rsidP="00C12070">
      <w:pPr>
        <w:rPr>
          <w:sz w:val="12"/>
        </w:rPr>
      </w:pPr>
      <w:r w:rsidRPr="00F07B7C">
        <w:rPr>
          <w:sz w:val="12"/>
        </w:rPr>
        <w:t xml:space="preserve">Government spending can affect long-term economic growth, both up and down. Economic growth is based on the growth of labor productivity and labor supply, which can be affected by how governments directly and indirectly influence the use of an economy's resources. However, </w:t>
      </w:r>
      <w:r w:rsidRPr="00F07B7C">
        <w:rPr>
          <w:u w:val="single"/>
        </w:rPr>
        <w:t>increasing the economy's productivity rate</w:t>
      </w:r>
      <w:r w:rsidRPr="00F07B7C">
        <w:rPr>
          <w:sz w:val="12"/>
        </w:rPr>
        <w:t xml:space="preserve">--which often requires the application of new technology and resources-- </w:t>
      </w:r>
      <w:r w:rsidRPr="00F07B7C">
        <w:rPr>
          <w:u w:val="single"/>
        </w:rPr>
        <w:t>can take many years or even decades</w:t>
      </w:r>
      <w:r w:rsidRPr="00F07B7C">
        <w:rPr>
          <w:sz w:val="12"/>
        </w:rPr>
        <w:t xml:space="preserve"> to materialize. </w:t>
      </w:r>
      <w:r w:rsidRPr="00F07B7C">
        <w:rPr>
          <w:u w:val="single"/>
        </w:rPr>
        <w:t>It is not short-term stimulus</w:t>
      </w:r>
      <w:r w:rsidRPr="00F07B7C">
        <w:rPr>
          <w:sz w:val="12"/>
        </w:rPr>
        <w:t>.[13]</w:t>
      </w:r>
    </w:p>
    <w:p w:rsidR="00C12070" w:rsidRDefault="00C12070" w:rsidP="00C12070">
      <w:pPr>
        <w:rPr>
          <w:sz w:val="12"/>
        </w:rPr>
      </w:pPr>
      <w:r w:rsidRPr="00F07B7C">
        <w:rPr>
          <w:sz w:val="12"/>
        </w:rPr>
        <w:t xml:space="preserve">In fact, </w:t>
      </w:r>
      <w:r w:rsidRPr="00B51293">
        <w:rPr>
          <w:highlight w:val="yellow"/>
          <w:u w:val="single"/>
        </w:rPr>
        <w:t>large stimulus bills</w:t>
      </w:r>
      <w:r w:rsidRPr="00F07B7C">
        <w:rPr>
          <w:sz w:val="12"/>
        </w:rPr>
        <w:t xml:space="preserve"> often </w:t>
      </w:r>
      <w:r w:rsidRPr="00B51293">
        <w:rPr>
          <w:b/>
          <w:highlight w:val="yellow"/>
          <w:u w:val="single"/>
        </w:rPr>
        <w:t>reduce long-term productivity</w:t>
      </w:r>
      <w:r w:rsidRPr="00B51293">
        <w:rPr>
          <w:highlight w:val="yellow"/>
          <w:u w:val="single"/>
        </w:rPr>
        <w:t xml:space="preserve"> by transferring resources</w:t>
      </w:r>
      <w:r w:rsidRPr="00F07B7C">
        <w:rPr>
          <w:u w:val="single"/>
        </w:rPr>
        <w:t xml:space="preserve"> from the more productive private sector to the less productive government</w:t>
      </w:r>
      <w:r w:rsidRPr="00F07B7C">
        <w:rPr>
          <w:sz w:val="12"/>
        </w:rPr>
        <w:t xml:space="preserve">. The government rarely receives good value for the dollars it spends. However, stimulus bills provide politicians with the political justification to grant tax dollars to favored constituencies. </w:t>
      </w:r>
      <w:r w:rsidRPr="00F07B7C">
        <w:rPr>
          <w:u w:val="single"/>
        </w:rPr>
        <w:t>By increasing the budget deficit, large stimulus bills eventually contribute to higher interest rates while dropping even more debt</w:t>
      </w:r>
      <w:r w:rsidRPr="00F07B7C">
        <w:rPr>
          <w:sz w:val="12"/>
        </w:rPr>
        <w:t xml:space="preserve"> on future generations.</w:t>
      </w:r>
    </w:p>
    <w:p w:rsidR="00C12070" w:rsidRDefault="00C12070" w:rsidP="00C12070">
      <w:pPr>
        <w:rPr>
          <w:sz w:val="12"/>
        </w:rPr>
      </w:pPr>
    </w:p>
    <w:p w:rsidR="00C12070" w:rsidRDefault="00C12070" w:rsidP="00C12070">
      <w:pPr>
        <w:pStyle w:val="Heading3"/>
      </w:pPr>
      <w:r>
        <w:t>1nc no downgrading</w:t>
      </w:r>
    </w:p>
    <w:p w:rsidR="00C12070" w:rsidRDefault="00C12070" w:rsidP="00C12070"/>
    <w:p w:rsidR="00C12070" w:rsidRPr="008558CC" w:rsidRDefault="00C12070" w:rsidP="00C12070">
      <w:pPr>
        <w:pStyle w:val="Heading4"/>
      </w:pPr>
      <w:r w:rsidRPr="008558CC">
        <w:t>Downgrades are unlikely – they haven’t been common since the Great Recession – our evidence is more recent</w:t>
      </w:r>
    </w:p>
    <w:p w:rsidR="00C12070" w:rsidRPr="008558CC" w:rsidRDefault="00C12070" w:rsidP="00C12070">
      <w:pPr>
        <w:rPr>
          <w:rStyle w:val="Style13ptBold"/>
          <w:b w:val="0"/>
        </w:rPr>
      </w:pPr>
      <w:r w:rsidRPr="008558CC">
        <w:rPr>
          <w:rStyle w:val="Style13ptBold"/>
        </w:rPr>
        <w:t xml:space="preserve">Pew Charitable Trusts 17 </w:t>
      </w:r>
      <w:r w:rsidRPr="008558CC">
        <w:rPr>
          <w:rStyle w:val="Style13ptBold"/>
          <w:b w:val="0"/>
        </w:rPr>
        <w:t xml:space="preserve">The Pew Charitable Trust is a non-profit, nonpartisan organization that releases evidence-based analysis. (“Rainy Day Funds and State Credit Ratings,” May 2017, </w:t>
      </w:r>
      <w:hyperlink r:id="rId26" w:history="1">
        <w:r w:rsidRPr="008558CC">
          <w:rPr>
            <w:rStyle w:val="Hyperlink"/>
          </w:rPr>
          <w:t>http://www.pewtrusts.org/~/media/assets/2017/05/statesfiscalhealth_creditratingsreport.pdf)</w:t>
        </w:r>
      </w:hyperlink>
      <w:r w:rsidRPr="008558CC">
        <w:rPr>
          <w:rStyle w:val="Style13ptBold"/>
          <w:b w:val="0"/>
        </w:rPr>
        <w:t xml:space="preserve"> // SR</w:t>
      </w:r>
    </w:p>
    <w:p w:rsidR="00C12070" w:rsidRPr="008558CC" w:rsidRDefault="00C12070" w:rsidP="00C12070">
      <w:pPr>
        <w:rPr>
          <w:rFonts w:eastAsia="Times New Roman"/>
        </w:rPr>
      </w:pPr>
      <w:r w:rsidRPr="008558CC">
        <w:rPr>
          <w:rFonts w:eastAsia="Times New Roman"/>
        </w:rPr>
        <w:t xml:space="preserve">Maryland’s conservative attitude, which is similar to the philosophy of other top-rated triple-A states, suggests that </w:t>
      </w:r>
      <w:r w:rsidRPr="008558CC">
        <w:rPr>
          <w:rStyle w:val="StyleUnderline"/>
        </w:rPr>
        <w:t>many state officials do not have a clear understanding of when and how they can spend their reserves. According to the credit rating agency specialists that Pew interviewed, withdrawals from reserves are unlikely to result in a downgrade as long as they are made in response to broader economic and fiscal conditions, such as an economic downturn that shrinks revenue</w:t>
      </w:r>
      <w:r w:rsidRPr="008558CC">
        <w:rPr>
          <w:rFonts w:eastAsia="Times New Roman"/>
        </w:rPr>
        <w:t xml:space="preserve">. In those circumstances, rainy day fund withdrawals can be part of a suite of approaches to cover budget gaps that also include spending cuts, tax increases, or both. In fact, the specialists said, relying only on spending cuts and tax increases to balance budgets, without some contribution from rainy day funds, can impede a state’s growth. </w:t>
      </w:r>
    </w:p>
    <w:p w:rsidR="00C12070" w:rsidRPr="008558CC" w:rsidRDefault="00C12070" w:rsidP="00C12070">
      <w:pPr>
        <w:rPr>
          <w:rFonts w:eastAsia="Times New Roman"/>
        </w:rPr>
      </w:pPr>
      <w:r w:rsidRPr="008558CC">
        <w:rPr>
          <w:rFonts w:eastAsia="Times New Roman"/>
        </w:rPr>
        <w:t xml:space="preserve">Figure A.2 Moody’s Ratings Upgraded States More Frequently Than the Other Rating Agencies From 1994 Through 2014 </w:t>
      </w:r>
      <w:r w:rsidRPr="008558CC">
        <w:rPr>
          <w:rStyle w:val="StyleUnderline"/>
        </w:rPr>
        <w:t>Downgrades were more common following the 2001-02 recession but were not more likely after the Great Recession</w:t>
      </w:r>
    </w:p>
    <w:p w:rsidR="00C12070" w:rsidRPr="008558CC" w:rsidRDefault="00C12070" w:rsidP="00C12070">
      <w:pPr>
        <w:rPr>
          <w:rFonts w:eastAsia="Times New Roman"/>
        </w:rPr>
      </w:pPr>
    </w:p>
    <w:p w:rsidR="00C12070" w:rsidRDefault="00C12070" w:rsidP="00C12070">
      <w:pPr>
        <w:pStyle w:val="Heading4"/>
      </w:pPr>
      <w:r>
        <w:t>Credit ratings of states are increasing – Minnesota proves</w:t>
      </w:r>
    </w:p>
    <w:p w:rsidR="00C12070" w:rsidRPr="0016410C" w:rsidRDefault="00C12070" w:rsidP="00C12070">
      <w:pPr>
        <w:rPr>
          <w:rStyle w:val="Style13ptBold"/>
          <w:b w:val="0"/>
        </w:rPr>
      </w:pPr>
      <w:r>
        <w:rPr>
          <w:rStyle w:val="Style13ptBold"/>
        </w:rPr>
        <w:t xml:space="preserve">Helgeson 16 </w:t>
      </w:r>
      <w:r>
        <w:rPr>
          <w:rStyle w:val="Style13ptBold"/>
          <w:b w:val="0"/>
        </w:rPr>
        <w:t xml:space="preserve">(Star Tribune, ProQuest, “Fitch lifts Minnesota to top credit rating:Rating reflects state budget reserves, financial health,” Baird Hegelson, July 2016, </w:t>
      </w:r>
      <w:hyperlink r:id="rId27" w:history="1">
        <w:r w:rsidRPr="007D4178">
          <w:rPr>
            <w:rStyle w:val="Hyperlink"/>
          </w:rPr>
          <w:t>https://search-proquest-com.ezp3.lib.umn.edu/docview/1807643485?OpenUrlRefId=info:xri/sid:primo&amp;accountid=14586)</w:t>
        </w:r>
      </w:hyperlink>
      <w:r>
        <w:rPr>
          <w:rStyle w:val="Style13ptBold"/>
          <w:b w:val="0"/>
        </w:rPr>
        <w:t xml:space="preserve"> // SR</w:t>
      </w:r>
    </w:p>
    <w:p w:rsidR="00C12070" w:rsidRDefault="00C12070" w:rsidP="00C12070">
      <w:pPr>
        <w:rPr>
          <w:rFonts w:eastAsia="Times New Roman"/>
        </w:rPr>
      </w:pPr>
      <w:r w:rsidRPr="0016410C">
        <w:rPr>
          <w:rStyle w:val="StyleUnderline"/>
        </w:rPr>
        <w:t>A top financial agency is upgrading Minnesota's credit rating to its highest level, lowering the cost of state borrowing and signaling strong approval of the state's financial management in recent year</w:t>
      </w:r>
      <w:r>
        <w:rPr>
          <w:rFonts w:eastAsia="Times New Roman"/>
        </w:rPr>
        <w:t xml:space="preserve">s. </w:t>
      </w:r>
      <w:r w:rsidRPr="00ED4D1B">
        <w:rPr>
          <w:rFonts w:eastAsia="Times New Roman"/>
        </w:rPr>
        <w:t>Fitch Ratings' upgrade to AAA "is a testament to the hardworking Minnesotans and businesses across our state who have led our economic recovery, and to the work our state has done over the past six years to right the fisca</w:t>
      </w:r>
      <w:r>
        <w:rPr>
          <w:rFonts w:eastAsia="Times New Roman"/>
        </w:rPr>
        <w:t xml:space="preserve">l ship," Gov. Mark Dayton said. </w:t>
      </w:r>
      <w:r w:rsidRPr="00ED4D1B">
        <w:rPr>
          <w:rFonts w:eastAsia="Times New Roman"/>
        </w:rPr>
        <w:t>Fitch Ratings had downgraded Minnesota's rating one notch below its top rating, to AA+, in 2011, after the state drained budget reserves and borrowed billions of dollars from public schools as the state</w:t>
      </w:r>
      <w:r>
        <w:rPr>
          <w:rFonts w:eastAsia="Times New Roman"/>
        </w:rPr>
        <w:t xml:space="preserve"> emerged from a deep recession. </w:t>
      </w:r>
      <w:r w:rsidRPr="00ED4D1B">
        <w:rPr>
          <w:rFonts w:eastAsia="Times New Roman"/>
        </w:rPr>
        <w:t>The next year</w:t>
      </w:r>
      <w:r w:rsidRPr="0016410C">
        <w:rPr>
          <w:rStyle w:val="StyleUnderline"/>
        </w:rPr>
        <w:t>, Dayton won passage of a measure to increase income taxes on high earners, which helped refill the state reserve fund as the economy rebounded</w:t>
      </w:r>
      <w:r w:rsidRPr="00ED4D1B">
        <w:rPr>
          <w:rFonts w:eastAsia="Times New Roman"/>
        </w:rPr>
        <w:t xml:space="preserve">. The state's rainy-day fund is now approaching $2 billion, its </w:t>
      </w:r>
      <w:r>
        <w:rPr>
          <w:rFonts w:eastAsia="Times New Roman"/>
        </w:rPr>
        <w:t xml:space="preserve">highest level in state history. </w:t>
      </w:r>
      <w:r w:rsidRPr="00ED4D1B">
        <w:rPr>
          <w:rFonts w:eastAsia="Times New Roman"/>
        </w:rPr>
        <w:t>"This upgrade from Fitch is a reflection of our work to create a budget that is structurally sound," said Management and Budget Commissioner Myron Frans. "A budget that balances revenues and spending ensures our reserves continue to build, and allows us to continue making smart inve</w:t>
      </w:r>
      <w:r>
        <w:rPr>
          <w:rFonts w:eastAsia="Times New Roman"/>
        </w:rPr>
        <w:t xml:space="preserve">stments in Minnesota's future." </w:t>
      </w:r>
      <w:r w:rsidRPr="00ED4D1B">
        <w:rPr>
          <w:rFonts w:eastAsia="Times New Roman"/>
        </w:rPr>
        <w:t>Fitch based its upgrade on "</w:t>
      </w:r>
      <w:r w:rsidRPr="0016410C">
        <w:rPr>
          <w:rStyle w:val="StyleUnderline"/>
        </w:rPr>
        <w:t>Minnesota's solid and broad-based economy, a revenue structure well designed to capture economic growth, a low liability burden, strong control over revenues and spending" and "a sophisticated approach to reserve funding</w:t>
      </w:r>
      <w:r>
        <w:rPr>
          <w:rFonts w:eastAsia="Times New Roman"/>
        </w:rPr>
        <w:t xml:space="preserve">." </w:t>
      </w:r>
      <w:r w:rsidRPr="00ED4D1B">
        <w:rPr>
          <w:rFonts w:eastAsia="Times New Roman"/>
        </w:rPr>
        <w:t>In August, the state will sell nearly $788 million in general obligation bonds to pay for previously approved construction projects and to refinance existing debt.</w:t>
      </w:r>
    </w:p>
    <w:p w:rsidR="00C12070" w:rsidRDefault="00C12070" w:rsidP="00C12070">
      <w:pPr>
        <w:rPr>
          <w:rFonts w:eastAsia="Times New Roman"/>
        </w:rPr>
      </w:pPr>
    </w:p>
    <w:p w:rsidR="00C12070" w:rsidRDefault="00C12070" w:rsidP="00C12070">
      <w:pPr>
        <w:pStyle w:val="Heading3"/>
      </w:pPr>
      <w:r>
        <w:t>1nc Turn</w:t>
      </w:r>
    </w:p>
    <w:p w:rsidR="00C12070" w:rsidRDefault="00C12070" w:rsidP="00C12070">
      <w:pPr>
        <w:pStyle w:val="Heading4"/>
        <w:rPr>
          <w:rStyle w:val="Emphasis"/>
          <w:sz w:val="26"/>
        </w:rPr>
      </w:pPr>
      <w:r>
        <w:t xml:space="preserve">Federal intervention in the pension crisis makes the lives of public workers </w:t>
      </w:r>
      <w:r w:rsidRPr="00CF1320">
        <w:rPr>
          <w:rStyle w:val="Emphasis"/>
          <w:sz w:val="26"/>
        </w:rPr>
        <w:t>net worse</w:t>
      </w:r>
    </w:p>
    <w:p w:rsidR="00C12070" w:rsidRPr="00CF1320" w:rsidRDefault="00C12070" w:rsidP="00C12070">
      <w:pPr>
        <w:rPr>
          <w:rStyle w:val="Style13ptBold"/>
          <w:b w:val="0"/>
        </w:rPr>
      </w:pPr>
      <w:r>
        <w:rPr>
          <w:rStyle w:val="Style13ptBold"/>
        </w:rPr>
        <w:t xml:space="preserve">NJTV News 17 </w:t>
      </w:r>
      <w:r>
        <w:rPr>
          <w:rStyle w:val="Style13ptBold"/>
          <w:b w:val="0"/>
        </w:rPr>
        <w:t xml:space="preserve">(NJ Spotlight, “If Feds Step In To Address Pension Crisis, Public Workers Won’t Be Winners,” 2/28/17, </w:t>
      </w:r>
      <w:hyperlink r:id="rId28" w:history="1">
        <w:r w:rsidRPr="007D4178">
          <w:rPr>
            <w:rStyle w:val="Hyperlink"/>
          </w:rPr>
          <w:t>http://www.njspotlight.com/stories/17/02/27/if-feds-step-in-to-address-pension-crisis-public-workers-won-t-be-winners/)</w:t>
        </w:r>
      </w:hyperlink>
      <w:r>
        <w:rPr>
          <w:rStyle w:val="Style13ptBold"/>
          <w:b w:val="0"/>
        </w:rPr>
        <w:t xml:space="preserve"> // SR</w:t>
      </w:r>
    </w:p>
    <w:p w:rsidR="00C12070" w:rsidRDefault="00C12070" w:rsidP="00C12070">
      <w:r>
        <w:t xml:space="preserve">One of the key issues Gov. </w:t>
      </w:r>
      <w:r w:rsidRPr="00CF1320">
        <w:rPr>
          <w:rStyle w:val="StyleUnderline"/>
        </w:rPr>
        <w:t>Chris Christie is expected to try to tackle</w:t>
      </w:r>
      <w:r>
        <w:t xml:space="preserve"> once again when he gives </w:t>
      </w:r>
      <w:r w:rsidRPr="00CF1320">
        <w:rPr>
          <w:rStyle w:val="StyleUnderline"/>
        </w:rPr>
        <w:t>his final budget address</w:t>
      </w:r>
      <w:r>
        <w:t xml:space="preserve"> before a joint session of the Legislature today is public worker pensions.</w:t>
      </w:r>
    </w:p>
    <w:p w:rsidR="00C12070" w:rsidRDefault="00C12070" w:rsidP="00C12070">
      <w:r>
        <w:t xml:space="preserve">Andrew Sidamon-Eristoff, who served as state treasurer under Christie, caused a stir when he wrote an opinion column last week for NJ Spotlight in which </w:t>
      </w:r>
      <w:r w:rsidRPr="00CF1320">
        <w:rPr>
          <w:rStyle w:val="StyleUnderline"/>
        </w:rPr>
        <w:t>he predicted the federal government will step in to deal with the pension crisis for every state</w:t>
      </w:r>
      <w:r>
        <w:t>, New Jersey included.</w:t>
      </w:r>
    </w:p>
    <w:p w:rsidR="00C12070" w:rsidRDefault="00C12070" w:rsidP="00C12070">
      <w:r>
        <w:t>Explaining that it is a prediction — “not a wish or a desire” — Sidamon-Eristoff, who crafted several of Christie’s earlier budgets, discussed this and other issues he expects the governor to address in an interview with NJTV News chief political correspondent Michael Aron yesterday.</w:t>
      </w:r>
    </w:p>
    <w:p w:rsidR="00C12070" w:rsidRPr="00CF1320" w:rsidRDefault="00C12070" w:rsidP="00C12070">
      <w:r>
        <w:t xml:space="preserve">Sidamon-Eristoff made clear that </w:t>
      </w:r>
      <w:r w:rsidRPr="00CF1320">
        <w:rPr>
          <w:rStyle w:val="StyleUnderline"/>
        </w:rPr>
        <w:t>on the pension issue he does not envisage a no-strings-attached federal bailout for New Jersey and other states with underfunded public pension systems. In return for “some sort of transitional assistance to states” he said “…the feds are likely to impose restrictions, or conditions, on the states. So at the end of the day, public employees in New Jersey and elsewhere, if this happens, will end up with much less rich benefits than they have now.”</w:t>
      </w:r>
    </w:p>
    <w:p w:rsidR="00C12070" w:rsidRPr="005B029D" w:rsidRDefault="00C12070" w:rsidP="00C12070"/>
    <w:p w:rsidR="00C12070" w:rsidRPr="006442A8" w:rsidRDefault="00C12070" w:rsidP="00C12070"/>
    <w:p w:rsidR="00C12070" w:rsidRPr="006442A8" w:rsidRDefault="00C12070" w:rsidP="00C12070"/>
    <w:p w:rsidR="00C12070" w:rsidRPr="00F07B7C" w:rsidRDefault="00C12070" w:rsidP="00C12070"/>
    <w:p w:rsidR="00C12070" w:rsidRPr="00F07B7C" w:rsidRDefault="00C12070" w:rsidP="00C12070">
      <w:pPr>
        <w:pStyle w:val="Heading3"/>
      </w:pPr>
      <w:r w:rsidRPr="00F07B7C">
        <w:t xml:space="preserve">2nc econ growth now </w:t>
      </w:r>
    </w:p>
    <w:p w:rsidR="00C12070" w:rsidRPr="00F07B7C" w:rsidRDefault="00C12070" w:rsidP="00C12070"/>
    <w:p w:rsidR="00C12070" w:rsidRPr="00F07B7C" w:rsidRDefault="00C12070" w:rsidP="00C12070">
      <w:pPr>
        <w:pStyle w:val="Heading4"/>
      </w:pPr>
      <w:r w:rsidRPr="00F07B7C">
        <w:t>Productivity, stock market, and important sectors are all trending up</w:t>
      </w:r>
    </w:p>
    <w:p w:rsidR="00C12070" w:rsidRPr="00F07B7C" w:rsidRDefault="00C12070" w:rsidP="00C12070">
      <w:r w:rsidRPr="00F07B7C">
        <w:t xml:space="preserve">Jeffry </w:t>
      </w:r>
      <w:r w:rsidRPr="00F07B7C">
        <w:rPr>
          <w:rStyle w:val="Style13ptBold"/>
        </w:rPr>
        <w:t>Bartash, 6-5</w:t>
      </w:r>
      <w:r w:rsidRPr="00F07B7C">
        <w:t xml:space="preserve">-2017, "U.S. economy keeps up fast pace in May, ISM finds," MarketWatch, </w:t>
      </w:r>
      <w:hyperlink r:id="rId29" w:history="1">
        <w:r w:rsidRPr="00F07B7C">
          <w:rPr>
            <w:rStyle w:val="Hyperlink"/>
          </w:rPr>
          <w:t>http://www.marketwatch.com/story/us-economy-keeps-up-fast-pace-in-may-ism-finds-2017-06-05//)MBA</w:t>
        </w:r>
      </w:hyperlink>
      <w:r w:rsidRPr="00F07B7C">
        <w:t xml:space="preserve"> HBJ</w:t>
      </w:r>
    </w:p>
    <w:p w:rsidR="00C12070" w:rsidRPr="00F07B7C" w:rsidRDefault="00C12070" w:rsidP="00C12070">
      <w:pPr>
        <w:rPr>
          <w:sz w:val="10"/>
        </w:rPr>
      </w:pPr>
      <w:r w:rsidRPr="00F07B7C">
        <w:rPr>
          <w:rStyle w:val="StyleUnderline"/>
        </w:rPr>
        <w:t xml:space="preserve">The service-oriented </w:t>
      </w:r>
      <w:r w:rsidRPr="000429EA">
        <w:rPr>
          <w:rStyle w:val="StyleUnderline"/>
          <w:highlight w:val="cyan"/>
        </w:rPr>
        <w:t>companies</w:t>
      </w:r>
      <w:r w:rsidRPr="00F07B7C">
        <w:rPr>
          <w:rStyle w:val="StyleUnderline"/>
        </w:rPr>
        <w:t xml:space="preserve"> where most Americans work </w:t>
      </w:r>
      <w:r w:rsidRPr="000429EA">
        <w:rPr>
          <w:rStyle w:val="StyleUnderline"/>
          <w:highlight w:val="cyan"/>
        </w:rPr>
        <w:t>grew at</w:t>
      </w:r>
      <w:r w:rsidRPr="000429EA">
        <w:rPr>
          <w:rStyle w:val="StyleUnderline"/>
        </w:rPr>
        <w:t xml:space="preserve"> </w:t>
      </w:r>
      <w:r w:rsidRPr="000429EA">
        <w:rPr>
          <w:sz w:val="10"/>
        </w:rPr>
        <w:t>a slightly slower but still</w:t>
      </w:r>
      <w:r w:rsidRPr="000429EA">
        <w:rPr>
          <w:rStyle w:val="StyleUnderline"/>
        </w:rPr>
        <w:t xml:space="preserve"> </w:t>
      </w:r>
      <w:r w:rsidRPr="000429EA">
        <w:rPr>
          <w:rStyle w:val="StyleUnderline"/>
          <w:highlight w:val="cyan"/>
        </w:rPr>
        <w:t>rapid pace</w:t>
      </w:r>
      <w:r w:rsidRPr="00F07B7C">
        <w:rPr>
          <w:sz w:val="10"/>
        </w:rPr>
        <w:t xml:space="preserve"> in May, </w:t>
      </w:r>
      <w:r w:rsidRPr="00F07B7C">
        <w:rPr>
          <w:rStyle w:val="StyleUnderline"/>
        </w:rPr>
        <w:t xml:space="preserve">signaling steady-as-she-goes for the U.S. economy. </w:t>
      </w:r>
      <w:r w:rsidRPr="00F07B7C">
        <w:rPr>
          <w:sz w:val="10"/>
        </w:rPr>
        <w:t xml:space="preserve">The Institute for Supply Management on Monday said its nonmanufacturing index fell 0.6 points to 56.9% in May. Any reading above 50 indicates improving conditions, however. Also read: Top Democrat says there’s smoke, but ‘no smoking gun’ in Russia probe The index is compiled from a survey of executives who order raw materials and other supplies for their companies. The gauge tends to rise or fall in tandem with the health of the economy. </w:t>
      </w:r>
      <w:r w:rsidRPr="00F07B7C">
        <w:rPr>
          <w:rStyle w:val="StyleUnderline"/>
        </w:rPr>
        <w:t>“The majority of respondents’ comments continue to indicate optimism about business conditions and the overall economy</w:t>
      </w:r>
      <w:r w:rsidRPr="00F07B7C">
        <w:rPr>
          <w:sz w:val="10"/>
        </w:rPr>
        <w:t xml:space="preserve">,” said Anthony Nieves, who runs the ISM service index. </w:t>
      </w:r>
      <w:r w:rsidRPr="00F07B7C">
        <w:rPr>
          <w:rStyle w:val="Emphasis"/>
        </w:rPr>
        <w:t>New orders</w:t>
      </w:r>
      <w:r w:rsidRPr="00F07B7C">
        <w:rPr>
          <w:sz w:val="10"/>
        </w:rPr>
        <w:t xml:space="preserve"> fell last month, no surprise after they </w:t>
      </w:r>
      <w:r w:rsidRPr="00F07B7C">
        <w:rPr>
          <w:rStyle w:val="Emphasis"/>
        </w:rPr>
        <w:t xml:space="preserve">hit a 12-year high in April. </w:t>
      </w:r>
      <w:r w:rsidRPr="00F07B7C">
        <w:rPr>
          <w:sz w:val="10"/>
        </w:rPr>
        <w:t xml:space="preserve">Yet the operation tempo of services-style companies — restaurants, financial firms, technology outfits and the like — remained high. </w:t>
      </w:r>
      <w:r w:rsidRPr="000429EA">
        <w:rPr>
          <w:rStyle w:val="StyleUnderline"/>
          <w:highlight w:val="cyan"/>
        </w:rPr>
        <w:t>“Strong market conditions bring a renewed confidence</w:t>
      </w:r>
      <w:r w:rsidRPr="00F07B7C">
        <w:rPr>
          <w:sz w:val="10"/>
        </w:rPr>
        <w:t xml:space="preserve">,” said an executive at a transportation and warehousing provider. </w:t>
      </w:r>
      <w:r w:rsidRPr="00F07B7C">
        <w:rPr>
          <w:rStyle w:val="StyleUnderline"/>
        </w:rPr>
        <w:t xml:space="preserve">The </w:t>
      </w:r>
      <w:r w:rsidRPr="000429EA">
        <w:rPr>
          <w:rStyle w:val="StyleUnderline"/>
          <w:highlight w:val="cyan"/>
        </w:rPr>
        <w:t>production gauge stood at 60.7% in May</w:t>
      </w:r>
      <w:r w:rsidRPr="00F07B7C">
        <w:rPr>
          <w:sz w:val="10"/>
        </w:rPr>
        <w:t xml:space="preserve">, just a bit lower compared with April. </w:t>
      </w:r>
      <w:r w:rsidRPr="000429EA">
        <w:rPr>
          <w:rStyle w:val="StyleUnderline"/>
          <w:highlight w:val="cyan"/>
        </w:rPr>
        <w:t>Sixteen</w:t>
      </w:r>
      <w:r w:rsidRPr="00F07B7C">
        <w:rPr>
          <w:rStyle w:val="StyleUnderline"/>
        </w:rPr>
        <w:t xml:space="preserve"> of the 17 </w:t>
      </w:r>
      <w:r w:rsidRPr="000429EA">
        <w:rPr>
          <w:rStyle w:val="StyleUnderline"/>
          <w:highlight w:val="cyan"/>
        </w:rPr>
        <w:t>industries</w:t>
      </w:r>
      <w:r w:rsidRPr="00F07B7C">
        <w:rPr>
          <w:sz w:val="10"/>
        </w:rPr>
        <w:t xml:space="preserve"> tracked by the ISM </w:t>
      </w:r>
      <w:r w:rsidRPr="000429EA">
        <w:rPr>
          <w:rStyle w:val="StyleUnderline"/>
          <w:highlight w:val="cyan"/>
        </w:rPr>
        <w:t>expanded last month</w:t>
      </w:r>
      <w:r w:rsidRPr="00F07B7C">
        <w:rPr>
          <w:sz w:val="10"/>
        </w:rPr>
        <w:t xml:space="preserve">. The sole exception: educational services as the school year drew to a close. </w:t>
      </w:r>
      <w:r w:rsidRPr="00F07B7C">
        <w:rPr>
          <w:rStyle w:val="StyleUnderline"/>
        </w:rPr>
        <w:t xml:space="preserve">An index that measures </w:t>
      </w:r>
      <w:r w:rsidRPr="00F07B7C">
        <w:rPr>
          <w:rStyle w:val="Emphasis"/>
        </w:rPr>
        <w:t>employment</w:t>
      </w:r>
      <w:r w:rsidRPr="00F07B7C">
        <w:rPr>
          <w:rStyle w:val="StyleUnderline"/>
        </w:rPr>
        <w:t>, meanwhile, jumped 6.4 points</w:t>
      </w:r>
      <w:r w:rsidRPr="00F07B7C">
        <w:rPr>
          <w:sz w:val="10"/>
        </w:rPr>
        <w:t xml:space="preserve"> to 57.8% — </w:t>
      </w:r>
      <w:r w:rsidRPr="00F07B7C">
        <w:rPr>
          <w:rStyle w:val="Emphasis"/>
        </w:rPr>
        <w:t xml:space="preserve">close to a two-year high. </w:t>
      </w:r>
      <w:r w:rsidRPr="00F07B7C">
        <w:rPr>
          <w:sz w:val="10"/>
        </w:rPr>
        <w:t xml:space="preserve">In recent trades, </w:t>
      </w:r>
      <w:r w:rsidRPr="000429EA">
        <w:rPr>
          <w:rStyle w:val="Emphasis"/>
          <w:highlight w:val="cyan"/>
        </w:rPr>
        <w:t>the</w:t>
      </w:r>
      <w:r w:rsidRPr="00F07B7C">
        <w:rPr>
          <w:rStyle w:val="Emphasis"/>
        </w:rPr>
        <w:t xml:space="preserve"> </w:t>
      </w:r>
      <w:r w:rsidRPr="000429EA">
        <w:rPr>
          <w:rStyle w:val="Emphasis"/>
          <w:highlight w:val="cyan"/>
        </w:rPr>
        <w:t>Dow Jones</w:t>
      </w:r>
      <w:r w:rsidRPr="00F07B7C">
        <w:rPr>
          <w:rStyle w:val="Emphasis"/>
        </w:rPr>
        <w:t xml:space="preserve"> Industrial Average</w:t>
      </w:r>
      <w:r w:rsidRPr="00F07B7C">
        <w:rPr>
          <w:sz w:val="10"/>
        </w:rPr>
        <w:t xml:space="preserve"> DJIA, +0.18% DJIA, +0.18% </w:t>
      </w:r>
      <w:r w:rsidRPr="000429EA">
        <w:rPr>
          <w:rStyle w:val="Emphasis"/>
          <w:highlight w:val="cyan"/>
        </w:rPr>
        <w:t>rose</w:t>
      </w:r>
      <w:r w:rsidRPr="00F07B7C">
        <w:rPr>
          <w:rStyle w:val="Emphasis"/>
        </w:rPr>
        <w:t xml:space="preserve"> </w:t>
      </w:r>
      <w:r w:rsidRPr="00F07B7C">
        <w:rPr>
          <w:rStyle w:val="StyleUnderline"/>
        </w:rPr>
        <w:t>slightly</w:t>
      </w:r>
      <w:r w:rsidRPr="00F07B7C">
        <w:rPr>
          <w:sz w:val="10"/>
        </w:rPr>
        <w:t>.</w:t>
      </w:r>
    </w:p>
    <w:p w:rsidR="00C12070" w:rsidRPr="00F07B7C" w:rsidRDefault="00C12070" w:rsidP="00C12070"/>
    <w:p w:rsidR="00C12070" w:rsidRPr="00F07B7C" w:rsidRDefault="00C12070" w:rsidP="00C12070">
      <w:pPr>
        <w:pStyle w:val="Heading4"/>
      </w:pPr>
      <w:r w:rsidRPr="00F07B7C">
        <w:t xml:space="preserve">key to investment and hiring </w:t>
      </w:r>
    </w:p>
    <w:p w:rsidR="00C12070" w:rsidRPr="00F07B7C" w:rsidRDefault="00C12070" w:rsidP="00C12070">
      <w:r w:rsidRPr="00F07B7C">
        <w:t xml:space="preserve">Landon </w:t>
      </w:r>
      <w:r w:rsidRPr="00F07B7C">
        <w:rPr>
          <w:rStyle w:val="Style13ptBold"/>
        </w:rPr>
        <w:t>Thomas</w:t>
      </w:r>
      <w:r w:rsidRPr="00F07B7C">
        <w:t xml:space="preserve"> Jr., </w:t>
      </w:r>
      <w:r w:rsidRPr="00F07B7C">
        <w:rPr>
          <w:rStyle w:val="Style13ptBold"/>
        </w:rPr>
        <w:t>3-12</w:t>
      </w:r>
      <w:r w:rsidRPr="00F07B7C">
        <w:t xml:space="preserve">-2017, (B.A. in political science from Middlebury College in 1987. In 1991 he received an M.A. from the Johns Hopkins University School for Advanced International Studies "The President Changed. So Has Small Businesses’ Confidence.," New York Times, </w:t>
      </w:r>
      <w:hyperlink r:id="rId30" w:history="1">
        <w:r w:rsidRPr="00F07B7C">
          <w:rPr>
            <w:rStyle w:val="Hyperlink"/>
          </w:rPr>
          <w:t>https://www.nytimes.com/2017/03/12/business/dealbook/small-business-confidence-trump.html//)MBA</w:t>
        </w:r>
      </w:hyperlink>
      <w:r w:rsidRPr="00F07B7C">
        <w:t xml:space="preserve"> HBJ</w:t>
      </w:r>
    </w:p>
    <w:p w:rsidR="00C12070" w:rsidRPr="00F07B7C" w:rsidRDefault="00C12070" w:rsidP="00C12070"/>
    <w:p w:rsidR="00C12070" w:rsidRPr="00F07B7C" w:rsidRDefault="00C12070" w:rsidP="00C12070">
      <w:pPr>
        <w:rPr>
          <w:sz w:val="8"/>
        </w:rPr>
      </w:pPr>
      <w:r w:rsidRPr="00F07B7C">
        <w:rPr>
          <w:sz w:val="8"/>
        </w:rPr>
        <w:t xml:space="preserve">TOLEDO, Ohio — The cream of the small-business community here tucked into their lunch on a top floor of a bank building and pondered the question put to them by their local lender’s economist. </w:t>
      </w:r>
      <w:r w:rsidRPr="00F07B7C">
        <w:rPr>
          <w:rStyle w:val="Emphasis"/>
        </w:rPr>
        <w:t xml:space="preserve">More than any other president since Ronald Reagan, </w:t>
      </w:r>
      <w:r w:rsidRPr="000429EA">
        <w:rPr>
          <w:rStyle w:val="Emphasis"/>
          <w:highlight w:val="cyan"/>
        </w:rPr>
        <w:t>President Trump is moving to strip away regulations</w:t>
      </w:r>
      <w:r w:rsidRPr="000429EA">
        <w:rPr>
          <w:sz w:val="8"/>
          <w:highlight w:val="cyan"/>
        </w:rPr>
        <w:t xml:space="preserve"> an</w:t>
      </w:r>
      <w:r w:rsidRPr="00F07B7C">
        <w:rPr>
          <w:sz w:val="8"/>
        </w:rPr>
        <w:t xml:space="preserve">d slash taxes, said Jeffrey Korzenik, an investment strategist with Fifth Third, a large regional bank in the Midwest and Southeast. In meetings with clients, Mr. Korzenik has been making the case that </w:t>
      </w:r>
      <w:r w:rsidRPr="000429EA">
        <w:rPr>
          <w:rStyle w:val="StyleUnderline"/>
          <w:highlight w:val="cyan"/>
        </w:rPr>
        <w:t>these</w:t>
      </w:r>
      <w:r w:rsidRPr="00F07B7C">
        <w:rPr>
          <w:rStyle w:val="StyleUnderline"/>
        </w:rPr>
        <w:t xml:space="preserve"> policies </w:t>
      </w:r>
      <w:r w:rsidRPr="000429EA">
        <w:rPr>
          <w:rStyle w:val="StyleUnderline"/>
          <w:highlight w:val="cyan"/>
        </w:rPr>
        <w:t>will rouse the</w:t>
      </w:r>
      <w:r w:rsidRPr="00F07B7C">
        <w:rPr>
          <w:rStyle w:val="StyleUnderline"/>
        </w:rPr>
        <w:t xml:space="preserve"> slumbering </w:t>
      </w:r>
      <w:r w:rsidRPr="00F07B7C">
        <w:rPr>
          <w:sz w:val="8"/>
        </w:rPr>
        <w:t>animal spirits in</w:t>
      </w:r>
      <w:r w:rsidRPr="00F07B7C">
        <w:rPr>
          <w:rStyle w:val="StyleUnderline"/>
        </w:rPr>
        <w:t xml:space="preserve"> </w:t>
      </w:r>
      <w:r w:rsidRPr="000429EA">
        <w:rPr>
          <w:rStyle w:val="StyleUnderline"/>
          <w:highlight w:val="cyan"/>
        </w:rPr>
        <w:t>businesses</w:t>
      </w:r>
      <w:r w:rsidRPr="00F07B7C">
        <w:rPr>
          <w:rStyle w:val="StyleUnderline"/>
        </w:rPr>
        <w:t xml:space="preserve"> across America. </w:t>
      </w:r>
      <w:r w:rsidRPr="00F07B7C">
        <w:rPr>
          <w:sz w:val="8"/>
        </w:rPr>
        <w:t xml:space="preserve">“And now we have seen this huge spike in small-business confidence since the election,” Mr. Korzenik said, pointing to a chart. “So I have to ask you: Do you feel more confident now?” There was a moment of silence, broken only by a howling northwestern Ohio wind that rattled the floor-to-ceiling windows in the bank’s boardroom. Then, with rapid-fire speed, came the responses. The president of a trucking company spoke of a “tremendous dark cloud” lifting when he realized he would no longer be feeling the burden of rules and regulations imposed by the Obama administration. The owner of an automotive parts assembler gave thanks that he would not be receiving visits from pesky environmental and workplace overseers. And the head of a seating manufacturer expressed hope that, finally, his health care costs would come down when the Affordable Care Act was repealed. “My gut just feels better,” said Bob Fleisher, president of a local car dealership. “With Obama, you felt it was personal — like he just didn’t want you to make money. </w:t>
      </w:r>
      <w:r w:rsidRPr="00F07B7C">
        <w:rPr>
          <w:rStyle w:val="Emphasis"/>
        </w:rPr>
        <w:t xml:space="preserve">Now </w:t>
      </w:r>
      <w:r w:rsidRPr="000429EA">
        <w:rPr>
          <w:rStyle w:val="Emphasis"/>
          <w:highlight w:val="cyan"/>
        </w:rPr>
        <w:t>we have a guy who is cutting regulations</w:t>
      </w:r>
      <w:r w:rsidRPr="00F07B7C">
        <w:rPr>
          <w:sz w:val="8"/>
        </w:rPr>
        <w:t xml:space="preserve"> and taxes. And when I see my taxes going down every quarter — well, </w:t>
      </w:r>
      <w:r w:rsidRPr="00F07B7C">
        <w:rPr>
          <w:rStyle w:val="Emphasis"/>
        </w:rPr>
        <w:t xml:space="preserve">that </w:t>
      </w:r>
      <w:r w:rsidRPr="000429EA">
        <w:rPr>
          <w:rStyle w:val="Emphasis"/>
          <w:highlight w:val="cyan"/>
        </w:rPr>
        <w:t>means I am going to start investing</w:t>
      </w:r>
      <w:r w:rsidRPr="00F07B7C">
        <w:rPr>
          <w:rStyle w:val="Emphasis"/>
        </w:rPr>
        <w:t xml:space="preserve"> again.” </w:t>
      </w:r>
      <w:r w:rsidRPr="00F07B7C">
        <w:rPr>
          <w:sz w:val="8"/>
        </w:rPr>
        <w:t xml:space="preserve">While much has been made about the stock market’s nearly 14 percent rally since the election, economists say that when it comes to assessing the genuine potential for the United States economy, confidence among small-business owners is a more grounded and forward-looking indicator. Photo Small-business owners from Toledo, Ohio, and nearby areas during an open forum at the Fifth Third Bank in downtown Toledo this month. Credit Brittany Greeson for The New York Times </w:t>
      </w:r>
      <w:r w:rsidRPr="00F07B7C">
        <w:rPr>
          <w:rStyle w:val="StyleUnderline"/>
        </w:rPr>
        <w:t>Companies that employ several to a few hundred workers make up 99 percent of business in the United States and account for half of private sector employment.</w:t>
      </w:r>
      <w:r w:rsidRPr="00F07B7C">
        <w:rPr>
          <w:sz w:val="8"/>
        </w:rPr>
        <w:t xml:space="preserve"> So for all that General Electric, Caterpillar or Ford Motor talks about building factories and hiring workers, the $18 trillion United States economy will not truly move until the burghers in Toledo and other parts of the country start to invest and add jobs. The exuberance of small-city executives in Toledo, of course, represents just a small slice of the national economy — an economy whose recovery had already been showing signs of gaining momentum. And their euphoria is being fed by promises, like a tax overhaul, that have not yet been kept. Still, the views from the Toledo lunch are very much in tune with what business leaders, large and small, have been consistently saying in the months since the election. Billed as a C.E.O. round table, the event felt more like a boisterous group therapy session as one businessman interrupted another with competing tales of Obama-era regulatory woes. But all 11 executives agreed: Never in recent years had they been so bullish about their businesses as they were now under a president (and fellow small-business owner, albeit a very rich one) whom they see as one of their own. Which is why Mr. Korzenik was so excited about the recent surge in the small-business confidence index, as measured by the National Federation of Independent Business, the industry’s trade group. In the month after Mr. Trump was elected, the gauge showed the largest monthly increase since 1986. And it has continued to reflect consistent gains as the president pushes for lower taxes, fewer regulations and a repeal of President Barack Obama’s health care initiative. Newsletter Sign UpContinue reading the main story DealBook DealBook delivers the news driving the markets and the conversation. Delivered weekday mornings and afternoons. Enter your email address Sign Up You agree to receive occasional updates and special offers for The New York Times's products and services. SEE SAMPLE PRIVACY POLICY OPT OUT OR CONTACT US ANYTIME Of course, the jump came off low levels. Since 2009, the index had been either on a downward trend or barely moving up as small businesses struggled to recover from the financial crisis. </w:t>
      </w:r>
      <w:r w:rsidRPr="00F07B7C">
        <w:rPr>
          <w:rStyle w:val="Emphasis"/>
        </w:rPr>
        <w:t xml:space="preserve">A heavier regulatory burden and uncertainty born of a weak economic recovery have kept small-business owners from making big bets in investments or hiring. </w:t>
      </w:r>
      <w:r w:rsidRPr="00F07B7C">
        <w:rPr>
          <w:sz w:val="8"/>
        </w:rPr>
        <w:t xml:space="preserve">But in Toledo, this reluctance is changing — and quickly. Louis M. Soltis owns a small company that manufactures control panels for large factories and machines. After four years of not adding to his work force of 22, he has seen orders for panels jump in the last two months and is looking to take on as many as six new workers. There may not be a direct correlation between his surging order book and the new president, but there is no doubting the psychological boost. Photo A view of Toledo. For years, many of the taller buildings have stood empty as the city suffered from the automotive industry’s decline. The local economy has been recovering as thriving industries like health care have picked up the slack. Credit Brittany Greeson for The New York Times “That guy is a junkyard dog, doing his tweets at 3 a.m. and taking on the news media — I just get strength from him,” Mr. Soltis said over a wine-soaked dinner with a large group of his small-business friends and peers from around town. “And I have to say, it makes you feel gutsy — ready to step up and start investing again.” The restaurant sits on the eastern bank of the Maumee River, offering up a view of the modest Toledo skyline. For years, many of the taller buildings have stood empty as this largely industrial city, a bit more than an hour’s drive south of Detroit, suffered from the automotive industry’s decline. Of late, the local economy has been recovering as thriving industries like health care have picked up the slack, and the unemployment rate, at 4.7 percent, stands exactly at the national figure of 4.7 percent for February. The latest employment data, released on Friday, showed that 235,000 workers were added to payrolls nationwide last month. Mr. Soltis is not the only small-business leader to report a sharp pickup in activity. Barton S. Kulish, the president of MTS Seating, which makes seats and tables for restaurants and offices, said that his sales were up 38 percent after the election. Since the beginning of the year, he said he has had to bring on eight more workers (and plans to hire an additional 12) to his 418-employee company. Bryan Keller, the chief executive of Keller Logistics, said a sharp rise in trucking orders since the election prompted him to recently increase his shipping rates. And the local real estate market is still buzzing with news of a 300,000-square-foot industrial space, which, after drawing little interest for the better part of a year, suddenly became the target of a frantic bidding war among three local parties before finding a buyer. Yet there is a downside to animal spirits that persist too long, especially in labor markets, like Toledo’s, that are operating on the tight side. And that is a sharp uptick in inflation. In his presentation to Fifth Third’s banking clients, Mr. Korzenik raised this issue, suggesting that the broader economy was in the “seventh inning” of what has been a pretty long business cycle. He also noted how the opioid epidemic in the Midwest had made it harder for companies to find qualified young people ready to work — a comment that elicited nods from around the table. Still, no one in the room seemed overly concerned. As the group saw it, the party was just beginning. </w:t>
      </w:r>
      <w:r w:rsidRPr="00F07B7C">
        <w:rPr>
          <w:rStyle w:val="StyleUnderline"/>
        </w:rPr>
        <w:t xml:space="preserve">“Most businesses I know are just taking a deep breath, happy that there is finally someone in the White House who understands what they do,” </w:t>
      </w:r>
      <w:r w:rsidRPr="00F07B7C">
        <w:rPr>
          <w:sz w:val="8"/>
        </w:rPr>
        <w:t>said Mr. Fleisher, the owner of the Lincoln car dealership. “So you say we are in the seventh inning — well, I am not sure we are.”</w:t>
      </w:r>
    </w:p>
    <w:p w:rsidR="00C12070" w:rsidRPr="00F07B7C" w:rsidRDefault="00C12070" w:rsidP="00C12070">
      <w:pPr>
        <w:rPr>
          <w:sz w:val="8"/>
        </w:rPr>
      </w:pPr>
    </w:p>
    <w:p w:rsidR="00C12070" w:rsidRPr="00F07B7C" w:rsidRDefault="00C12070" w:rsidP="00C12070">
      <w:pPr>
        <w:pStyle w:val="Heading4"/>
      </w:pPr>
      <w:r w:rsidRPr="00F07B7C">
        <w:t>That confidence is k2 investment and growth – even if growth estimates have been low businesses expect growth to occur in the long term</w:t>
      </w:r>
    </w:p>
    <w:p w:rsidR="00C12070" w:rsidRPr="00F07B7C" w:rsidRDefault="00C12070" w:rsidP="00C12070">
      <w:r w:rsidRPr="00F07B7C">
        <w:t xml:space="preserve">Jeff </w:t>
      </w:r>
      <w:r w:rsidRPr="00F07B7C">
        <w:rPr>
          <w:rStyle w:val="Style13ptBold"/>
        </w:rPr>
        <w:t>Cox, 6-6</w:t>
      </w:r>
      <w:r w:rsidRPr="00F07B7C">
        <w:t xml:space="preserve">-2017, (Bloomsburg University and financial researcher, "CEOs still confident in Trump pro-growth plans," CNBC, </w:t>
      </w:r>
      <w:hyperlink r:id="rId31" w:history="1">
        <w:r w:rsidRPr="00F07B7C">
          <w:rPr>
            <w:rStyle w:val="Hyperlink"/>
          </w:rPr>
          <w:t>http://www.cnbc.com/2017/06/06/business-ceo-confidence-hits-highest-level-in-three-years.html//)MBA</w:t>
        </w:r>
      </w:hyperlink>
      <w:r w:rsidRPr="00F07B7C">
        <w:t xml:space="preserve"> HBJ</w:t>
      </w:r>
    </w:p>
    <w:p w:rsidR="00C12070" w:rsidRPr="00F07B7C" w:rsidRDefault="00C12070" w:rsidP="00C12070">
      <w:pPr>
        <w:rPr>
          <w:sz w:val="8"/>
        </w:rPr>
      </w:pPr>
      <w:r w:rsidRPr="00F07B7C">
        <w:rPr>
          <w:rStyle w:val="StyleUnderline"/>
        </w:rPr>
        <w:t>Corporate executives' confidence has hit a three-year high even as their hopes for economic growth and job creation have dimmed</w:t>
      </w:r>
      <w:r w:rsidRPr="00F07B7C">
        <w:rPr>
          <w:sz w:val="8"/>
        </w:rPr>
        <w:t>, according to a survey released Tuesday</w:t>
      </w:r>
      <w:r w:rsidRPr="00F07B7C">
        <w:rPr>
          <w:rStyle w:val="StyleUnderline"/>
        </w:rPr>
        <w:t xml:space="preserve">. </w:t>
      </w:r>
      <w:r w:rsidRPr="00F07B7C">
        <w:rPr>
          <w:sz w:val="8"/>
        </w:rPr>
        <w:t xml:space="preserve">The latest Business Roundtable CEO Economic Outlook Index hit its highest level since the second quarter of 2014 as belief grew that pro-growth policies out of the Trump administration would yield long-term benefits. That came even though the executives see GDP growth of just 2 percent in 2017, down from 2.2 percent in March. </w:t>
      </w:r>
      <w:r w:rsidRPr="00F07B7C">
        <w:rPr>
          <w:rStyle w:val="StyleUnderline"/>
        </w:rPr>
        <w:t>"The survey results reflect confidence from America's leading employers</w:t>
      </w:r>
      <w:r w:rsidRPr="00F07B7C">
        <w:rPr>
          <w:sz w:val="8"/>
        </w:rPr>
        <w:t xml:space="preserve"> in the prospects for tax reform, as well as the tangible economic benefits that tax reform will produce," said Business Roundtable Chairman Jamie Dimon said in a statement. </w:t>
      </w:r>
      <w:r w:rsidRPr="00F07B7C">
        <w:rPr>
          <w:rStyle w:val="Emphasis"/>
        </w:rPr>
        <w:t xml:space="preserve">"CEOs are also responding to the administration's commitment to creating a more favorable regulatory environment, </w:t>
      </w:r>
      <w:r w:rsidRPr="00F07B7C">
        <w:rPr>
          <w:rStyle w:val="StyleUnderline"/>
        </w:rPr>
        <w:t>protecting the safety and health of our citizens while also protecting jobs</w:t>
      </w:r>
      <w:r w:rsidRPr="00F07B7C">
        <w:rPr>
          <w:sz w:val="8"/>
        </w:rPr>
        <w:t xml:space="preserve">," added Dimon, who is CEO of JPMorgan Chase, the largest bank by assets in the U.S. The rising confidence comes amid a volatile backdrop. President Donald Trump's plans to cut taxes, lower regulatory barriers and increase infrastructure spending have been slow to launch since he took office in January. While the administration has been caught up in a thus-far unsuccessful fight to replace Obamacare, the broader economy has struggled. GDP rose just 1.2 percent in the first quarter and the past three months have seen lackluster employment gains. However, </w:t>
      </w:r>
      <w:r w:rsidRPr="00F07B7C">
        <w:rPr>
          <w:rStyle w:val="StyleUnderline"/>
        </w:rPr>
        <w:t>CEOs remain of the belief that the changes eventually will take hold. Indexes for investment and sales both rose</w:t>
      </w:r>
      <w:r w:rsidRPr="00F07B7C">
        <w:rPr>
          <w:sz w:val="8"/>
        </w:rPr>
        <w:t xml:space="preserve">, though hiring dipped. "Business leaders remain confident that Congress and the administration will enact tax reform because the cost of inaction for America's businesses and workers is too great," Joshua Bolten, Business Roundtable president and CEO, added in a statement. The roundtable's index for sales rose modestly, from 123.8 in the first quarter to 124.3. Capital spending gained from 82.6 to 87.2, while employment edged lower from 73.6 to 70.3. </w:t>
      </w:r>
      <w:r w:rsidRPr="00F07B7C">
        <w:rPr>
          <w:rStyle w:val="StyleUnderline"/>
        </w:rPr>
        <w:t xml:space="preserve">The survey has been taken since the fourth quarter of 2002 and is designed to reflect sentiment from corporate leaders regarding general confidence </w:t>
      </w:r>
      <w:r w:rsidRPr="00F07B7C">
        <w:rPr>
          <w:rStyle w:val="Emphasis"/>
        </w:rPr>
        <w:t>and specifically confidence in investment</w:t>
      </w:r>
      <w:r w:rsidRPr="00F07B7C">
        <w:rPr>
          <w:sz w:val="8"/>
        </w:rPr>
        <w:t xml:space="preserve">, employment gains and sales. </w:t>
      </w:r>
    </w:p>
    <w:p w:rsidR="00C12070" w:rsidRPr="00F07B7C" w:rsidRDefault="00C12070" w:rsidP="00C12070">
      <w:pPr>
        <w:rPr>
          <w:rStyle w:val="StyleUnderline"/>
        </w:rPr>
      </w:pPr>
    </w:p>
    <w:p w:rsidR="00C12070" w:rsidRPr="00F07B7C" w:rsidRDefault="00C12070" w:rsidP="00C12070">
      <w:pPr>
        <w:pStyle w:val="Heading3"/>
      </w:pPr>
      <w:r w:rsidRPr="00F07B7C">
        <w:t>2nc stimulus fails</w:t>
      </w:r>
    </w:p>
    <w:p w:rsidR="00C12070" w:rsidRPr="00F07B7C" w:rsidRDefault="00C12070" w:rsidP="00C12070"/>
    <w:p w:rsidR="00C12070" w:rsidRPr="00F07B7C" w:rsidRDefault="00C12070" w:rsidP="00C12070">
      <w:pPr>
        <w:pStyle w:val="Heading4"/>
      </w:pPr>
      <w:r w:rsidRPr="00F07B7C">
        <w:t>Stimulus fails</w:t>
      </w:r>
    </w:p>
    <w:p w:rsidR="00C12070" w:rsidRPr="00F07B7C" w:rsidRDefault="00C12070" w:rsidP="00C12070">
      <w:pPr>
        <w:pStyle w:val="Heading4"/>
      </w:pPr>
      <w:r w:rsidRPr="00F07B7C">
        <w:t xml:space="preserve">a) Crowd-out—stimulus money takes away from private investment – any benefits are offset by decrease in private sector spending—best studies prove that it </w:t>
      </w:r>
      <w:r w:rsidRPr="00F07B7C">
        <w:rPr>
          <w:u w:val="single"/>
        </w:rPr>
        <w:t>dampens</w:t>
      </w:r>
      <w:r w:rsidRPr="00F07B7C">
        <w:t xml:space="preserve"> economic activity </w:t>
      </w:r>
    </w:p>
    <w:p w:rsidR="00C12070" w:rsidRPr="00F07B7C" w:rsidRDefault="00C12070" w:rsidP="00C12070">
      <w:pPr>
        <w:rPr>
          <w:b/>
        </w:rPr>
      </w:pPr>
    </w:p>
    <w:p w:rsidR="00C12070" w:rsidRPr="00F07B7C" w:rsidRDefault="00C12070" w:rsidP="00C12070">
      <w:pPr>
        <w:pStyle w:val="Heading4"/>
      </w:pPr>
      <w:r w:rsidRPr="00F07B7C">
        <w:t xml:space="preserve">b) Bad theory—arguments for consumer spending ignore the fact that private investment </w:t>
      </w:r>
      <w:r w:rsidRPr="00F07B7C">
        <w:rPr>
          <w:u w:val="single"/>
        </w:rPr>
        <w:t>is</w:t>
      </w:r>
      <w:r w:rsidRPr="00F07B7C">
        <w:t xml:space="preserve"> consumer spending—government redistribution doesn’t </w:t>
      </w:r>
      <w:r w:rsidRPr="00F07B7C">
        <w:rPr>
          <w:u w:val="single"/>
        </w:rPr>
        <w:t>create</w:t>
      </w:r>
      <w:r w:rsidRPr="00F07B7C">
        <w:t xml:space="preserve"> jobs, it just shifts them around in the economy</w:t>
      </w:r>
    </w:p>
    <w:p w:rsidR="00C12070" w:rsidRPr="00F07B7C" w:rsidRDefault="00C12070" w:rsidP="00C12070"/>
    <w:p w:rsidR="00C12070" w:rsidRPr="00F07B7C" w:rsidRDefault="00C12070" w:rsidP="00C12070">
      <w:pPr>
        <w:pStyle w:val="Heading4"/>
      </w:pPr>
      <w:r w:rsidRPr="00F07B7C">
        <w:t>Empirical examples prove stimulus spending fails</w:t>
      </w:r>
    </w:p>
    <w:p w:rsidR="00C12070" w:rsidRPr="00F07B7C" w:rsidRDefault="00C12070" w:rsidP="00C12070">
      <w:pPr>
        <w:rPr>
          <w:sz w:val="12"/>
        </w:rPr>
      </w:pPr>
      <w:r w:rsidRPr="00F07B7C">
        <w:rPr>
          <w:b/>
        </w:rPr>
        <w:t>Reidl 10</w:t>
      </w:r>
      <w:r w:rsidRPr="00F07B7C">
        <w:rPr>
          <w:sz w:val="12"/>
        </w:rPr>
        <w:t xml:space="preserve">—lead budget analyst for the Heritage Foundation, bachelor's degree in economics and political science from the University of Wisconsin,  master's degree in public affairs from Princeton University (Brian, 1/8/10, “Why Government Spending Does Not Stimulate Economic Growth: Answering the Critics,” </w:t>
      </w:r>
      <w:hyperlink r:id="rId32" w:history="1">
        <w:r w:rsidRPr="00F07B7C">
          <w:rPr>
            <w:rStyle w:val="Hyperlink"/>
            <w:sz w:val="12"/>
          </w:rPr>
          <w:t>http://online.wsj.com/article/SB10001424052748703481004574646551469288292.html?mod=WSJ_latestheadlines</w:t>
        </w:r>
      </w:hyperlink>
      <w:r w:rsidRPr="00F07B7C">
        <w:rPr>
          <w:sz w:val="12"/>
        </w:rPr>
        <w:t>, RBatra)</w:t>
      </w:r>
    </w:p>
    <w:p w:rsidR="00C12070" w:rsidRPr="00F07B7C" w:rsidRDefault="00C12070" w:rsidP="00C12070">
      <w:pPr>
        <w:rPr>
          <w:sz w:val="12"/>
        </w:rPr>
      </w:pPr>
    </w:p>
    <w:p w:rsidR="00C12070" w:rsidRPr="00F07B7C" w:rsidRDefault="00C12070" w:rsidP="00C12070">
      <w:pPr>
        <w:rPr>
          <w:sz w:val="12"/>
        </w:rPr>
      </w:pPr>
      <w:r w:rsidRPr="00F07B7C">
        <w:rPr>
          <w:u w:val="single"/>
        </w:rPr>
        <w:t>Proponents of</w:t>
      </w:r>
      <w:r w:rsidRPr="00F07B7C">
        <w:rPr>
          <w:sz w:val="12"/>
        </w:rPr>
        <w:t xml:space="preserve"> President Barack </w:t>
      </w:r>
      <w:r w:rsidRPr="00F07B7C">
        <w:rPr>
          <w:u w:val="single"/>
        </w:rPr>
        <w:t>Obama's</w:t>
      </w:r>
      <w:r w:rsidRPr="00F07B7C">
        <w:rPr>
          <w:sz w:val="12"/>
        </w:rPr>
        <w:t xml:space="preserve"> $787 billion </w:t>
      </w:r>
      <w:r w:rsidRPr="00F07B7C">
        <w:rPr>
          <w:u w:val="single"/>
        </w:rPr>
        <w:t xml:space="preserve">stimulus bill </w:t>
      </w:r>
      <w:r w:rsidRPr="00F07B7C">
        <w:rPr>
          <w:sz w:val="12"/>
        </w:rPr>
        <w:t xml:space="preserve">continue to </w:t>
      </w:r>
      <w:r w:rsidRPr="00F07B7C">
        <w:rPr>
          <w:u w:val="single"/>
        </w:rPr>
        <w:t>insist that the</w:t>
      </w:r>
      <w:r w:rsidRPr="00F07B7C">
        <w:rPr>
          <w:sz w:val="12"/>
        </w:rPr>
        <w:t xml:space="preserve"> massive government </w:t>
      </w:r>
      <w:r w:rsidRPr="00F07B7C">
        <w:rPr>
          <w:u w:val="single"/>
        </w:rPr>
        <w:t>bailout played a decisive role in moving the economy out of the recession. Yet</w:t>
      </w:r>
      <w:r w:rsidRPr="00F07B7C">
        <w:rPr>
          <w:sz w:val="12"/>
        </w:rPr>
        <w:t xml:space="preserve"> assuming no destructive government actions, </w:t>
      </w:r>
      <w:r w:rsidRPr="00F07B7C">
        <w:rPr>
          <w:u w:val="single"/>
        </w:rPr>
        <w:t>the economy's self-correction mechanism was widely expected to move the economy out of recession in 2009 anyway</w:t>
      </w:r>
      <w:r w:rsidRPr="00F07B7C">
        <w:rPr>
          <w:sz w:val="12"/>
        </w:rPr>
        <w:t>. With a parade of "stimulus" bills the past two years (going back to President George W. Bush's tax rebate in early 2008), it was entirely predictable that some would link the expected end of the recession to whichever stimulus bill happened to come last.</w:t>
      </w:r>
    </w:p>
    <w:p w:rsidR="00C12070" w:rsidRPr="00F07B7C" w:rsidRDefault="00C12070" w:rsidP="00C12070">
      <w:pPr>
        <w:rPr>
          <w:u w:val="single"/>
        </w:rPr>
      </w:pPr>
      <w:r w:rsidRPr="00F07B7C">
        <w:rPr>
          <w:sz w:val="12"/>
        </w:rPr>
        <w:t xml:space="preserve">Indeed, President </w:t>
      </w:r>
      <w:r w:rsidRPr="00AA2150">
        <w:rPr>
          <w:highlight w:val="cyan"/>
          <w:u w:val="single"/>
        </w:rPr>
        <w:t>Obama's stimulus</w:t>
      </w:r>
      <w:r w:rsidRPr="00F07B7C">
        <w:rPr>
          <w:sz w:val="12"/>
        </w:rPr>
        <w:t xml:space="preserve"> bill </w:t>
      </w:r>
      <w:r w:rsidRPr="00AA2150">
        <w:rPr>
          <w:highlight w:val="cyan"/>
          <w:u w:val="single"/>
        </w:rPr>
        <w:t>failed</w:t>
      </w:r>
      <w:r w:rsidRPr="00F07B7C">
        <w:rPr>
          <w:u w:val="single"/>
        </w:rPr>
        <w:t xml:space="preserve"> by its own standards</w:t>
      </w:r>
      <w:r w:rsidRPr="00F07B7C">
        <w:rPr>
          <w:sz w:val="12"/>
        </w:rPr>
        <w:t xml:space="preserve">. In a January 2009 report, White House economists predicted that the stimulus bill would create (not merely save) 3.3 million net jobs by 2010. Since then, </w:t>
      </w:r>
      <w:r w:rsidRPr="00F07B7C">
        <w:rPr>
          <w:u w:val="single"/>
        </w:rPr>
        <w:t>3.5 million more net jobs have been lost, pushing the unemployment rate above 10 percent</w:t>
      </w:r>
      <w:r w:rsidRPr="00F07B7C">
        <w:rPr>
          <w:sz w:val="12"/>
        </w:rPr>
        <w:t xml:space="preserve">.[1] </w:t>
      </w:r>
      <w:r w:rsidRPr="00F07B7C">
        <w:rPr>
          <w:u w:val="single"/>
        </w:rPr>
        <w:t>The fact that government failed to spend its way to prosperity is not an isolated incident:</w:t>
      </w:r>
    </w:p>
    <w:p w:rsidR="00C12070" w:rsidRPr="00F07B7C" w:rsidRDefault="00C12070" w:rsidP="00C12070">
      <w:pPr>
        <w:rPr>
          <w:u w:val="single"/>
        </w:rPr>
      </w:pPr>
      <w:r w:rsidRPr="00F07B7C">
        <w:rPr>
          <w:sz w:val="12"/>
        </w:rPr>
        <w:t xml:space="preserve">• </w:t>
      </w:r>
      <w:r w:rsidRPr="00F07B7C">
        <w:rPr>
          <w:u w:val="single"/>
        </w:rPr>
        <w:t xml:space="preserve">During the </w:t>
      </w:r>
      <w:r w:rsidRPr="00AA2150">
        <w:rPr>
          <w:highlight w:val="cyan"/>
          <w:u w:val="single"/>
        </w:rPr>
        <w:t>1930s,</w:t>
      </w:r>
      <w:r w:rsidRPr="00F07B7C">
        <w:rPr>
          <w:u w:val="single"/>
        </w:rPr>
        <w:t xml:space="preserve"> New Deal </w:t>
      </w:r>
      <w:r w:rsidRPr="00AA2150">
        <w:rPr>
          <w:highlight w:val="cyan"/>
          <w:u w:val="single"/>
        </w:rPr>
        <w:t>lawmakers doubled federal spending</w:t>
      </w:r>
      <w:r w:rsidRPr="00F07B7C">
        <w:rPr>
          <w:u w:val="single"/>
        </w:rPr>
        <w:t xml:space="preserve">--yet </w:t>
      </w:r>
      <w:r w:rsidRPr="00AA2150">
        <w:rPr>
          <w:highlight w:val="cyan"/>
          <w:u w:val="single"/>
        </w:rPr>
        <w:t>unemployment remained above 20 percent</w:t>
      </w:r>
      <w:r w:rsidRPr="00F07B7C">
        <w:rPr>
          <w:sz w:val="12"/>
        </w:rPr>
        <w:t xml:space="preserve"> until World War II.</w:t>
      </w:r>
    </w:p>
    <w:p w:rsidR="00C12070" w:rsidRPr="00F07B7C" w:rsidRDefault="00C12070" w:rsidP="00C12070">
      <w:pPr>
        <w:rPr>
          <w:sz w:val="12"/>
        </w:rPr>
      </w:pPr>
      <w:r w:rsidRPr="00F07B7C">
        <w:rPr>
          <w:sz w:val="12"/>
        </w:rPr>
        <w:t xml:space="preserve">• </w:t>
      </w:r>
      <w:r w:rsidRPr="00F07B7C">
        <w:rPr>
          <w:u w:val="single"/>
        </w:rPr>
        <w:t xml:space="preserve">Japan responded to a </w:t>
      </w:r>
      <w:r w:rsidRPr="00AA2150">
        <w:rPr>
          <w:u w:val="single"/>
        </w:rPr>
        <w:t>1990</w:t>
      </w:r>
      <w:r w:rsidRPr="00F07B7C">
        <w:rPr>
          <w:u w:val="single"/>
        </w:rPr>
        <w:t xml:space="preserve"> recession by passing 10 stimulus spending bills</w:t>
      </w:r>
      <w:r w:rsidRPr="00F07B7C">
        <w:rPr>
          <w:sz w:val="12"/>
        </w:rPr>
        <w:t xml:space="preserve"> over 8 years (building the largest national debt in the industrialized world)--</w:t>
      </w:r>
      <w:r w:rsidRPr="00F07B7C">
        <w:rPr>
          <w:u w:val="single"/>
        </w:rPr>
        <w:t>yet its economy remained stagnant.</w:t>
      </w:r>
    </w:p>
    <w:p w:rsidR="00C12070" w:rsidRPr="00F07B7C" w:rsidRDefault="00C12070" w:rsidP="00C12070">
      <w:pPr>
        <w:rPr>
          <w:sz w:val="12"/>
        </w:rPr>
      </w:pPr>
      <w:r w:rsidRPr="00F07B7C">
        <w:rPr>
          <w:sz w:val="12"/>
        </w:rPr>
        <w:t xml:space="preserve">• </w:t>
      </w:r>
      <w:r w:rsidRPr="00F07B7C">
        <w:rPr>
          <w:u w:val="single"/>
        </w:rPr>
        <w:t>In 2001</w:t>
      </w:r>
      <w:r w:rsidRPr="00F07B7C">
        <w:rPr>
          <w:sz w:val="12"/>
        </w:rPr>
        <w:t xml:space="preserve">, President </w:t>
      </w:r>
      <w:r w:rsidRPr="00F07B7C">
        <w:rPr>
          <w:u w:val="single"/>
        </w:rPr>
        <w:t>Bush responded</w:t>
      </w:r>
      <w:r w:rsidRPr="00F07B7C">
        <w:rPr>
          <w:sz w:val="12"/>
        </w:rPr>
        <w:t xml:space="preserve"> to a recession </w:t>
      </w:r>
      <w:r w:rsidRPr="00F07B7C">
        <w:rPr>
          <w:u w:val="single"/>
        </w:rPr>
        <w:t>by "injecting" tax rebates into the economy. The economy did not respond until two years later, when tax</w:t>
      </w:r>
      <w:r w:rsidRPr="00F07B7C">
        <w:rPr>
          <w:sz w:val="12"/>
        </w:rPr>
        <w:t xml:space="preserve"> rate </w:t>
      </w:r>
      <w:r w:rsidRPr="00F07B7C">
        <w:rPr>
          <w:u w:val="single"/>
        </w:rPr>
        <w:t>reductions were implemented</w:t>
      </w:r>
      <w:r w:rsidRPr="00F07B7C">
        <w:rPr>
          <w:sz w:val="12"/>
        </w:rPr>
        <w:t>.</w:t>
      </w:r>
    </w:p>
    <w:p w:rsidR="00C12070" w:rsidRPr="00F07B7C" w:rsidRDefault="00C12070" w:rsidP="00C12070">
      <w:pPr>
        <w:rPr>
          <w:u w:val="single"/>
        </w:rPr>
      </w:pPr>
      <w:r w:rsidRPr="00F07B7C">
        <w:rPr>
          <w:sz w:val="12"/>
        </w:rPr>
        <w:t xml:space="preserve">• </w:t>
      </w:r>
      <w:r w:rsidRPr="00F07B7C">
        <w:rPr>
          <w:u w:val="single"/>
        </w:rPr>
        <w:t>In 2008</w:t>
      </w:r>
      <w:r w:rsidRPr="00F07B7C">
        <w:rPr>
          <w:sz w:val="12"/>
        </w:rPr>
        <w:t xml:space="preserve">, President </w:t>
      </w:r>
      <w:r w:rsidRPr="00F07B7C">
        <w:rPr>
          <w:u w:val="single"/>
        </w:rPr>
        <w:t>Bush tried</w:t>
      </w:r>
      <w:r w:rsidRPr="00F07B7C">
        <w:rPr>
          <w:sz w:val="12"/>
        </w:rPr>
        <w:t xml:space="preserve"> to head off the current recession with </w:t>
      </w:r>
      <w:r w:rsidRPr="00F07B7C">
        <w:rPr>
          <w:u w:val="single"/>
        </w:rPr>
        <w:t>another round of tax rebates. The recession continued to worsen.</w:t>
      </w:r>
    </w:p>
    <w:p w:rsidR="00C12070" w:rsidRPr="00F07B7C" w:rsidRDefault="00C12070" w:rsidP="00C12070">
      <w:pPr>
        <w:rPr>
          <w:sz w:val="12"/>
        </w:rPr>
      </w:pPr>
      <w:r w:rsidRPr="00F07B7C">
        <w:rPr>
          <w:sz w:val="12"/>
        </w:rPr>
        <w:t xml:space="preserve">• Now, </w:t>
      </w:r>
      <w:r w:rsidRPr="000429EA">
        <w:rPr>
          <w:highlight w:val="cyan"/>
          <w:u w:val="single"/>
        </w:rPr>
        <w:t>the most recent $787 billion stimulus bill</w:t>
      </w:r>
      <w:r w:rsidRPr="00F07B7C">
        <w:rPr>
          <w:u w:val="single"/>
        </w:rPr>
        <w:t xml:space="preserve"> was </w:t>
      </w:r>
      <w:r w:rsidRPr="000429EA">
        <w:rPr>
          <w:highlight w:val="cyan"/>
          <w:u w:val="single"/>
        </w:rPr>
        <w:t>intended to keep the unemployment rate from exceeding 8 percent. In November, it topped 10 percent</w:t>
      </w:r>
      <w:r w:rsidRPr="00F07B7C">
        <w:rPr>
          <w:sz w:val="12"/>
        </w:rPr>
        <w:t>.[2]</w:t>
      </w:r>
    </w:p>
    <w:p w:rsidR="00C12070" w:rsidRPr="00F07B7C" w:rsidRDefault="00C12070" w:rsidP="00C12070">
      <w:pPr>
        <w:rPr>
          <w:u w:val="single"/>
        </w:rPr>
      </w:pPr>
      <w:r w:rsidRPr="00F07B7C">
        <w:rPr>
          <w:sz w:val="12"/>
        </w:rPr>
        <w:t xml:space="preserve">Undeterred by these repeated stimulus failures, President Obama is calling for yet another stimulus bill.[3] </w:t>
      </w:r>
      <w:r w:rsidRPr="00F07B7C">
        <w:rPr>
          <w:u w:val="single"/>
        </w:rPr>
        <w:t>There is every reason to expect another round to fail as miserably as the past ones, and it would bury the nation deeper in debt.</w:t>
      </w:r>
    </w:p>
    <w:p w:rsidR="00C12070" w:rsidRPr="00F07B7C" w:rsidRDefault="00C12070" w:rsidP="00C12070"/>
    <w:p w:rsidR="00C12070" w:rsidRPr="00F07B7C" w:rsidRDefault="00C12070" w:rsidP="00C12070">
      <w:pPr>
        <w:pStyle w:val="Heading4"/>
      </w:pPr>
      <w:r w:rsidRPr="00F07B7C">
        <w:t>Stimulus-induced growth is unsustainable—it’s only a short-term disruption that kills long-term productivity and causes inflation</w:t>
      </w:r>
    </w:p>
    <w:p w:rsidR="00C12070" w:rsidRPr="00F07B7C" w:rsidRDefault="00C12070" w:rsidP="00C12070">
      <w:pPr>
        <w:rPr>
          <w:sz w:val="12"/>
        </w:rPr>
      </w:pPr>
      <w:r w:rsidRPr="00F07B7C">
        <w:rPr>
          <w:b/>
        </w:rPr>
        <w:t>Mueller, econ prof, 12</w:t>
      </w:r>
      <w:r w:rsidRPr="00F07B7C">
        <w:rPr>
          <w:sz w:val="12"/>
        </w:rPr>
        <w:t xml:space="preserve">—doctorate in economics, professor at UFS in Brazil (Antony P., 3/12/12, “The Stimulus Scam,” </w:t>
      </w:r>
      <w:hyperlink r:id="rId33" w:history="1">
        <w:r w:rsidRPr="00F07B7C">
          <w:rPr>
            <w:rStyle w:val="Hyperlink"/>
            <w:sz w:val="12"/>
          </w:rPr>
          <w:t>http://mises.org/daily/4158</w:t>
        </w:r>
      </w:hyperlink>
      <w:r w:rsidRPr="00F07B7C">
        <w:rPr>
          <w:sz w:val="12"/>
        </w:rPr>
        <w:t>, RBatra)</w:t>
      </w:r>
    </w:p>
    <w:p w:rsidR="00C12070" w:rsidRPr="00F07B7C" w:rsidRDefault="00C12070" w:rsidP="00C12070">
      <w:pPr>
        <w:rPr>
          <w:sz w:val="12"/>
        </w:rPr>
      </w:pPr>
    </w:p>
    <w:p w:rsidR="00C12070" w:rsidRPr="00F07B7C" w:rsidRDefault="00C12070" w:rsidP="00C12070">
      <w:pPr>
        <w:rPr>
          <w:b/>
          <w:u w:val="single"/>
        </w:rPr>
      </w:pPr>
      <w:r w:rsidRPr="00F07B7C">
        <w:rPr>
          <w:u w:val="single"/>
        </w:rPr>
        <w:t>It is quite common for</w:t>
      </w:r>
      <w:r w:rsidRPr="00F07B7C">
        <w:rPr>
          <w:sz w:val="12"/>
        </w:rPr>
        <w:t xml:space="preserve"> policy makers, economic </w:t>
      </w:r>
      <w:r w:rsidRPr="00F07B7C">
        <w:rPr>
          <w:u w:val="single"/>
        </w:rPr>
        <w:t>analysts</w:t>
      </w:r>
      <w:r w:rsidRPr="00F07B7C">
        <w:rPr>
          <w:sz w:val="12"/>
        </w:rPr>
        <w:t xml:space="preserve">, and commentators of all kinds </w:t>
      </w:r>
      <w:r w:rsidRPr="00F07B7C">
        <w:rPr>
          <w:u w:val="single"/>
        </w:rPr>
        <w:t>to fail to distinguish between economic growth, which enlarges the productive capacity of an economy, and mere expansion of demand</w:t>
      </w:r>
      <w:r w:rsidRPr="00F07B7C">
        <w:rPr>
          <w:sz w:val="12"/>
        </w:rPr>
        <w:t xml:space="preserve">. Yet </w:t>
      </w:r>
      <w:r w:rsidRPr="00F07B7C">
        <w:rPr>
          <w:u w:val="single"/>
        </w:rPr>
        <w:t xml:space="preserve">there is a huge difference between the kind of economic growth that comes as a consequence of victories in the battle against scarcity and the kind that is </w:t>
      </w:r>
      <w:r w:rsidRPr="00F07B7C">
        <w:rPr>
          <w:b/>
          <w:u w:val="single"/>
        </w:rPr>
        <w:t>merely an output expansion resulting from increased spending.</w:t>
      </w:r>
    </w:p>
    <w:p w:rsidR="00C12070" w:rsidRPr="00F07B7C" w:rsidRDefault="00C12070" w:rsidP="00C12070">
      <w:pPr>
        <w:rPr>
          <w:b/>
          <w:u w:val="single"/>
        </w:rPr>
      </w:pPr>
      <w:r w:rsidRPr="00F07B7C">
        <w:rPr>
          <w:sz w:val="12"/>
        </w:rPr>
        <w:t xml:space="preserve">The </w:t>
      </w:r>
      <w:r w:rsidRPr="00F07B7C">
        <w:rPr>
          <w:u w:val="single"/>
        </w:rPr>
        <w:t>Austrian</w:t>
      </w:r>
      <w:r w:rsidRPr="00F07B7C">
        <w:rPr>
          <w:sz w:val="12"/>
        </w:rPr>
        <w:t xml:space="preserve"> business-cycle </w:t>
      </w:r>
      <w:r w:rsidRPr="00F07B7C">
        <w:rPr>
          <w:u w:val="single"/>
        </w:rPr>
        <w:t>theory emphasizes the problem of intertemporal misallocation due to monetary and fiscal stimuli.</w:t>
      </w:r>
      <w:r w:rsidRPr="00F07B7C">
        <w:rPr>
          <w:sz w:val="12"/>
        </w:rPr>
        <w:t xml:space="preserve"> According to Austrian economic theory, </w:t>
      </w:r>
      <w:r w:rsidRPr="00F07B7C">
        <w:rPr>
          <w:u w:val="single"/>
        </w:rPr>
        <w:t xml:space="preserve">stimulus packages induce </w:t>
      </w:r>
      <w:r w:rsidRPr="00F07B7C">
        <w:rPr>
          <w:b/>
          <w:u w:val="single"/>
        </w:rPr>
        <w:t>the launch of projects that are bound to fail because their completion will be cut short by the lack of sustainable funding</w:t>
      </w:r>
      <w:r w:rsidRPr="00F07B7C">
        <w:rPr>
          <w:sz w:val="12"/>
        </w:rPr>
        <w:t xml:space="preserve">. In the short run, stimulus policies will bring an increase of the nation's gross domestic product, yet </w:t>
      </w:r>
      <w:r w:rsidRPr="00F07B7C">
        <w:rPr>
          <w:b/>
          <w:u w:val="single"/>
        </w:rPr>
        <w:t>what matters for long-term economic growth is not credit-induced demand but the nation's capacity for production.</w:t>
      </w:r>
    </w:p>
    <w:p w:rsidR="00C12070" w:rsidRPr="00F07B7C" w:rsidRDefault="00C12070" w:rsidP="00C12070">
      <w:pPr>
        <w:rPr>
          <w:u w:val="single"/>
        </w:rPr>
      </w:pPr>
      <w:r w:rsidRPr="00F07B7C">
        <w:rPr>
          <w:sz w:val="12"/>
        </w:rPr>
        <w:t xml:space="preserve">There is general agreement in the economics profession that the much-vaunted expenditure multiplier of Keynesian theory has quite different real and monetary effects depending on the state of the economy. However, </w:t>
      </w:r>
      <w:r w:rsidRPr="00F07B7C">
        <w:rPr>
          <w:u w:val="single"/>
        </w:rPr>
        <w:t xml:space="preserve">the negative impact of stimulus policies on productivity is much less understood. </w:t>
      </w:r>
      <w:r w:rsidRPr="00F07B7C">
        <w:rPr>
          <w:b/>
          <w:u w:val="single"/>
        </w:rPr>
        <w:t>When the economy expands due to fiscal or monetary stimulus, the productive capacity of the economy will actually decrease because the artificial expansion will mainly encourage malinvestment, i.e., the pursuit of business projects that are not viable in the long run.</w:t>
      </w:r>
    </w:p>
    <w:p w:rsidR="00C12070" w:rsidRPr="00F07B7C" w:rsidRDefault="00C12070" w:rsidP="00C12070">
      <w:pPr>
        <w:rPr>
          <w:u w:val="single"/>
        </w:rPr>
      </w:pPr>
      <w:r w:rsidRPr="00F07B7C">
        <w:rPr>
          <w:sz w:val="12"/>
        </w:rPr>
        <w:t xml:space="preserve">It is easy indeed to fall into the trap of phony economic growth; as long as capacity utilization is below the normal level, </w:t>
      </w:r>
      <w:r w:rsidRPr="00F07B7C">
        <w:rPr>
          <w:u w:val="single"/>
        </w:rPr>
        <w:t>demand expansions fueled by monetary and fiscal impulses increase economic activity. But the more the economy approaches full capacity, the more the effect on the production of real goods gets weaker and the effect on prices gets stronger</w:t>
      </w:r>
      <w:r w:rsidRPr="00F07B7C">
        <w:rPr>
          <w:sz w:val="12"/>
        </w:rPr>
        <w:t xml:space="preserve">. Eventually, </w:t>
      </w:r>
      <w:r w:rsidRPr="00F07B7C">
        <w:rPr>
          <w:u w:val="single"/>
        </w:rPr>
        <w:t xml:space="preserve">this reaches the point when the monetary expansion </w:t>
      </w:r>
      <w:r w:rsidRPr="00F07B7C">
        <w:rPr>
          <w:b/>
          <w:u w:val="single"/>
        </w:rPr>
        <w:t>only has inflationary price effects</w:t>
      </w:r>
      <w:r w:rsidRPr="00F07B7C">
        <w:rPr>
          <w:u w:val="single"/>
        </w:rPr>
        <w:t>, and its impact on real production becomes nil.</w:t>
      </w:r>
    </w:p>
    <w:p w:rsidR="00C12070" w:rsidRPr="00F07B7C" w:rsidRDefault="00C12070" w:rsidP="00C12070">
      <w:pPr>
        <w:rPr>
          <w:u w:val="single"/>
        </w:rPr>
      </w:pPr>
      <w:r w:rsidRPr="00F07B7C">
        <w:rPr>
          <w:sz w:val="12"/>
        </w:rPr>
        <w:t xml:space="preserve">When distortions in the economy are still small, and only a minor recession would be necessary to correct the misallocation, a modest amount of monetary or fiscal stimulus often will be sufficient to make the boom continue; this represents another source of deception. Central bankers and finance ministers enjoy praise for this cheap feat of having prevented what would otherwise have been only a mild and short slump. Yet </w:t>
      </w:r>
      <w:r w:rsidRPr="00F07B7C">
        <w:rPr>
          <w:u w:val="single"/>
        </w:rPr>
        <w:t>by not letting mild recessions happen</w:t>
      </w:r>
      <w:r w:rsidRPr="00F07B7C">
        <w:rPr>
          <w:sz w:val="12"/>
        </w:rPr>
        <w:t xml:space="preserve">, these </w:t>
      </w:r>
      <w:r w:rsidRPr="00F07B7C">
        <w:rPr>
          <w:u w:val="single"/>
        </w:rPr>
        <w:t xml:space="preserve">policy makers heap one pile of economic distortions upon another </w:t>
      </w:r>
      <w:r w:rsidRPr="00F07B7C">
        <w:rPr>
          <w:b/>
          <w:u w:val="single"/>
        </w:rPr>
        <w:t>until the big downturn becomes unavoidable.</w:t>
      </w:r>
    </w:p>
    <w:p w:rsidR="00C12070" w:rsidRPr="00F07B7C" w:rsidRDefault="00C12070" w:rsidP="00C12070">
      <w:pPr>
        <w:rPr>
          <w:u w:val="single"/>
        </w:rPr>
      </w:pPr>
      <w:r w:rsidRPr="00F07B7C">
        <w:rPr>
          <w:sz w:val="12"/>
        </w:rPr>
        <w:t xml:space="preserve">When finally confronted with the threat of a severe depression, these same </w:t>
      </w:r>
      <w:r w:rsidRPr="00F07B7C">
        <w:rPr>
          <w:u w:val="single"/>
        </w:rPr>
        <w:t>authorities</w:t>
      </w:r>
      <w:r w:rsidRPr="00F07B7C">
        <w:rPr>
          <w:sz w:val="12"/>
        </w:rPr>
        <w:t xml:space="preserve"> fall into </w:t>
      </w:r>
      <w:r w:rsidRPr="00F07B7C">
        <w:rPr>
          <w:u w:val="single"/>
        </w:rPr>
        <w:t>panic</w:t>
      </w:r>
      <w:r w:rsidRPr="00F07B7C">
        <w:rPr>
          <w:sz w:val="12"/>
        </w:rPr>
        <w:t xml:space="preserve">. Acting in fear, </w:t>
      </w:r>
      <w:r w:rsidRPr="00F07B7C">
        <w:rPr>
          <w:u w:val="single"/>
        </w:rPr>
        <w:t>they tend to deny experience and to flout prudence and rationality. In the face of a major economic downturn, monetary authorities resort to flooding the economy with even more easy money</w:t>
      </w:r>
      <w:r w:rsidRPr="00F07B7C">
        <w:rPr>
          <w:sz w:val="12"/>
        </w:rPr>
        <w:t xml:space="preserve">. Furthermore, </w:t>
      </w:r>
      <w:r w:rsidRPr="00F07B7C">
        <w:rPr>
          <w:u w:val="single"/>
        </w:rPr>
        <w:t>their deficit spending heaps new debt upon old debt.</w:t>
      </w:r>
    </w:p>
    <w:p w:rsidR="00C12070" w:rsidRPr="00F07B7C" w:rsidRDefault="00C12070" w:rsidP="00C12070"/>
    <w:p w:rsidR="00C12070" w:rsidRPr="00F07B7C" w:rsidRDefault="00C12070" w:rsidP="00C12070">
      <w:pPr>
        <w:pStyle w:val="Heading4"/>
      </w:pPr>
      <w:r w:rsidRPr="00F07B7C">
        <w:t>Research and empirics prove—stimulus effects are temporary but still create huge amounts of inflation</w:t>
      </w:r>
    </w:p>
    <w:p w:rsidR="00C12070" w:rsidRPr="00F07B7C" w:rsidRDefault="00C12070" w:rsidP="00C12070">
      <w:pPr>
        <w:rPr>
          <w:sz w:val="12"/>
        </w:rPr>
      </w:pPr>
      <w:r w:rsidRPr="00F07B7C">
        <w:rPr>
          <w:b/>
        </w:rPr>
        <w:t>Issing 10</w:t>
      </w:r>
      <w:r w:rsidRPr="00F07B7C">
        <w:rPr>
          <w:sz w:val="12"/>
        </w:rPr>
        <w:t>—President of the Center for Financial Studies at Frankfurt University (Otmar, The International Economy. 24.2, Spring 2010: p35, “Is monetarism dead? Has the resurgence of Keynesianism already peaked?,” Academic OneFile, RBatra)</w:t>
      </w:r>
    </w:p>
    <w:p w:rsidR="00C12070" w:rsidRPr="00F07B7C" w:rsidRDefault="00C12070" w:rsidP="00C12070">
      <w:pPr>
        <w:rPr>
          <w:sz w:val="12"/>
        </w:rPr>
      </w:pPr>
    </w:p>
    <w:p w:rsidR="00C12070" w:rsidRPr="00F07B7C" w:rsidRDefault="00C12070" w:rsidP="00C12070">
      <w:pPr>
        <w:rPr>
          <w:sz w:val="12"/>
        </w:rPr>
      </w:pPr>
      <w:r w:rsidRPr="00F07B7C">
        <w:rPr>
          <w:sz w:val="12"/>
        </w:rPr>
        <w:t xml:space="preserve">This </w:t>
      </w:r>
      <w:r w:rsidRPr="00F07B7C">
        <w:rPr>
          <w:u w:val="single"/>
        </w:rPr>
        <w:t>dominance of Keynesianism was</w:t>
      </w:r>
      <w:r w:rsidRPr="00F07B7C">
        <w:rPr>
          <w:sz w:val="12"/>
        </w:rPr>
        <w:t xml:space="preserve"> finally </w:t>
      </w:r>
      <w:r w:rsidRPr="00F07B7C">
        <w:rPr>
          <w:u w:val="single"/>
        </w:rPr>
        <w:t>undermined by</w:t>
      </w:r>
      <w:r w:rsidRPr="00F07B7C">
        <w:rPr>
          <w:sz w:val="12"/>
        </w:rPr>
        <w:t xml:space="preserve"> two developments. The first was </w:t>
      </w:r>
      <w:r w:rsidRPr="00F07B7C">
        <w:rPr>
          <w:u w:val="single"/>
        </w:rPr>
        <w:t xml:space="preserve">new </w:t>
      </w:r>
      <w:r w:rsidRPr="00F07B7C">
        <w:rPr>
          <w:b/>
          <w:u w:val="single"/>
        </w:rPr>
        <w:t>theoretical and empirical research</w:t>
      </w:r>
      <w:r w:rsidRPr="00F07B7C">
        <w:rPr>
          <w:sz w:val="12"/>
        </w:rPr>
        <w:t xml:space="preserve">, chiefly </w:t>
      </w:r>
      <w:r w:rsidRPr="00F07B7C">
        <w:rPr>
          <w:u w:val="single"/>
        </w:rPr>
        <w:t>associated with</w:t>
      </w:r>
      <w:r w:rsidRPr="00F07B7C">
        <w:rPr>
          <w:sz w:val="12"/>
        </w:rPr>
        <w:t xml:space="preserve"> the American economist Milton </w:t>
      </w:r>
      <w:r w:rsidRPr="00F07B7C">
        <w:rPr>
          <w:u w:val="single"/>
        </w:rPr>
        <w:t>Friedman</w:t>
      </w:r>
      <w:r w:rsidRPr="00F07B7C">
        <w:rPr>
          <w:sz w:val="12"/>
        </w:rPr>
        <w:t xml:space="preserve">. The work of those economists, who soon came to be termed "monetarists," called into question fundamental elements of both Keynesian theory and the economic policy it underpinned. </w:t>
      </w:r>
      <w:r w:rsidRPr="00F07B7C">
        <w:rPr>
          <w:u w:val="single"/>
        </w:rPr>
        <w:t>Growing skepticism toward Keynesian thinking concerning the effectiveness of fiscal policy and its multiplier effects, the disregard for money and monetary policy, and the hubristic attempt at fine-tuning the economy</w:t>
      </w:r>
      <w:r w:rsidRPr="00F07B7C">
        <w:rPr>
          <w:sz w:val="12"/>
        </w:rPr>
        <w:t>--was replaced by growing support for monetarism.</w:t>
      </w:r>
    </w:p>
    <w:p w:rsidR="00C12070" w:rsidRPr="00F07B7C" w:rsidRDefault="00C12070" w:rsidP="00C12070">
      <w:pPr>
        <w:rPr>
          <w:sz w:val="12"/>
        </w:rPr>
      </w:pPr>
      <w:r w:rsidRPr="00F07B7C">
        <w:rPr>
          <w:u w:val="single"/>
        </w:rPr>
        <w:t>The second development</w:t>
      </w:r>
      <w:r w:rsidRPr="00F07B7C">
        <w:rPr>
          <w:sz w:val="12"/>
        </w:rPr>
        <w:t xml:space="preserve">, just as important, </w:t>
      </w:r>
      <w:r w:rsidRPr="00F07B7C">
        <w:rPr>
          <w:u w:val="single"/>
        </w:rPr>
        <w:t xml:space="preserve">was that </w:t>
      </w:r>
      <w:r w:rsidRPr="00F07B7C">
        <w:rPr>
          <w:b/>
          <w:u w:val="single"/>
        </w:rPr>
        <w:t>Keynesian policy had failed to deliver in practice</w:t>
      </w:r>
      <w:r w:rsidRPr="00F07B7C">
        <w:rPr>
          <w:sz w:val="12"/>
        </w:rPr>
        <w:t>. No one could have conceded this more plainly than then-British premier James Callaghan in his speech to the Labour Party Conference in Blackpool in September 1976: "</w:t>
      </w:r>
      <w:r w:rsidRPr="000429EA">
        <w:rPr>
          <w:highlight w:val="cyan"/>
          <w:u w:val="single"/>
        </w:rPr>
        <w:t>We used to think that you could just spend your way out of a recession</w:t>
      </w:r>
      <w:r w:rsidRPr="00F07B7C">
        <w:rPr>
          <w:u w:val="single"/>
        </w:rPr>
        <w:t xml:space="preserve"> and increase employment by cutting taxes and boosting Government spending</w:t>
      </w:r>
      <w:r w:rsidRPr="00F07B7C">
        <w:rPr>
          <w:sz w:val="12"/>
        </w:rPr>
        <w:t xml:space="preserve">. I tell you, in all candor, that </w:t>
      </w:r>
      <w:r w:rsidRPr="000429EA">
        <w:rPr>
          <w:highlight w:val="cyan"/>
          <w:u w:val="single"/>
        </w:rPr>
        <w:t>that option no longer exists</w:t>
      </w:r>
      <w:r w:rsidRPr="00F07B7C">
        <w:rPr>
          <w:u w:val="single"/>
        </w:rPr>
        <w:t xml:space="preserve">, and that insofar as it ever did exist, it only worked by </w:t>
      </w:r>
      <w:r w:rsidRPr="000429EA">
        <w:rPr>
          <w:b/>
          <w:highlight w:val="cyan"/>
          <w:u w:val="single"/>
        </w:rPr>
        <w:t>injecting bigger doses of inflation into the economy followed by higher levels of unemployment as the next step</w:t>
      </w:r>
      <w:r w:rsidRPr="00F07B7C">
        <w:rPr>
          <w:sz w:val="12"/>
        </w:rPr>
        <w:t>. That is the history of the past twenty years."</w:t>
      </w:r>
    </w:p>
    <w:p w:rsidR="00C12070" w:rsidRPr="00F07B7C" w:rsidRDefault="00C12070" w:rsidP="00C12070"/>
    <w:p w:rsidR="00C12070" w:rsidRPr="00F07B7C" w:rsidRDefault="00C12070" w:rsidP="00C12070"/>
    <w:p w:rsidR="00C12070" w:rsidRPr="00F07B7C" w:rsidRDefault="00C12070" w:rsidP="00C12070"/>
    <w:p w:rsidR="00C12070" w:rsidRPr="00F07B7C" w:rsidRDefault="00C12070" w:rsidP="00C12070"/>
    <w:p w:rsidR="00C12070" w:rsidRPr="00F07B7C" w:rsidRDefault="00C12070" w:rsidP="00C12070"/>
    <w:p w:rsidR="00C12070" w:rsidRPr="00F07B7C" w:rsidRDefault="00C12070" w:rsidP="00C12070"/>
    <w:p w:rsidR="00C12070" w:rsidRPr="00F07B7C" w:rsidRDefault="00C12070" w:rsidP="00C12070">
      <w:pPr>
        <w:pStyle w:val="Heading3"/>
      </w:pPr>
      <w:r w:rsidRPr="00F07B7C">
        <w:t>at: multiplier effect</w:t>
      </w:r>
    </w:p>
    <w:p w:rsidR="00C12070" w:rsidRPr="00F07B7C" w:rsidRDefault="00C12070" w:rsidP="00C12070"/>
    <w:p w:rsidR="00C12070" w:rsidRPr="00F07B7C" w:rsidRDefault="00C12070" w:rsidP="00C12070">
      <w:pPr>
        <w:pStyle w:val="Heading4"/>
      </w:pPr>
      <w:r w:rsidRPr="00F07B7C">
        <w:t>Stimulus doesn’t boost consumer spending—but taking into account income tax, the net multiplier is negative</w:t>
      </w:r>
    </w:p>
    <w:p w:rsidR="00C12070" w:rsidRPr="00F07B7C" w:rsidRDefault="00C12070" w:rsidP="00C12070">
      <w:pPr>
        <w:rPr>
          <w:sz w:val="12"/>
        </w:rPr>
      </w:pPr>
      <w:r w:rsidRPr="00F07B7C">
        <w:rPr>
          <w:b/>
        </w:rPr>
        <w:t>Cochrane 11</w:t>
      </w:r>
      <w:r w:rsidRPr="00F07B7C">
        <w:rPr>
          <w:sz w:val="12"/>
        </w:rPr>
        <w:t>—Myron S. Scholes Professor of Finance, U Chicago Booth School of Business (John, 2 June 2011, “HOW DID PAUL KRUGMAN GET IT SO WRONG?,” Wiley Online Library, RBatra)</w:t>
      </w:r>
    </w:p>
    <w:p w:rsidR="00C12070" w:rsidRPr="00F07B7C" w:rsidRDefault="00C12070" w:rsidP="00C12070">
      <w:pPr>
        <w:rPr>
          <w:sz w:val="12"/>
        </w:rPr>
      </w:pPr>
    </w:p>
    <w:p w:rsidR="00C12070" w:rsidRPr="00F07B7C" w:rsidRDefault="00C12070" w:rsidP="00C12070">
      <w:pPr>
        <w:rPr>
          <w:sz w:val="12"/>
        </w:rPr>
      </w:pPr>
      <w:r w:rsidRPr="00F07B7C">
        <w:rPr>
          <w:sz w:val="12"/>
        </w:rPr>
        <w:t xml:space="preserve">Krugman is a strong supporter of fiscal stimulus. In this quest, he accuses us and the rest of the economics profession of ‘mistaking beauty for truth’. He is not clear on what the ‘beauty’ is that we all fell in love with, and why one should shun it, for good reason. The first siren of beauty is simple logical consistency. Krugman's </w:t>
      </w:r>
      <w:r w:rsidRPr="00F07B7C">
        <w:rPr>
          <w:u w:val="single"/>
        </w:rPr>
        <w:t>Keynesian economics requires that people make logically inconsistent plans to consume more, invest more and pay more taxes with the same income</w:t>
      </w:r>
      <w:r w:rsidRPr="00F07B7C">
        <w:rPr>
          <w:sz w:val="12"/>
        </w:rPr>
        <w:t xml:space="preserve">. The second siren is plausible assumptions about how people behave. </w:t>
      </w:r>
      <w:r w:rsidRPr="00F07B7C">
        <w:rPr>
          <w:u w:val="single"/>
        </w:rPr>
        <w:t xml:space="preserve">Keynesian economics requires that the government is able to systematically fool people again and again. It presumes that people don't think about the future in making decisions today. </w:t>
      </w:r>
      <w:r w:rsidRPr="00B51293">
        <w:rPr>
          <w:highlight w:val="yellow"/>
          <w:u w:val="single"/>
        </w:rPr>
        <w:t>Logical consistency and plausible foundations are</w:t>
      </w:r>
      <w:r w:rsidRPr="00F07B7C">
        <w:rPr>
          <w:sz w:val="12"/>
        </w:rPr>
        <w:t xml:space="preserve"> indeed ‘beautiful’ but to me they are also </w:t>
      </w:r>
      <w:r w:rsidRPr="00B51293">
        <w:rPr>
          <w:b/>
          <w:highlight w:val="yellow"/>
          <w:u w:val="single"/>
        </w:rPr>
        <w:t>basic preconditions for ‘truth’</w:t>
      </w:r>
      <w:r w:rsidRPr="00F07B7C">
        <w:rPr>
          <w:b/>
          <w:u w:val="single"/>
        </w:rPr>
        <w:t>.</w:t>
      </w:r>
    </w:p>
    <w:p w:rsidR="00C12070" w:rsidRPr="00F07B7C" w:rsidRDefault="00C12070" w:rsidP="00C12070">
      <w:pPr>
        <w:rPr>
          <w:sz w:val="12"/>
        </w:rPr>
      </w:pPr>
      <w:r w:rsidRPr="00F07B7C">
        <w:rPr>
          <w:sz w:val="12"/>
        </w:rPr>
        <w:t xml:space="preserve">In economics, stimulus spending ran aground on Robert </w:t>
      </w:r>
      <w:r w:rsidRPr="00F07B7C">
        <w:rPr>
          <w:u w:val="single"/>
        </w:rPr>
        <w:t>Barro's Ricardian equivalence theorem</w:t>
      </w:r>
      <w:r w:rsidRPr="00F07B7C">
        <w:rPr>
          <w:sz w:val="12"/>
        </w:rPr>
        <w:t xml:space="preserve">. This theorem </w:t>
      </w:r>
      <w:r w:rsidRPr="00F07B7C">
        <w:rPr>
          <w:u w:val="single"/>
        </w:rPr>
        <w:t>says</w:t>
      </w:r>
      <w:r w:rsidRPr="00F07B7C">
        <w:rPr>
          <w:sz w:val="12"/>
        </w:rPr>
        <w:t xml:space="preserve"> that </w:t>
      </w:r>
      <w:r w:rsidRPr="00F07B7C">
        <w:rPr>
          <w:u w:val="single"/>
        </w:rPr>
        <w:t xml:space="preserve">debt-financed spending cannot have any more effect than spending financed by raising taxes. </w:t>
      </w:r>
      <w:r w:rsidRPr="00B51293">
        <w:rPr>
          <w:b/>
          <w:highlight w:val="yellow"/>
          <w:u w:val="single"/>
        </w:rPr>
        <w:t>People, seeing the higher future taxes that must pay off the debt, will simply save more</w:t>
      </w:r>
      <w:r w:rsidRPr="00F07B7C">
        <w:rPr>
          <w:u w:val="single"/>
        </w:rPr>
        <w:t>. They will buy</w:t>
      </w:r>
      <w:r w:rsidRPr="00F07B7C">
        <w:rPr>
          <w:sz w:val="12"/>
        </w:rPr>
        <w:t xml:space="preserve"> the </w:t>
      </w:r>
      <w:r w:rsidRPr="00F07B7C">
        <w:rPr>
          <w:u w:val="single"/>
        </w:rPr>
        <w:t>new government debt and leave all spending decisions unaltered</w:t>
      </w:r>
      <w:r w:rsidRPr="00F07B7C">
        <w:rPr>
          <w:sz w:val="12"/>
        </w:rPr>
        <w:t>. Is this theorem true? It is a logical connection from a set of ‘ifs’ to a set of ‘therefores’. Not even Krugman can object to the connection.</w:t>
      </w:r>
    </w:p>
    <w:p w:rsidR="00C12070" w:rsidRPr="00F07B7C" w:rsidRDefault="00C12070" w:rsidP="00C12070">
      <w:pPr>
        <w:rPr>
          <w:sz w:val="12"/>
        </w:rPr>
      </w:pPr>
      <w:r w:rsidRPr="00F07B7C">
        <w:rPr>
          <w:sz w:val="12"/>
        </w:rPr>
        <w:t xml:space="preserve">Therefore, we have to examine the ‘ifs’. And those ‘ifs’ are, as usual, obviously not true. For example, </w:t>
      </w:r>
      <w:r w:rsidRPr="00F07B7C">
        <w:rPr>
          <w:u w:val="single"/>
        </w:rPr>
        <w:t>the theorem assumes lump-sum taxes, not proportional income taxes.</w:t>
      </w:r>
      <w:r w:rsidRPr="00F07B7C">
        <w:rPr>
          <w:sz w:val="12"/>
        </w:rPr>
        <w:t xml:space="preserve"> Alas, </w:t>
      </w:r>
      <w:r w:rsidRPr="00B51293">
        <w:rPr>
          <w:b/>
          <w:highlight w:val="yellow"/>
          <w:u w:val="single"/>
        </w:rPr>
        <w:t xml:space="preserve">when you take this consideration into account, we are all made poorer by deficit spending, so the multiplier is most likely </w:t>
      </w:r>
      <w:r w:rsidRPr="00B51293">
        <w:rPr>
          <w:b/>
          <w:highlight w:val="yellow"/>
          <w:u w:val="single"/>
          <w:bdr w:val="single" w:sz="4" w:space="0" w:color="auto" w:frame="1"/>
        </w:rPr>
        <w:t>negative</w:t>
      </w:r>
      <w:r w:rsidRPr="00F07B7C">
        <w:rPr>
          <w:sz w:val="12"/>
        </w:rPr>
        <w:t>. The theorem (like most Keynesian economics) ignores the composition of output; but surely spending money on roads rather than cars can't greatly affect the overall level of output.</w:t>
      </w:r>
    </w:p>
    <w:p w:rsidR="00C12070" w:rsidRPr="00F07B7C" w:rsidRDefault="00C12070" w:rsidP="00C12070">
      <w:pPr>
        <w:rPr>
          <w:sz w:val="12"/>
        </w:rPr>
      </w:pPr>
      <w:r w:rsidRPr="00F07B7C">
        <w:rPr>
          <w:sz w:val="12"/>
        </w:rPr>
        <w:t>Economists have spent a generation tossing and turning the Ricardian equivalence theorem, assessing the likely effects of fiscal stimulus in its light, generalising the ‘ifs’ and figuring out the likely ‘therefores’. This is exactly the right way to do things. The impact of Ricardian equivalence is not that this simple abstract benchmark is literally true. The impact is that in its wake, if you want to understand the effects of government spending, you have to specify why and how it is false.</w:t>
      </w:r>
    </w:p>
    <w:p w:rsidR="00C12070" w:rsidRPr="00F07B7C" w:rsidRDefault="00C12070" w:rsidP="00C12070">
      <w:pPr>
        <w:rPr>
          <w:sz w:val="12"/>
        </w:rPr>
      </w:pPr>
      <w:r w:rsidRPr="00F07B7C">
        <w:rPr>
          <w:sz w:val="12"/>
        </w:rPr>
        <w:t>Doing so does not lead you anywhere near old-fashioned Keynesian economics. It leads you to consider distorting taxes, how much people care about their children, how many people would like to borrow more to finance today's consumption and so on.</w:t>
      </w:r>
    </w:p>
    <w:p w:rsidR="00C12070" w:rsidRPr="00F07B7C" w:rsidRDefault="00C12070" w:rsidP="00C12070">
      <w:pPr>
        <w:rPr>
          <w:sz w:val="12"/>
        </w:rPr>
      </w:pPr>
      <w:r w:rsidRPr="00F07B7C">
        <w:rPr>
          <w:sz w:val="12"/>
        </w:rPr>
        <w:t xml:space="preserve">For example, </w:t>
      </w:r>
      <w:r w:rsidRPr="00F07B7C">
        <w:rPr>
          <w:u w:val="single"/>
        </w:rPr>
        <w:t>most Keynesians think the Ricardian equivalence theorem fails because people don't rationally anticipate</w:t>
      </w:r>
      <w:r w:rsidRPr="00F07B7C">
        <w:rPr>
          <w:sz w:val="12"/>
        </w:rPr>
        <w:t xml:space="preserve"> the </w:t>
      </w:r>
      <w:r w:rsidRPr="00F07B7C">
        <w:rPr>
          <w:u w:val="single"/>
        </w:rPr>
        <w:t>future taxes</w:t>
      </w:r>
      <w:r w:rsidRPr="00F07B7C">
        <w:rPr>
          <w:sz w:val="12"/>
        </w:rPr>
        <w:t xml:space="preserve"> that must pay off today's debt. OK, but what's good for the goose is good for the gander: </w:t>
      </w:r>
      <w:r w:rsidRPr="00F07B7C">
        <w:rPr>
          <w:u w:val="single"/>
        </w:rPr>
        <w:t xml:space="preserve">if sometimes people pay too little attention to future taxes, at others they pay too much, </w:t>
      </w:r>
      <w:r w:rsidRPr="00F07B7C">
        <w:rPr>
          <w:b/>
          <w:u w:val="single"/>
        </w:rPr>
        <w:t xml:space="preserve">so </w:t>
      </w:r>
      <w:r w:rsidRPr="00B51293">
        <w:rPr>
          <w:b/>
          <w:highlight w:val="yellow"/>
          <w:u w:val="single"/>
        </w:rPr>
        <w:t>stimulus has a negative effect</w:t>
      </w:r>
      <w:r w:rsidRPr="00F07B7C">
        <w:rPr>
          <w:u w:val="single"/>
        </w:rPr>
        <w:t>.</w:t>
      </w:r>
      <w:r w:rsidRPr="00F07B7C">
        <w:rPr>
          <w:sz w:val="12"/>
        </w:rPr>
        <w:t xml:space="preserve"> The latter seems at least plausible now! It is the logically consistent conclusion from Krugman's views. He thinks deficit concerns are just Tea Party hysteria. OK, but if so, the voters are overestimating future taxes, not ignoring them. Furthermore, if ‘stimulus’ is rooted in people ignoring future taxes, then it makes no sense whatsoever to advocate ‘stimulus’ today but loudly announce the future taxes in ‘deficit reduction’!</w:t>
      </w:r>
    </w:p>
    <w:p w:rsidR="00C12070" w:rsidRPr="00F07B7C" w:rsidRDefault="00C12070" w:rsidP="00C12070"/>
    <w:p w:rsidR="00C12070" w:rsidRPr="00F07B7C" w:rsidRDefault="00C12070" w:rsidP="00C12070">
      <w:pPr>
        <w:rPr>
          <w:b/>
        </w:rPr>
      </w:pPr>
      <w:r w:rsidRPr="00F07B7C">
        <w:rPr>
          <w:b/>
        </w:rPr>
        <w:t>Even if they win the multiplier effect, private spending solves better</w:t>
      </w:r>
    </w:p>
    <w:p w:rsidR="00C12070" w:rsidRPr="00F07B7C" w:rsidRDefault="00C12070" w:rsidP="00C12070">
      <w:pPr>
        <w:rPr>
          <w:sz w:val="12"/>
        </w:rPr>
      </w:pPr>
      <w:r w:rsidRPr="00F07B7C">
        <w:rPr>
          <w:b/>
        </w:rPr>
        <w:t>Reidl 10</w:t>
      </w:r>
      <w:r w:rsidRPr="00F07B7C">
        <w:rPr>
          <w:sz w:val="12"/>
        </w:rPr>
        <w:t xml:space="preserve">—lead budget analyst for the Heritage Foundation, bachelor's degree in economics and political science from the University of Wisconsin,  master's degree in public affairs from Princeton University; quoting John Cochrane, Professor of Finance at the University of Chicago (Brian, 1/8/10, “Why Government Spending Does Not Stimulate Economic Growth: Answering the Critics,” </w:t>
      </w:r>
      <w:hyperlink r:id="rId34" w:history="1">
        <w:r w:rsidRPr="00F07B7C">
          <w:rPr>
            <w:rStyle w:val="Hyperlink"/>
            <w:sz w:val="12"/>
          </w:rPr>
          <w:t>http://online.wsj.com/article/SB10001424052748703481004574646551469288292.html?mod=WSJ_latestheadlines</w:t>
        </w:r>
      </w:hyperlink>
      <w:r w:rsidRPr="00F07B7C">
        <w:rPr>
          <w:sz w:val="12"/>
        </w:rPr>
        <w:t>, RBatra)</w:t>
      </w:r>
    </w:p>
    <w:p w:rsidR="00C12070" w:rsidRPr="00F07B7C" w:rsidRDefault="00C12070" w:rsidP="00C12070">
      <w:pPr>
        <w:rPr>
          <w:sz w:val="12"/>
        </w:rPr>
      </w:pPr>
    </w:p>
    <w:p w:rsidR="00C12070" w:rsidRPr="00F07B7C" w:rsidRDefault="00C12070" w:rsidP="00C12070">
      <w:pPr>
        <w:rPr>
          <w:u w:val="single"/>
        </w:rPr>
      </w:pPr>
      <w:r w:rsidRPr="00F07B7C">
        <w:rPr>
          <w:sz w:val="12"/>
        </w:rPr>
        <w:t xml:space="preserve">Critics' Objection No. 3: Government Spending Has a Multiplier Effect That Allows the Money to Re-circulate Through the Economy Multiple Times. This point is correct but irrelevant to the question of stimulus. </w:t>
      </w:r>
      <w:r w:rsidRPr="00F07B7C">
        <w:rPr>
          <w:u w:val="single"/>
        </w:rPr>
        <w:t xml:space="preserve">Yes, </w:t>
      </w:r>
      <w:r w:rsidRPr="00B51293">
        <w:rPr>
          <w:highlight w:val="yellow"/>
          <w:u w:val="single"/>
        </w:rPr>
        <w:t>$100 in unemployment benefits can be spent at a grocery store,</w:t>
      </w:r>
      <w:r w:rsidRPr="00F07B7C">
        <w:rPr>
          <w:u w:val="single"/>
        </w:rPr>
        <w:t xml:space="preserve"> which, </w:t>
      </w:r>
      <w:r w:rsidRPr="00B51293">
        <w:rPr>
          <w:highlight w:val="yellow"/>
          <w:u w:val="single"/>
        </w:rPr>
        <w:t>in turn, can use that $100 to pay salaries and support other jobs</w:t>
      </w:r>
      <w:r w:rsidRPr="00F07B7C">
        <w:rPr>
          <w:u w:val="single"/>
        </w:rPr>
        <w:t xml:space="preserve">. </w:t>
      </w:r>
      <w:r w:rsidRPr="00B51293">
        <w:rPr>
          <w:highlight w:val="yellow"/>
          <w:u w:val="single"/>
        </w:rPr>
        <w:t>The total amount of additional economic activity will be well above $100; but because government borrows the $100, that same money is now unavailable to the private secto</w:t>
      </w:r>
      <w:r w:rsidRPr="00F07B7C">
        <w:rPr>
          <w:u w:val="single"/>
        </w:rPr>
        <w:t>r--</w:t>
      </w:r>
      <w:r w:rsidRPr="00B51293">
        <w:rPr>
          <w:highlight w:val="yellow"/>
          <w:u w:val="single"/>
        </w:rPr>
        <w:t>which would have spent the same $100 with the same multiplier effect</w:t>
      </w:r>
      <w:r w:rsidRPr="00F07B7C">
        <w:rPr>
          <w:u w:val="single"/>
        </w:rPr>
        <w:t>.</w:t>
      </w:r>
    </w:p>
    <w:p w:rsidR="00C12070" w:rsidRPr="00F07B7C" w:rsidRDefault="00C12070" w:rsidP="00C12070">
      <w:pPr>
        <w:rPr>
          <w:u w:val="single"/>
        </w:rPr>
      </w:pPr>
      <w:r w:rsidRPr="00F07B7C">
        <w:rPr>
          <w:sz w:val="12"/>
        </w:rPr>
        <w:t xml:space="preserve">Consider a more comprehensive example. A family might normally put its $10,000 savings in a CD at the local bank. The bank would then lend that $10,000 to the local hardware store, which would then recycle that spending around the town, supporting local jobs. Suppose that the family instead buys a $10,000 government bond that funds the stimulus bill. Washington spends that $10,000 in a different town, supporting jobs there instead. </w:t>
      </w:r>
      <w:r w:rsidRPr="00F07B7C">
        <w:rPr>
          <w:u w:val="single"/>
        </w:rPr>
        <w:t>The stimulus has not created new spending, jobs, or a multiplier effect. It has merely moved them to a new town.</w:t>
      </w:r>
    </w:p>
    <w:p w:rsidR="00C12070" w:rsidRPr="00F07B7C" w:rsidRDefault="00C12070" w:rsidP="00C12070"/>
    <w:p w:rsidR="00C12070" w:rsidRPr="00F07B7C" w:rsidRDefault="00C12070" w:rsidP="00C12070">
      <w:pPr>
        <w:pStyle w:val="Heading3"/>
      </w:pPr>
      <w:r w:rsidRPr="00F07B7C">
        <w:t>1nc econ resilient</w:t>
      </w:r>
    </w:p>
    <w:p w:rsidR="00C12070" w:rsidRPr="00F07B7C" w:rsidRDefault="00C12070" w:rsidP="00C12070">
      <w:pPr>
        <w:pStyle w:val="Heading4"/>
      </w:pPr>
      <w:r w:rsidRPr="00F07B7C">
        <w:t xml:space="preserve">No impact—global econ’s </w:t>
      </w:r>
      <w:r w:rsidRPr="00F07B7C">
        <w:rPr>
          <w:u w:val="single"/>
        </w:rPr>
        <w:t>resilient</w:t>
      </w:r>
      <w:r w:rsidRPr="00F07B7C">
        <w:t>, no protectionism or conflict from decline—</w:t>
      </w:r>
      <w:r w:rsidRPr="00F07B7C">
        <w:rPr>
          <w:u w:val="single"/>
        </w:rPr>
        <w:t>aggregate data</w:t>
      </w:r>
      <w:r w:rsidRPr="00F07B7C">
        <w:t xml:space="preserve"> concludes</w:t>
      </w:r>
    </w:p>
    <w:p w:rsidR="00C12070" w:rsidRPr="00F07B7C" w:rsidRDefault="00C12070" w:rsidP="00C12070">
      <w:r w:rsidRPr="00F07B7C">
        <w:rPr>
          <w:b/>
        </w:rPr>
        <w:t>Drezner 14</w:t>
      </w:r>
      <w:r w:rsidRPr="00F07B7C">
        <w:t>—professor of international politics at the Fletcher School of Law and Diplomacy at Tufts University</w:t>
      </w:r>
    </w:p>
    <w:p w:rsidR="00C12070" w:rsidRPr="00F07B7C" w:rsidRDefault="00C12070" w:rsidP="00C12070">
      <w:pPr>
        <w:rPr>
          <w:sz w:val="16"/>
          <w:szCs w:val="16"/>
        </w:rPr>
      </w:pPr>
      <w:r w:rsidRPr="00F07B7C">
        <w:rPr>
          <w:sz w:val="16"/>
          <w:szCs w:val="16"/>
        </w:rPr>
        <w:t>(Daniel, “The System Worked: Global Economic Governance during the Great Recession”, World Politics / Volume 66 / Issue 01 / January 2014, pp 123-164, dml)</w:t>
      </w:r>
    </w:p>
    <w:p w:rsidR="00C12070" w:rsidRPr="00F07B7C" w:rsidRDefault="00C12070" w:rsidP="00C12070"/>
    <w:p w:rsidR="00C12070" w:rsidRPr="00F07B7C" w:rsidRDefault="00C12070" w:rsidP="00C12070">
      <w:pPr>
        <w:rPr>
          <w:sz w:val="16"/>
        </w:rPr>
      </w:pPr>
      <w:r w:rsidRPr="00F07B7C">
        <w:rPr>
          <w:sz w:val="16"/>
        </w:rPr>
        <w:t xml:space="preserve">The final significant outcome addresses a dog that hasn’t barked: </w:t>
      </w:r>
      <w:r w:rsidRPr="00F07B7C">
        <w:rPr>
          <w:rStyle w:val="StyleUnderline"/>
        </w:rPr>
        <w:t>the effect of the Great Recession on cross-border conflict and violence</w:t>
      </w:r>
      <w:r w:rsidRPr="00F07B7C">
        <w:rPr>
          <w:sz w:val="16"/>
        </w:rPr>
        <w:t xml:space="preserve">. During the initial stages of the crisis, </w:t>
      </w:r>
      <w:r w:rsidRPr="00B51293">
        <w:rPr>
          <w:rStyle w:val="StyleUnderline"/>
          <w:highlight w:val="yellow"/>
        </w:rPr>
        <w:t>multiple analysts</w:t>
      </w:r>
      <w:r w:rsidRPr="00F07B7C">
        <w:rPr>
          <w:rStyle w:val="StyleUnderline"/>
        </w:rPr>
        <w:t xml:space="preserve"> asserted that the financial crisis would lead states to increase their use of force</w:t>
      </w:r>
      <w:r w:rsidRPr="00F07B7C">
        <w:rPr>
          <w:sz w:val="16"/>
        </w:rPr>
        <w:t xml:space="preserve"> as a tool for staying in power.42 </w:t>
      </w:r>
      <w:r w:rsidRPr="00F07B7C">
        <w:rPr>
          <w:rStyle w:val="StyleUnderline"/>
        </w:rPr>
        <w:t xml:space="preserve">They voiced genuine concern that </w:t>
      </w:r>
      <w:r w:rsidRPr="00B51293">
        <w:rPr>
          <w:rStyle w:val="StyleUnderline"/>
          <w:highlight w:val="yellow"/>
        </w:rPr>
        <w:t>the global economic downturn would lead to an increase in conflict</w:t>
      </w:r>
      <w:r w:rsidRPr="00F07B7C">
        <w:rPr>
          <w:rStyle w:val="StyleUnderline"/>
        </w:rPr>
        <w:t>—whether through greater internal repression, diversionary wars, arms races, or a ratcheting up of great power conflict</w:t>
      </w:r>
      <w:r w:rsidRPr="00F07B7C">
        <w:rPr>
          <w:sz w:val="16"/>
        </w:rPr>
        <w:t>. Violence in the Middle East, border disputes in the South China Sea, and even the disruptions of the Occupy movement fueled impressions of a surge in global public disorder.</w:t>
      </w:r>
    </w:p>
    <w:p w:rsidR="00C12070" w:rsidRPr="00F07B7C" w:rsidRDefault="00C12070" w:rsidP="00C12070">
      <w:pPr>
        <w:rPr>
          <w:sz w:val="16"/>
        </w:rPr>
      </w:pPr>
      <w:r w:rsidRPr="00B51293">
        <w:rPr>
          <w:rStyle w:val="Emphasis"/>
          <w:highlight w:val="yellow"/>
        </w:rPr>
        <w:t>The aggregate data suggest otherwise</w:t>
      </w:r>
      <w:r w:rsidRPr="00F07B7C">
        <w:rPr>
          <w:sz w:val="16"/>
        </w:rPr>
        <w:t xml:space="preserve">, however. </w:t>
      </w:r>
      <w:r w:rsidRPr="00F07B7C">
        <w:rPr>
          <w:rStyle w:val="StyleUnderline"/>
        </w:rPr>
        <w:t>The Institute for Economics and Peace has concluded that “the average level of peacefulness in 2012 is approximately the same as it was in 2007</w:t>
      </w:r>
      <w:r w:rsidRPr="00F07B7C">
        <w:rPr>
          <w:sz w:val="16"/>
        </w:rPr>
        <w:t xml:space="preserve">.”43 </w:t>
      </w:r>
      <w:r w:rsidRPr="00B51293">
        <w:rPr>
          <w:rStyle w:val="StyleUnderline"/>
          <w:highlight w:val="yellow"/>
        </w:rPr>
        <w:t xml:space="preserve">Interstate violence in particular has </w:t>
      </w:r>
      <w:r w:rsidRPr="00B51293">
        <w:rPr>
          <w:rStyle w:val="Emphasis"/>
          <w:highlight w:val="yellow"/>
        </w:rPr>
        <w:t>declined</w:t>
      </w:r>
      <w:r w:rsidRPr="00B51293">
        <w:rPr>
          <w:rStyle w:val="StyleUnderline"/>
          <w:highlight w:val="yellow"/>
        </w:rPr>
        <w:t xml:space="preserve"> since the start of the financial crisis</w:t>
      </w:r>
      <w:r w:rsidRPr="00F07B7C">
        <w:rPr>
          <w:sz w:val="16"/>
        </w:rPr>
        <w:t xml:space="preserve">, as have military expenditures in most sampled countries. </w:t>
      </w:r>
      <w:r w:rsidRPr="00F07B7C">
        <w:rPr>
          <w:rStyle w:val="StyleUnderline"/>
        </w:rPr>
        <w:t xml:space="preserve">Other studies confirm that the Great Recession </w:t>
      </w:r>
      <w:r w:rsidRPr="00B51293">
        <w:rPr>
          <w:rStyle w:val="Emphasis"/>
          <w:highlight w:val="yellow"/>
        </w:rPr>
        <w:t>has not triggered</w:t>
      </w:r>
      <w:r w:rsidRPr="00B51293">
        <w:rPr>
          <w:rStyle w:val="StyleUnderline"/>
          <w:highlight w:val="yellow"/>
        </w:rPr>
        <w:t xml:space="preserve"> any increase in violent conflict</w:t>
      </w:r>
      <w:r w:rsidRPr="00F07B7C">
        <w:rPr>
          <w:sz w:val="16"/>
        </w:rPr>
        <w:t xml:space="preserve">, as Lotta Themnér and Peter Wallensteen conclude: </w:t>
      </w:r>
      <w:r w:rsidRPr="00F07B7C">
        <w:rPr>
          <w:rStyle w:val="StyleUnderline"/>
        </w:rPr>
        <w:t>“[T]he pattern is one of relative stability when we consider the trend for the past five years</w:t>
      </w:r>
      <w:r w:rsidRPr="00F07B7C">
        <w:rPr>
          <w:sz w:val="16"/>
        </w:rPr>
        <w:t>.”44 The secular decline in violence that started with the end of the Cold War has not been reversed. Rogers Brubaker observes that “</w:t>
      </w:r>
      <w:r w:rsidRPr="00F07B7C">
        <w:rPr>
          <w:rStyle w:val="StyleUnderline"/>
        </w:rPr>
        <w:t>the crisis has not to date generated the surge in protectionist nationalism or ethnic exclusion that might have been expected</w:t>
      </w:r>
      <w:r w:rsidRPr="00F07B7C">
        <w:rPr>
          <w:sz w:val="16"/>
        </w:rPr>
        <w:t xml:space="preserve">.”45 </w:t>
      </w:r>
    </w:p>
    <w:p w:rsidR="00C12070" w:rsidRPr="00F07B7C" w:rsidRDefault="00C12070" w:rsidP="00C12070"/>
    <w:p w:rsidR="00C12070" w:rsidRPr="00F07B7C" w:rsidRDefault="00C12070" w:rsidP="00C12070">
      <w:pPr>
        <w:pStyle w:val="Heading3"/>
      </w:pPr>
      <w:r w:rsidRPr="00F07B7C">
        <w:t>1nc no war</w:t>
      </w:r>
    </w:p>
    <w:p w:rsidR="00C12070" w:rsidRPr="00F07B7C" w:rsidRDefault="00C12070" w:rsidP="00C12070"/>
    <w:p w:rsidR="00C12070" w:rsidRPr="00F07B7C" w:rsidRDefault="00C12070" w:rsidP="00C12070">
      <w:pPr>
        <w:pStyle w:val="Heading4"/>
      </w:pPr>
      <w:r w:rsidRPr="00F07B7C">
        <w:t>Collapse doesn’t cause war</w:t>
      </w:r>
    </w:p>
    <w:p w:rsidR="00C12070" w:rsidRPr="00F07B7C" w:rsidRDefault="00C12070" w:rsidP="00C12070">
      <w:r w:rsidRPr="00F07B7C">
        <w:rPr>
          <w:rStyle w:val="Style13ptBold"/>
        </w:rPr>
        <w:t>Clary 15</w:t>
      </w:r>
      <w:r w:rsidRPr="00F07B7C">
        <w:t xml:space="preserve"> – PhD in political science from MIT, MA in national security affairs, postdoctoral fellow, Watson Institute for International Studies, Brown University</w:t>
      </w:r>
    </w:p>
    <w:p w:rsidR="00C12070" w:rsidRPr="00F07B7C" w:rsidRDefault="00C12070" w:rsidP="00C12070">
      <w:r w:rsidRPr="00F07B7C">
        <w:t>(Christopher, “Economic Stress and International Cooperation: Evidence from International Rivalries”, 4/25/15)</w:t>
      </w:r>
    </w:p>
    <w:p w:rsidR="00C12070" w:rsidRPr="00F07B7C" w:rsidRDefault="00C12070" w:rsidP="00C12070"/>
    <w:p w:rsidR="00C12070" w:rsidRPr="00F07B7C" w:rsidRDefault="00C12070" w:rsidP="00C12070">
      <w:pPr>
        <w:rPr>
          <w:sz w:val="16"/>
        </w:rPr>
      </w:pPr>
      <w:r w:rsidRPr="00F07B7C">
        <w:rPr>
          <w:rStyle w:val="StyleUnderline"/>
        </w:rPr>
        <w:t>Do economic downturns generate pressure for diversionary conflict</w:t>
      </w:r>
      <w:r w:rsidRPr="00F07B7C">
        <w:rPr>
          <w:sz w:val="16"/>
        </w:rPr>
        <w:t xml:space="preserve">? Or might downturns encourage austerity and economizing behavior in foreign policy? </w:t>
      </w:r>
      <w:r w:rsidRPr="00F07B7C">
        <w:rPr>
          <w:rStyle w:val="StyleUnderline"/>
        </w:rPr>
        <w:t xml:space="preserve">This paper provides new evidence that economic stress is associated with </w:t>
      </w:r>
      <w:r w:rsidRPr="00F07B7C">
        <w:rPr>
          <w:rStyle w:val="Emphasis"/>
        </w:rPr>
        <w:t>conciliatory policies</w:t>
      </w:r>
      <w:r w:rsidRPr="00F07B7C">
        <w:rPr>
          <w:rStyle w:val="StyleUnderline"/>
        </w:rPr>
        <w:t xml:space="preserve"> between strategic rivals</w:t>
      </w:r>
      <w:r w:rsidRPr="00F07B7C">
        <w:rPr>
          <w:sz w:val="16"/>
        </w:rPr>
        <w:t xml:space="preserve">. </w:t>
      </w:r>
      <w:r w:rsidRPr="00F07B7C">
        <w:rPr>
          <w:rStyle w:val="StyleUnderline"/>
        </w:rPr>
        <w:t xml:space="preserve">For states that view each other as military threats, the </w:t>
      </w:r>
      <w:r w:rsidRPr="00B51293">
        <w:rPr>
          <w:rStyle w:val="Emphasis"/>
          <w:highlight w:val="yellow"/>
        </w:rPr>
        <w:t>biggest step possible toward bilateral cooperation</w:t>
      </w:r>
      <w:r w:rsidRPr="00B51293">
        <w:rPr>
          <w:rStyle w:val="StyleUnderline"/>
          <w:highlight w:val="yellow"/>
        </w:rPr>
        <w:t xml:space="preserve"> is to terminate the rivalry by taking political steps</w:t>
      </w:r>
      <w:r w:rsidRPr="00F07B7C">
        <w:rPr>
          <w:rStyle w:val="StyleUnderline"/>
        </w:rPr>
        <w:t xml:space="preserve"> to manage the competition</w:t>
      </w:r>
      <w:r w:rsidRPr="00F07B7C">
        <w:rPr>
          <w:sz w:val="16"/>
        </w:rPr>
        <w:t xml:space="preserve">. </w:t>
      </w:r>
      <w:r w:rsidRPr="00F07B7C">
        <w:rPr>
          <w:rStyle w:val="StyleUnderline"/>
        </w:rPr>
        <w:t xml:space="preserve">Drawing on </w:t>
      </w:r>
      <w:r w:rsidRPr="00B51293">
        <w:rPr>
          <w:rStyle w:val="Emphasis"/>
          <w:highlight w:val="yellow"/>
        </w:rPr>
        <w:t>data from 109 distinct rival dyads</w:t>
      </w:r>
      <w:r w:rsidRPr="00F07B7C">
        <w:rPr>
          <w:rStyle w:val="StyleUnderline"/>
        </w:rPr>
        <w:t xml:space="preserve"> since 1950</w:t>
      </w:r>
      <w:r w:rsidRPr="00F07B7C">
        <w:rPr>
          <w:sz w:val="16"/>
        </w:rPr>
        <w:t xml:space="preserve">, </w:t>
      </w:r>
      <w:r w:rsidRPr="00F07B7C">
        <w:rPr>
          <w:rStyle w:val="StyleUnderline"/>
        </w:rPr>
        <w:t>67 of which terminated</w:t>
      </w:r>
      <w:r w:rsidRPr="00F07B7C">
        <w:rPr>
          <w:sz w:val="16"/>
        </w:rPr>
        <w:t xml:space="preserve">, </w:t>
      </w:r>
      <w:r w:rsidRPr="00F07B7C">
        <w:rPr>
          <w:rStyle w:val="StyleUnderline"/>
        </w:rPr>
        <w:t xml:space="preserve">the evidence </w:t>
      </w:r>
      <w:r w:rsidRPr="00B51293">
        <w:rPr>
          <w:rStyle w:val="StyleUnderline"/>
          <w:highlight w:val="yellow"/>
        </w:rPr>
        <w:t xml:space="preserve">suggests rivalries were approximately </w:t>
      </w:r>
      <w:r w:rsidRPr="00B51293">
        <w:rPr>
          <w:rStyle w:val="Emphasis"/>
          <w:highlight w:val="yellow"/>
        </w:rPr>
        <w:t>twice as likely</w:t>
      </w:r>
      <w:r w:rsidRPr="00B51293">
        <w:rPr>
          <w:rStyle w:val="StyleUnderline"/>
          <w:highlight w:val="yellow"/>
        </w:rPr>
        <w:t xml:space="preserve"> to terminate during economic downturns</w:t>
      </w:r>
      <w:r w:rsidRPr="00F07B7C">
        <w:rPr>
          <w:rStyle w:val="StyleUnderline"/>
        </w:rPr>
        <w:t xml:space="preserve"> than they were during periods of economic normalcy</w:t>
      </w:r>
      <w:r w:rsidRPr="00F07B7C">
        <w:rPr>
          <w:sz w:val="16"/>
        </w:rPr>
        <w:t xml:space="preserve">. </w:t>
      </w:r>
      <w:r w:rsidRPr="00F07B7C">
        <w:rPr>
          <w:rStyle w:val="StyleUnderline"/>
        </w:rPr>
        <w:t xml:space="preserve">This is true </w:t>
      </w:r>
      <w:r w:rsidRPr="00F07B7C">
        <w:rPr>
          <w:rStyle w:val="Emphasis"/>
        </w:rPr>
        <w:t>controlling for all of the main alternative explanations</w:t>
      </w:r>
      <w:r w:rsidRPr="00F07B7C">
        <w:rPr>
          <w:rStyle w:val="StyleUnderline"/>
        </w:rPr>
        <w:t xml:space="preserve"> for peaceful relations between foes</w:t>
      </w:r>
      <w:r w:rsidRPr="00F07B7C">
        <w:rPr>
          <w:sz w:val="16"/>
        </w:rPr>
        <w:t xml:space="preserve"> (</w:t>
      </w:r>
      <w:r w:rsidRPr="00F07B7C">
        <w:rPr>
          <w:rStyle w:val="StyleUnderline"/>
        </w:rPr>
        <w:t>democratic status</w:t>
      </w:r>
      <w:r w:rsidRPr="00F07B7C">
        <w:rPr>
          <w:sz w:val="16"/>
        </w:rPr>
        <w:t xml:space="preserve">, </w:t>
      </w:r>
      <w:r w:rsidRPr="00F07B7C">
        <w:rPr>
          <w:rStyle w:val="StyleUnderline"/>
        </w:rPr>
        <w:t>nuclear weapons</w:t>
      </w:r>
      <w:r w:rsidRPr="00F07B7C">
        <w:rPr>
          <w:sz w:val="16"/>
        </w:rPr>
        <w:t xml:space="preserve"> possession, </w:t>
      </w:r>
      <w:r w:rsidRPr="00F07B7C">
        <w:rPr>
          <w:rStyle w:val="StyleUnderline"/>
        </w:rPr>
        <w:t>capability imbalance</w:t>
      </w:r>
      <w:r w:rsidRPr="00F07B7C">
        <w:rPr>
          <w:sz w:val="16"/>
        </w:rPr>
        <w:t xml:space="preserve">, </w:t>
      </w:r>
      <w:r w:rsidRPr="00F07B7C">
        <w:rPr>
          <w:rStyle w:val="StyleUnderline"/>
        </w:rPr>
        <w:t>common enemies</w:t>
      </w:r>
      <w:r w:rsidRPr="00F07B7C">
        <w:rPr>
          <w:sz w:val="16"/>
        </w:rPr>
        <w:t>, and</w:t>
      </w:r>
      <w:r w:rsidRPr="00F07B7C">
        <w:rPr>
          <w:rStyle w:val="StyleUnderline"/>
        </w:rPr>
        <w:t xml:space="preserve"> international systemic changes</w:t>
      </w:r>
      <w:r w:rsidRPr="00F07B7C">
        <w:rPr>
          <w:sz w:val="16"/>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F07B7C">
        <w:rPr>
          <w:rStyle w:val="StyleUnderline"/>
        </w:rPr>
        <w:t>I define a rivalry as the perception by national elites of two states that the other state possesses conflicting interests and presents a military threat of sufficient severity that future military conflict is likely</w:t>
      </w:r>
      <w:r w:rsidRPr="00F07B7C">
        <w:rPr>
          <w:sz w:val="16"/>
        </w:rPr>
        <w:t xml:space="preserve">. </w:t>
      </w:r>
      <w:r w:rsidRPr="00F07B7C">
        <w:rPr>
          <w:rStyle w:val="StyleUnderlin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F07B7C">
        <w:rPr>
          <w:sz w:val="16"/>
        </w:rPr>
        <w:t xml:space="preserve">. In other words, </w:t>
      </w:r>
      <w:r w:rsidRPr="00F07B7C">
        <w:rPr>
          <w:rStyle w:val="StyleUnderline"/>
        </w:rPr>
        <w:t>rivalries terminate when the elites assess that the risks of military conflict between rivals has been reduced dramatically</w:t>
      </w:r>
      <w:r w:rsidRPr="00F07B7C">
        <w:rPr>
          <w:sz w:val="16"/>
        </w:rPr>
        <w:t xml:space="preserve">.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F07B7C">
        <w:rPr>
          <w:rStyle w:val="StyleUnderline"/>
        </w:rPr>
        <w:t>Economic crises lead to conciliatory behavior through five primary channels</w:t>
      </w:r>
      <w:r w:rsidRPr="00F07B7C">
        <w:rPr>
          <w:sz w:val="16"/>
        </w:rPr>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F07B7C">
        <w:rPr>
          <w:rStyle w:val="Emphasis"/>
        </w:rPr>
        <w:t>Collectively</w:t>
      </w:r>
      <w:r w:rsidRPr="00F07B7C">
        <w:rPr>
          <w:rStyle w:val="StyleUnderline"/>
        </w:rPr>
        <w:t>, these mechanisms make it much more likely that a leader will prefer conciliatory policies compared to during periods of economic normalcy</w:t>
      </w:r>
      <w:r w:rsidRPr="00F07B7C">
        <w:rPr>
          <w:sz w:val="16"/>
        </w:rPr>
        <w:t xml:space="preserve">. This section reviews this causal logic in greater detail, while also providing historical examples that these mechanisms recur in practice. </w:t>
      </w:r>
      <w:r w:rsidRPr="004713B7">
        <w:rPr>
          <w:rStyle w:val="Emphasis"/>
          <w:highlight w:val="yellow"/>
        </w:rPr>
        <w:t>Economic Crisis Leads to Austerity</w:t>
      </w:r>
      <w:r w:rsidRPr="00F07B7C">
        <w:rPr>
          <w:rStyle w:val="Emphasis"/>
        </w:rPr>
        <w:t xml:space="preserve"> </w:t>
      </w:r>
      <w:r w:rsidRPr="00F07B7C">
        <w:rPr>
          <w:sz w:val="16"/>
        </w:rPr>
        <w:t xml:space="preserve">Economic crises generate pressure for austerity. </w:t>
      </w:r>
      <w:r w:rsidRPr="00F07B7C">
        <w:rPr>
          <w:rStyle w:val="StyleUnderline"/>
        </w:rPr>
        <w:t>Government revenues are a function of national economic production, so that when production diminishes through recession, revenues available for expenditure also diminish</w:t>
      </w:r>
      <w:r w:rsidRPr="00F07B7C">
        <w:rPr>
          <w:sz w:val="16"/>
        </w:rPr>
        <w:t xml:space="preserve">. </w:t>
      </w:r>
      <w:r w:rsidRPr="00F07B7C">
        <w:rPr>
          <w:rStyle w:val="StyleUnderline"/>
        </w:rPr>
        <w:t xml:space="preserve">Planning almost invariably assumes growth rather than contraction, so the deviation in available revenues compared to the planned expenditure can be </w:t>
      </w:r>
      <w:r w:rsidRPr="00F07B7C">
        <w:rPr>
          <w:rStyle w:val="Emphasis"/>
        </w:rPr>
        <w:t>sizable</w:t>
      </w:r>
      <w:r w:rsidRPr="00F07B7C">
        <w:rPr>
          <w:sz w:val="16"/>
        </w:rPr>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F07B7C">
        <w:rPr>
          <w:rStyle w:val="StyleUnderline"/>
        </w:rPr>
        <w:t xml:space="preserve">This is </w:t>
      </w:r>
      <w:r w:rsidRPr="004C4F8D">
        <w:rPr>
          <w:rStyle w:val="StyleUnderline"/>
          <w:highlight w:val="yellow"/>
        </w:rPr>
        <w:t>especially the case when this borrowing relies on international sources of credit</w:t>
      </w:r>
      <w:r w:rsidRPr="00F07B7C">
        <w:rPr>
          <w:sz w:val="16"/>
        </w:rPr>
        <w:t xml:space="preserve">. Even for states that can borrow, however, </w:t>
      </w:r>
      <w:r w:rsidRPr="00F07B7C">
        <w:rPr>
          <w:rStyle w:val="StyleUnderline"/>
        </w:rPr>
        <w:t>intellectual attachment to balanced budgets as a means to restore confidence</w:t>
      </w:r>
      <w:r w:rsidRPr="00F07B7C">
        <w:rPr>
          <w:sz w:val="16"/>
        </w:rPr>
        <w:t>—a belief in what is sometimes called “expansionary austerity”—</w:t>
      </w:r>
      <w:r w:rsidRPr="00F07B7C">
        <w:rPr>
          <w:rStyle w:val="StyleUnderline"/>
        </w:rPr>
        <w:t>generates incentives to curtail expenditure</w:t>
      </w:r>
      <w:r w:rsidRPr="00F07B7C">
        <w:rPr>
          <w:sz w:val="16"/>
        </w:rPr>
        <w:t xml:space="preserve">. </w:t>
      </w:r>
      <w:r w:rsidRPr="00F07B7C">
        <w:rPr>
          <w:rStyle w:val="StyleUnderline"/>
        </w:rPr>
        <w:t xml:space="preserve">These incentives to cut occur precisely when populations are experiencing economic hardship, making reductions especially painful that target </w:t>
      </w:r>
      <w:r w:rsidRPr="00F07B7C">
        <w:rPr>
          <w:sz w:val="16"/>
        </w:rPr>
        <w:t xml:space="preserve">poverty alleviation, </w:t>
      </w:r>
      <w:r w:rsidRPr="00F07B7C">
        <w:rPr>
          <w:rStyle w:val="StyleUnderline"/>
        </w:rPr>
        <w:t>welfare</w:t>
      </w:r>
      <w:r w:rsidRPr="00F07B7C">
        <w:rPr>
          <w:sz w:val="16"/>
        </w:rPr>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F07B7C">
        <w:rPr>
          <w:rStyle w:val="StyleUnderline"/>
        </w:rPr>
        <w:t>The politics</w:t>
      </w:r>
      <w:r w:rsidRPr="00F07B7C">
        <w:rPr>
          <w:sz w:val="16"/>
        </w:rPr>
        <w:t xml:space="preserve"> [</w:t>
      </w:r>
      <w:r w:rsidRPr="00F07B7C">
        <w:rPr>
          <w:rStyle w:val="StyleUnderline"/>
        </w:rPr>
        <w:t>of welfare state</w:t>
      </w:r>
      <w:r w:rsidRPr="00F07B7C">
        <w:rPr>
          <w:sz w:val="16"/>
        </w:rPr>
        <w:t xml:space="preserve">] </w:t>
      </w:r>
      <w:r w:rsidRPr="00F07B7C">
        <w:rPr>
          <w:rStyle w:val="StyleUnderline"/>
        </w:rPr>
        <w:t>retrenchment is typically treacherous, because it imposes tangible losses on concentrated groups of voters</w:t>
      </w:r>
      <w:r w:rsidRPr="00F07B7C">
        <w:rPr>
          <w:sz w:val="16"/>
        </w:rPr>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F07B7C">
        <w:rPr>
          <w:rStyle w:val="StyleUnderline"/>
        </w:rPr>
        <w:t>this can spur policymakers to curtail national security spending as a way to balance budgets during periods of economic turmoil</w:t>
      </w:r>
      <w:r w:rsidRPr="00F07B7C">
        <w:rPr>
          <w:sz w:val="16"/>
        </w:rPr>
        <w:t xml:space="preserve">. </w:t>
      </w:r>
      <w:r w:rsidRPr="00F07B7C">
        <w:rPr>
          <w:rStyle w:val="StyleUnderline"/>
        </w:rPr>
        <w:t>There is often more discretion over defense spending than over other areas in the budget</w:t>
      </w:r>
      <w:r w:rsidRPr="00F07B7C">
        <w:rPr>
          <w:sz w:val="16"/>
        </w:rPr>
        <w:t xml:space="preserve">, </w:t>
      </w:r>
      <w:r w:rsidRPr="00F07B7C">
        <w:rPr>
          <w:rStyle w:val="StyleUnderline"/>
        </w:rPr>
        <w:t>and it is frequently distantly connected to the welfare of the mass public</w:t>
      </w:r>
      <w:r w:rsidRPr="00F07B7C">
        <w:rPr>
          <w:sz w:val="16"/>
        </w:rPr>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F07B7C">
        <w:rPr>
          <w:rStyle w:val="StyleUnderline"/>
        </w:rPr>
        <w:t xml:space="preserve">Pursuing defense cuts may also conform to the preferences of the financial sector, which shows a </w:t>
      </w:r>
      <w:r w:rsidRPr="004C4F8D">
        <w:rPr>
          <w:rStyle w:val="Emphasis"/>
          <w:highlight w:val="yellow"/>
        </w:rPr>
        <w:t>strong</w:t>
      </w:r>
      <w:r w:rsidRPr="00F07B7C">
        <w:rPr>
          <w:rStyle w:val="Emphasis"/>
        </w:rPr>
        <w:t xml:space="preserve"> </w:t>
      </w:r>
      <w:r w:rsidRPr="004C4F8D">
        <w:rPr>
          <w:rStyle w:val="Emphasis"/>
          <w:highlight w:val="yellow"/>
        </w:rPr>
        <w:t>aversion</w:t>
      </w:r>
      <w:r w:rsidRPr="004C4F8D">
        <w:rPr>
          <w:rStyle w:val="StyleUnderline"/>
          <w:highlight w:val="yellow"/>
        </w:rPr>
        <w:t xml:space="preserve"> to military conflict</w:t>
      </w:r>
      <w:r w:rsidRPr="00F07B7C">
        <w:rPr>
          <w:sz w:val="16"/>
        </w:rPr>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F07B7C">
        <w:rPr>
          <w:rStyle w:val="StyleUnderline"/>
        </w:rPr>
        <w:t>Economic contraction heightens the opportunity costs by forcing a choice between different types of spending</w:t>
      </w:r>
      <w:r w:rsidRPr="00F07B7C">
        <w:rPr>
          <w:sz w:val="16"/>
        </w:rPr>
        <w:t xml:space="preserve">. </w:t>
      </w:r>
      <w:r w:rsidRPr="00F07B7C">
        <w:rPr>
          <w:rStyle w:val="StyleUnderline"/>
        </w:rPr>
        <w:t>There is a constituency for defense spending</w:t>
      </w:r>
      <w:r w:rsidRPr="00F07B7C">
        <w:rPr>
          <w:sz w:val="16"/>
        </w:rPr>
        <w:t xml:space="preserve"> in the armed services, intelligence agencies, and arms industries, </w:t>
      </w:r>
      <w:r w:rsidRPr="00F07B7C">
        <w:rPr>
          <w:rStyle w:val="StyleUnderline"/>
        </w:rPr>
        <w:t>but</w:t>
      </w:r>
      <w:r w:rsidRPr="00F07B7C">
        <w:rPr>
          <w:sz w:val="16"/>
        </w:rPr>
        <w:t xml:space="preserve"> </w:t>
      </w:r>
      <w:r w:rsidRPr="004C4F8D">
        <w:rPr>
          <w:rStyle w:val="Emphasis"/>
          <w:highlight w:val="yellow"/>
        </w:rPr>
        <w:t>even in militarized economies</w:t>
      </w:r>
      <w:r w:rsidRPr="00F07B7C">
        <w:rPr>
          <w:sz w:val="16"/>
        </w:rPr>
        <w:t xml:space="preserve"> </w:t>
      </w:r>
      <w:r w:rsidRPr="00F07B7C">
        <w:rPr>
          <w:rStyle w:val="StyleUnderline"/>
        </w:rPr>
        <w:t xml:space="preserve">this constituency tends to be numerically much smaller than those that favor social and economic expenditures over military ones. </w:t>
      </w:r>
      <w:r w:rsidRPr="00F07B7C">
        <w:rPr>
          <w:sz w:val="16"/>
        </w:rPr>
        <w:t xml:space="preserve">Defense Cutbacks Encourage Rapprochement An interest in defense cutbacks can lead to conciliatory behavior through two paths. </w:t>
      </w:r>
      <w:r w:rsidRPr="00F07B7C">
        <w:rPr>
          <w:rStyle w:val="Emphasis"/>
        </w:rPr>
        <w:t>First</w:t>
      </w:r>
      <w:r w:rsidRPr="00F07B7C">
        <w:rPr>
          <w:sz w:val="16"/>
        </w:rPr>
        <w:t xml:space="preserve">, </w:t>
      </w:r>
      <w:r w:rsidRPr="004C4F8D">
        <w:rPr>
          <w:rStyle w:val="StyleUnderline"/>
          <w:highlight w:val="yellow"/>
        </w:rPr>
        <w:t xml:space="preserve">the cutbacks themselves serve as a </w:t>
      </w:r>
      <w:r w:rsidRPr="004C4F8D">
        <w:rPr>
          <w:rStyle w:val="Emphasis"/>
          <w:highlight w:val="yellow"/>
        </w:rPr>
        <w:t>concrete signal</w:t>
      </w:r>
      <w:r w:rsidRPr="004C4F8D">
        <w:rPr>
          <w:rStyle w:val="StyleUnderline"/>
          <w:highlight w:val="yellow"/>
        </w:rPr>
        <w:t xml:space="preserve"> to adversaries that the military threat posed by the economically distressed state is declining</w:t>
      </w:r>
      <w:r w:rsidRPr="00F07B7C">
        <w:rPr>
          <w:rStyle w:val="StyleUnderline"/>
        </w:rPr>
        <w:t>.</w:t>
      </w:r>
      <w:r w:rsidRPr="00F07B7C">
        <w:rPr>
          <w:sz w:val="16"/>
        </w:rPr>
        <w:t xml:space="preserve"> </w:t>
      </w:r>
      <w:r w:rsidRPr="00F07B7C">
        <w:rPr>
          <w:rStyle w:val="StyleUnderline"/>
        </w:rPr>
        <w:t xml:space="preserve">This permits the other state to halt that portion of defense spending dedicated to keeping up, </w:t>
      </w:r>
      <w:r w:rsidRPr="004C4F8D">
        <w:rPr>
          <w:rStyle w:val="Emphasis"/>
          <w:highlight w:val="yellow"/>
        </w:rPr>
        <w:t>breaking the back of ongoing arms races</w:t>
      </w:r>
      <w:r w:rsidRPr="00F07B7C">
        <w:rPr>
          <w:sz w:val="16"/>
        </w:rPr>
        <w:t xml:space="preserve"> through reciprocated, but non-negotiated moves. </w:t>
      </w:r>
      <w:r w:rsidRPr="00F07B7C">
        <w:rPr>
          <w:rStyle w:val="StyleUnderline"/>
        </w:rPr>
        <w:t>Unilateral conventional force reductions were a major element of Gorbachev’s foreign policy in the late 1980s</w:t>
      </w:r>
      <w:r w:rsidRPr="00F07B7C">
        <w:rPr>
          <w:sz w:val="16"/>
        </w:rPr>
        <w:t xml:space="preserve">, alongside negotiated strategic arms control, and diplomatic efforts to achieve political understandings with the United States.9 </w:t>
      </w:r>
      <w:r w:rsidRPr="00F07B7C">
        <w:rPr>
          <w:rStyle w:val="StyleUnderline"/>
        </w:rPr>
        <w:t>Gorbachev similarly used force reductions in Afghanistan, Mongolia, and the Soviet Far East to signal to China in 1987 that he was serious about political negotiations</w:t>
      </w:r>
      <w:r w:rsidRPr="00F07B7C">
        <w:rPr>
          <w:sz w:val="16"/>
        </w:rPr>
        <w:t xml:space="preserve">.10 Elsewhere, </w:t>
      </w:r>
      <w:r w:rsidRPr="00F07B7C">
        <w:rPr>
          <w:rStyle w:val="StyleUnderline"/>
        </w:rPr>
        <w:t>non-negotiated</w:t>
      </w:r>
      <w:r w:rsidRPr="00F07B7C">
        <w:rPr>
          <w:sz w:val="16"/>
        </w:rPr>
        <w:t xml:space="preserve">, tit-for-tat </w:t>
      </w:r>
      <w:r w:rsidRPr="00F07B7C">
        <w:rPr>
          <w:rStyle w:val="StyleUnderline"/>
        </w:rPr>
        <w:t>military redeployments facilitated Argentina-Brazil rapprochement</w:t>
      </w:r>
      <w:r w:rsidRPr="00F07B7C">
        <w:rPr>
          <w:sz w:val="16"/>
        </w:rPr>
        <w:t xml:space="preserve">.11 </w:t>
      </w:r>
      <w:r w:rsidRPr="00F07B7C">
        <w:rPr>
          <w:rStyle w:val="Emphasis"/>
        </w:rPr>
        <w:t>Second</w:t>
      </w:r>
      <w:r w:rsidRPr="00F07B7C">
        <w:rPr>
          <w:sz w:val="16"/>
        </w:rPr>
        <w:t xml:space="preserve">, </w:t>
      </w:r>
      <w:r w:rsidRPr="004C4F8D">
        <w:rPr>
          <w:rStyle w:val="StyleUnderline"/>
        </w:rPr>
        <w:t>leaders may believe cutbacks are necessary</w:t>
      </w:r>
      <w:r w:rsidRPr="00F07B7C">
        <w:rPr>
          <w:rStyle w:val="StyleUnderline"/>
        </w:rPr>
        <w:t>, but would be dangerous in the absence of negotiated improvements with traditional foes</w:t>
      </w:r>
      <w:r w:rsidRPr="00F07B7C">
        <w:rPr>
          <w:sz w:val="16"/>
        </w:rPr>
        <w:t xml:space="preserve">. </w:t>
      </w:r>
      <w:r w:rsidRPr="004C4F8D">
        <w:rPr>
          <w:rStyle w:val="StyleUnderline"/>
          <w:highlight w:val="yellow"/>
        </w:rPr>
        <w:t xml:space="preserve">Economic downturns can serve as </w:t>
      </w:r>
      <w:r w:rsidRPr="004C4F8D">
        <w:rPr>
          <w:rStyle w:val="Emphasis"/>
          <w:highlight w:val="yellow"/>
        </w:rPr>
        <w:t>motivation to pursue arms control</w:t>
      </w:r>
      <w:r w:rsidRPr="00F07B7C">
        <w:rPr>
          <w:rStyle w:val="StyleUnderline"/>
        </w:rPr>
        <w:t xml:space="preserve"> or political settlement</w:t>
      </w:r>
      <w:r w:rsidRPr="00F07B7C">
        <w:rPr>
          <w:sz w:val="16"/>
        </w:rPr>
        <w:t xml:space="preserve">. During periods of normalcy, such outcomes would be positives, but are viewed as “too hard” by political leaders that move from one urgent problem to the next. </w:t>
      </w:r>
      <w:r w:rsidRPr="00F07B7C">
        <w:rPr>
          <w:rStyle w:val="StyleUnderline"/>
        </w:rPr>
        <w:t>During periods of economic crisis</w:t>
      </w:r>
      <w:r w:rsidRPr="00F07B7C">
        <w:rPr>
          <w:sz w:val="16"/>
        </w:rPr>
        <w:t xml:space="preserve">, however, </w:t>
      </w:r>
      <w:r w:rsidRPr="00F07B7C">
        <w:rPr>
          <w:rStyle w:val="StyleUnderline"/>
        </w:rPr>
        <w:t xml:space="preserve">arms control or political improvements might allow for much needed cuts in defense spending, and are </w:t>
      </w:r>
      <w:r w:rsidRPr="004C4F8D">
        <w:rPr>
          <w:rStyle w:val="Emphasis"/>
          <w:highlight w:val="yellow"/>
        </w:rPr>
        <w:t>pursued with greater vigor</w:t>
      </w:r>
      <w:r w:rsidRPr="00F07B7C">
        <w:rPr>
          <w:sz w:val="16"/>
        </w:rPr>
        <w:t xml:space="preserve">. The </w:t>
      </w:r>
      <w:r w:rsidRPr="00F07B7C">
        <w:rPr>
          <w:rStyle w:val="StyleUnderline"/>
        </w:rPr>
        <w:t>Johnson</w:t>
      </w:r>
      <w:r w:rsidRPr="00F07B7C">
        <w:rPr>
          <w:sz w:val="16"/>
        </w:rPr>
        <w:t xml:space="preserve"> administration </w:t>
      </w:r>
      <w:r w:rsidRPr="00F07B7C">
        <w:rPr>
          <w:rStyle w:val="StyleUnderline"/>
        </w:rPr>
        <w:t>attempted both unilateral and negotiated arms limitations because of budgetary concerns</w:t>
      </w:r>
      <w:r w:rsidRPr="00F07B7C">
        <w:rPr>
          <w:sz w:val="16"/>
        </w:rPr>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response they engaged in formal arms control talks. </w:t>
      </w:r>
      <w:r w:rsidRPr="00F07B7C">
        <w:rPr>
          <w:rStyle w:val="StyleUnderline"/>
        </w:rPr>
        <w:t>Détente continued in the Nixon administration</w:t>
      </w:r>
      <w:r w:rsidRPr="00F07B7C">
        <w:rPr>
          <w:sz w:val="16"/>
        </w:rPr>
        <w:t xml:space="preserve">, accelerating in 1971 and 1972, </w:t>
      </w:r>
      <w:r w:rsidRPr="00F07B7C">
        <w:rPr>
          <w:rStyle w:val="StyleUnderline"/>
        </w:rPr>
        <w:t>simultaneous with rising budget deficits and inflation</w:t>
      </w:r>
      <w:r w:rsidRPr="00F07B7C">
        <w:rPr>
          <w:sz w:val="16"/>
        </w:rPr>
        <w:t xml:space="preserve"> so serious that Nixon instituted price controls. </w:t>
      </w:r>
      <w:r w:rsidRPr="00F07B7C">
        <w:rPr>
          <w:rStyle w:val="StyleUnderline"/>
        </w:rPr>
        <w:t xml:space="preserve">Nixon’s decision to sharply limit anti-ballistic missile defenses to enable arms control talks was </w:t>
      </w:r>
      <w:r w:rsidRPr="004C4F8D">
        <w:rPr>
          <w:rStyle w:val="Emphasis"/>
          <w:highlight w:val="yellow"/>
        </w:rPr>
        <w:t>contrary to his strategic views, but necessitated by a difficult budgetary environment</w:t>
      </w:r>
      <w:r w:rsidRPr="00F07B7C">
        <w:rPr>
          <w:sz w:val="16"/>
        </w:rPr>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down, we've got to cut 5 billion dollars off next year's defense budget. So, I don't want to [inaudible: do it?] unless we've got some settlement with the Russians.”13 In practice, </w:t>
      </w:r>
      <w:r w:rsidRPr="00F07B7C">
        <w:rPr>
          <w:rStyle w:val="StyleUnderline"/>
        </w:rPr>
        <w:t xml:space="preserve">unilateral defense cuts and force reductions are frequently combined with negotiated political agreements in a sequential, iterative fashion, where a unilateral reduction will </w:t>
      </w:r>
      <w:r w:rsidRPr="004C4F8D">
        <w:rPr>
          <w:rStyle w:val="Emphasis"/>
          <w:highlight w:val="yellow"/>
        </w:rPr>
        <w:t>signal seriousness</w:t>
      </w:r>
      <w:r w:rsidRPr="00F07B7C">
        <w:rPr>
          <w:rStyle w:val="StyleUnderline"/>
        </w:rPr>
        <w:t xml:space="preserve"> that opens the way for political agreement</w:t>
      </w:r>
      <w:r w:rsidRPr="00F07B7C">
        <w:rPr>
          <w:sz w:val="16"/>
        </w:rPr>
        <w:t xml:space="preserve">, </w:t>
      </w:r>
      <w:r w:rsidRPr="00F07B7C">
        <w:rPr>
          <w:rStyle w:val="StyleUnderline"/>
        </w:rPr>
        <w:t xml:space="preserve">which in turn permits </w:t>
      </w:r>
      <w:r w:rsidRPr="00F07B7C">
        <w:rPr>
          <w:rStyle w:val="Emphasis"/>
        </w:rPr>
        <w:t>even deeper reductions</w:t>
      </w:r>
      <w:r w:rsidRPr="00F07B7C">
        <w:rPr>
          <w:sz w:val="16"/>
        </w:rPr>
        <w:t>. Defense cuts and force reductions are not only a means to achieve rivalry termination, but also a goal in and of themselves that rivalry termination helps secure. Leaders are seeking resources from defense they can use elsewhere. Thus when Argentine leader Raul Alfonsín campaigned for the need for drastic budgetary austerity,</w:t>
      </w:r>
      <w:r w:rsidRPr="00F07B7C">
        <w:rPr>
          <w:rFonts w:ascii="Times New Roman" w:hAnsi="Times New Roman"/>
          <w:sz w:val="16"/>
        </w:rPr>
        <w:t xml:space="preserve"> his specific “platform was the reduction of military spending to use it for the other ministries, connected with the concept of eliminating the hypothesis of conflict” with Argentinian rivals, according to Adalberto Rodríguez Giavarini, who served in Alf</w:t>
      </w:r>
      <w:r w:rsidRPr="00F07B7C">
        <w:rPr>
          <w:sz w:val="16"/>
        </w:rPr>
        <w:t xml:space="preserve">onsín’s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F07B7C">
        <w:rPr>
          <w:rStyle w:val="StyleUnderline"/>
        </w:rPr>
        <w:t>Thus the “</w:t>
      </w:r>
      <w:r w:rsidRPr="00F07B7C">
        <w:rPr>
          <w:rStyle w:val="Emphasis"/>
        </w:rPr>
        <w:t>main reason</w:t>
      </w:r>
      <w:r w:rsidRPr="00F07B7C">
        <w:rPr>
          <w:rStyle w:val="StyleUnderline"/>
        </w:rPr>
        <w:t>” why strategic arms control breakthroughs occurred from 1986 to 1988 and the Soviet Afghan intervention concluded in 1989 was a realization within the Politburo of “excessively high expenditures on defense,” according to Nikolai Ryzhkov, Gorbachev’s prime minister</w:t>
      </w:r>
      <w:r w:rsidRPr="00F07B7C">
        <w:rPr>
          <w:sz w:val="16"/>
        </w:rPr>
        <w:t>.</w:t>
      </w:r>
      <w:r w:rsidRPr="004C4F8D">
        <w:rPr>
          <w:sz w:val="16"/>
          <w:highlight w:val="yellow"/>
        </w:rPr>
        <w:t xml:space="preserve">16 </w:t>
      </w:r>
      <w:r w:rsidRPr="004C4F8D">
        <w:rPr>
          <w:rStyle w:val="Emphasis"/>
          <w:highlight w:val="yellow"/>
        </w:rPr>
        <w:t>Economic Downturns Provoke Strategic Reassessment</w:t>
      </w:r>
      <w:r w:rsidRPr="004C4F8D">
        <w:rPr>
          <w:sz w:val="16"/>
          <w:highlight w:val="yellow"/>
        </w:rPr>
        <w:t>:</w:t>
      </w:r>
      <w:r w:rsidRPr="00F07B7C">
        <w:rPr>
          <w:sz w:val="16"/>
        </w:rPr>
        <w:t xml:space="preserve"> </w:t>
      </w:r>
      <w:r w:rsidRPr="00F07B7C">
        <w:rPr>
          <w:rStyle w:val="StyleUnderline"/>
        </w:rPr>
        <w:t>Threat Deflation and Prioritization</w:t>
      </w:r>
      <w:r w:rsidRPr="00F07B7C">
        <w:rPr>
          <w:sz w:val="16"/>
        </w:rPr>
        <w:t xml:space="preserve"> </w:t>
      </w:r>
      <w:r w:rsidRPr="00F07B7C">
        <w:rPr>
          <w:rStyle w:val="StyleUnderline"/>
        </w:rPr>
        <w:t>Economic downturns encourage leaders to seek new ideas to use to frame their policy problems</w:t>
      </w:r>
      <w:r w:rsidRPr="00F07B7C">
        <w:rPr>
          <w:sz w:val="16"/>
        </w:rPr>
        <w:t xml:space="preserve">. During periods of economic difficulty, elites can come to realize that their problems are not amenable to old solutions, and search for new ideas.17 </w:t>
      </w:r>
      <w:r w:rsidRPr="00F07B7C">
        <w:rPr>
          <w:rStyle w:val="StyleUnderline"/>
        </w:rPr>
        <w:t>During an economic crisis, politics and policy are “</w:t>
      </w:r>
      <w:r w:rsidRPr="00F07B7C">
        <w:rPr>
          <w:rStyle w:val="Emphasis"/>
        </w:rPr>
        <w:t>more fluid</w:t>
      </w:r>
      <w:r w:rsidRPr="00F07B7C">
        <w:rPr>
          <w:rStyle w:val="StyleUnderline"/>
        </w:rPr>
        <w:t>,” as old answers seem stale and insufficient</w:t>
      </w:r>
      <w:r w:rsidRPr="00F07B7C">
        <w:rPr>
          <w:sz w:val="16"/>
        </w:rPr>
        <w:t xml:space="preserve">.18 </w:t>
      </w:r>
      <w:r w:rsidRPr="00F07B7C">
        <w:rPr>
          <w:rStyle w:val="StyleUnderline"/>
        </w:rPr>
        <w:t xml:space="preserve">An ideational entrepreneur that can link economic </w:t>
      </w:r>
      <w:r w:rsidRPr="00F07B7C">
        <w:rPr>
          <w:rStyle w:val="Emphasis"/>
          <w:sz w:val="32"/>
        </w:rPr>
        <w:t>lemons</w:t>
      </w:r>
      <w:r w:rsidRPr="00F07B7C">
        <w:rPr>
          <w:rStyle w:val="StyleUnderline"/>
        </w:rPr>
        <w:t xml:space="preserve"> to foreign policy </w:t>
      </w:r>
      <w:r w:rsidRPr="00F07B7C">
        <w:rPr>
          <w:rStyle w:val="Emphasis"/>
          <w:sz w:val="32"/>
        </w:rPr>
        <w:t>lemonade</w:t>
      </w:r>
      <w:r w:rsidRPr="00F07B7C">
        <w:rPr>
          <w:rStyle w:val="StyleUnderline"/>
        </w:rPr>
        <w:t xml:space="preserve"> can find a patron when leaders are casting about for ways to reframe the world in acceptable ways to their peers and publics</w:t>
      </w:r>
      <w:r w:rsidRPr="00F07B7C">
        <w:rPr>
          <w:sz w:val="16"/>
        </w:rPr>
        <w:t xml:space="preserve">. The behavior of an old foe is often ambiguous, and can be viewed as either injurious to one’s interests or neutral toward them. During periods of normalcy, the motivation of defense establishments is tilted toward threat and danger. </w:t>
      </w:r>
      <w:r w:rsidRPr="00F07B7C">
        <w:rPr>
          <w:rStyle w:val="StyleUnderline"/>
        </w:rPr>
        <w:t xml:space="preserve">During periods of economic crisis, national leaders have a counteracting motivation to </w:t>
      </w:r>
      <w:r w:rsidRPr="004C4F8D">
        <w:rPr>
          <w:rStyle w:val="Emphasis"/>
          <w:highlight w:val="yellow"/>
        </w:rPr>
        <w:t>downplay such dangers</w:t>
      </w:r>
      <w:r w:rsidRPr="004C4F8D">
        <w:rPr>
          <w:rStyle w:val="StyleUnderline"/>
          <w:highlight w:val="yellow"/>
        </w:rPr>
        <w:t>,</w:t>
      </w:r>
      <w:r w:rsidRPr="00F07B7C">
        <w:rPr>
          <w:rStyle w:val="StyleUnderline"/>
        </w:rPr>
        <w:t xml:space="preserve"> so that the threats faced by a nation are manageable through available resources</w:t>
      </w:r>
      <w:r w:rsidRPr="00F07B7C">
        <w:rPr>
          <w:sz w:val="16"/>
        </w:rPr>
        <w:t xml:space="preserve">. Economic difficulties provide a motivation for leaders to view equivocal signals from the international system in a way that is benign. To the extent that </w:t>
      </w:r>
      <w:r w:rsidRPr="00F07B7C">
        <w:rPr>
          <w:rStyle w:val="StyleUnderline"/>
        </w:rPr>
        <w:t xml:space="preserve">rivalries are perpetuated because of threat inflation, economic downturns provide incentives to deflate the threat, potentially </w:t>
      </w:r>
      <w:r w:rsidRPr="004C4F8D">
        <w:rPr>
          <w:rStyle w:val="Emphasis"/>
          <w:highlight w:val="yellow"/>
        </w:rPr>
        <w:t>disrupting cycles of competition and enmity</w:t>
      </w:r>
      <w:r w:rsidRPr="00F07B7C">
        <w:rPr>
          <w:sz w:val="16"/>
        </w:rPr>
        <w:t xml:space="preserve">. </w:t>
      </w:r>
      <w:r w:rsidRPr="00F07B7C">
        <w:rPr>
          <w:rStyle w:val="StyleUnderline"/>
        </w:rPr>
        <w:t>South Korean president Kim Dae-jong</w:t>
      </w:r>
      <w:r w:rsidRPr="00F07B7C">
        <w:rPr>
          <w:sz w:val="16"/>
        </w:rPr>
        <w:t xml:space="preserve"> came to power </w:t>
      </w:r>
      <w:r w:rsidRPr="00F07B7C">
        <w:rPr>
          <w:rStyle w:val="StyleUnderline"/>
        </w:rPr>
        <w:t>in the aftermath of the 1998 Asian economic crisis, pursued a “sunshine policy” toward the North</w:t>
      </w:r>
      <w:r w:rsidRPr="00F07B7C">
        <w:rPr>
          <w:sz w:val="16"/>
        </w:rPr>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F07B7C">
        <w:rPr>
          <w:rStyle w:val="StyleUnderline"/>
        </w:rPr>
        <w:t>This creates incentives to economize threats, seeking political settlements where possible in order to focus remaining resources on competitions that can be won</w:t>
      </w:r>
      <w:r w:rsidRPr="00F07B7C">
        <w:rPr>
          <w:sz w:val="16"/>
        </w:rPr>
        <w:t xml:space="preserve">. A concrete example: </w:t>
      </w:r>
      <w:r w:rsidRPr="00F07B7C">
        <w:rPr>
          <w:rStyle w:val="StyleUnderline"/>
        </w:rPr>
        <w:t>in 1904, the chancellor to the Exchequer wrote</w:t>
      </w:r>
      <w:r w:rsidRPr="00F07B7C">
        <w:rPr>
          <w:sz w:val="16"/>
        </w:rPr>
        <w:t xml:space="preserve"> his cabinet colleagues: </w:t>
      </w:r>
      <w:r w:rsidRPr="00F07B7C">
        <w:rPr>
          <w:rStyle w:val="StyleUnderline"/>
        </w:rPr>
        <w:t>“[W]e must frankly admit that the financial resources of the United Kingdom are inadequate to do all that we should desire in the matter of Imperial defense.”</w:t>
      </w:r>
      <w:r w:rsidRPr="00F07B7C">
        <w:rPr>
          <w:sz w:val="16"/>
        </w:rPr>
        <w:t xml:space="preserve">20 </w:t>
      </w:r>
      <w:r w:rsidRPr="00F07B7C">
        <w:rPr>
          <w:rStyle w:val="StyleUnderline"/>
        </w:rPr>
        <w:t>The result was a British decision to minimize political disagreement with the United States</w:t>
      </w:r>
      <w:r w:rsidRPr="00F07B7C">
        <w:rPr>
          <w:sz w:val="16"/>
        </w:rPr>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F07B7C">
        <w:rPr>
          <w:rStyle w:val="StyleUnderline"/>
        </w:rPr>
        <w:t>Economic downturns</w:t>
      </w:r>
      <w:r w:rsidRPr="00F07B7C">
        <w:rPr>
          <w:sz w:val="16"/>
        </w:rPr>
        <w:t xml:space="preserve"> not only create incentives to cut spending, they </w:t>
      </w:r>
      <w:r w:rsidRPr="00F07B7C">
        <w:rPr>
          <w:rStyle w:val="StyleUnderline"/>
        </w:rPr>
        <w:t xml:space="preserve">encourage </w:t>
      </w:r>
      <w:r w:rsidRPr="00F07B7C">
        <w:rPr>
          <w:rStyle w:val="Emphasis"/>
        </w:rPr>
        <w:t>vigorous pursuit</w:t>
      </w:r>
      <w:r w:rsidRPr="00F07B7C">
        <w:rPr>
          <w:rStyle w:val="StyleUnderline"/>
        </w:rPr>
        <w:t xml:space="preserve"> of opportunities for economic cooperation</w:t>
      </w:r>
      <w:r w:rsidRPr="00F07B7C">
        <w:rPr>
          <w:sz w:val="16"/>
        </w:rPr>
        <w:t xml:space="preserve">. </w:t>
      </w:r>
      <w:r w:rsidRPr="00F07B7C">
        <w:rPr>
          <w:rStyle w:val="StyleUnderline"/>
        </w:rPr>
        <w:t>This</w:t>
      </w:r>
      <w:r w:rsidRPr="00F07B7C">
        <w:rPr>
          <w:sz w:val="16"/>
        </w:rPr>
        <w:t xml:space="preserve">, too, </w:t>
      </w:r>
      <w:r w:rsidRPr="00F07B7C">
        <w:rPr>
          <w:rStyle w:val="StyleUnderline"/>
        </w:rPr>
        <w:t>can engender conciliatory behavior</w:t>
      </w:r>
      <w:r w:rsidRPr="00F07B7C">
        <w:rPr>
          <w:sz w:val="16"/>
        </w:rPr>
        <w:t xml:space="preserve">. </w:t>
      </w:r>
      <w:r w:rsidRPr="00F07B7C">
        <w:rPr>
          <w:rStyle w:val="StyleUnderline"/>
        </w:rPr>
        <w:t xml:space="preserve">Economic downturns can </w:t>
      </w:r>
      <w:r w:rsidRPr="004C4F8D">
        <w:rPr>
          <w:rStyle w:val="Emphasis"/>
          <w:highlight w:val="yellow"/>
        </w:rPr>
        <w:t>increase motives to pursue trade</w:t>
      </w:r>
      <w:r w:rsidRPr="00F07B7C">
        <w:rPr>
          <w:rStyle w:val="StyleUnderline"/>
        </w:rPr>
        <w:t xml:space="preserve"> and investment</w:t>
      </w:r>
      <w:r w:rsidRPr="00F07B7C">
        <w:rPr>
          <w:sz w:val="16"/>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F07B7C">
        <w:rPr>
          <w:rStyle w:val="StyleUnderline"/>
        </w:rPr>
        <w:t>economic aid is sometimes used as an inducement for adversaries to set aside a political dispute</w:t>
      </w:r>
      <w:r w:rsidRPr="00F07B7C">
        <w:rPr>
          <w:sz w:val="16"/>
        </w:rPr>
        <w:t xml:space="preserve">. This aid can either serve as a side payment from one rival to another, or it can be offered by a third party to one or both rivals as an incentive to set aside lingering disputes. </w:t>
      </w:r>
      <w:r w:rsidRPr="00F07B7C">
        <w:rPr>
          <w:rStyle w:val="StyleUnderline"/>
        </w:rPr>
        <w:t>Such aid is more attractive during periods of economic turmoil than during periods of comparative normalcy</w:t>
      </w:r>
      <w:r w:rsidRPr="00F07B7C">
        <w:rPr>
          <w:sz w:val="16"/>
        </w:rPr>
        <w:t xml:space="preserve">. In South Asia, </w:t>
      </w:r>
      <w:r w:rsidRPr="00F07B7C">
        <w:rPr>
          <w:rStyle w:val="StyleUnderline"/>
        </w:rPr>
        <w:t>India and Pakistan struggled from 1947 to 1960 with</w:t>
      </w:r>
      <w:r w:rsidRPr="00F07B7C">
        <w:rPr>
          <w:sz w:val="16"/>
        </w:rPr>
        <w:t xml:space="preserve"> how to manage </w:t>
      </w:r>
      <w:r w:rsidRPr="00F07B7C">
        <w:rPr>
          <w:rStyle w:val="StyleUnderline"/>
        </w:rPr>
        <w:t>water</w:t>
      </w:r>
      <w:r w:rsidRPr="00F07B7C">
        <w:rPr>
          <w:sz w:val="16"/>
        </w:rPr>
        <w:t xml:space="preserve"> resources in the Indus Rivers basin, inheriting a canal system meant to service pre-partitioned India. </w:t>
      </w:r>
      <w:r w:rsidRPr="00F07B7C">
        <w:rPr>
          <w:rStyle w:val="StyleUnderline"/>
        </w:rPr>
        <w:t>Pakistan, suffering an economic downturn, and India, reliant on foreign aid to avert economic crisis, agreed to an Indus Waters Treaty in 1960</w:t>
      </w:r>
      <w:r w:rsidRPr="00F07B7C">
        <w:rPr>
          <w:sz w:val="16"/>
        </w:rPr>
        <w:t xml:space="preserve"> to resolve the lingering dispute, made possible in substantial part because of World Bank financing that was especially attractive to the struggling economies. In the Middle East, </w:t>
      </w:r>
      <w:r w:rsidRPr="00F07B7C">
        <w:rPr>
          <w:rStyle w:val="StyleUnderline"/>
        </w:rPr>
        <w:t>Egypt and Israel</w:t>
      </w:r>
      <w:r w:rsidRPr="00F07B7C">
        <w:rPr>
          <w:sz w:val="16"/>
        </w:rPr>
        <w:t xml:space="preserve"> </w:t>
      </w:r>
      <w:r w:rsidRPr="00F07B7C">
        <w:rPr>
          <w:rStyle w:val="StyleUnderline"/>
        </w:rPr>
        <w:t>made the hard choices necessary for the Camp David accord in 1979 precisely because the Sadat and Begin governments faced difficult economic situations</w:t>
      </w:r>
      <w:r w:rsidRPr="00F07B7C">
        <w:rPr>
          <w:sz w:val="16"/>
        </w:rPr>
        <w:t xml:space="preserve"> at home </w:t>
      </w:r>
      <w:r w:rsidRPr="00F07B7C">
        <w:rPr>
          <w:rStyle w:val="StyleUnderline"/>
        </w:rPr>
        <w:t>that made the U.S. aid guarantee</w:t>
      </w:r>
      <w:r w:rsidRPr="00F07B7C">
        <w:rPr>
          <w:sz w:val="16"/>
        </w:rPr>
        <w:t xml:space="preserve"> in exchange for a peace agreement especially </w:t>
      </w:r>
      <w:r w:rsidRPr="00F07B7C">
        <w:rPr>
          <w:rStyle w:val="StyleUnderline"/>
        </w:rPr>
        <w:t>attractive</w:t>
      </w:r>
      <w:r w:rsidRPr="00F07B7C">
        <w:rPr>
          <w:sz w:val="16"/>
        </w:rPr>
        <w:t xml:space="preserve">.21 </w:t>
      </w:r>
      <w:r w:rsidRPr="00F07B7C">
        <w:rPr>
          <w:rStyle w:val="StyleUnderline"/>
        </w:rPr>
        <w:t>In 1982, the Yemen’s People’s Republic agreed to stop its attempts to destabilize Oman, because otherwise Yemen would not receive economic assistance from Arab oil producing states</w:t>
      </w:r>
      <w:r w:rsidRPr="00F07B7C">
        <w:rPr>
          <w:sz w:val="16"/>
        </w:rPr>
        <w:t xml:space="preserve"> that it desperately needed.22 In the late </w:t>
      </w:r>
      <w:r w:rsidRPr="00F07B7C">
        <w:rPr>
          <w:rStyle w:val="StyleUnderline"/>
        </w:rPr>
        <w:t>1990s</w:t>
      </w:r>
      <w:r w:rsidRPr="00F07B7C">
        <w:rPr>
          <w:sz w:val="16"/>
        </w:rPr>
        <w:t xml:space="preserve">, </w:t>
      </w:r>
      <w:r w:rsidRPr="00F07B7C">
        <w:rPr>
          <w:rStyle w:val="StyleUnderline"/>
        </w:rPr>
        <w:t>El Niño-induced flooding devastated Ecuador and Peru, spurring reconciliation as leaders sought to increase trade, secure investment, and slash military expenditures</w:t>
      </w:r>
      <w:r w:rsidRPr="00F07B7C">
        <w:rPr>
          <w:sz w:val="16"/>
        </w:rPr>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4C4F8D">
        <w:rPr>
          <w:rStyle w:val="Emphasis"/>
          <w:highlight w:val="yellow"/>
        </w:rPr>
        <w:t>Economic Downturns Can Cause Meaningful Leadership Change</w:t>
      </w:r>
      <w:r w:rsidRPr="00F07B7C">
        <w:rPr>
          <w:rStyle w:val="Emphasis"/>
        </w:rPr>
        <w:t xml:space="preserve"> </w:t>
      </w:r>
      <w:r w:rsidRPr="00F07B7C">
        <w:rPr>
          <w:sz w:val="16"/>
        </w:rPr>
        <w:t xml:space="preserve">The above mechanisms have identified how economic difficulties can alter the preferences of an incumbent leader. Additionally, </w:t>
      </w:r>
      <w:r w:rsidRPr="00F07B7C">
        <w:rPr>
          <w:rStyle w:val="StyleUnderline"/>
        </w:rPr>
        <w:t>economic crises can lead to leadership turnover and</w:t>
      </w:r>
      <w:r w:rsidRPr="00F07B7C">
        <w:rPr>
          <w:sz w:val="16"/>
        </w:rPr>
        <w:t xml:space="preserve">, during periods of difficulty, </w:t>
      </w:r>
      <w:r w:rsidRPr="00F07B7C">
        <w:rPr>
          <w:rStyle w:val="StyleUnderline"/>
        </w:rPr>
        <w:t xml:space="preserve">the selection process that determines new leadership can </w:t>
      </w:r>
      <w:r w:rsidRPr="004C4F8D">
        <w:rPr>
          <w:rStyle w:val="Emphasis"/>
          <w:highlight w:val="yellow"/>
        </w:rPr>
        <w:t>loosen ideological stricture</w:t>
      </w:r>
      <w:r w:rsidRPr="00F07B7C">
        <w:rPr>
          <w:rStyle w:val="Emphasis"/>
        </w:rPr>
        <w:t>s</w:t>
      </w:r>
      <w:r w:rsidRPr="00F07B7C">
        <w:rPr>
          <w:rStyle w:val="StyleUnderline"/>
        </w:rPr>
        <w:t xml:space="preserve"> that relate to extant rivalries</w:t>
      </w:r>
      <w:r w:rsidRPr="00F07B7C">
        <w:rPr>
          <w:sz w:val="16"/>
        </w:rPr>
        <w:t xml:space="preserve">. </w:t>
      </w:r>
      <w:r w:rsidRPr="00F07B7C">
        <w:rPr>
          <w:rStyle w:val="StyleUnderline"/>
        </w:rPr>
        <w:t>Leaders may be selected based on judgments about their ability to cope with economic problems, with greater elite acceptance of ideological heterogeneity in foreign policy beliefs</w:t>
      </w:r>
      <w:r w:rsidRPr="00F07B7C">
        <w:rPr>
          <w:sz w:val="16"/>
        </w:rPr>
        <w:t xml:space="preserve"> than in periods of normalcy.25 In Stephen Brooks and William Wohlforth’s words, “If everything is going well or is stable, then why select leaders who might subvert the triedand-true identity? But if that identity is leading to increased material difficulties, pressure for change will likely mount. In these circumstances, </w:t>
      </w:r>
      <w:r w:rsidRPr="00F07B7C">
        <w:rPr>
          <w:rStyle w:val="StyleUnderline"/>
        </w:rPr>
        <w:t>those who are willing to alter or adjust the hallowed precepts of the existing identity and its associated practices are more likely to assume power</w:t>
      </w:r>
      <w:r w:rsidRPr="00F07B7C">
        <w:rPr>
          <w:sz w:val="16"/>
        </w:rPr>
        <w:t xml:space="preserve">.”26 </w:t>
      </w:r>
      <w:r w:rsidRPr="00F07B7C">
        <w:rPr>
          <w:rStyle w:val="StyleUnderline"/>
        </w:rPr>
        <w:t xml:space="preserve">Economic crisis, then, can spur incumbent leaders to either </w:t>
      </w:r>
      <w:r w:rsidRPr="004C4F8D">
        <w:rPr>
          <w:rStyle w:val="Emphasis"/>
          <w:highlight w:val="yellow"/>
        </w:rPr>
        <w:t>abandon the “baggage” of rivalry</w:t>
      </w:r>
      <w:r w:rsidRPr="00F07B7C">
        <w:rPr>
          <w:rStyle w:val="StyleUnderline"/>
        </w:rPr>
        <w:t xml:space="preserve"> or facilitate the selection of new leaders that do not carry such baggage. The most well-known example of an incumbent selectorate looking for a reformer</w:t>
      </w:r>
      <w:r w:rsidRPr="00F07B7C">
        <w:rPr>
          <w:sz w:val="16"/>
        </w:rPr>
        <w:t xml:space="preserve">, even one without much foreign policy experience, </w:t>
      </w:r>
      <w:r w:rsidRPr="00F07B7C">
        <w:rPr>
          <w:rStyle w:val="StyleUnderline"/>
        </w:rPr>
        <w:t>involves Mikhail Gorbachev’s ascension</w:t>
      </w:r>
      <w:r w:rsidRPr="00F07B7C">
        <w:rPr>
          <w:sz w:val="16"/>
        </w:rPr>
        <w:t xml:space="preserve">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 to these concerns.”27</w:t>
      </w:r>
    </w:p>
    <w:p w:rsidR="00C12070" w:rsidRPr="006442A8" w:rsidRDefault="00C12070" w:rsidP="00C12070"/>
    <w:p w:rsidR="00C12070" w:rsidRPr="008558CC" w:rsidRDefault="00C12070" w:rsidP="00C12070"/>
    <w:p w:rsidR="00C12070" w:rsidRPr="008558CC" w:rsidRDefault="00C12070" w:rsidP="00C12070"/>
    <w:p w:rsidR="00C12070" w:rsidRPr="008558CC" w:rsidRDefault="00C12070" w:rsidP="00C12070">
      <w:pPr>
        <w:pStyle w:val="Heading2"/>
      </w:pPr>
      <w:r>
        <w:t>AT State Budgets ADV – adv cps</w:t>
      </w:r>
    </w:p>
    <w:p w:rsidR="00C12070" w:rsidRPr="008558CC" w:rsidRDefault="00C12070" w:rsidP="00C12070"/>
    <w:p w:rsidR="00C12070" w:rsidRDefault="00C12070" w:rsidP="00C12070">
      <w:pPr>
        <w:pStyle w:val="Heading3"/>
      </w:pPr>
      <w:r w:rsidRPr="008558CC">
        <w:t>Public Pensions Fail</w:t>
      </w:r>
    </w:p>
    <w:p w:rsidR="00C12070" w:rsidRPr="008558CC" w:rsidRDefault="00C12070" w:rsidP="00C12070">
      <w:pPr>
        <w:pStyle w:val="Heading4"/>
      </w:pPr>
      <w:r w:rsidRPr="008558CC">
        <w:t>Public pensions fail – biased legislators, state to state variation</w:t>
      </w:r>
    </w:p>
    <w:p w:rsidR="00C12070" w:rsidRPr="008558CC" w:rsidRDefault="00C12070" w:rsidP="00C12070">
      <w:pPr>
        <w:rPr>
          <w:rStyle w:val="Style13ptBold"/>
          <w:b w:val="0"/>
        </w:rPr>
      </w:pPr>
      <w:r w:rsidRPr="008558CC">
        <w:rPr>
          <w:rStyle w:val="Style13ptBold"/>
        </w:rPr>
        <w:t xml:space="preserve">McGuinn 14 </w:t>
      </w:r>
      <w:r w:rsidRPr="008558CC">
        <w:rPr>
          <w:rStyle w:val="Style13ptBold"/>
          <w:b w:val="0"/>
        </w:rPr>
        <w:t xml:space="preserve">Patrick McGuinn teaches at Drew and has been ranked among the 200 best university-based scholars who shape public discourse on education. (Patrick, Brookings, “Pension Politics: Public Employee Retirement System Reform in Four States,” February 2014, </w:t>
      </w:r>
      <w:hyperlink r:id="rId35" w:history="1">
        <w:r w:rsidRPr="008558CC">
          <w:rPr>
            <w:rStyle w:val="Hyperlink"/>
          </w:rPr>
          <w:t>https://www.brookings.edu/wp-content/uploads/2016/06/Pension-Politics_FINAL_225.pdf)</w:t>
        </w:r>
      </w:hyperlink>
      <w:r w:rsidRPr="008558CC">
        <w:rPr>
          <w:rStyle w:val="Style13ptBold"/>
          <w:b w:val="0"/>
        </w:rPr>
        <w:t xml:space="preserve"> // SR</w:t>
      </w:r>
    </w:p>
    <w:p w:rsidR="00C12070" w:rsidRPr="00E34C46" w:rsidRDefault="00C12070" w:rsidP="00C12070">
      <w:pPr>
        <w:rPr>
          <w:rFonts w:eastAsia="Times New Roman"/>
        </w:rPr>
      </w:pPr>
      <w:r w:rsidRPr="00F40F2A">
        <w:rPr>
          <w:rFonts w:eastAsia="Times New Roman"/>
        </w:rPr>
        <w:t xml:space="preserve">A recent Brookings paper by Johnson, Chingos, and Whitehurst examines the evolution of public employee </w:t>
      </w:r>
      <w:r w:rsidRPr="008558CC">
        <w:rPr>
          <w:rStyle w:val="StyleUnderline"/>
        </w:rPr>
        <w:t>pension systems in the United States</w:t>
      </w:r>
      <w:r w:rsidRPr="00F40F2A">
        <w:rPr>
          <w:rFonts w:eastAsia="Times New Roman"/>
        </w:rPr>
        <w:t xml:space="preserve"> and explains how and why many of these systems </w:t>
      </w:r>
      <w:r w:rsidRPr="008558CC">
        <w:rPr>
          <w:rStyle w:val="StyleUnderline"/>
        </w:rPr>
        <w:t>have come to be so underfunded</w:t>
      </w:r>
      <w:r w:rsidRPr="00F40F2A">
        <w:rPr>
          <w:rFonts w:eastAsia="Times New Roman"/>
        </w:rPr>
        <w:t xml:space="preserve">. They conclude, "It is obvious that the current situation is unsustainable financially in most states and undesirable in terms of recruiting and retaining the best public employees. Reform will have to come, and it will be far preferable to tackle it creatively before the problem worsens rather than be forced to act hastily down the road.”4 The National Council on Teacher Quality has estimated that </w:t>
      </w:r>
      <w:r w:rsidRPr="008558CC">
        <w:rPr>
          <w:rStyle w:val="StyleUnderline"/>
        </w:rPr>
        <w:t>U.S. teacher pension systems alone have almost $325 billion in unfunded liabilities, and they note that even that number understates the liability due to unrealistic assumptions in actuarial modeling</w:t>
      </w:r>
      <w:r w:rsidRPr="00F40F2A">
        <w:rPr>
          <w:rFonts w:eastAsia="Times New Roman"/>
        </w:rPr>
        <w:t xml:space="preserve">.5 However, as Marguerite Roza observes, there is a remarkable degree of ignorance and unwillingness to talk about the pension problem among educators and policymakers. She notes that “There is a complete lack of awareness of how and why they are in the position they are and what it means for them. There is a big understanding gap around pensions and a refusal to engage with the issue—a lot of folks declare it a ‘political non-starter’ while others don’t think it is a part of their job and think it is someone else’s responsibility.” </w:t>
      </w:r>
      <w:r w:rsidRPr="008558CC">
        <w:rPr>
          <w:rStyle w:val="StyleUnderline"/>
        </w:rPr>
        <w:t>Many of the problems of public pensions are symptomatic of broader dysfunction in state budgeting, and the strong temptation for legislators to spend now to please voters and powerful special interests while deferring costs into the distant future</w:t>
      </w:r>
      <w:r w:rsidRPr="00F40F2A">
        <w:rPr>
          <w:rFonts w:eastAsia="Times New Roman"/>
        </w:rPr>
        <w:t xml:space="preserve">.6 Josh Barro has argued that </w:t>
      </w:r>
      <w:r w:rsidRPr="008558CC">
        <w:rPr>
          <w:rStyle w:val="StyleUnderline"/>
        </w:rPr>
        <w:t>defined benefit pensions are “basically a structure with which state lawmakers cannot be trusted. They involve making promises over periods of decades. They involve state lawmakers now making decisions for political benefit, and being able to send the bill to people who will be in office far in the future</w:t>
      </w:r>
      <w:r w:rsidRPr="008558CC">
        <w:rPr>
          <w:rFonts w:eastAsia="Times New Roman"/>
        </w:rPr>
        <w:t>.”7 As a result, as Raegan Miller of the Center for American Progress has observed: “</w:t>
      </w:r>
      <w:r w:rsidRPr="008558CC">
        <w:rPr>
          <w:rStyle w:val="StyleUnderline"/>
        </w:rPr>
        <w:t>The financial condition of existing defined benefit plans is vulnerable to ‘pension holidays,’ when employers—school districts—fail to make contributions to their employees’ pension plans</w:t>
      </w:r>
      <w:r w:rsidRPr="008558CC">
        <w:rPr>
          <w:rFonts w:eastAsia="Times New Roman"/>
        </w:rPr>
        <w:t xml:space="preserve">. Another culprit is imprudent benefit enhancements. Several consecutive years of unusually </w:t>
      </w:r>
      <w:r w:rsidRPr="008558CC">
        <w:rPr>
          <w:rStyle w:val="StyleUnderline"/>
        </w:rPr>
        <w:t>high returns on a pension plan’s investments have been used in the past to justify benefit enhancements or to free up employer contributions for other uses</w:t>
      </w:r>
      <w:r w:rsidRPr="008558CC">
        <w:rPr>
          <w:rFonts w:eastAsia="Times New Roman"/>
        </w:rPr>
        <w:t>.”8 One state policymaker interviewed for this paper called this dynamic the “human/asset liability mismatch” and noted that “The asset is being able to give away a benefit of value now when the bill does not come due until 15-20 years later when you are not going to be around. It is easier to trade a COLA increase now that helps you balance the budget.”9 The Providence Journal has observed that: “</w:t>
      </w:r>
      <w:r w:rsidRPr="008558CC">
        <w:rPr>
          <w:rStyle w:val="StyleUnderline"/>
        </w:rPr>
        <w:t>At the bottom of it all is a political culture that rewarded politicians who made unsustainable promises, working in mutually beneficial tandem with public employee union leaders who extracted remarkably generous benefits without worrying about the long-term costs to the citizenry, especially when the inevitable recession arrived</w:t>
      </w:r>
      <w:r w:rsidRPr="008558CC">
        <w:rPr>
          <w:rFonts w:eastAsia="Times New Roman"/>
        </w:rPr>
        <w:t xml:space="preserve">.”10. </w:t>
      </w:r>
      <w:r w:rsidRPr="00E34C46">
        <w:rPr>
          <w:rFonts w:eastAsia="Times New Roman"/>
        </w:rPr>
        <w:t>Why do union leaders support pension policies that threaten to undermine the ability of a state to deliver promised benefits to their members? Dr. Thomas H. Little from the State Legislative Leaders Foundation noted that it has a lot to do with internal union politics: “</w:t>
      </w:r>
      <w:r w:rsidRPr="008558CC">
        <w:rPr>
          <w:rStyle w:val="StyleUnderline"/>
        </w:rPr>
        <w:t>Union representatives tend not to look long-term but rather focus on Pension Politics</w:t>
      </w:r>
      <w:r w:rsidRPr="00E34C46">
        <w:rPr>
          <w:rFonts w:eastAsia="Times New Roman"/>
        </w:rPr>
        <w:t xml:space="preserve">: Public Employee Retirement System Reform in Four States 6 the short-term interests of the current and retired members who elected them and on whom they depend for re-election. These folks tend to be adamantly opposed to cuts in their benefits.” As Koedel, Ni, and Podgursky have demonstrated, </w:t>
      </w:r>
      <w:r w:rsidRPr="008558CC">
        <w:rPr>
          <w:rStyle w:val="StyleUnderline"/>
        </w:rPr>
        <w:t>reforming pensions is also difficult because K-12 education administrators (the “stewards of the pension system”) are enrolled in the same pension plans as teachers and actually enjoy the largest net benefits from them. “With such high personal stakes,” they write, “there is no reason to expect K-12 administrators or the organizations that represent their interests to support pension reform efforts. Yet it is these administrators who are expected to be the professional voice for the school districts that are bearing the heavy costs of employee pension benefits.”</w:t>
      </w:r>
      <w:r w:rsidRPr="00E34C46">
        <w:rPr>
          <w:rFonts w:eastAsia="Times New Roman"/>
        </w:rPr>
        <w:t xml:space="preserve">13 In an interview, Podgursky added that: “While management is often on the side of reform </w:t>
      </w:r>
      <w:r w:rsidRPr="008558CC">
        <w:rPr>
          <w:rStyle w:val="StyleUnderline"/>
        </w:rPr>
        <w:t>when it comes to issues like teacher tenure and performance pay, on the pension issue there is no daylight between them and labor</w:t>
      </w:r>
      <w:r w:rsidRPr="00E34C46">
        <w:rPr>
          <w:rFonts w:eastAsia="Times New Roman"/>
        </w:rPr>
        <w:t xml:space="preserve">. They are both on the same side of the table, and </w:t>
      </w:r>
      <w:r w:rsidRPr="008558CC">
        <w:rPr>
          <w:rStyle w:val="StyleUnderline"/>
        </w:rPr>
        <w:t>this creates a serious principal-agent problem</w:t>
      </w:r>
      <w:r w:rsidRPr="00E34C46">
        <w:rPr>
          <w:rFonts w:eastAsia="Times New Roman"/>
        </w:rPr>
        <w:t>. There is a real void between the legislatures and every other actor on pensions and so it’s not surprising we have a mess.”</w:t>
      </w:r>
      <w:r w:rsidRPr="008558CC">
        <w:rPr>
          <w:rFonts w:eastAsia="Times New Roman"/>
        </w:rPr>
        <w:t xml:space="preserve"> </w:t>
      </w:r>
      <w:r w:rsidRPr="00E34C46">
        <w:rPr>
          <w:rFonts w:eastAsia="Times New Roman"/>
        </w:rPr>
        <w:t xml:space="preserve">However, </w:t>
      </w:r>
      <w:r w:rsidRPr="008558CC">
        <w:rPr>
          <w:rStyle w:val="StyleUnderline"/>
        </w:rPr>
        <w:t>the stock market crash of 2008 upended the traditional politics of pensions by dramatically reducing the value of state pension fund investments and concurrently increasing their unfunded liability.</w:t>
      </w:r>
      <w:r w:rsidRPr="00E34C46">
        <w:rPr>
          <w:rFonts w:eastAsia="Times New Roman"/>
        </w:rPr>
        <w:t xml:space="preserve"> This led to a huge increase in annual required state pension contributions at exactly the same time that the broader economic recession reduced state revenue and increased the demand for state social services. (As a recent Thomas B. Fordham Institute report shows, school district budgets are also being squeezed by rising pension costs.)14 As a result, the Pew Center on the States reports that </w:t>
      </w:r>
      <w:r w:rsidRPr="008558CC">
        <w:rPr>
          <w:rStyle w:val="StyleUnderline"/>
        </w:rPr>
        <w:t>35 states made changes to their pension systems in 2010-2011.15 Most of these changes concentrated on future employees because most states were reluctant to change benefits for current or retired workers due to concerns that courts would classify them as legally protected (and thus unalterable) benefits</w:t>
      </w:r>
      <w:r w:rsidRPr="00E34C46">
        <w:rPr>
          <w:rFonts w:eastAsia="Times New Roman"/>
        </w:rPr>
        <w:t>. In 2010, however, Colorado and Minnesota reduced or eliminated their cost of living adjustments (COLAs), and the moves were upheld in subsequent court rulings, which opened the door for other states to take similar action.16 Nonetheless, NCTQ argues that: “</w:t>
      </w:r>
      <w:r w:rsidRPr="008558CC">
        <w:rPr>
          <w:rStyle w:val="StyleUnderline"/>
        </w:rPr>
        <w:t>States pension woes can’t be fixed by tinkering with vesting periods or shaving down benefits to teachers, the path most states have taken to date…States are putting their own financial health, as well as the security of their teachers, at great risk by failing to take on a comprehensive approach to pension reform that addresses fundamental problems</w:t>
      </w:r>
      <w:r w:rsidRPr="00E34C46">
        <w:rPr>
          <w:rFonts w:eastAsia="Times New Roman"/>
        </w:rPr>
        <w:t xml:space="preserve">.” 17 Pension Politics: Public Employee Retirement System Reform in Four States 7 States vary dramatically in terms of the design and health of their public sector pension systems, as well as in the political context for reform. </w:t>
      </w:r>
      <w:r w:rsidRPr="008558CC">
        <w:rPr>
          <w:rStyle w:val="StyleUnderline"/>
        </w:rPr>
        <w:t>There are a number of key factors that affect the likelihood that a state will make a serious attempt to reform its pension system, and that impact the likelihood that such an effort, once initiated, will succeed</w:t>
      </w:r>
      <w:r w:rsidRPr="00E34C46">
        <w:rPr>
          <w:rFonts w:eastAsia="Times New Roman"/>
        </w:rPr>
        <w:t xml:space="preserve">. The first important factor is the size and source of a state’s unfunded pension liability, which influences the urgency for reform and the range of contemplated alternatives. </w:t>
      </w:r>
      <w:r w:rsidRPr="008558CC">
        <w:rPr>
          <w:rStyle w:val="StyleUnderline"/>
        </w:rPr>
        <w:t>States that have the largest shortfalls appear most likely to act and to enact significant reform, though as California demonstrates, having a major pension crisis does not guarantee action will be taken</w:t>
      </w:r>
      <w:r w:rsidRPr="00E34C46">
        <w:rPr>
          <w:rFonts w:eastAsia="Times New Roman"/>
        </w:rPr>
        <w:t xml:space="preserve">. Another crucial factor is the way in which the pension system interacts with a state’s broader fiscal environment. </w:t>
      </w:r>
      <w:r w:rsidRPr="008558CC">
        <w:rPr>
          <w:rStyle w:val="StyleUnderline"/>
        </w:rPr>
        <w:t>States face different budgetary climates across time and space—and vary in their capacity to tolerate tax or spending increases or service cuts that might ameliorate the need for or severity of pension reform</w:t>
      </w:r>
      <w:r w:rsidRPr="00E34C46">
        <w:rPr>
          <w:rFonts w:eastAsia="Times New Roman"/>
        </w:rPr>
        <w:t>. An additional issue concerns whether teachers and other public employees in a particular state are part of the social security system or not, something which varies considerably across the country. David Draine from the Pew Center on the States observed that “</w:t>
      </w:r>
      <w:r w:rsidRPr="008558CC">
        <w:rPr>
          <w:rStyle w:val="StyleUnderline"/>
        </w:rPr>
        <w:t>the pension reform conversation is very different when workers do not have social security backing up the pension, because they will require more generous pension benefits to ensure retirement security.” The political environment in a state, not surprisingly, also has a major impact on the willingness of policymakers to embrace pension reform and the kinds of reforms they are willing to consider. Which party controls the governorship and the legislature—and whether there is unified or divided partisan control of government—has important implications for reform, as does the strength and reform posture of the state’s public sector unions</w:t>
      </w:r>
      <w:r w:rsidRPr="00E34C46">
        <w:rPr>
          <w:rFonts w:eastAsia="Times New Roman"/>
        </w:rPr>
        <w:t xml:space="preserve">. Some states have seen the emergence of a political counter-weight to the unions in the form of education reform advocacy groups like Students First, business interests such as the Chamber of Commerce, or civic groups interested in protecting social services. But the actual array and strength of these pro-pension reform groups—and </w:t>
      </w:r>
      <w:r w:rsidRPr="008558CC">
        <w:rPr>
          <w:rStyle w:val="StyleUnderline"/>
        </w:rPr>
        <w:t>their ability to unite in a single coalition—varies from state to state</w:t>
      </w:r>
      <w:r w:rsidRPr="00E34C46">
        <w:rPr>
          <w:rFonts w:eastAsia="Times New Roman"/>
        </w:rPr>
        <w:t xml:space="preserve">. The particular regulatory, legal and constitutional context that governs </w:t>
      </w:r>
      <w:r w:rsidRPr="008558CC">
        <w:rPr>
          <w:rStyle w:val="StyleUnderline"/>
        </w:rPr>
        <w:t>pension systems also varies widely, with some states (such as Utah and Illinois) having very high protections for the retirement benefits of current and former workers</w:t>
      </w:r>
      <w:r w:rsidRPr="00E34C46">
        <w:rPr>
          <w:rFonts w:eastAsia="Times New Roman"/>
        </w:rPr>
        <w:t xml:space="preserve">. As Howells has noted, “there is a great deal of variation among states’ regulation of pensions and benefits,” and </w:t>
      </w:r>
      <w:r w:rsidRPr="008558CC">
        <w:rPr>
          <w:rStyle w:val="StyleUnderline"/>
        </w:rPr>
        <w:t>states have adopted different legal theories for adjudicating changes to them. Some states, she observes, view pensions as gratuities, while others treat them as contracts, property rights, or promissory estoppel</w:t>
      </w:r>
      <w:r w:rsidRPr="00E34C46">
        <w:rPr>
          <w:rFonts w:eastAsia="Times New Roman"/>
        </w:rPr>
        <w:t>.18</w:t>
      </w:r>
    </w:p>
    <w:p w:rsidR="00C12070" w:rsidRPr="00E949C0" w:rsidRDefault="00C12070" w:rsidP="00C12070"/>
    <w:p w:rsidR="00C12070" w:rsidRPr="00F40F2A" w:rsidRDefault="00C12070" w:rsidP="00C12070">
      <w:pPr>
        <w:rPr>
          <w:rFonts w:eastAsia="Times New Roman"/>
        </w:rPr>
      </w:pPr>
    </w:p>
    <w:p w:rsidR="00C12070" w:rsidRPr="008558CC" w:rsidRDefault="00C12070" w:rsidP="00C12070">
      <w:pPr>
        <w:rPr>
          <w:rStyle w:val="StyleUnderline"/>
        </w:rPr>
      </w:pPr>
    </w:p>
    <w:p w:rsidR="00C12070" w:rsidRPr="008558CC" w:rsidRDefault="00C12070" w:rsidP="00C12070">
      <w:pPr>
        <w:pStyle w:val="Heading3"/>
      </w:pPr>
      <w:r w:rsidRPr="008558CC">
        <w:t>Actuarial Payments CP</w:t>
      </w:r>
    </w:p>
    <w:p w:rsidR="00C12070" w:rsidRPr="008558CC" w:rsidRDefault="00C12070" w:rsidP="00C12070"/>
    <w:p w:rsidR="00C12070" w:rsidRPr="008558CC" w:rsidRDefault="00C12070" w:rsidP="00C12070">
      <w:pPr>
        <w:pStyle w:val="Heading4"/>
      </w:pPr>
      <w:r w:rsidRPr="008558CC">
        <w:t>The 50 states, District of Columbia, and all relevant territories should complete actuarial payments every year</w:t>
      </w:r>
    </w:p>
    <w:p w:rsidR="00C12070" w:rsidRPr="008558CC" w:rsidRDefault="00C12070" w:rsidP="00C12070"/>
    <w:p w:rsidR="00C12070" w:rsidRPr="008558CC" w:rsidRDefault="00C12070" w:rsidP="00C12070">
      <w:pPr>
        <w:pStyle w:val="Heading4"/>
      </w:pPr>
      <w:r w:rsidRPr="008558CC">
        <w:t>Actuarial payments solve the pension crisis – increases state accountability and prevents drawbacks from legislators</w:t>
      </w:r>
    </w:p>
    <w:p w:rsidR="00C12070" w:rsidRPr="008558CC" w:rsidRDefault="00C12070" w:rsidP="00C12070">
      <w:r w:rsidRPr="008558CC">
        <w:rPr>
          <w:rStyle w:val="Style13ptBold"/>
        </w:rPr>
        <w:t xml:space="preserve">McGuinn 14 </w:t>
      </w:r>
      <w:r w:rsidRPr="008558CC">
        <w:rPr>
          <w:rStyle w:val="Style13ptBold"/>
          <w:b w:val="0"/>
        </w:rPr>
        <w:t xml:space="preserve">Patrick McGuinn teaches at Drew and has been ranked among the 200 best university-based scholars who shape public discourse on education. (Patrick, Brookings, “Pension Politics: Public Employee Retirement System Reform in Four States,” February 2014, </w:t>
      </w:r>
      <w:hyperlink r:id="rId36" w:history="1">
        <w:r w:rsidRPr="008558CC">
          <w:rPr>
            <w:rStyle w:val="Hyperlink"/>
          </w:rPr>
          <w:t>https://www.brookings.edu/wp-content/uploads/2016/06/Pension-Politics_FINAL_225.pdf)</w:t>
        </w:r>
      </w:hyperlink>
      <w:r w:rsidRPr="008558CC">
        <w:rPr>
          <w:rStyle w:val="Style13ptBold"/>
          <w:b w:val="0"/>
        </w:rPr>
        <w:t xml:space="preserve"> // SR</w:t>
      </w:r>
    </w:p>
    <w:p w:rsidR="00C12070" w:rsidRDefault="00C12070" w:rsidP="00C12070">
      <w:pPr>
        <w:rPr>
          <w:rStyle w:val="StyleUnderline"/>
        </w:rPr>
      </w:pPr>
      <w:r w:rsidRPr="008558CC">
        <w:rPr>
          <w:rStyle w:val="StyleUnderline"/>
        </w:rPr>
        <w:t>States should make their complete actuarial payment every year</w:t>
      </w:r>
      <w:r w:rsidRPr="008558CC">
        <w:rPr>
          <w:rFonts w:eastAsia="Times New Roman"/>
        </w:rPr>
        <w:t xml:space="preserve">. </w:t>
      </w:r>
      <w:r w:rsidRPr="0004166D">
        <w:rPr>
          <w:rFonts w:eastAsia="Times New Roman"/>
        </w:rPr>
        <w:t xml:space="preserve"> This is an obvious point but nonetheless crucial; </w:t>
      </w:r>
      <w:r w:rsidRPr="008558CC">
        <w:rPr>
          <w:rStyle w:val="StyleUnderline"/>
        </w:rPr>
        <w:t>making the full annual required contribution (ARC) is a necessary (if often not sufficient) condition for having a sustainable pension system. Employees make steady contributions to their pensions throughout their careers—in fact, it is deducted from their paychecks. States need to meet their obligations with the same regularity—when payments are skipped or made only in part the unfunded liability in the pension system can grow quickly, especially if the market declines</w:t>
      </w:r>
      <w:r w:rsidRPr="0004166D">
        <w:rPr>
          <w:rFonts w:eastAsia="Times New Roman"/>
        </w:rPr>
        <w:t xml:space="preserve">. Alicia Munnell has found that in many states, </w:t>
      </w:r>
      <w:r w:rsidRPr="008558CC">
        <w:rPr>
          <w:rStyle w:val="StyleUnderline"/>
        </w:rPr>
        <w:t>pension problems</w:t>
      </w:r>
      <w:r w:rsidRPr="0004166D">
        <w:rPr>
          <w:rFonts w:eastAsia="Times New Roman"/>
        </w:rPr>
        <w:t xml:space="preserve"> did not </w:t>
      </w:r>
      <w:r w:rsidRPr="008558CC">
        <w:rPr>
          <w:rStyle w:val="StyleUnderline"/>
        </w:rPr>
        <w:t>result from</w:t>
      </w:r>
      <w:r w:rsidRPr="0004166D">
        <w:rPr>
          <w:rFonts w:eastAsia="Times New Roman"/>
        </w:rPr>
        <w:t xml:space="preserve"> union lobbying or inappropriate discount rates, but from </w:t>
      </w:r>
      <w:r w:rsidRPr="008558CC">
        <w:rPr>
          <w:rStyle w:val="StyleUnderline"/>
        </w:rPr>
        <w:t>a lack of fiscal discipline</w:t>
      </w:r>
      <w:r w:rsidRPr="0004166D">
        <w:rPr>
          <w:rFonts w:eastAsia="Times New Roman"/>
        </w:rPr>
        <w:t>. “The Shenanigans in Illinois and New Jersey,” she writes, “have more to do with politicians behaving irresponsibly than with understating liabilities or with union power.”95 Schnitzer from the NJEA argues that “</w:t>
      </w:r>
      <w:r w:rsidRPr="008558CC">
        <w:rPr>
          <w:rStyle w:val="StyleUnderline"/>
        </w:rPr>
        <w:t>the problem is not that the benefits are too generous, but instead that the failure to make regular payments over time causes pension payments to be a budget buster</w:t>
      </w:r>
      <w:r w:rsidRPr="0004166D">
        <w:rPr>
          <w:rFonts w:eastAsia="Times New Roman"/>
        </w:rPr>
        <w:t xml:space="preserve">. Too many states are not making payments and then complaining that ‘the system is broken.’”96 Laurence Msall of the Chicago Civic Federation added that: “Illinois has been dealing with the pension crisis for decades but it is painfully Pension Politics: Public Employee Retirement System Reform in Four States 40 obvious that </w:t>
      </w:r>
      <w:r w:rsidRPr="008558CC">
        <w:rPr>
          <w:rStyle w:val="StyleUnderline"/>
        </w:rPr>
        <w:t>the longer you wait to address your pension problems the more expensive it is and the harder it gets. Illinois has seen our unfunded pension liabilities double in less than ten years</w:t>
      </w:r>
      <w:r w:rsidRPr="0004166D">
        <w:rPr>
          <w:rFonts w:eastAsia="Times New Roman"/>
        </w:rPr>
        <w:t xml:space="preserve">. When that happens, the size of the solution has to be that much larger and more painful. Allowing yourself payment ramps, </w:t>
      </w:r>
      <w:r w:rsidRPr="008558CC">
        <w:rPr>
          <w:rStyle w:val="StyleUnderline"/>
        </w:rPr>
        <w:t>focusing on short-term budgetary relief or counting on increased state revenues/taxes in the future to solve the problem is a bad idea</w:t>
      </w:r>
      <w:r w:rsidRPr="0004166D">
        <w:rPr>
          <w:rFonts w:eastAsia="Times New Roman"/>
        </w:rPr>
        <w:t xml:space="preserve">.” For political reasons, </w:t>
      </w:r>
      <w:r w:rsidRPr="008558CC">
        <w:rPr>
          <w:rStyle w:val="StyleUnderline"/>
        </w:rPr>
        <w:t>there is a strong temptation for for legislators to look only at the short-term and make quick pension fixes that resolve that year’s budget problem rather than address longer-term structural issues in the retirement system. The longer that the unfunded liability continues to grow, the harder it will be to get the pension system back to a healthy place</w:t>
      </w:r>
      <w:r w:rsidRPr="0004166D">
        <w:rPr>
          <w:rFonts w:eastAsia="Times New Roman"/>
        </w:rPr>
        <w:t xml:space="preserve">. Conversely, by bending the cost curve, you can make it much more manageable over the long term; the earlier a state enacts pension changes the better off it will be. </w:t>
      </w:r>
      <w:r w:rsidRPr="008558CC">
        <w:rPr>
          <w:rStyle w:val="StyleUnderline"/>
        </w:rPr>
        <w:t xml:space="preserve">Reformers should seek to make it a </w:t>
      </w:r>
      <w:r w:rsidRPr="0004166D">
        <w:rPr>
          <w:rFonts w:eastAsia="Times New Roman"/>
        </w:rPr>
        <w:t xml:space="preserve">legal (or even </w:t>
      </w:r>
      <w:r w:rsidRPr="008558CC">
        <w:rPr>
          <w:rStyle w:val="StyleUnderline"/>
        </w:rPr>
        <w:t>constitutional) requirement that their state make its full actuarial pension payment every year and that the state retirement board and legislature have to act if the pension fund gets severely underfunded again. Public sector unions should be prepared—and empowered—to sue in court to force the state to make its required payment when it fails to do so.</w:t>
      </w:r>
    </w:p>
    <w:p w:rsidR="00C12070" w:rsidRDefault="00C12070" w:rsidP="00C12070">
      <w:pPr>
        <w:pStyle w:val="Heading4"/>
      </w:pPr>
      <w:r>
        <w:t>Government accountability leads to economic growth – increases democratic governance and societal well-being</w:t>
      </w:r>
    </w:p>
    <w:p w:rsidR="00C12070" w:rsidRPr="005B029D" w:rsidRDefault="00C12070" w:rsidP="00C12070">
      <w:pPr>
        <w:rPr>
          <w:rStyle w:val="Style13ptBold"/>
          <w:b w:val="0"/>
        </w:rPr>
      </w:pPr>
      <w:r>
        <w:rPr>
          <w:rStyle w:val="Style13ptBold"/>
        </w:rPr>
        <w:t xml:space="preserve">Carstens 05 </w:t>
      </w:r>
      <w:r>
        <w:rPr>
          <w:rStyle w:val="Style13ptBold"/>
          <w:b w:val="0"/>
        </w:rPr>
        <w:t xml:space="preserve">Agustin Carstens is an economist who served as the Governor of the Bank of Mexico. (International Monetary Fund, “The Role of Transparency and Accountability for Economic Development in Resource-rich Countries,” 1/27/5, </w:t>
      </w:r>
      <w:hyperlink r:id="rId37" w:history="1">
        <w:r w:rsidRPr="007D4178">
          <w:rPr>
            <w:rStyle w:val="Hyperlink"/>
          </w:rPr>
          <w:t>https://www.imf.org/en/News/Articles/2015/09/28/04/53/sp012705)</w:t>
        </w:r>
      </w:hyperlink>
      <w:r>
        <w:rPr>
          <w:rStyle w:val="Style13ptBold"/>
          <w:b w:val="0"/>
        </w:rPr>
        <w:t xml:space="preserve"> // SR</w:t>
      </w:r>
    </w:p>
    <w:p w:rsidR="00C12070" w:rsidRPr="00DC6D20" w:rsidRDefault="00C12070" w:rsidP="00C12070">
      <w:pPr>
        <w:rPr>
          <w:rStyle w:val="StyleUnderline"/>
        </w:rPr>
      </w:pPr>
      <w:r w:rsidRPr="00DC6D20">
        <w:t>On behalf of the IMF, I would like to welcome you to this workshop. Let me first thank President Mbasogo and the authorities of Equatorial Guinea for hosting this event. I would also like to thank all participants of this workshop for your interest in the subjects of transparency and accountability. Your presence here is yet another sign of the continuing focus being paid to</w:t>
      </w:r>
      <w:r>
        <w:t xml:space="preserve"> good governance in the region. </w:t>
      </w:r>
      <w:r w:rsidRPr="00DC6D20">
        <w:t>The workshop today features as themes the twin concepts of "</w:t>
      </w:r>
      <w:r w:rsidRPr="00DC6D20">
        <w:rPr>
          <w:rStyle w:val="StyleUnderline"/>
        </w:rPr>
        <w:t>transparency" and "accountability." These concepts are important pillars of democratic governance in modern societies</w:t>
      </w:r>
      <w:r w:rsidRPr="00DC6D20">
        <w:t>. However, in thinking about what I should say today, it occurred to me that, in my native Spanish language, there is no word that single-handedly captures the meaning of t</w:t>
      </w:r>
      <w:r>
        <w:t xml:space="preserve">he Anglo word "accountability." </w:t>
      </w:r>
      <w:r w:rsidRPr="00DC6D20">
        <w:rPr>
          <w:rStyle w:val="StyleUnderline"/>
        </w:rPr>
        <w:t>Webster's English Dictionary defines the term "accountability" in two ways. First, it is "the quality or state of being accountable." Second—and this is particularly relevant to public officials like yourselves—the term could also refer to "the obligation or willingness to accept responsibility or to account for one's actions."</w:t>
      </w:r>
      <w:r w:rsidRPr="00DC6D20">
        <w:t xml:space="preserve"> Many of you are Spanish-speaking, and I think you would share my view that we do not have a concept equivalent to "accountability" as just described. Now, if language reflects culture, does this then indicate that the concept of accountability is only significant in some cultures but not others? I would certainly think not. On the contrary, language and culture should evolve to embrace elements that are essential for governments to perform effectively in modern societies. Accountability is a perf</w:t>
      </w:r>
      <w:r>
        <w:t xml:space="preserve">ect example of such an element. </w:t>
      </w:r>
      <w:r w:rsidRPr="00DC6D20">
        <w:rPr>
          <w:rStyle w:val="StyleUnderline"/>
        </w:rPr>
        <w:t>Transparency and accountability are critical for the efficient functioning of a modern economy and for fostering social well-being. In most societies, many powers are delegated to public authorities. Some assurance must then be provided to the delegators—that is, society at large—that this transfer of power is not only effective, but also not abused. Transparency ensures that information is available that can be used to measure the authorities' performance and to guard against any possible misuse of powers</w:t>
      </w:r>
      <w:r w:rsidRPr="00DC6D20">
        <w:t xml:space="preserve">. In that sense, </w:t>
      </w:r>
      <w:r w:rsidRPr="00DC6D20">
        <w:rPr>
          <w:rStyle w:val="StyleUnderline"/>
        </w:rPr>
        <w:t>transparency serves to achieve accountability, which means that authorities can be held responsible for their actions. Without transparency and accountability, trust will be lacking between a government and those whom it governs. The result would be social instability and an environment that is less than conducive to economic growth.</w:t>
      </w:r>
    </w:p>
    <w:p w:rsidR="00C12070" w:rsidRDefault="00C12070" w:rsidP="00C12070">
      <w:pPr>
        <w:rPr>
          <w:rStyle w:val="StyleUnderline"/>
        </w:rPr>
      </w:pPr>
    </w:p>
    <w:p w:rsidR="00C12070" w:rsidRDefault="00C12070" w:rsidP="00C12070">
      <w:pPr>
        <w:rPr>
          <w:rStyle w:val="StyleUnderline"/>
        </w:rPr>
      </w:pPr>
    </w:p>
    <w:p w:rsidR="00C12070" w:rsidRDefault="00C12070" w:rsidP="00C12070">
      <w:pPr>
        <w:rPr>
          <w:rStyle w:val="StyleUnderline"/>
        </w:rPr>
      </w:pPr>
    </w:p>
    <w:p w:rsidR="00C12070" w:rsidRPr="005B029D" w:rsidRDefault="00C12070" w:rsidP="00C12070">
      <w:pPr>
        <w:pStyle w:val="Heading3"/>
        <w:rPr>
          <w:rStyle w:val="StyleUnderline"/>
          <w:sz w:val="32"/>
        </w:rPr>
      </w:pPr>
      <w:r>
        <w:rPr>
          <w:rStyle w:val="StyleUnderline"/>
          <w:sz w:val="32"/>
        </w:rPr>
        <w:t>2nc</w:t>
      </w:r>
      <w:r w:rsidRPr="005B029D">
        <w:rPr>
          <w:rStyle w:val="StyleUnderline"/>
          <w:sz w:val="32"/>
        </w:rPr>
        <w:t xml:space="preserve"> Actuarial Payments CP</w:t>
      </w:r>
    </w:p>
    <w:p w:rsidR="00C12070" w:rsidRDefault="00C12070" w:rsidP="00C12070"/>
    <w:p w:rsidR="00C12070" w:rsidRDefault="00C12070" w:rsidP="00C12070">
      <w:pPr>
        <w:pStyle w:val="Heading4"/>
      </w:pPr>
      <w:r>
        <w:t>Actuarial promises lead to streams of pension payments – solves the crisis</w:t>
      </w:r>
    </w:p>
    <w:p w:rsidR="00C12070" w:rsidRPr="00D4383A" w:rsidRDefault="00C12070" w:rsidP="00C12070">
      <w:pPr>
        <w:rPr>
          <w:rStyle w:val="Style13ptBold"/>
          <w:b w:val="0"/>
        </w:rPr>
      </w:pPr>
      <w:r>
        <w:rPr>
          <w:rStyle w:val="Style13ptBold"/>
        </w:rPr>
        <w:t xml:space="preserve">The Economist 16 </w:t>
      </w:r>
      <w:r>
        <w:rPr>
          <w:rStyle w:val="Style13ptBold"/>
          <w:b w:val="0"/>
        </w:rPr>
        <w:t xml:space="preserve">(The Economist, “No love, actuary,” 8/13/16, </w:t>
      </w:r>
      <w:hyperlink r:id="rId38" w:history="1">
        <w:r w:rsidRPr="007D4178">
          <w:rPr>
            <w:rStyle w:val="Hyperlink"/>
          </w:rPr>
          <w:t>https://www.economist.com/news/finance-and-economics/21704796-report-american-pension-funds-controversially-shelved-no-love-actuary)</w:t>
        </w:r>
      </w:hyperlink>
      <w:r>
        <w:rPr>
          <w:rStyle w:val="Style13ptBold"/>
          <w:b w:val="0"/>
        </w:rPr>
        <w:t xml:space="preserve"> // SR</w:t>
      </w:r>
    </w:p>
    <w:p w:rsidR="00C12070" w:rsidRDefault="00C12070" w:rsidP="00C12070">
      <w:r w:rsidRPr="00EE665F">
        <w:rPr>
          <w:rStyle w:val="StyleUnderline"/>
        </w:rPr>
        <w:t>WHEN it comes to funding the pensions of their workers, American states and local governments have not been doing a good job</w:t>
      </w:r>
      <w:r w:rsidRPr="00EE665F">
        <w:t>. Back in 2000, the average pension plan was fully funded, according to the Centre for Retirement Research (CRR); at the end of 2015, the official funding ratio was just 72%.  So a report from a pension-finance task force into the way economic principles apply to public pension funds ought to make compulsory reading. But the paper, commissioned by the American Academy of Actuaries (AAA) and the Society of Actuaries (SoA), is not going to see the light of day. That is very disappointing, since the report (a draft of which has been seen by The Economist) highlights how the approach to valuing American public pensions is highly questionable.</w:t>
      </w:r>
      <w:r>
        <w:t xml:space="preserve"> </w:t>
      </w:r>
      <w:r w:rsidRPr="00EE665F">
        <w:rPr>
          <w:rStyle w:val="StyleUnderline"/>
        </w:rPr>
        <w:t>The big costs for pension plans lie in the future, as members retire and benefits are paid. Those costs must be discounted at some rate to the present day so those who run schemes know how much money to put aside. The higher the discount rate, the less money has to be put aside now</w:t>
      </w:r>
      <w:r w:rsidRPr="00EE665F">
        <w:t>; American public plans tend to use a discount rate of around 7.5%, based on the investment</w:t>
      </w:r>
      <w:r>
        <w:t xml:space="preserve"> return they expect to achieve. </w:t>
      </w:r>
      <w:r w:rsidRPr="00EE665F">
        <w:rPr>
          <w:rStyle w:val="StyleUnderline"/>
        </w:rPr>
        <w:t>The draft paper points out that this approach is flawed. Indeed, accounting rules don’t allow corporate pension plans to use it. Economic principles suggest that the cost of a benefit does not depend on the assets expected to finance it. A promise to pay a stream of pension payments in the future resembles a commitment to make interest payments on a bond</w:t>
      </w:r>
      <w:r w:rsidRPr="00EE665F">
        <w:t>. A bond yield is thus the most appropriate discount rate. But given how low bond yields are, pension deficits would look larger (and required contributions would be much higher) if such a discount rate were used. A discount rate of 4%, for example, would mean the average public pension plan would have a funding ratio of only 45%, not 72%, according to the</w:t>
      </w:r>
      <w:r>
        <w:t xml:space="preserve"> CRR. </w:t>
      </w:r>
      <w:r w:rsidRPr="00EE665F">
        <w:t xml:space="preserve">A more generous accounting approach allows public pension plans to avoid asking taxpayers to stump up more money in the short term. But future taxpayers will bear the burden. </w:t>
      </w:r>
      <w:r w:rsidRPr="00EE665F">
        <w:rPr>
          <w:rStyle w:val="StyleUnderline"/>
        </w:rPr>
        <w:t>As the paper points out, the concept of intergenerational equity requires each generation of taxpayers to pay the full cost of the benefits it receives.</w:t>
      </w:r>
      <w:r>
        <w:t xml:space="preserve"> </w:t>
      </w:r>
      <w:r w:rsidRPr="00EE665F">
        <w:t xml:space="preserve">The ideas in the paper have been circulating among European actuaries for 20 years. But the conclusions are controversial in America; an AAA spokesman said the study “did not meet the editorial and policy standards of our review process”. Pressed for details, the AAA referred to the paper’s “tone and clarity” and cited the wording </w:t>
      </w:r>
      <w:r>
        <w:t xml:space="preserve">of a footnote on pension costs. </w:t>
      </w:r>
      <w:r w:rsidRPr="00EE665F">
        <w:t>It was perfectly within the rights of the actuarial bodies not to publish but they went further. In a memo, Tom Wildsmith and Craig Reynolds, respectively presidents of the AAA and SoA, said that, as the paper was produced by a group set up by them, “we do not think it would be appropriate for members of the task force, as individuals, to take the existing paper and sim</w:t>
      </w:r>
      <w:r>
        <w:t xml:space="preserve">ply publish it somewhere else.” </w:t>
      </w:r>
      <w:r w:rsidRPr="00EE665F">
        <w:t>The decision angered those who have been working on the paper since 2014, who see the move as censorship. “This is a paper that they didn’t write, they didn’t fund and don’t want to publish,” says Ed Bartholomew, a former banker and one of the authors who worked on a voluntary basis. Jeremy Gold, another of the authors, says the affair illustrates the insulari</w:t>
      </w:r>
      <w:r>
        <w:t xml:space="preserve">ty of the actuarial profession. </w:t>
      </w:r>
      <w:r w:rsidRPr="00EE665F">
        <w:t xml:space="preserve">In its defence, the AAA says it has in the past published similar views to those expressed in the report. And the SoA plans to hold a webinar on September 27th, in which the authors can discuss the issue. Still, the two bodies should just allow the report to be published. </w:t>
      </w:r>
      <w:r w:rsidRPr="00D4383A">
        <w:rPr>
          <w:rStyle w:val="StyleUnderline"/>
        </w:rPr>
        <w:t>American public-sector pension deficits are more than $1 trillion, even on the most generous assumptions. This is an issue in which debate should not be stifled</w:t>
      </w:r>
      <w:r w:rsidRPr="00EE665F">
        <w:t>.</w:t>
      </w:r>
    </w:p>
    <w:p w:rsidR="00C12070" w:rsidRPr="008558CC" w:rsidRDefault="00C12070" w:rsidP="00C12070">
      <w:pPr>
        <w:pStyle w:val="Heading4"/>
      </w:pPr>
      <w:r w:rsidRPr="008558CC">
        <w:t>Public pensions fail – biased legislators, state to state variation</w:t>
      </w:r>
    </w:p>
    <w:p w:rsidR="00C12070" w:rsidRPr="008558CC" w:rsidRDefault="00C12070" w:rsidP="00C12070">
      <w:pPr>
        <w:rPr>
          <w:rStyle w:val="Style13ptBold"/>
          <w:b w:val="0"/>
        </w:rPr>
      </w:pPr>
      <w:r w:rsidRPr="008558CC">
        <w:rPr>
          <w:rStyle w:val="Style13ptBold"/>
        </w:rPr>
        <w:t xml:space="preserve">McGuinn 14 </w:t>
      </w:r>
      <w:r w:rsidRPr="008558CC">
        <w:rPr>
          <w:rStyle w:val="Style13ptBold"/>
          <w:b w:val="0"/>
        </w:rPr>
        <w:t xml:space="preserve">Patrick McGuinn teaches at Drew and has been ranked among the 200 best university-based scholars who shape public discourse on education. (Patrick, Brookings, “Pension Politics: Public Employee Retirement System Reform in Four States,” February 2014, </w:t>
      </w:r>
      <w:hyperlink r:id="rId39" w:history="1">
        <w:r w:rsidRPr="008558CC">
          <w:rPr>
            <w:rStyle w:val="Hyperlink"/>
          </w:rPr>
          <w:t>https://www.brookings.edu/wp-content/uploads/2016/06/Pension-Politics_FINAL_225.pdf)</w:t>
        </w:r>
      </w:hyperlink>
      <w:r w:rsidRPr="008558CC">
        <w:rPr>
          <w:rStyle w:val="Style13ptBold"/>
          <w:b w:val="0"/>
        </w:rPr>
        <w:t xml:space="preserve"> // SR</w:t>
      </w:r>
    </w:p>
    <w:p w:rsidR="00C12070" w:rsidRPr="00E34C46" w:rsidRDefault="00C12070" w:rsidP="00C12070">
      <w:pPr>
        <w:rPr>
          <w:rFonts w:eastAsia="Times New Roman"/>
        </w:rPr>
      </w:pPr>
      <w:r w:rsidRPr="00F40F2A">
        <w:rPr>
          <w:rFonts w:eastAsia="Times New Roman"/>
        </w:rPr>
        <w:t xml:space="preserve">A recent Brookings paper by Johnson, Chingos, and Whitehurst examines the evolution of public employee </w:t>
      </w:r>
      <w:r w:rsidRPr="008558CC">
        <w:rPr>
          <w:rStyle w:val="StyleUnderline"/>
        </w:rPr>
        <w:t>pension systems in the United States</w:t>
      </w:r>
      <w:r w:rsidRPr="00F40F2A">
        <w:rPr>
          <w:rFonts w:eastAsia="Times New Roman"/>
        </w:rPr>
        <w:t xml:space="preserve"> and explains how and why many of these systems </w:t>
      </w:r>
      <w:r w:rsidRPr="008558CC">
        <w:rPr>
          <w:rStyle w:val="StyleUnderline"/>
        </w:rPr>
        <w:t>have come to be so underfunded</w:t>
      </w:r>
      <w:r w:rsidRPr="00F40F2A">
        <w:rPr>
          <w:rFonts w:eastAsia="Times New Roman"/>
        </w:rPr>
        <w:t xml:space="preserve">. They conclude, "It is obvious that the current situation is unsustainable financially in most states and undesirable in terms of recruiting and retaining the best public employees. Reform will have to come, and it will be far preferable to tackle it creatively before the problem worsens rather than be forced to act hastily down the road.”4 The National Council on Teacher Quality has estimated that </w:t>
      </w:r>
      <w:r w:rsidRPr="008558CC">
        <w:rPr>
          <w:rStyle w:val="StyleUnderline"/>
        </w:rPr>
        <w:t>U.S. teacher pension systems alone have almost $325 billion in unfunded liabilities, and they note that even that number understates the liability due to unrealistic assumptions in actuarial modeling</w:t>
      </w:r>
      <w:r w:rsidRPr="00F40F2A">
        <w:rPr>
          <w:rFonts w:eastAsia="Times New Roman"/>
        </w:rPr>
        <w:t xml:space="preserve">.5 However, as Marguerite Roza observes, there is a remarkable degree of ignorance and unwillingness to talk about the pension problem among educators and policymakers. She notes that “There is a complete lack of awareness of how and why they are in the position they are and what it means for them. There is a big understanding gap around pensions and a refusal to engage with the issue—a lot of folks declare it a ‘political non-starter’ while others don’t think it is a part of their job and think it is someone else’s responsibility.” </w:t>
      </w:r>
      <w:r w:rsidRPr="008558CC">
        <w:rPr>
          <w:rStyle w:val="StyleUnderline"/>
        </w:rPr>
        <w:t>Many of the problems of public pensions are symptomatic of broader dysfunction in state budgeting, and the strong temptation for legislators to spend now to please voters and powerful special interests while deferring costs into the distant future</w:t>
      </w:r>
      <w:r w:rsidRPr="00F40F2A">
        <w:rPr>
          <w:rFonts w:eastAsia="Times New Roman"/>
        </w:rPr>
        <w:t xml:space="preserve">.6 Josh Barro has argued that </w:t>
      </w:r>
      <w:r w:rsidRPr="008558CC">
        <w:rPr>
          <w:rStyle w:val="StyleUnderline"/>
        </w:rPr>
        <w:t>defined benefit pensions are “basically a structure with which state lawmakers cannot be trusted. They involve making promises over periods of decades. They involve state lawmakers now making decisions for political benefit, and being able to send the bill to people who will be in office far in the future</w:t>
      </w:r>
      <w:r w:rsidRPr="008558CC">
        <w:rPr>
          <w:rFonts w:eastAsia="Times New Roman"/>
        </w:rPr>
        <w:t>.”7 As a result, as Raegan Miller of the Center for American Progress has observed: “</w:t>
      </w:r>
      <w:r w:rsidRPr="008558CC">
        <w:rPr>
          <w:rStyle w:val="StyleUnderline"/>
        </w:rPr>
        <w:t>The financial condition of existing defined benefit plans is vulnerable to ‘pension holidays,’ when employers—school districts—fail to make contributions to their employees’ pension plans</w:t>
      </w:r>
      <w:r w:rsidRPr="008558CC">
        <w:rPr>
          <w:rFonts w:eastAsia="Times New Roman"/>
        </w:rPr>
        <w:t xml:space="preserve">. Another culprit is imprudent benefit enhancements. Several consecutive years of unusually </w:t>
      </w:r>
      <w:r w:rsidRPr="008558CC">
        <w:rPr>
          <w:rStyle w:val="StyleUnderline"/>
        </w:rPr>
        <w:t>high returns on a pension plan’s investments have been used in the past to justify benefit enhancements or to free up employer contributions for other uses</w:t>
      </w:r>
      <w:r w:rsidRPr="008558CC">
        <w:rPr>
          <w:rFonts w:eastAsia="Times New Roman"/>
        </w:rPr>
        <w:t>.”8 One state policymaker interviewed for this paper called this dynamic the “human/asset liability mismatch” and noted that “The asset is being able to give away a benefit of value now when the bill does not come due until 15-20 years later when you are not going to be around. It is easier to trade a COLA increase now that helps you balance the budget.”9 The Providence Journal has observed that: “</w:t>
      </w:r>
      <w:r w:rsidRPr="008558CC">
        <w:rPr>
          <w:rStyle w:val="StyleUnderline"/>
        </w:rPr>
        <w:t>At the bottom of it all is a political culture that rewarded politicians who made unsustainable promises, working in mutually beneficial tandem with public employee union leaders who extracted remarkably generous benefits without worrying about the long-term costs to the citizenry, especially when the inevitable recession arrived</w:t>
      </w:r>
      <w:r w:rsidRPr="008558CC">
        <w:rPr>
          <w:rFonts w:eastAsia="Times New Roman"/>
        </w:rPr>
        <w:t xml:space="preserve">.”10. </w:t>
      </w:r>
      <w:r w:rsidRPr="00E34C46">
        <w:rPr>
          <w:rFonts w:eastAsia="Times New Roman"/>
        </w:rPr>
        <w:t>Why do union leaders support pension policies that threaten to undermine the ability of a state to deliver promised benefits to their members? Dr. Thomas H. Little from the State Legislative Leaders Foundation noted that it has a lot to do with internal union politics: “</w:t>
      </w:r>
      <w:r w:rsidRPr="008558CC">
        <w:rPr>
          <w:rStyle w:val="StyleUnderline"/>
        </w:rPr>
        <w:t>Union representatives tend not to look long-term but rather focus on Pension Politics</w:t>
      </w:r>
      <w:r w:rsidRPr="00E34C46">
        <w:rPr>
          <w:rFonts w:eastAsia="Times New Roman"/>
        </w:rPr>
        <w:t xml:space="preserve">: Public Employee Retirement System Reform in Four States 6 the short-term interests of the current and retired members who elected them and on whom they depend for re-election. These folks tend to be adamantly opposed to cuts in their benefits.” As Koedel, Ni, and Podgursky have demonstrated, </w:t>
      </w:r>
      <w:r w:rsidRPr="008558CC">
        <w:rPr>
          <w:rStyle w:val="StyleUnderline"/>
        </w:rPr>
        <w:t>reforming pensions is also difficult because K-12 education administrators (the “stewards of the pension system”) are enrolled in the same pension plans as teachers and actually enjoy the largest net benefits from them. “With such high personal stakes,” they write, “there is no reason to expect K-12 administrators or the organizations that represent their interests to support pension reform efforts. Yet it is these administrators who are expected to be the professional voice for the school districts that are bearing the heavy costs of employee pension benefits.”</w:t>
      </w:r>
      <w:r w:rsidRPr="00E34C46">
        <w:rPr>
          <w:rFonts w:eastAsia="Times New Roman"/>
        </w:rPr>
        <w:t xml:space="preserve">13 In an interview, Podgursky added that: “While management is often on the side of reform </w:t>
      </w:r>
      <w:r w:rsidRPr="008558CC">
        <w:rPr>
          <w:rStyle w:val="StyleUnderline"/>
        </w:rPr>
        <w:t>when it comes to issues like teacher tenure and performance pay, on the pension issue there is no daylight between them and labor</w:t>
      </w:r>
      <w:r w:rsidRPr="00E34C46">
        <w:rPr>
          <w:rFonts w:eastAsia="Times New Roman"/>
        </w:rPr>
        <w:t xml:space="preserve">. They are both on the same side of the table, and </w:t>
      </w:r>
      <w:r w:rsidRPr="008558CC">
        <w:rPr>
          <w:rStyle w:val="StyleUnderline"/>
        </w:rPr>
        <w:t>this creates a serious principal-agent problem</w:t>
      </w:r>
      <w:r w:rsidRPr="00E34C46">
        <w:rPr>
          <w:rFonts w:eastAsia="Times New Roman"/>
        </w:rPr>
        <w:t>. There is a real void between the legislatures and every other actor on pensions and so it’s not surprising we have a mess.”</w:t>
      </w:r>
      <w:r w:rsidRPr="008558CC">
        <w:rPr>
          <w:rFonts w:eastAsia="Times New Roman"/>
        </w:rPr>
        <w:t xml:space="preserve"> </w:t>
      </w:r>
      <w:r w:rsidRPr="00E34C46">
        <w:rPr>
          <w:rFonts w:eastAsia="Times New Roman"/>
        </w:rPr>
        <w:t xml:space="preserve">However, </w:t>
      </w:r>
      <w:r w:rsidRPr="008558CC">
        <w:rPr>
          <w:rStyle w:val="StyleUnderline"/>
        </w:rPr>
        <w:t>the stock market crash of 2008 upended the traditional politics of pensions by dramatically reducing the value of state pension fund investments and concurrently increasing their unfunded liability.</w:t>
      </w:r>
      <w:r w:rsidRPr="00E34C46">
        <w:rPr>
          <w:rFonts w:eastAsia="Times New Roman"/>
        </w:rPr>
        <w:t xml:space="preserve"> This led to a huge increase in annual required state pension contributions at exactly the same time that the broader economic recession reduced state revenue and increased the demand for state social services. (As a recent Thomas B. Fordham Institute report shows, school district budgets are also being squeezed by rising pension costs.)14 As a result, the Pew Center on the States reports that </w:t>
      </w:r>
      <w:r w:rsidRPr="008558CC">
        <w:rPr>
          <w:rStyle w:val="StyleUnderline"/>
        </w:rPr>
        <w:t>35 states made changes to their pension systems in 2010-2011.15 Most of these changes concentrated on future employees because most states were reluctant to change benefits for current or retired workers due to concerns that courts would classify them as legally protected (and thus unalterable) benefits</w:t>
      </w:r>
      <w:r w:rsidRPr="00E34C46">
        <w:rPr>
          <w:rFonts w:eastAsia="Times New Roman"/>
        </w:rPr>
        <w:t>. In 2010, however, Colorado and Minnesota reduced or eliminated their cost of living adjustments (COLAs), and the moves were upheld in subsequent court rulings, which opened the door for other states to take similar action.16 Nonetheless, NCTQ argues that: “</w:t>
      </w:r>
      <w:r w:rsidRPr="008558CC">
        <w:rPr>
          <w:rStyle w:val="StyleUnderline"/>
        </w:rPr>
        <w:t>States pension woes can’t be fixed by tinkering with vesting periods or shaving down benefits to teachers, the path most states have taken to date…States are putting their own financial health, as well as the security of their teachers, at great risk by failing to take on a comprehensive approach to pension reform that addresses fundamental problems</w:t>
      </w:r>
      <w:r w:rsidRPr="00E34C46">
        <w:rPr>
          <w:rFonts w:eastAsia="Times New Roman"/>
        </w:rPr>
        <w:t xml:space="preserve">.” 17 Pension Politics: Public Employee Retirement System Reform in Four States 7 States vary dramatically in terms of the design and health of their public sector pension systems, as well as in the political context for reform. </w:t>
      </w:r>
      <w:r w:rsidRPr="008558CC">
        <w:rPr>
          <w:rStyle w:val="StyleUnderline"/>
        </w:rPr>
        <w:t>There are a number of key factors that affect the likelihood that a state will make a serious attempt to reform its pension system, and that impact the likelihood that such an effort, once initiated, will succeed</w:t>
      </w:r>
      <w:r w:rsidRPr="00E34C46">
        <w:rPr>
          <w:rFonts w:eastAsia="Times New Roman"/>
        </w:rPr>
        <w:t xml:space="preserve">. The first important factor is the size and source of a state’s unfunded pension liability, which influences the urgency for reform and the range of contemplated alternatives. </w:t>
      </w:r>
      <w:r w:rsidRPr="008558CC">
        <w:rPr>
          <w:rStyle w:val="StyleUnderline"/>
        </w:rPr>
        <w:t>States that have the largest shortfalls appear most likely to act and to enact significant reform, though as California demonstrates, having a major pension crisis does not guarantee action will be taken</w:t>
      </w:r>
      <w:r w:rsidRPr="00E34C46">
        <w:rPr>
          <w:rFonts w:eastAsia="Times New Roman"/>
        </w:rPr>
        <w:t xml:space="preserve">. Another crucial factor is the way in which the pension system interacts with a state’s broader fiscal environment. </w:t>
      </w:r>
      <w:r w:rsidRPr="008558CC">
        <w:rPr>
          <w:rStyle w:val="StyleUnderline"/>
        </w:rPr>
        <w:t>States face different budgetary climates across time and space—and vary in their capacity to tolerate tax or spending increases or service cuts that might ameliorate the need for or severity of pension reform</w:t>
      </w:r>
      <w:r w:rsidRPr="00E34C46">
        <w:rPr>
          <w:rFonts w:eastAsia="Times New Roman"/>
        </w:rPr>
        <w:t>. An additional issue concerns whether teachers and other public employees in a particular state are part of the social security system or not, something which varies considerably across the country. David Draine from the Pew Center on the States observed that “</w:t>
      </w:r>
      <w:r w:rsidRPr="008558CC">
        <w:rPr>
          <w:rStyle w:val="StyleUnderline"/>
        </w:rPr>
        <w:t>the pension reform conversation is very different when workers do not have social security backing up the pension, because they will require more generous pension benefits to ensure retirement security.” The political environment in a state, not surprisingly, also has a major impact on the willingness of policymakers to embrace pension reform and the kinds of reforms they are willing to consider. Which party controls the governorship and the legislature—and whether there is unified or divided partisan control of government—has important implications for reform, as does the strength and reform posture of the state’s public sector unions</w:t>
      </w:r>
      <w:r w:rsidRPr="00E34C46">
        <w:rPr>
          <w:rFonts w:eastAsia="Times New Roman"/>
        </w:rPr>
        <w:t xml:space="preserve">. Some states have seen the emergence of a political counter-weight to the unions in the form of education reform advocacy groups like Students First, business interests such as the Chamber of Commerce, or civic groups interested in protecting social services. But the actual array and strength of these pro-pension reform groups—and </w:t>
      </w:r>
      <w:r w:rsidRPr="008558CC">
        <w:rPr>
          <w:rStyle w:val="StyleUnderline"/>
        </w:rPr>
        <w:t>their ability to unite in a single coalition—varies from state to state</w:t>
      </w:r>
      <w:r w:rsidRPr="00E34C46">
        <w:rPr>
          <w:rFonts w:eastAsia="Times New Roman"/>
        </w:rPr>
        <w:t xml:space="preserve">. The particular regulatory, legal and constitutional context that governs </w:t>
      </w:r>
      <w:r w:rsidRPr="008558CC">
        <w:rPr>
          <w:rStyle w:val="StyleUnderline"/>
        </w:rPr>
        <w:t>pension systems also varies widely, with some states (such as Utah and Illinois) having very high protections for the retirement benefits of current and former workers</w:t>
      </w:r>
      <w:r w:rsidRPr="00E34C46">
        <w:rPr>
          <w:rFonts w:eastAsia="Times New Roman"/>
        </w:rPr>
        <w:t xml:space="preserve">. As Howells has noted, “there is a great deal of variation among states’ regulation of pensions and benefits,” and </w:t>
      </w:r>
      <w:r w:rsidRPr="008558CC">
        <w:rPr>
          <w:rStyle w:val="StyleUnderline"/>
        </w:rPr>
        <w:t>states have adopted different legal theories for adjudicating changes to them. Some states, she observes, view pensions as gratuities, while others treat them as contracts, property rights, or promissory estoppel</w:t>
      </w:r>
      <w:r w:rsidRPr="00E34C46">
        <w:rPr>
          <w:rFonts w:eastAsia="Times New Roman"/>
        </w:rPr>
        <w:t>.18</w:t>
      </w:r>
    </w:p>
    <w:p w:rsidR="00C12070" w:rsidRPr="008558CC" w:rsidRDefault="00C12070" w:rsidP="00C12070">
      <w:pPr>
        <w:rPr>
          <w:rStyle w:val="StyleUnderline"/>
        </w:rPr>
      </w:pPr>
    </w:p>
    <w:p w:rsidR="00C12070" w:rsidRPr="008558CC" w:rsidRDefault="00C12070" w:rsidP="00C12070">
      <w:pPr>
        <w:rPr>
          <w:rStyle w:val="StyleUnderline"/>
        </w:rPr>
      </w:pPr>
    </w:p>
    <w:p w:rsidR="00C12070" w:rsidRPr="008558CC" w:rsidRDefault="00C12070" w:rsidP="00C12070">
      <w:pPr>
        <w:pStyle w:val="Heading3"/>
      </w:pPr>
      <w:r w:rsidRPr="008558CC">
        <w:t>Data CP</w:t>
      </w:r>
    </w:p>
    <w:p w:rsidR="00C12070" w:rsidRPr="008558CC" w:rsidRDefault="00C12070" w:rsidP="00C12070"/>
    <w:p w:rsidR="00C12070" w:rsidRPr="008558CC" w:rsidRDefault="00C12070" w:rsidP="00C12070">
      <w:pPr>
        <w:pStyle w:val="Heading4"/>
      </w:pPr>
      <w:r w:rsidRPr="008558CC">
        <w:t>The United States Federal Government should gather data and information about the status of the pension fund and its projected future health and then substantially increase its funding of secondary career and technical education, including increasing formula grants distributed to states, establishing of a CTE Pathways Trust Fund, and expanding Social Innovation Financing.</w:t>
      </w:r>
    </w:p>
    <w:p w:rsidR="00C12070" w:rsidRPr="008558CC" w:rsidRDefault="00C12070" w:rsidP="00C12070">
      <w:pPr>
        <w:rPr>
          <w:rFonts w:eastAsia="Times New Roman"/>
        </w:rPr>
      </w:pPr>
    </w:p>
    <w:p w:rsidR="00C12070" w:rsidRPr="008558CC" w:rsidRDefault="00C12070" w:rsidP="00C12070"/>
    <w:p w:rsidR="00C12070" w:rsidRPr="008558CC" w:rsidRDefault="00C12070" w:rsidP="00C12070">
      <w:pPr>
        <w:pStyle w:val="Heading4"/>
      </w:pPr>
      <w:r w:rsidRPr="008558CC">
        <w:t>Gathering hard data makes pension reform more effective – greater clarity and accessibility</w:t>
      </w:r>
    </w:p>
    <w:p w:rsidR="00C12070" w:rsidRPr="008558CC" w:rsidRDefault="00C12070" w:rsidP="00C12070">
      <w:r w:rsidRPr="008558CC">
        <w:rPr>
          <w:rStyle w:val="Style13ptBold"/>
        </w:rPr>
        <w:t xml:space="preserve">McGuinn 14 </w:t>
      </w:r>
      <w:r w:rsidRPr="008558CC">
        <w:rPr>
          <w:rStyle w:val="Style13ptBold"/>
          <w:b w:val="0"/>
        </w:rPr>
        <w:t xml:space="preserve">Patrick McGuinn teaches at Drew and has been ranked among the 200 best university-based scholars who shape public discourse on education. (Patrick, Brookings, “Pension Politics: Public Employee Retirement System Reform in Four States,” February 2014, </w:t>
      </w:r>
      <w:hyperlink r:id="rId40" w:history="1">
        <w:r w:rsidRPr="008558CC">
          <w:rPr>
            <w:rStyle w:val="Hyperlink"/>
          </w:rPr>
          <w:t>https://www.brookings.edu/wp-content/uploads/2016/06/Pension-Politics_FINAL_225.pdf)</w:t>
        </w:r>
      </w:hyperlink>
      <w:r w:rsidRPr="008558CC">
        <w:rPr>
          <w:rStyle w:val="Style13ptBold"/>
          <w:b w:val="0"/>
        </w:rPr>
        <w:t xml:space="preserve"> // SR</w:t>
      </w:r>
    </w:p>
    <w:p w:rsidR="00C12070" w:rsidRDefault="00C12070" w:rsidP="00C12070">
      <w:pPr>
        <w:rPr>
          <w:rStyle w:val="StyleUnderline"/>
        </w:rPr>
      </w:pPr>
      <w:r w:rsidRPr="00D34C75">
        <w:rPr>
          <w:rFonts w:eastAsia="Times New Roman"/>
        </w:rPr>
        <w:t xml:space="preserve">Would-be </w:t>
      </w:r>
      <w:r w:rsidRPr="008558CC">
        <w:rPr>
          <w:rStyle w:val="StyleUnderline"/>
        </w:rPr>
        <w:t>reformers need to start by collecting updated and unbiased information about the status of the pension fund and its projected future health</w:t>
      </w:r>
      <w:r w:rsidRPr="00D34C75">
        <w:rPr>
          <w:rFonts w:eastAsia="Times New Roman"/>
        </w:rPr>
        <w:t xml:space="preserve">. </w:t>
      </w:r>
      <w:r w:rsidRPr="008558CC">
        <w:rPr>
          <w:rStyle w:val="StyleUnderline"/>
        </w:rPr>
        <w:t>This data and a</w:t>
      </w:r>
      <w:r w:rsidRPr="00D34C75">
        <w:rPr>
          <w:rFonts w:eastAsia="Times New Roman"/>
        </w:rPr>
        <w:t xml:space="preserve"> Pension Politics: Public Employee Retirement System Reform in Four States 41 </w:t>
      </w:r>
      <w:r w:rsidRPr="008558CC">
        <w:rPr>
          <w:rStyle w:val="StyleUnderline"/>
        </w:rPr>
        <w:t>simple explanation of what it means can bring transparency and clarity to an opaque and confusing issue. Policymakers should request more accurate cost projections using more realistic actuarial assumptions. These changes are likely to result in a larger unfunded liability than previously thought, creating a sense of urgency around reform</w:t>
      </w:r>
      <w:r w:rsidRPr="00D34C75">
        <w:rPr>
          <w:rFonts w:eastAsia="Times New Roman"/>
        </w:rPr>
        <w:t xml:space="preserve">. </w:t>
      </w:r>
      <w:r w:rsidRPr="008558CC">
        <w:rPr>
          <w:rStyle w:val="StyleUnderline"/>
        </w:rPr>
        <w:t>Treasurer Raimondo’s work with the actuarial board in RI and the publication of her “Truth in Numbers” report is a great example of this. The report was written in an accessible style and widely disseminated and framed the reform conversation in a clear, data-driven manner</w:t>
      </w:r>
      <w:r w:rsidRPr="00D34C75">
        <w:rPr>
          <w:rFonts w:eastAsia="Times New Roman"/>
        </w:rPr>
        <w:t xml:space="preserve">. New federal Governmental Accounting Standards Board </w:t>
      </w:r>
      <w:r w:rsidRPr="008558CC">
        <w:rPr>
          <w:rStyle w:val="StyleUnderline"/>
        </w:rPr>
        <w:t>rules</w:t>
      </w:r>
      <w:r w:rsidRPr="00D34C75">
        <w:rPr>
          <w:rFonts w:eastAsia="Times New Roman"/>
        </w:rPr>
        <w:t xml:space="preserve"> that began in summer 2013 </w:t>
      </w:r>
      <w:r w:rsidRPr="008558CC">
        <w:rPr>
          <w:rStyle w:val="StyleUnderline"/>
        </w:rPr>
        <w:t>required changes in the way public pension plans account for their portfolio gains and losses and may help the cause of pension reform</w:t>
      </w:r>
      <w:r w:rsidRPr="00D34C75">
        <w:rPr>
          <w:rFonts w:eastAsia="Times New Roman"/>
        </w:rPr>
        <w:t xml:space="preserve">. As Governing Magazine notes, </w:t>
      </w:r>
      <w:r w:rsidRPr="008558CC">
        <w:rPr>
          <w:rStyle w:val="StyleUnderline"/>
        </w:rPr>
        <w:t>these new rules “will likely have the effect of making a plan’s unfunded liability appear higher than it did in prior years. Coupled with announcements from credit rating agencies that they will downgrade state with high unfunded liabilities, the pressure on public pension reform is mounting.”97</w:t>
      </w:r>
    </w:p>
    <w:p w:rsidR="00C12070" w:rsidRDefault="00C12070" w:rsidP="00C12070">
      <w:pPr>
        <w:rPr>
          <w:rStyle w:val="StyleUnderline"/>
        </w:rPr>
      </w:pPr>
    </w:p>
    <w:p w:rsidR="00C12070" w:rsidRDefault="00C12070" w:rsidP="00C12070">
      <w:pPr>
        <w:pStyle w:val="Heading4"/>
      </w:pPr>
      <w:r>
        <w:t>Government accessibility leads to economic growth – increases democratic governance and societal well-being</w:t>
      </w:r>
    </w:p>
    <w:p w:rsidR="00C12070" w:rsidRPr="005B029D" w:rsidRDefault="00C12070" w:rsidP="00C12070">
      <w:pPr>
        <w:rPr>
          <w:rStyle w:val="Style13ptBold"/>
          <w:b w:val="0"/>
        </w:rPr>
      </w:pPr>
      <w:r>
        <w:rPr>
          <w:rStyle w:val="Style13ptBold"/>
        </w:rPr>
        <w:t xml:space="preserve">Carstens 05 </w:t>
      </w:r>
      <w:r>
        <w:rPr>
          <w:rStyle w:val="Style13ptBold"/>
          <w:b w:val="0"/>
        </w:rPr>
        <w:t xml:space="preserve">Agustin Carstens is an economist who served as the Governor of the Bank of Mexico. (International Monetary Fund, “The Role of Transparency and Accountability for Economic Development in Resource-rich Countries,” 1/27/5, </w:t>
      </w:r>
      <w:hyperlink r:id="rId41" w:history="1">
        <w:r w:rsidRPr="007D4178">
          <w:rPr>
            <w:rStyle w:val="Hyperlink"/>
          </w:rPr>
          <w:t>https://www.imf.org/en/News/Articles/2015/09/28/04/53/sp012705)</w:t>
        </w:r>
      </w:hyperlink>
      <w:r>
        <w:rPr>
          <w:rStyle w:val="Style13ptBold"/>
          <w:b w:val="0"/>
        </w:rPr>
        <w:t xml:space="preserve"> // SR</w:t>
      </w:r>
    </w:p>
    <w:p w:rsidR="00C12070" w:rsidRPr="00DC6D20" w:rsidRDefault="00C12070" w:rsidP="00C12070">
      <w:pPr>
        <w:rPr>
          <w:rStyle w:val="StyleUnderline"/>
        </w:rPr>
      </w:pPr>
      <w:r w:rsidRPr="00DC6D20">
        <w:t>On behalf of the IMF, I would like to welcome you to this workshop. Let me first thank President Mbasogo and the authorities of Equatorial Guinea for hosting this event. I would also like to thank all participants of this workshop for your interest in the subjects of transparency and accountability. Your presence here is yet another sign of the continuing focus being paid to</w:t>
      </w:r>
      <w:r>
        <w:t xml:space="preserve"> good governance in the region. </w:t>
      </w:r>
      <w:r w:rsidRPr="00DC6D20">
        <w:t>The workshop today features as themes the twin concepts of "</w:t>
      </w:r>
      <w:r w:rsidRPr="00DC6D20">
        <w:rPr>
          <w:rStyle w:val="StyleUnderline"/>
        </w:rPr>
        <w:t>transparency" and "accountability." These concepts are important pillars of democratic governance in modern societies</w:t>
      </w:r>
      <w:r w:rsidRPr="00DC6D20">
        <w:t>. However, in thinking about what I should say today, it occurred to me that, in my native Spanish language, there is no word that single-handedly captures the meaning of t</w:t>
      </w:r>
      <w:r>
        <w:t xml:space="preserve">he Anglo word "accountability." </w:t>
      </w:r>
      <w:r w:rsidRPr="00DC6D20">
        <w:rPr>
          <w:rStyle w:val="StyleUnderline"/>
        </w:rPr>
        <w:t>Webster's English Dictionary defines the term "accountability" in two ways. First, it is "the quality or state of being accountable." Second—and this is particularly relevant to public officials like yourselves—the term could also refer to "the obligation or willingness to accept responsibility or to account for one's actions."</w:t>
      </w:r>
      <w:r w:rsidRPr="00DC6D20">
        <w:t xml:space="preserve"> Many of you are Spanish-speaking, and I think you would share my view that we do not have a concept equivalent to "accountability" as just described. Now, if language reflects culture, does this then indicate that the concept of accountability is only significant in some cultures but not others? I would certainly think not. On the contrary, language and culture should evolve to embrace elements that are essential for governments to perform effectively in modern societies. Accountability is a perf</w:t>
      </w:r>
      <w:r>
        <w:t xml:space="preserve">ect example of such an element. </w:t>
      </w:r>
      <w:r w:rsidRPr="00DC6D20">
        <w:rPr>
          <w:rStyle w:val="StyleUnderline"/>
        </w:rPr>
        <w:t>Transparency and accountability are critical for the efficient functioning of a modern economy and for fostering social well-being. In most societies, many powers are delegated to public authorities. Some assurance must then be provided to the delegators—that is, society at large—that this transfer of power is not only effective, but also not abused. Transparency ensures that information is available that can be used to measure the authorities' performance and to guard against any possible misuse of powers</w:t>
      </w:r>
      <w:r w:rsidRPr="00DC6D20">
        <w:t xml:space="preserve">. In that sense, </w:t>
      </w:r>
      <w:r w:rsidRPr="00DC6D20">
        <w:rPr>
          <w:rStyle w:val="StyleUnderline"/>
        </w:rPr>
        <w:t>transparency serves to achieve accountability, which means that authorities can be held responsible for their actions. Without transparency and accountability, trust will be lacking between a government and those whom it governs. The result would be social instability and an environment that is less than conducive to economic growth.</w:t>
      </w:r>
    </w:p>
    <w:p w:rsidR="00C12070" w:rsidRPr="008558CC" w:rsidRDefault="00C12070" w:rsidP="00C12070">
      <w:pPr>
        <w:rPr>
          <w:rStyle w:val="StyleUnderline"/>
        </w:rPr>
      </w:pPr>
    </w:p>
    <w:p w:rsidR="00C12070" w:rsidRPr="008558CC" w:rsidRDefault="00C12070" w:rsidP="00C12070">
      <w:pPr>
        <w:rPr>
          <w:rStyle w:val="StyleUnderline"/>
        </w:rPr>
      </w:pPr>
    </w:p>
    <w:p w:rsidR="00C12070" w:rsidRPr="008558CC" w:rsidRDefault="00C12070" w:rsidP="00C12070">
      <w:pPr>
        <w:rPr>
          <w:rStyle w:val="StyleUnderline"/>
        </w:rPr>
      </w:pPr>
    </w:p>
    <w:p w:rsidR="00C12070" w:rsidRPr="008558CC" w:rsidRDefault="00C12070" w:rsidP="00C12070">
      <w:pPr>
        <w:rPr>
          <w:rStyle w:val="StyleUnderline"/>
        </w:rPr>
      </w:pPr>
    </w:p>
    <w:p w:rsidR="00C12070" w:rsidRPr="008558CC" w:rsidRDefault="00C12070" w:rsidP="00C12070">
      <w:pPr>
        <w:pStyle w:val="Heading3"/>
      </w:pPr>
      <w:r w:rsidRPr="008558CC">
        <w:t>State Workers CP</w:t>
      </w:r>
    </w:p>
    <w:p w:rsidR="00C12070" w:rsidRPr="008558CC" w:rsidRDefault="00C12070" w:rsidP="00C12070"/>
    <w:p w:rsidR="00C12070" w:rsidRPr="008558CC" w:rsidRDefault="00C12070" w:rsidP="00C12070">
      <w:pPr>
        <w:pStyle w:val="Heading4"/>
      </w:pPr>
      <w:r w:rsidRPr="008558CC">
        <w:t>The United States Federal Government should sell the benefits of pension reform to state workers and school reformers and then substantially increase its funding of secondary career and technical education, including increasing formula grants distributed to states, establishing of a CTE Pathways Trust Fund, and expanding Social Innovation Financing.</w:t>
      </w:r>
    </w:p>
    <w:p w:rsidR="00C12070" w:rsidRPr="008558CC" w:rsidRDefault="00C12070" w:rsidP="00C12070"/>
    <w:p w:rsidR="00C12070" w:rsidRPr="008558CC" w:rsidRDefault="00C12070" w:rsidP="00C12070">
      <w:pPr>
        <w:pStyle w:val="Heading4"/>
      </w:pPr>
      <w:r w:rsidRPr="008558CC">
        <w:t>Selling the benefits of pension reform to state workers and school reformers helps the financial state of the plan – leads to a higher quality workforce</w:t>
      </w:r>
    </w:p>
    <w:p w:rsidR="00C12070" w:rsidRPr="008558CC" w:rsidRDefault="00C12070" w:rsidP="00C12070">
      <w:r w:rsidRPr="008558CC">
        <w:rPr>
          <w:rStyle w:val="Style13ptBold"/>
        </w:rPr>
        <w:t xml:space="preserve">McGuinn 14 </w:t>
      </w:r>
      <w:r w:rsidRPr="008558CC">
        <w:rPr>
          <w:rStyle w:val="Style13ptBold"/>
          <w:b w:val="0"/>
        </w:rPr>
        <w:t xml:space="preserve">Patrick McGuinn teaches at Drew and has been ranked among the 200 best university-based scholars who shape public discourse on education. (Patrick, Brookings, “Pension Politics: Public Employee Retirement System Reform in Four States,” February 2014, </w:t>
      </w:r>
      <w:hyperlink r:id="rId42" w:history="1">
        <w:r w:rsidRPr="008558CC">
          <w:rPr>
            <w:rStyle w:val="Hyperlink"/>
          </w:rPr>
          <w:t>https://www.brookings.edu/wp-content/uploads/2016/06/Pension-Politics_FINAL_225.pdf)</w:t>
        </w:r>
      </w:hyperlink>
      <w:r w:rsidRPr="008558CC">
        <w:rPr>
          <w:rStyle w:val="Style13ptBold"/>
          <w:b w:val="0"/>
        </w:rPr>
        <w:t xml:space="preserve"> // SR</w:t>
      </w:r>
    </w:p>
    <w:p w:rsidR="00C12070" w:rsidRDefault="00C12070" w:rsidP="00C12070">
      <w:pPr>
        <w:rPr>
          <w:rStyle w:val="StyleUnderline"/>
        </w:rPr>
      </w:pPr>
      <w:r w:rsidRPr="008558CC">
        <w:rPr>
          <w:rStyle w:val="StyleUnderline"/>
        </w:rPr>
        <w:t>Sell the benefits of pension reform to state workers and school reformers.</w:t>
      </w:r>
      <w:r w:rsidRPr="005C7F5A">
        <w:rPr>
          <w:rFonts w:eastAsia="Times New Roman"/>
        </w:rPr>
        <w:t xml:space="preserve"> Most of the debate about pension reform focuses on the negative financial impact of changes on retiree benefits. But </w:t>
      </w:r>
      <w:r w:rsidRPr="008558CC">
        <w:rPr>
          <w:rStyle w:val="StyleUnderline"/>
        </w:rPr>
        <w:t>pension changes should be framed as ultimately in the best interests of pension participants relative to the consequences of the pension plans getting to the point where they can’t meet their obligations.</w:t>
      </w:r>
      <w:r w:rsidRPr="005C7F5A">
        <w:rPr>
          <w:rFonts w:eastAsia="Times New Roman"/>
        </w:rPr>
        <w:t xml:space="preserve"> Grady of the NJ Investment Council observed that “</w:t>
      </w:r>
      <w:r w:rsidRPr="008558CC">
        <w:rPr>
          <w:rStyle w:val="StyleUnderline"/>
        </w:rPr>
        <w:t>The NJ case offers a real leadership lesson for other states. The Governor made a very specific proposal and went around the state to educate the public about the situation and the real risk that pensions would not be there unless changes were made</w:t>
      </w:r>
      <w:r w:rsidRPr="005C7F5A">
        <w:rPr>
          <w:rFonts w:eastAsia="Times New Roman"/>
        </w:rPr>
        <w:t xml:space="preserve">.” In addition, recent research has demonstrated convincingly that </w:t>
      </w:r>
      <w:r w:rsidRPr="008558CC">
        <w:rPr>
          <w:rStyle w:val="StyleUnderline"/>
        </w:rPr>
        <w:t>the structure of compensation and benefits for teachers and other public employees has a major impact on labor market dynamics and that existing pension systems impair states’ ability to recruit, retain, and deploy a high quality workforce</w:t>
      </w:r>
      <w:r w:rsidRPr="005C7F5A">
        <w:rPr>
          <w:rFonts w:eastAsia="Times New Roman"/>
        </w:rPr>
        <w:t xml:space="preserve">.100 As Rick Hess has observed, </w:t>
      </w:r>
      <w:r w:rsidRPr="008558CC">
        <w:rPr>
          <w:rStyle w:val="StyleUnderline"/>
        </w:rPr>
        <w:t>the debate over pension reform is “an opportunity for strategic teacher union leaders who would like to recalibrate the balance of spending between benefits and salary, between retirees and practicing educators, and between more senior and less senior teachers</w:t>
      </w:r>
      <w:r w:rsidRPr="005C7F5A">
        <w:rPr>
          <w:rFonts w:eastAsia="Times New Roman"/>
        </w:rPr>
        <w:t xml:space="preserve">.” Hess has spoken with “a number of union officials and local leaders who quietly acknowledge the challenge posed by expensive factory-style health and pension obligations for retirees, and who are intrigued by the chance to revisit existing arrangements.”101 </w:t>
      </w:r>
      <w:r w:rsidRPr="008558CC">
        <w:rPr>
          <w:rStyle w:val="StyleUnderline"/>
        </w:rPr>
        <w:t>Enlisting the support of new teacher voice groups like Teach Plus and Educators for Excellence—which tend to be comprised of younger teachers who are disproportionately harmed by the structure of traditional pension systems—can also be an effective tactic</w:t>
      </w:r>
      <w:r w:rsidRPr="005C7F5A">
        <w:rPr>
          <w:rFonts w:eastAsia="Times New Roman"/>
        </w:rPr>
        <w:t>. As Chad Aldeman from Bellwether Education Partners observes: “</w:t>
      </w:r>
      <w:r w:rsidRPr="008558CC">
        <w:rPr>
          <w:rStyle w:val="StyleUnderline"/>
        </w:rPr>
        <w:t>Pension tweaks like those in NJ that changed COLAs and retirement ages help the current financial state of the plan—but only shore up a fundamentally outdated system that doesn’t match the needs of the workforce. States should also make benefits more portable and attractive to younger prospective teachers and those who may not plan on spending their entire career in education.”</w:t>
      </w:r>
      <w:r w:rsidRPr="005C7F5A">
        <w:rPr>
          <w:rFonts w:eastAsia="Times New Roman"/>
        </w:rPr>
        <w:t xml:space="preserve"> Pension Politics: Public Employee Retirement System Reform in Four States 44 </w:t>
      </w:r>
      <w:r w:rsidRPr="008558CC">
        <w:rPr>
          <w:rStyle w:val="StyleUnderline"/>
        </w:rPr>
        <w:t xml:space="preserve">Making the case that pension reform is necessary not only for fiscal reasons but also to improve the recruitment and retention of teachers can be a powerful two-pronged argument. </w:t>
      </w:r>
    </w:p>
    <w:p w:rsidR="00C12070" w:rsidRDefault="00C12070" w:rsidP="00C12070"/>
    <w:p w:rsidR="00C12070" w:rsidRDefault="00C12070" w:rsidP="00C12070"/>
    <w:p w:rsidR="00C12070" w:rsidRDefault="00C12070" w:rsidP="00C12070">
      <w:pPr>
        <w:pStyle w:val="Heading4"/>
        <w:rPr>
          <w:u w:val="single"/>
        </w:rPr>
      </w:pPr>
      <w:r>
        <w:t xml:space="preserve">High quality workforce </w:t>
      </w:r>
      <w:r w:rsidRPr="0022735E">
        <w:rPr>
          <w:u w:val="single"/>
        </w:rPr>
        <w:t>boosts economic growth</w:t>
      </w:r>
    </w:p>
    <w:p w:rsidR="00C12070" w:rsidRPr="0022735E" w:rsidRDefault="00C12070" w:rsidP="00C12070">
      <w:pPr>
        <w:rPr>
          <w:rStyle w:val="Style13ptBold"/>
          <w:b w:val="0"/>
        </w:rPr>
      </w:pPr>
      <w:r>
        <w:rPr>
          <w:rStyle w:val="Style13ptBold"/>
        </w:rPr>
        <w:t xml:space="preserve">Berger and Fisher 13 </w:t>
      </w:r>
      <w:r>
        <w:rPr>
          <w:rStyle w:val="Style13ptBold"/>
          <w:b w:val="0"/>
        </w:rPr>
        <w:t xml:space="preserve">Noah Berger is the president of the Massachusetts Budget and Policy Center. Peter Fisher is a Professor and Department Head of Pyshics at MIT. (Economic Policy Institute, “A Well-Educated Workforce Is Key to State Prosperity,” Noah Berger and Peter Fisher, 8/22/13, </w:t>
      </w:r>
      <w:hyperlink r:id="rId43" w:history="1">
        <w:r w:rsidRPr="007D4178">
          <w:rPr>
            <w:rStyle w:val="Hyperlink"/>
          </w:rPr>
          <w:t>http://www.epi.org/publication/states-education-productivity-growth-foundations/)</w:t>
        </w:r>
      </w:hyperlink>
      <w:r>
        <w:rPr>
          <w:rStyle w:val="Style13ptBold"/>
          <w:b w:val="0"/>
        </w:rPr>
        <w:t xml:space="preserve"> // SR</w:t>
      </w:r>
    </w:p>
    <w:p w:rsidR="00C12070" w:rsidRDefault="00C12070" w:rsidP="00C12070">
      <w:pPr>
        <w:rPr>
          <w:rStyle w:val="StyleUnderline"/>
        </w:rPr>
      </w:pPr>
      <w:r>
        <w:t xml:space="preserve">What can state governments do to boost the economic well-being of their people? That is the central question of state economic policy. Incomes and wages can increase across an economy when productivity—production per capita—increases. </w:t>
      </w:r>
      <w:r w:rsidRPr="0022735E">
        <w:rPr>
          <w:rStyle w:val="StyleUnderline"/>
        </w:rPr>
        <w:t>States have many tools in their arsenal to increase productivity, including</w:t>
      </w:r>
      <w:r>
        <w:t xml:space="preserve"> investments in public infrastructure, in technological innovation at public universities and other institutions, and in </w:t>
      </w:r>
      <w:r w:rsidRPr="0022735E">
        <w:rPr>
          <w:rStyle w:val="StyleUnderline"/>
        </w:rPr>
        <w:t>workers through the education and training systems</w:t>
      </w:r>
      <w:r>
        <w:t xml:space="preserve">. But many states have been retreating from their responsibility to ensure state economic growth that benefits all residents in favor of a short-sighted approach to economic development. </w:t>
      </w:r>
      <w:r w:rsidRPr="0022735E">
        <w:rPr>
          <w:rStyle w:val="StyleUnderline"/>
        </w:rPr>
        <w:t xml:space="preserve">In these states, the focus is on luring employers from other states with strategies that do not lead to rising incomes because they do not make the workforce more productive. Even worse, the focus drains resources from the most important, proven, path to increasing productivity: investments in education. Major findings of this report include the following: Overwhelmingly, high-wage states are states with a well-educated workforce. </w:t>
      </w:r>
      <w:r>
        <w:t xml:space="preserve">There is a clear and strong correlation between the educational attainment of a state’s workforce and median wages in the state. States can build a strong foundation for economic success and shared prosperity by investing in education. Providing expanded access to high quality education will not only expand economic opportunity for residents, but also likely do more to strengthen the overall state economy than anything else a state government can do. Cutting taxes to capture private investment from other states is a race-to-the-bottom state economic development strategy that undermines the ability to invest in education. </w:t>
      </w:r>
      <w:r w:rsidRPr="0022735E">
        <w:rPr>
          <w:rStyle w:val="StyleUnderline"/>
        </w:rPr>
        <w:t>States can increase the strength of their economies and their ability to grow and attract high-wage employers</w:t>
      </w:r>
      <w:r>
        <w:t xml:space="preserve"> by investing in education and increasing the number of well-educated workers. Investing in education is also good for state budgets in the long run, since </w:t>
      </w:r>
      <w:r w:rsidRPr="0022735E">
        <w:rPr>
          <w:rStyle w:val="StyleUnderline"/>
        </w:rPr>
        <w:t>workers with higher incomes contribute more through taxes over the course of their lifetimes.</w:t>
      </w:r>
    </w:p>
    <w:p w:rsidR="00C12070" w:rsidRDefault="00C12070" w:rsidP="00C12070"/>
    <w:p w:rsidR="00C12070" w:rsidRDefault="00C12070" w:rsidP="00C12070">
      <w:pPr>
        <w:pStyle w:val="Heading3"/>
      </w:pPr>
      <w:r>
        <w:t>Tax Subsidized Bonds CP</w:t>
      </w:r>
    </w:p>
    <w:p w:rsidR="00C12070" w:rsidRDefault="00C12070" w:rsidP="00C12070"/>
    <w:p w:rsidR="00C12070" w:rsidRPr="00D54F4C" w:rsidRDefault="00C12070" w:rsidP="00C12070">
      <w:pPr>
        <w:pStyle w:val="Heading4"/>
      </w:pPr>
      <w:r>
        <w:t>The United States Federal Government</w:t>
      </w:r>
      <w:r w:rsidRPr="00D54F4C">
        <w:t xml:space="preserve"> should allow the state to issue tax subsidized bonds for the purpose of pension funding over the next 15 years under the conditions that the state:</w:t>
      </w:r>
      <w:r w:rsidRPr="00D54F4C">
        <w:br/>
        <w:t xml:space="preserve">1. The state closes its DB plans to new employees for at least 30 years </w:t>
      </w:r>
      <w:r w:rsidRPr="00D54F4C">
        <w:br/>
        <w:t xml:space="preserve">2. The state annually makes its ARC left over form the existing DB plans </w:t>
      </w:r>
      <w:r w:rsidRPr="00D54F4C">
        <w:br/>
        <w:t xml:space="preserve">3.  Includes its workers into Social Security and provide them with an adequate DC plan for the next 30 years </w:t>
      </w:r>
    </w:p>
    <w:p w:rsidR="00C12070" w:rsidRPr="00D54F4C" w:rsidRDefault="00C12070" w:rsidP="00C12070">
      <w:pPr>
        <w:spacing w:before="240" w:after="240" w:line="360" w:lineRule="atLeast"/>
        <w:rPr>
          <w:color w:val="232323"/>
          <w:sz w:val="16"/>
          <w:szCs w:val="30"/>
        </w:rPr>
      </w:pPr>
      <w:r w:rsidRPr="00D54F4C">
        <w:rPr>
          <w:rStyle w:val="Style13ptBold"/>
        </w:rPr>
        <w:t>Rauh and Novy-Marx 10</w:t>
      </w:r>
      <w:r w:rsidRPr="00D54F4C">
        <w:rPr>
          <w:sz w:val="16"/>
        </w:rPr>
        <w:t xml:space="preserve"> </w:t>
      </w:r>
      <w:r w:rsidRPr="00D54F4C">
        <w:rPr>
          <w:sz w:val="20"/>
          <w:szCs w:val="20"/>
        </w:rPr>
        <w:t xml:space="preserve">(Joshua Rauh and Robert Novy-Marx, Joshua Rauh is Associate Professor of Finance at the Kellogg School of Management at Northwestern University and NBER. Robert Novy-Marx is Assistant Professor of Finance at the University of Chicago Booth School of Business and NBER, Pension Security Bonds: A New Plan to Address the State Pension Crisis pg. 1-2, </w:t>
      </w:r>
      <w:hyperlink r:id="rId44" w:history="1">
        <w:r w:rsidRPr="00D54F4C">
          <w:rPr>
            <w:rStyle w:val="Hyperlink"/>
            <w:sz w:val="20"/>
            <w:szCs w:val="20"/>
          </w:rPr>
          <w:t>http://web.stanford.edu/~rauh/EVFinal.pdf)</w:t>
        </w:r>
      </w:hyperlink>
      <w:r w:rsidRPr="00D54F4C">
        <w:rPr>
          <w:sz w:val="20"/>
          <w:szCs w:val="20"/>
        </w:rPr>
        <w:t xml:space="preserve"> CB</w:t>
      </w:r>
      <w:r w:rsidRPr="00D54F4C">
        <w:rPr>
          <w:sz w:val="16"/>
          <w:szCs w:val="16"/>
        </w:rPr>
        <w:br/>
      </w:r>
      <w:r w:rsidRPr="00D54F4C">
        <w:rPr>
          <w:sz w:val="12"/>
        </w:rPr>
        <w:t>When a country gets into fiscal trouble, the policy prescription is usually that it should implement fiscal austerity measures such as tax increases, spending cuts, and pension reforms. These measures essentially bring future bud- gets closer to balance and improve the country’s solvency. The tighter budget also allows the country to borrow the large sums of money that will prevent the legacy liabilities from shutting down the government. The borrowing provides the country with the liquidity to keep operating. ¶ In the case of the U.S. states</w:t>
      </w:r>
      <w:r w:rsidRPr="00D54F4C">
        <w:rPr>
          <w:rStyle w:val="StyleUnderline"/>
        </w:rPr>
        <w:t>, the legacy liabilities are the defined benefit (DB) pension promises to state and local government workers. Under a number of state constitutions, promised pension benefits have a legal priority that is senior even to general obligation bonds. States cannot simply back out of these payments.</w:t>
      </w:r>
      <w:r w:rsidRPr="00D54F4C">
        <w:rPr>
          <w:sz w:val="12"/>
        </w:rPr>
        <w:t xml:space="preserve"> </w:t>
      </w:r>
      <w:r w:rsidRPr="00D54F4C">
        <w:rPr>
          <w:rStyle w:val="StyleUnderline"/>
        </w:rPr>
        <w:t xml:space="preserve">Troubled states that are interested in preventing a crisis should therefore take a page out of the book on sovereign fiscal crises. They should combine fiscal and pension reforms to improve solvency with increased borrowing to keep operating through the flood of benefit payments coming over the coming decades. </w:t>
      </w:r>
      <w:r w:rsidRPr="00D54F4C">
        <w:rPr>
          <w:sz w:val="12"/>
        </w:rPr>
        <w:t xml:space="preserve">¶ </w:t>
      </w:r>
      <w:r w:rsidRPr="00D54F4C">
        <w:rPr>
          <w:rStyle w:val="StyleUnderline"/>
        </w:rPr>
        <w:t>A key reform for states in pension trouble would be the closing of DB pension plans to new workers</w:t>
      </w:r>
      <w:r w:rsidRPr="00D54F4C">
        <w:rPr>
          <w:sz w:val="12"/>
        </w:rPr>
        <w:t xml:space="preserve">, an arrangement called a ‘soft freeze.’ Current employees would continue to earn traditional pension benefits under the existing programs, but </w:t>
      </w:r>
      <w:r w:rsidRPr="00D54F4C">
        <w:rPr>
          <w:rStyle w:val="StyleUnderline"/>
        </w:rPr>
        <w:t>retirement benefits for future workers would come under a new defined contribution (DC) plan.</w:t>
      </w:r>
      <w:r w:rsidRPr="00D54F4C">
        <w:rPr>
          <w:sz w:val="12"/>
        </w:rPr>
        <w:t xml:space="preserve"> The Michigan State Employees Retirement System enacted such a policy for its new workers starting in 1998, although Michigan’s systems for public school employees, state police, and judges still are exclusively DB and have about 460,000 members combined. ¶ These changes must be enacted with an eye towards giving new public employees adequate retirement benefits. Those that are not in Social Security must be brought into Social Security, and </w:t>
      </w:r>
      <w:r w:rsidRPr="00D54F4C">
        <w:rPr>
          <w:rStyle w:val="StyleUnderline"/>
        </w:rPr>
        <w:t xml:space="preserve">the new DC plan must be adequate for supporting the retirement of public employees. </w:t>
      </w:r>
      <w:r w:rsidRPr="00D54F4C">
        <w:rPr>
          <w:sz w:val="12"/>
        </w:rPr>
        <w:t xml:space="preserve">The new plan must have automatic enrollment, matching employer contributions, low fees, good investment choices, sensible de- fault allocations, and reasonably priced offers for annuities at retirement. ¶ </w:t>
      </w:r>
      <w:r w:rsidRPr="00D54F4C">
        <w:rPr>
          <w:rStyle w:val="StyleUnderline"/>
        </w:rPr>
        <w:t xml:space="preserve">Once a state or municipal government has stopped unfunded pension liabilities from growing, it becomes more feasible, and less costly, for the state to issue debt to improve their liquidity situation. </w:t>
      </w:r>
      <w:r w:rsidRPr="00D54F4C">
        <w:rPr>
          <w:sz w:val="12"/>
        </w:rPr>
        <w:t xml:space="preserve">¶ A federal role ¶ </w:t>
      </w:r>
      <w:r w:rsidRPr="00D54F4C">
        <w:rPr>
          <w:rStyle w:val="StyleUnderline"/>
        </w:rPr>
        <w:t xml:space="preserve">if states were acting in our national interests, and indeed in their own long-term interests, they would be considering these actions themselves. </w:t>
      </w:r>
      <w:r w:rsidRPr="00D54F4C">
        <w:rPr>
          <w:sz w:val="12"/>
        </w:rPr>
        <w:t xml:space="preserve">Unfortunately, to the extent that state governments have taken action, it has been largely with cosmetic adjustments to existing systems. It therefore falls to the federal government to give states incentives for pension re- form, so that U.S. taxpayers do not ultimately bear the burden of bailing out profligate states. ¶ </w:t>
      </w:r>
      <w:r w:rsidRPr="00D54F4C">
        <w:rPr>
          <w:rStyle w:val="StyleUnderline"/>
        </w:rPr>
        <w:t xml:space="preserve">One area where incentives could be offered is through the treatment of bonds used to fund pensions. Under current law, bonds floated by states to fund pensions are fully taxable. As a result, issuing debt to fund pension plans is considerably more expensive than issuing regular tax-exempt municipal bonds, or the federally subsidized Build America Bonds, on which the federal government reimburses 35 percent of all coupon payments directly to the state. </w:t>
      </w:r>
      <w:r w:rsidRPr="00D54F4C">
        <w:rPr>
          <w:sz w:val="12"/>
        </w:rPr>
        <w:t>¶</w:t>
      </w:r>
      <w:r w:rsidRPr="00D54F4C">
        <w:rPr>
          <w:rStyle w:val="StyleUnderline"/>
        </w:rPr>
        <w:t xml:space="preserve"> We propose that the federal government cut a deal with the states. A state should be allowed to issue tax subsidized bonds for the purpose of pension funding for the next 15 years</w:t>
      </w:r>
      <w:r w:rsidRPr="00D54F4C">
        <w:rPr>
          <w:sz w:val="12"/>
        </w:rPr>
        <w:t xml:space="preserve">—if and </w:t>
      </w:r>
      <w:r w:rsidRPr="00D54F4C">
        <w:rPr>
          <w:rStyle w:val="StyleUnderline"/>
        </w:rPr>
        <w:t>only if the state</w:t>
      </w:r>
      <w:r w:rsidRPr="00D54F4C">
        <w:rPr>
          <w:sz w:val="12"/>
        </w:rPr>
        <w:t xml:space="preserve"> government </w:t>
      </w:r>
      <w:r w:rsidRPr="00D54F4C">
        <w:rPr>
          <w:rStyle w:val="StyleUnderline"/>
        </w:rPr>
        <w:t>agrees to take three specific measures to stop the growth of unfunded liabilities: 1.The state must close its DB plans to new employees and agree not to start any new DB plans for at least 30 years</w:t>
      </w:r>
      <w:r w:rsidRPr="00D54F4C">
        <w:rPr>
          <w:sz w:val="12"/>
        </w:rPr>
        <w:t xml:space="preserve">; </w:t>
      </w:r>
      <w:r w:rsidRPr="00D54F4C">
        <w:rPr>
          <w:rStyle w:val="StyleUnderline"/>
        </w:rPr>
        <w:t>2.The state must annually make its actuarially required contribution (ARC) left over from the existing DB plans</w:t>
      </w:r>
      <w:r w:rsidRPr="00D54F4C">
        <w:rPr>
          <w:sz w:val="12"/>
        </w:rPr>
        <w:t xml:space="preserve">; </w:t>
      </w:r>
      <w:r w:rsidRPr="00D54F4C">
        <w:rPr>
          <w:rStyle w:val="StyleUnderline"/>
        </w:rPr>
        <w:t xml:space="preserve">3.The state must include its new workers in Social Security, and provide them with an adequate DC plan, again for at least 30 years. To this end, the federal government should start a Thrift Savings Program for state workers and operate it alongside </w:t>
      </w:r>
      <w:r w:rsidRPr="00D54F4C">
        <w:rPr>
          <w:sz w:val="12"/>
        </w:rPr>
        <w:t>the existing Thrift Savings Program for federal workers. ¶ The tax subsidies for these new Pension Security Bonds would work like Build America Bonds, with the federal government paying 35 percent of coupon payments directly to the state. Only the amount of the ARC will be tax deductible, so as to prevent states from over- funding plans and to bring the bonds to the market gradually over 15 years. ¶</w:t>
      </w:r>
    </w:p>
    <w:p w:rsidR="00C12070" w:rsidRDefault="00C12070" w:rsidP="00C12070"/>
    <w:p w:rsidR="00C12070" w:rsidRPr="00D54F4C" w:rsidRDefault="00C12070" w:rsidP="00C12070">
      <w:pPr>
        <w:pStyle w:val="Heading4"/>
      </w:pPr>
      <w:r w:rsidRPr="00D54F4C">
        <w:t>The money the plan saves outweighs the money it spends</w:t>
      </w:r>
    </w:p>
    <w:p w:rsidR="00C12070" w:rsidRPr="00D54F4C" w:rsidRDefault="00C12070" w:rsidP="00C12070">
      <w:pPr>
        <w:pStyle w:val="NormalWeb"/>
        <w:rPr>
          <w:rFonts w:ascii="Calibri" w:hAnsi="Calibri"/>
          <w:sz w:val="12"/>
        </w:rPr>
      </w:pPr>
      <w:r w:rsidRPr="00D54F4C">
        <w:rPr>
          <w:rStyle w:val="Style13ptBold"/>
          <w:rFonts w:ascii="Calibri" w:hAnsi="Calibri"/>
        </w:rPr>
        <w:t>Rauh and Novy-Marx 10</w:t>
      </w:r>
      <w:r w:rsidRPr="00D54F4C">
        <w:rPr>
          <w:rFonts w:ascii="Calibri" w:hAnsi="Calibri"/>
          <w:sz w:val="16"/>
        </w:rPr>
        <w:t xml:space="preserve"> </w:t>
      </w:r>
      <w:r w:rsidRPr="00D54F4C">
        <w:rPr>
          <w:rFonts w:ascii="Calibri" w:hAnsi="Calibri"/>
          <w:sz w:val="20"/>
          <w:szCs w:val="20"/>
        </w:rPr>
        <w:t xml:space="preserve">(Joshua Rauh and Robert Novy-Marx, Joshua Rauh is Associate Professor of Finance at the Kellogg School of Management at Northwestern University and NBER. Robert Novy-Marx is Assistant Professor of Finance at the University of Chicago Booth School of Business and NBER, Pension Security Bonds: A New Plan to Address the State Pension Crisis pg. 3, </w:t>
      </w:r>
      <w:hyperlink r:id="rId45" w:history="1">
        <w:r w:rsidRPr="00D54F4C">
          <w:rPr>
            <w:rStyle w:val="Hyperlink"/>
            <w:rFonts w:ascii="Calibri" w:hAnsi="Calibri"/>
            <w:sz w:val="20"/>
            <w:szCs w:val="20"/>
          </w:rPr>
          <w:t>http://web.stanford.edu/~rauh/EVFinal.pdf)</w:t>
        </w:r>
      </w:hyperlink>
      <w:r w:rsidRPr="00D54F4C">
        <w:rPr>
          <w:rFonts w:ascii="Calibri" w:hAnsi="Calibri"/>
          <w:sz w:val="20"/>
          <w:szCs w:val="20"/>
        </w:rPr>
        <w:t xml:space="preserve"> CB</w:t>
      </w:r>
      <w:r w:rsidRPr="00D54F4C">
        <w:rPr>
          <w:rFonts w:ascii="Calibri" w:hAnsi="Calibri"/>
          <w:sz w:val="16"/>
          <w:szCs w:val="16"/>
        </w:rPr>
        <w:br/>
      </w:r>
      <w:r w:rsidRPr="00D54F4C">
        <w:rPr>
          <w:rFonts w:ascii="Calibri" w:hAnsi="Calibri"/>
          <w:sz w:val="16"/>
        </w:rPr>
        <w:t xml:space="preserve">State ARCs for fiscal 2008 were approximately $67 billion, so the federal government is allowing potentially this much new tax-exempt borrowing for each of the next 15 years. Assuming that the growth of the ARC is no greater than the discount rate that should be used to discount them, the plan would bring $1.0 trillion (=$67 billion x 15 years) in debt to the market. There is some risk of higher ARC growth in the first several years of the plan, but the fact that fewer and fewer workers will be on the DB plans will limit the ARC growth. ¶ </w:t>
      </w:r>
      <w:r w:rsidRPr="00D54F4C">
        <w:rPr>
          <w:rStyle w:val="StyleUnderline"/>
          <w:rFonts w:ascii="Calibri" w:hAnsi="Calibri"/>
        </w:rPr>
        <w:t>If states issue 30-year bonds, the tax subsidy would cost around $250 billion. However, a large fraction of the costs will be offset by the fact that new state workers would be in Social Security</w:t>
      </w:r>
      <w:r w:rsidRPr="00D54F4C">
        <w:rPr>
          <w:rFonts w:ascii="Calibri" w:hAnsi="Calibri"/>
          <w:sz w:val="16"/>
        </w:rPr>
        <w:t xml:space="preserve">. According to estimates by Diamond and Orszag (2005), </w:t>
      </w:r>
      <w:r w:rsidRPr="00D54F4C">
        <w:rPr>
          <w:rStyle w:val="StyleUnderline"/>
          <w:rFonts w:ascii="Calibri" w:hAnsi="Calibri"/>
        </w:rPr>
        <w:t>if all newly hired state and local government workers were on Social Security, it would eliminate 10 percent of the program’s 75-year actuarial deficit</w:t>
      </w:r>
      <w:r w:rsidRPr="00D54F4C">
        <w:rPr>
          <w:rFonts w:ascii="Calibri" w:hAnsi="Calibri"/>
          <w:sz w:val="16"/>
        </w:rPr>
        <w:t xml:space="preserve">, which today stands at $5.3 trillion. </w:t>
      </w:r>
      <w:r w:rsidRPr="00D54F4C">
        <w:rPr>
          <w:rStyle w:val="StyleUnderline"/>
          <w:rFonts w:ascii="Calibri" w:hAnsi="Calibri"/>
        </w:rPr>
        <w:t>A little over two-thirds of state and local workers are on state-sponsored DB pension plans, so bringing these workers into Social Security would save 7 percent of that deficit, or $370 billion.</w:t>
      </w:r>
      <w:r w:rsidRPr="00D54F4C">
        <w:rPr>
          <w:rFonts w:ascii="Calibri" w:hAnsi="Calibri"/>
          <w:sz w:val="16"/>
        </w:rPr>
        <w:t xml:space="preserve"> </w:t>
      </w:r>
      <w:r w:rsidRPr="00D54F4C">
        <w:rPr>
          <w:rStyle w:val="StyleUnderline"/>
          <w:rFonts w:ascii="Calibri" w:hAnsi="Calibri"/>
        </w:rPr>
        <w:t xml:space="preserve">If guarantees by the state to bring new workers into Social Security are only valid for half of the 75 years, the savings from the Social Security expansion would still be over $175 billion. </w:t>
      </w:r>
      <w:r w:rsidRPr="00D54F4C">
        <w:rPr>
          <w:rFonts w:ascii="Calibri" w:hAnsi="Calibri"/>
          <w:sz w:val="16"/>
        </w:rPr>
        <w:t xml:space="preserve">These savings would be borne to some extent by state governments and future state employees paying into Social Security. ¶ Including these gains to the Social Security system, </w:t>
      </w:r>
      <w:r w:rsidRPr="00D54F4C">
        <w:rPr>
          <w:rStyle w:val="StyleUnderline"/>
          <w:rFonts w:ascii="Calibri" w:hAnsi="Calibri"/>
        </w:rPr>
        <w:t>the net cost to the federal government of the entire stabilization program would be only $75 billion.</w:t>
      </w:r>
      <w:r w:rsidRPr="00D54F4C">
        <w:rPr>
          <w:rFonts w:ascii="Calibri" w:hAnsi="Calibri"/>
          <w:sz w:val="16"/>
        </w:rPr>
        <w:t xml:space="preserve"> It would prevent a trillion dollar crisis in less than a decade. ¶ What about the cash flow of the states themselves? Social Security costs 12.4 percent of pay, divided equally among employer and employee. </w:t>
      </w:r>
      <w:r w:rsidRPr="00D54F4C">
        <w:rPr>
          <w:rStyle w:val="StyleUnderline"/>
          <w:rFonts w:ascii="Calibri" w:hAnsi="Calibri"/>
        </w:rPr>
        <w:t>A typical DC plan costs a total of around 9 percent of pay</w:t>
      </w:r>
      <w:r w:rsidRPr="00D54F4C">
        <w:rPr>
          <w:rFonts w:ascii="Calibri" w:hAnsi="Calibri"/>
          <w:sz w:val="16"/>
        </w:rPr>
        <w:t xml:space="preserve"> (Poterba, Rauh, Venti, and Wise, 2007). Total costs would therefore be 21.4 percent of pay. As a comparison, the plans offered to California state employees cost anywhere between 21.6 percent of pay for the least expensive workers to 40.1 per- cent of pay for the Highway Patrol Plan. Our proposal would allow states to borrow to meet their share of those costs for existing workers, while establishing more sustainable systems for new workers. </w:t>
      </w:r>
      <w:r w:rsidRPr="00D54F4C">
        <w:rPr>
          <w:rStyle w:val="StyleUnderline"/>
          <w:rFonts w:ascii="Calibri" w:hAnsi="Calibri"/>
        </w:rPr>
        <w:t>States would be paying DC contributions and the Social Security share only for new workers, so initially those cash flows would in fact be quite small given that new hires are a small proportion of the work- force each year. ¶ It is important to take measures that prevent the incoming revenue from new workers into Social Security from crowding out other adjustments that the federal government would otherwise have made to Social Security.</w:t>
      </w:r>
      <w:r w:rsidRPr="00D54F4C">
        <w:rPr>
          <w:rFonts w:ascii="Calibri" w:hAnsi="Calibri"/>
          <w:sz w:val="16"/>
        </w:rPr>
        <w:t xml:space="preserve"> Separate accounting should be made of the contributions from new state workers, in or- der to discourage the federal government from raiding this pile of money to avoid other fixes they could have made to the program. ¶</w:t>
      </w:r>
    </w:p>
    <w:p w:rsidR="00C12070" w:rsidRPr="00945E49" w:rsidRDefault="00C12070" w:rsidP="00C12070">
      <w:pPr>
        <w:pStyle w:val="Heading4"/>
        <w:rPr>
          <w:b w:val="0"/>
        </w:rPr>
      </w:pPr>
      <w:r w:rsidRPr="00945E49">
        <w:rPr>
          <w:rStyle w:val="Style13ptBold"/>
          <w:b/>
        </w:rPr>
        <w:t>Plan benefits everyone and avoids total collapse</w:t>
      </w:r>
      <w:r w:rsidRPr="00D54F4C">
        <w:rPr>
          <w:rStyle w:val="Style13ptBold"/>
        </w:rPr>
        <w:br/>
      </w:r>
      <w:r w:rsidRPr="00945E49">
        <w:rPr>
          <w:rStyle w:val="Style13ptBold"/>
          <w:b/>
        </w:rPr>
        <w:t>Rauh and Novy-Marx 10</w:t>
      </w:r>
      <w:r w:rsidRPr="00D54F4C">
        <w:rPr>
          <w:sz w:val="16"/>
        </w:rPr>
        <w:t xml:space="preserve"> </w:t>
      </w:r>
      <w:r w:rsidRPr="00945E49">
        <w:rPr>
          <w:b w:val="0"/>
          <w:sz w:val="22"/>
        </w:rPr>
        <w:t xml:space="preserve">(Joshua Rauh and Robert Novy-Marx, Joshua Rauh is Associate Professor of Finance at the Kellogg School of Management at Northwestern University and NBER. Robert Novy-Marx is Assistant Professor of Finance at the University of Chicago Booth School of Business and NBER, Pension Security Bonds: A New Plan to Address the State Pension Crisis pg. 4, </w:t>
      </w:r>
      <w:hyperlink r:id="rId46" w:history="1">
        <w:r w:rsidRPr="00945E49">
          <w:rPr>
            <w:rStyle w:val="Hyperlink"/>
            <w:b w:val="0"/>
            <w:sz w:val="20"/>
            <w:szCs w:val="20"/>
          </w:rPr>
          <w:t>http://web.stanford.edu/~rauh/EVFinal.pdf)</w:t>
        </w:r>
      </w:hyperlink>
      <w:r w:rsidRPr="00945E49">
        <w:rPr>
          <w:b w:val="0"/>
        </w:rPr>
        <w:t xml:space="preserve"> </w:t>
      </w:r>
      <w:r w:rsidRPr="00945E49">
        <w:rPr>
          <w:b w:val="0"/>
          <w:sz w:val="22"/>
        </w:rPr>
        <w:t>CB</w:t>
      </w:r>
      <w:r w:rsidRPr="00945E49">
        <w:rPr>
          <w:b w:val="0"/>
          <w:sz w:val="16"/>
          <w:szCs w:val="16"/>
        </w:rPr>
        <w:br/>
      </w:r>
      <w:r w:rsidRPr="00945E49">
        <w:rPr>
          <w:rStyle w:val="StyleUnderline"/>
        </w:rPr>
        <w:t xml:space="preserve">This plan offers substantial benefits to numerous parties. Specifically, pension promises made by states to their existing workers become more secure, since the funding of these obligations will greatly improve. New state workers get a retirement plan that is more than an empty promise. Taxpayers avoid massive future tax increases and loss of public services. And critically, state politicians will no longer be able to use pensions as a vehicle for borrowing off the books at horizons that extend beyond their political careers. </w:t>
      </w:r>
      <w:r w:rsidRPr="00945E49">
        <w:rPr>
          <w:b w:val="0"/>
          <w:sz w:val="16"/>
        </w:rPr>
        <w:t>¶</w:t>
      </w:r>
      <w:r w:rsidRPr="00945E49">
        <w:rPr>
          <w:rStyle w:val="StyleUnderline"/>
        </w:rPr>
        <w:t xml:space="preserve"> </w:t>
      </w:r>
      <w:r w:rsidRPr="00945E49">
        <w:rPr>
          <w:b w:val="0"/>
          <w:sz w:val="16"/>
        </w:rPr>
        <w:t xml:space="preserve">While </w:t>
      </w:r>
      <w:r w:rsidRPr="00945E49">
        <w:rPr>
          <w:rStyle w:val="StyleUnderline"/>
        </w:rPr>
        <w:t>DC pension</w:t>
      </w:r>
      <w:r w:rsidRPr="00945E49">
        <w:rPr>
          <w:b w:val="0"/>
          <w:sz w:val="16"/>
        </w:rPr>
        <w:t xml:space="preserve"> plans have some draw- backs, they </w:t>
      </w:r>
      <w:r w:rsidRPr="00945E49">
        <w:rPr>
          <w:rStyle w:val="StyleUnderline"/>
        </w:rPr>
        <w:t xml:space="preserve">are immune to the key accounting and accountability issues that have brought many states to the brink of insolvency. </w:t>
      </w:r>
      <w:r w:rsidRPr="00945E49">
        <w:rPr>
          <w:b w:val="0"/>
          <w:sz w:val="16"/>
        </w:rPr>
        <w:t xml:space="preserve">States and their employees have for decades been operating under a pretense that promised pension benefits do not represent a real cost, since they will not have to be met for many years. </w:t>
      </w:r>
      <w:r w:rsidRPr="00945E49">
        <w:rPr>
          <w:rStyle w:val="StyleUnderline"/>
        </w:rPr>
        <w:t xml:space="preserve">Our plan shifts $75 billion of pension costs for existing workers onto the federal government, but it would prevent a much larger future bailout. </w:t>
      </w:r>
      <w:r w:rsidRPr="00945E49">
        <w:rPr>
          <w:b w:val="0"/>
          <w:sz w:val="16"/>
        </w:rPr>
        <w:t>¶</w:t>
      </w:r>
      <w:r w:rsidRPr="00945E49">
        <w:rPr>
          <w:rStyle w:val="StyleUnderline"/>
        </w:rPr>
        <w:t xml:space="preserve"> It is instructive to compare our solution to a more extreme idea of waiting until funds run dry and then attempting to cut benefits. This approach would lead to shutdowns of state governments while legal battles are waged over employee rights.</w:t>
      </w:r>
      <w:r w:rsidRPr="00945E49">
        <w:rPr>
          <w:b w:val="0"/>
          <w:sz w:val="16"/>
        </w:rPr>
        <w:t xml:space="preserve"> Many attempts to cut benefits would fail. Constitutional protections are strong in some of the more troubled states. Municipal bankruptcies such as Orange County in 1994 and the ongoing situation in Vallejo have shown that it is very difficult to cut pension benefits—even when bondholders and trade creditors are being impaired. ¶ Some might argue that the federal government should simply take a hard line and announce that it will not, under any circumstance, help states with their pension problems. This approach suffers from the classic problem of time inconsistency. The inability to make credible commitments against bailouts made it impossible for the U.S. government to refuse to bail out large banks. There isn’t even a bankruptcy procedure in place for failing states to re- structure their debts, as there is for corporations (Chapter 11) or municipalities (Chapter 9). ¶ </w:t>
      </w:r>
      <w:r w:rsidRPr="00945E49">
        <w:rPr>
          <w:rStyle w:val="StyleUnderline"/>
        </w:rPr>
        <w:t>Indeed, the federal government would almost certainly come to the rescue rather than watching a state fail. It is therefore imperative that we act today by giving states incentives to put themselves back on a path to fiscal sustainability.</w:t>
      </w:r>
    </w:p>
    <w:p w:rsidR="00C12070" w:rsidRDefault="00C12070" w:rsidP="00C12070"/>
    <w:p w:rsidR="00C12070" w:rsidRDefault="00C12070" w:rsidP="00C12070">
      <w:pPr>
        <w:rPr>
          <w:rStyle w:val="StyleUnderline"/>
        </w:rPr>
      </w:pPr>
    </w:p>
    <w:p w:rsidR="00C12070" w:rsidRDefault="00C12070" w:rsidP="00C12070"/>
    <w:p w:rsidR="00C12070" w:rsidRDefault="00C12070" w:rsidP="00C12070">
      <w:pPr>
        <w:pStyle w:val="Heading2"/>
      </w:pPr>
      <w:r>
        <w:t>AFF AT State Budget CP’s</w:t>
      </w:r>
    </w:p>
    <w:p w:rsidR="00C12070" w:rsidRDefault="00C12070" w:rsidP="00C12070"/>
    <w:p w:rsidR="00C12070" w:rsidRPr="00F61EC1" w:rsidRDefault="00C12070" w:rsidP="00C12070">
      <w:pPr>
        <w:pStyle w:val="Heading3"/>
      </w:pPr>
      <w:r>
        <w:t>Perm</w:t>
      </w:r>
    </w:p>
    <w:p w:rsidR="00C12070" w:rsidRPr="00D54F4C" w:rsidRDefault="00C12070" w:rsidP="00C12070">
      <w:pPr>
        <w:pStyle w:val="Heading4"/>
      </w:pPr>
      <w:r w:rsidRPr="00D54F4C">
        <w:t xml:space="preserve">Double bind – either states defaulting already proves the impact is non-unique or states just won’t pay out so the economy won’t collapse   </w:t>
      </w:r>
    </w:p>
    <w:p w:rsidR="00C12070" w:rsidRPr="00D54F4C" w:rsidRDefault="00C12070" w:rsidP="00C12070">
      <w:pPr>
        <w:rPr>
          <w:rFonts w:eastAsia="Times New Roman"/>
        </w:rPr>
      </w:pPr>
      <w:r w:rsidRPr="00D54F4C">
        <w:t>Reed 17 (Reed, Chuck, former mayor of San Jose, California and board member of Retirement Security Initiative, "Think Public Pensions Can't Be Cut? Think Again.", Governing Magazine: State and Local Government News for America's Leaders, 26 Apr. 17. &lt;http://www.governing.com/gov-institute/voices/col-public-pension-cuts-unsustainable-retirement-systems.html&gt;.) CB</w:t>
      </w:r>
    </w:p>
    <w:p w:rsidR="00C12070" w:rsidRPr="00D54F4C" w:rsidRDefault="00C12070" w:rsidP="00C12070"/>
    <w:p w:rsidR="00C12070" w:rsidRPr="00D54F4C" w:rsidRDefault="00C12070" w:rsidP="00C12070">
      <w:pPr>
        <w:pStyle w:val="NormalWeb"/>
        <w:spacing w:before="0" w:beforeAutospacing="0" w:after="225" w:afterAutospacing="0" w:line="276" w:lineRule="auto"/>
        <w:rPr>
          <w:rFonts w:ascii="Calibri" w:hAnsi="Calibri"/>
          <w:color w:val="333333"/>
          <w:sz w:val="16"/>
        </w:rPr>
      </w:pPr>
      <w:r w:rsidRPr="00D54F4C">
        <w:rPr>
          <w:rFonts w:ascii="Calibri" w:hAnsi="Calibri"/>
          <w:color w:val="333333"/>
          <w:sz w:val="16"/>
        </w:rPr>
        <w:t xml:space="preserve">As John M. Richardson, a pioneer in the study of system dynamics, once put it, "When it comes to the future, there are three types of people: those who let it happen, those who make it happen, and those who wonder what happened." ¶ That's as good a way as any to describe what has befallen so many of our state and local government pensions systems, now facing a collective funding shortfall of $5 trillion: legislative bodies that let it happen by creating unsustainable pensions, policymakers who perpetuated the problem by not fully funding their plans, and retirees who have been blindsided, wondering what happened, when their pensions have been slashed.¶ Consider, for example, the nearly 200 </w:t>
      </w:r>
      <w:r w:rsidRPr="00D54F4C">
        <w:rPr>
          <w:rStyle w:val="StyleUnderline"/>
          <w:rFonts w:ascii="Calibri" w:hAnsi="Calibri"/>
        </w:rPr>
        <w:t>retirees of California's now-defunct East San Gabriel Valley Human Services Consortium</w:t>
      </w:r>
      <w:r w:rsidRPr="00D54F4C">
        <w:rPr>
          <w:rFonts w:ascii="Calibri" w:hAnsi="Calibri"/>
          <w:color w:val="333333"/>
          <w:sz w:val="16"/>
        </w:rPr>
        <w:t xml:space="preserve">, an employment and job-training agency known as LA Works, who </w:t>
      </w:r>
      <w:r w:rsidRPr="00D54F4C">
        <w:rPr>
          <w:rStyle w:val="StyleUnderline"/>
          <w:rFonts w:ascii="Calibri" w:hAnsi="Calibri"/>
        </w:rPr>
        <w:t>just had their pensions cut by as much as 63 percent.</w:t>
      </w:r>
      <w:r w:rsidRPr="00D54F4C">
        <w:rPr>
          <w:rFonts w:ascii="Calibri" w:hAnsi="Calibri"/>
          <w:color w:val="333333"/>
          <w:sz w:val="16"/>
        </w:rPr>
        <w:t xml:space="preserve"> Who's to blame? Policy leaders who set up the risky pension structure; city governments that didn't keep up with pension payments; and the California Public Employees' Retirement System (CalPERS), which did not alert the workers that their employers had fallen behind on their pension payments until this January, just two months before slashing their pensions. It's hardly surprising that the affected employees are questioning how, after paying into the pension fund for 25-plus years, this could have come to pass.¶ </w:t>
      </w:r>
      <w:r w:rsidRPr="00D54F4C">
        <w:rPr>
          <w:rStyle w:val="StyleUnderline"/>
          <w:rFonts w:ascii="Calibri" w:hAnsi="Calibri"/>
        </w:rPr>
        <w:t xml:space="preserve">What's happening with LA Works' retirees isn't a unique situation. CalPERS, whose pension debt stands at $170 billion, just last year drastically cut pension benefits for retirees who worked for the city of Loyalton. </w:t>
      </w:r>
      <w:r w:rsidRPr="00D54F4C">
        <w:rPr>
          <w:rFonts w:ascii="Calibri" w:hAnsi="Calibri"/>
          <w:color w:val="333333"/>
          <w:sz w:val="16"/>
        </w:rPr>
        <w:t xml:space="preserve">Many other cities, and several states, are struggling to keep their heads above water in the face of runaway pension costs.¶ </w:t>
      </w:r>
      <w:r w:rsidRPr="00D54F4C">
        <w:rPr>
          <w:rStyle w:val="StyleUnderline"/>
          <w:rFonts w:ascii="Calibri" w:hAnsi="Calibri"/>
        </w:rPr>
        <w:t>Think it can't happen to your city? Think again. Detroit, Mich., and Central Falls, R.I., are polar opposites in many ways, but they have one thing in common: Both slashed their retirees' pensions when the cities filed for bankruptcy.</w:t>
      </w:r>
      <w:r w:rsidRPr="00D54F4C">
        <w:rPr>
          <w:rFonts w:ascii="Calibri" w:hAnsi="Calibri"/>
          <w:color w:val="333333"/>
          <w:sz w:val="16"/>
        </w:rPr>
        <w:t xml:space="preserve"> ¶ Detroit's was the largest municipal bankruptcy in the nation's history. After the city filed for bankruptcy protection in 2013, thousands of retirees saw their pensions cut by 4.5 percent, their cost-of-living allowances eliminated and their health-care benefits reduced. Just this past October, after much legal back-and-forth, a </w:t>
      </w:r>
      <w:r w:rsidRPr="00D54F4C">
        <w:rPr>
          <w:rStyle w:val="Emphasis"/>
        </w:rPr>
        <w:t xml:space="preserve">federal appeals court rejected the retirees' challenge to reinstate their full pensions. ¶ </w:t>
      </w:r>
      <w:r w:rsidRPr="00D54F4C">
        <w:rPr>
          <w:rFonts w:ascii="Calibri" w:hAnsi="Calibri"/>
          <w:color w:val="333333"/>
          <w:sz w:val="16"/>
        </w:rPr>
        <w:t xml:space="preserve">Central Falls cut pensions for its 133 retirees by as much as 55 percent when the city filed for bankruptcy in 2011 (although the state later eased the pain by reducing the cuts to 25 percent for the first five years). At the time of its bankruptcy, Central Fall's pension plan was a staggering $80 million in debt. Retirees who had saved for their entire careers and assumed their pensions were secure suddenly found themselves forced back into the workforce to make ends meet. ¶ The only truly secure guarantee that a public employee has is a fully funded pension system. But that's a guarantee that's likely to become rarer as cities face mounting fiscal strains. </w:t>
      </w:r>
      <w:r w:rsidRPr="00D54F4C">
        <w:rPr>
          <w:rStyle w:val="StyleUnderline"/>
          <w:rFonts w:ascii="Calibri" w:hAnsi="Calibri"/>
        </w:rPr>
        <w:t>Of the nation's 89,000 local governments, some 11,000 have defaulted on bonds at some point in our history. As pension costs continue to escalate, it's nearly certain that the number of defaults will rise.</w:t>
      </w:r>
      <w:r w:rsidRPr="00D54F4C">
        <w:rPr>
          <w:rFonts w:ascii="Calibri" w:hAnsi="Calibri"/>
          <w:color w:val="333333"/>
          <w:sz w:val="16"/>
        </w:rPr>
        <w:t xml:space="preserve"> How lucky do you feel? Will your city run out of money? ¶ All public-sector retirees deserve safe and secure futures, not to be reduced to poverty when their pension plans fail them. Retirement benefits should be sustainable and predictable for current and future public employees. To live up to this expectation, governments need to fully fund their plans. ¶ Today's pension crisis may be due to policy decisions made years ago, but it's incumbent upon current policymakers to turn the tide and make their systems sustainable. Public employees and retirees didn't create this mess, and they shouldn't be left wondering what happened when the money runs out. ¶</w:t>
      </w:r>
    </w:p>
    <w:p w:rsidR="00C12070" w:rsidRDefault="00C12070" w:rsidP="00C12070"/>
    <w:p w:rsidR="00C12070" w:rsidRDefault="00C12070" w:rsidP="00C12070">
      <w:pPr>
        <w:pStyle w:val="Heading3"/>
      </w:pPr>
      <w:r>
        <w:t>Turns</w:t>
      </w:r>
    </w:p>
    <w:p w:rsidR="00C12070" w:rsidRPr="00D54F4C" w:rsidRDefault="00C12070" w:rsidP="00C12070">
      <w:pPr>
        <w:pStyle w:val="Heading4"/>
      </w:pPr>
      <w:r w:rsidRPr="00D54F4C">
        <w:t>CTE is not statistically significant in test scores and can even make scores worse</w:t>
      </w:r>
    </w:p>
    <w:p w:rsidR="00C12070" w:rsidRPr="00D54F4C" w:rsidRDefault="00C12070" w:rsidP="00C12070">
      <w:pPr>
        <w:rPr>
          <w:rFonts w:eastAsia="Times New Roman"/>
        </w:rPr>
      </w:pPr>
      <w:r w:rsidRPr="00D54F4C">
        <w:t>Warren 15 (Walter Warren, “</w:t>
      </w:r>
      <w:r w:rsidRPr="00D54F4C">
        <w:rPr>
          <w:sz w:val="20"/>
          <w:szCs w:val="20"/>
        </w:rPr>
        <w:t xml:space="preserve">A </w:t>
      </w:r>
      <w:r w:rsidRPr="00D54F4C">
        <w:rPr>
          <w:rFonts w:cs="TimesNewRomanPSMT"/>
          <w:sz w:val="20"/>
          <w:szCs w:val="20"/>
        </w:rPr>
        <w:t>COMPARATIVE STUDY OF THE ACADEMIC PERFORMANCE OF CAREER AND TECHNICAL EDUCATION STUDENTS</w:t>
      </w:r>
      <w:r w:rsidRPr="00D54F4C">
        <w:rPr>
          <w:rFonts w:cs="TimesNewRomanPSMT"/>
        </w:rPr>
        <w:t xml:space="preserve">”, </w:t>
      </w:r>
      <w:r w:rsidRPr="00D54F4C">
        <w:rPr>
          <w:rFonts w:eastAsia="Times New Roman"/>
        </w:rPr>
        <w:br/>
      </w:r>
      <w:hyperlink r:id="rId47" w:history="1">
        <w:r w:rsidRPr="00D54F4C">
          <w:rPr>
            <w:rStyle w:val="Hyperlink"/>
            <w:rFonts w:eastAsia="Times New Roman"/>
            <w:sz w:val="21"/>
            <w:szCs w:val="21"/>
            <w:shd w:val="clear" w:color="auto" w:fill="FFFFFF"/>
          </w:rPr>
          <w:t>http://proxy.lib.umich.edu/login?url=https://search-proquest-com.proxy.lib.umich.edu/docview/1756281987?accountid=14667</w:t>
        </w:r>
      </w:hyperlink>
      <w:r w:rsidRPr="00D54F4C">
        <w:rPr>
          <w:rFonts w:eastAsia="Times New Roman"/>
          <w:color w:val="555555"/>
          <w:sz w:val="21"/>
          <w:szCs w:val="21"/>
          <w:shd w:val="clear" w:color="auto" w:fill="FFFFFF"/>
        </w:rPr>
        <w:t>, accessed through proquest</w:t>
      </w:r>
    </w:p>
    <w:p w:rsidR="00C12070" w:rsidRDefault="00C12070" w:rsidP="00C12070">
      <w:pPr>
        <w:pStyle w:val="NormalWeb"/>
        <w:spacing w:line="276" w:lineRule="auto"/>
        <w:rPr>
          <w:rFonts w:ascii="Calibri" w:hAnsi="Calibri" w:cs="TimesNewRomanPSMT"/>
          <w:sz w:val="16"/>
        </w:rPr>
      </w:pPr>
      <w:r w:rsidRPr="00D54F4C">
        <w:rPr>
          <w:rFonts w:ascii="Calibri" w:hAnsi="Calibri" w:cs="TimesNewRomanPSMT"/>
          <w:sz w:val="16"/>
        </w:rPr>
        <w:t xml:space="preserve">Descriptive statistics for CTE completers </w:t>
      </w:r>
      <w:r w:rsidRPr="00D54F4C">
        <w:rPr>
          <w:rFonts w:ascii="Calibri" w:hAnsi="Calibri"/>
          <w:i/>
          <w:iCs/>
          <w:sz w:val="16"/>
        </w:rPr>
        <w:t xml:space="preserve">(n = </w:t>
      </w:r>
      <w:r w:rsidRPr="00D54F4C">
        <w:rPr>
          <w:rFonts w:ascii="Calibri" w:hAnsi="Calibri" w:cs="TimesNewRomanPSMT"/>
          <w:sz w:val="16"/>
        </w:rPr>
        <w:t>223) and CTE samplers (n = 36) students are presented in Tablel8. Mean scores and associated standard deviations are presented for concentrators and non-CTE students for each ACT subtest as well as the composite score</w:t>
      </w:r>
      <w:r w:rsidRPr="00D54F4C">
        <w:rPr>
          <w:rStyle w:val="Emphasis"/>
        </w:rPr>
        <w:t>. On the composite scores, non-CTE students outscored CTE completers with respective means of 22.42 and 21.81.</w:t>
      </w:r>
      <w:r w:rsidRPr="00D54F4C">
        <w:rPr>
          <w:rFonts w:ascii="Calibri" w:hAnsi="Calibri" w:cs="TimesNewRomanPSMT"/>
          <w:sz w:val="16"/>
        </w:rPr>
        <w:t xml:space="preserve"> </w:t>
      </w:r>
      <w:r w:rsidRPr="00D54F4C">
        <w:rPr>
          <w:rStyle w:val="StyleUnderline"/>
          <w:rFonts w:ascii="Calibri" w:hAnsi="Calibri"/>
        </w:rPr>
        <w:t>On the English subtest, non-CTE students had a mean of 22.50 while completers had a mean of 21.24.</w:t>
      </w:r>
      <w:r w:rsidRPr="00D54F4C">
        <w:rPr>
          <w:rFonts w:ascii="Calibri" w:hAnsi="Calibri" w:cs="TimesNewRomanPSMT"/>
          <w:sz w:val="16"/>
        </w:rPr>
        <w:t xml:space="preserve"> The reverse was </w:t>
      </w:r>
      <w:r w:rsidRPr="00D54F4C">
        <w:rPr>
          <w:rStyle w:val="StyleUnderline"/>
          <w:rFonts w:ascii="Calibri" w:hAnsi="Calibri"/>
        </w:rPr>
        <w:t>true on the math subtest with non-CTE students scoring a mean of 21.83 while completers scored a mean of 21.87. For the science test, the mean score for non-CTE students was 21.69 while completers had a mean of 21.56.</w:t>
      </w:r>
      <w:r w:rsidRPr="00D54F4C">
        <w:rPr>
          <w:rFonts w:ascii="Calibri" w:hAnsi="Calibri" w:cs="TimesNewRomanPSMT"/>
          <w:sz w:val="16"/>
        </w:rPr>
        <w:t xml:space="preserve"> ¶ The results of the ANOVA comparing CTE completers and non-CTE students are shown in Table 19. An </w:t>
      </w:r>
      <w:r w:rsidRPr="00D54F4C">
        <w:rPr>
          <w:rFonts w:ascii="Calibri" w:hAnsi="Calibri"/>
          <w:i/>
          <w:iCs/>
          <w:sz w:val="16"/>
        </w:rPr>
        <w:t xml:space="preserve">F </w:t>
      </w:r>
      <w:r w:rsidRPr="00D54F4C">
        <w:rPr>
          <w:rFonts w:ascii="Calibri" w:hAnsi="Calibri" w:cs="TimesNewRomanPSMT"/>
          <w:sz w:val="16"/>
        </w:rPr>
        <w:t xml:space="preserve">value of .618 (1, 257) indicates that </w:t>
      </w:r>
      <w:r w:rsidRPr="00D54F4C">
        <w:rPr>
          <w:rStyle w:val="Emphasis"/>
        </w:rPr>
        <w:t xml:space="preserve">there is no statically significant difference between CTE completers and non-CTE students. </w:t>
      </w:r>
      <w:r w:rsidRPr="00D54F4C">
        <w:rPr>
          <w:rFonts w:ascii="Calibri" w:hAnsi="Calibri" w:cs="TimesNewRomanPSMT"/>
          <w:sz w:val="16"/>
        </w:rPr>
        <w:t>Therefore, the null hypothesis is rejected and it can be concluded that CTE completers scored equal to or higher than CTE samplers. The same conclusion holds true for all subtests. ¶</w:t>
      </w:r>
    </w:p>
    <w:p w:rsidR="00C12070" w:rsidRPr="00D54F4C" w:rsidRDefault="00C12070" w:rsidP="00C12070">
      <w:pPr>
        <w:pStyle w:val="Heading4"/>
        <w:rPr>
          <w:sz w:val="16"/>
          <w:szCs w:val="20"/>
        </w:rPr>
      </w:pPr>
      <w:r w:rsidRPr="00D54F4C">
        <w:t xml:space="preserve">Advantages of CTE for being employed level out over years and actually becomes less advantages for the second half of the work cycle </w:t>
      </w:r>
      <w:r w:rsidRPr="00D54F4C">
        <w:br/>
      </w:r>
      <w:r w:rsidRPr="00945E49">
        <w:rPr>
          <w:rStyle w:val="Style13ptBold"/>
          <w:b/>
        </w:rPr>
        <w:t>Hanusheck et al 15</w:t>
      </w:r>
      <w:r w:rsidRPr="00945E49">
        <w:rPr>
          <w:b w:val="0"/>
        </w:rPr>
        <w:t xml:space="preserve"> </w:t>
      </w:r>
      <w:r w:rsidRPr="00945E49">
        <w:rPr>
          <w:b w:val="0"/>
          <w:sz w:val="21"/>
          <w:szCs w:val="21"/>
        </w:rPr>
        <w:t>(Eric Hanushek, the Paul and Jean Hanna Senior Fellow at the Hoover Institution of Stanford University, “General Education, Vocational Education, and Labor-Market Outcomes over the Lifecycle”, The Journal of Human Resources, pdf pg. 59-60) CB</w:t>
      </w:r>
      <w:r w:rsidRPr="00945E49">
        <w:rPr>
          <w:rFonts w:ascii="MingLiU" w:eastAsia="MingLiU" w:hAnsi="MingLiU" w:cs="MingLiU"/>
          <w:b w:val="0"/>
          <w:sz w:val="21"/>
          <w:szCs w:val="21"/>
        </w:rPr>
        <w:br/>
      </w:r>
      <w:r w:rsidRPr="00945E49">
        <w:rPr>
          <w:b w:val="0"/>
          <w:sz w:val="16"/>
          <w:szCs w:val="20"/>
        </w:rPr>
        <w:t xml:space="preserve">Table 2 reports OLS regression results of Equation 1 for males, in which </w:t>
      </w:r>
      <w:r w:rsidRPr="00945E49">
        <w:rPr>
          <w:rStyle w:val="StyleUnderline"/>
        </w:rPr>
        <w:t xml:space="preserve">the impact of education type on employment status changes linearly with each year of age. </w:t>
      </w:r>
      <w:r w:rsidRPr="00945E49">
        <w:rPr>
          <w:b w:val="0"/>
          <w:sz w:val="16"/>
          <w:szCs w:val="20"/>
        </w:rPr>
        <w:t xml:space="preserve">The sample </w:t>
      </w:r>
      <w:r w:rsidRPr="00945E49">
        <w:rPr>
          <w:rStyle w:val="StyleUnderline"/>
        </w:rPr>
        <w:t>pools individuals from all 11 vocational countries in IALS but all specifications control for country fixed effects so that the employment impacts are estimated by just the within-country variation.</w:t>
      </w:r>
      <w:r w:rsidRPr="00945E49">
        <w:rPr>
          <w:b w:val="0"/>
          <w:sz w:val="16"/>
          <w:szCs w:val="20"/>
        </w:rPr>
        <w:t xml:space="preserve"> Column 1 is the most basic specification, where employment status is a function of age, age squared, years of schooling, as well as whether one’s highest level of education is general education and its interaction with age. Ceteris paribus</w:t>
      </w:r>
      <w:r w:rsidRPr="00945E49">
        <w:rPr>
          <w:rStyle w:val="StyleUnderline"/>
        </w:rPr>
        <w:t>, employment rates generally increase with age, reach the peak at age 36, and then start to decline</w:t>
      </w:r>
      <w:r w:rsidRPr="00945E49">
        <w:rPr>
          <w:b w:val="0"/>
          <w:sz w:val="16"/>
          <w:szCs w:val="20"/>
        </w:rPr>
        <w:t>, consistent with the description in Figure 1. They also increase with years of schooling: One more year of schooling increases the employment rate by 1.2 percentage points. ¶</w:t>
      </w:r>
      <w:r w:rsidRPr="00945E49">
        <w:rPr>
          <w:b w:val="0"/>
          <w:sz w:val="16"/>
        </w:rPr>
        <w:t xml:space="preserve"> </w:t>
      </w:r>
      <w:r w:rsidRPr="00945E49">
        <w:rPr>
          <w:b w:val="0"/>
          <w:sz w:val="16"/>
          <w:szCs w:val="20"/>
        </w:rPr>
        <w:t xml:space="preserve">Most important to our purpose, </w:t>
      </w:r>
      <w:r w:rsidRPr="00945E49">
        <w:rPr>
          <w:rStyle w:val="StyleUnderline"/>
        </w:rPr>
        <w:t>while individuals with a general education are initially</w:t>
      </w:r>
      <w:r w:rsidRPr="00945E49">
        <w:rPr>
          <w:b w:val="0"/>
          <w:sz w:val="16"/>
          <w:szCs w:val="20"/>
        </w:rPr>
        <w:t xml:space="preserve"> (normalized to an age of 16 years</w:t>
      </w:r>
      <w:r w:rsidRPr="00945E49">
        <w:rPr>
          <w:rStyle w:val="StyleUnderline"/>
        </w:rPr>
        <w:t>) 6.9 percentage points less likely to be employed than those with a vocational education, the gap in employment rates narrows by 2.1 percentage points every ten years. This implies that by age 49, on average, individuals completing a general education are more likely to be employed than individuals completing a vocational education.</w:t>
      </w:r>
      <w:r w:rsidRPr="00945E49">
        <w:rPr>
          <w:b w:val="0"/>
          <w:sz w:val="16"/>
          <w:szCs w:val="20"/>
        </w:rPr>
        <w:t xml:space="preserve"> Individuals completing a secondary-school equivalency or other program (the “other” category) have a virtually identical employment trajectory as those completing a vocational education. ¶ As noted in the previous section, the coefficient on the general education-age interaction (b</w:t>
      </w:r>
      <w:r w:rsidRPr="00945E49">
        <w:rPr>
          <w:b w:val="0"/>
          <w:sz w:val="16"/>
          <w:szCs w:val="20"/>
          <w:vertAlign w:val="subscript"/>
        </w:rPr>
        <w:t>2</w:t>
      </w:r>
      <w:r w:rsidRPr="00945E49">
        <w:rPr>
          <w:b w:val="0"/>
          <w:sz w:val="16"/>
          <w:szCs w:val="20"/>
        </w:rPr>
        <w:t xml:space="preserve">) </w:t>
      </w:r>
      <w:r w:rsidRPr="00945E49">
        <w:rPr>
          <w:rStyle w:val="StyleUnderline"/>
        </w:rPr>
        <w:t xml:space="preserve">can be interpreted as the causal impact of general education on the employment change over the lifecycle </w:t>
      </w:r>
      <w:r w:rsidRPr="00945E49">
        <w:rPr>
          <w:b w:val="0"/>
          <w:sz w:val="16"/>
          <w:szCs w:val="20"/>
        </w:rPr>
        <w:t>as long as any selectivity into education type has not changed over time. In the subsequent columns, we employ varying strategies to account for potential biases from unmeasured ability or other possible influences on employ- ment (that might vary over time for people in the different education-type categories). ¶</w:t>
      </w:r>
    </w:p>
    <w:p w:rsidR="00C12070" w:rsidRPr="00F61EC1" w:rsidRDefault="00C12070" w:rsidP="00C12070">
      <w:pPr>
        <w:pStyle w:val="NormalWeb"/>
        <w:spacing w:line="276" w:lineRule="auto"/>
        <w:rPr>
          <w:rFonts w:ascii="Calibri" w:hAnsi="Calibri" w:cs="TimesNewRomanPSMT"/>
          <w:sz w:val="16"/>
        </w:rPr>
      </w:pPr>
    </w:p>
    <w:p w:rsidR="00C12070" w:rsidRPr="00F61EC1" w:rsidRDefault="00C12070" w:rsidP="00C12070">
      <w:pPr>
        <w:pStyle w:val="Heading3"/>
      </w:pPr>
      <w:r>
        <w:t>Defense</w:t>
      </w:r>
    </w:p>
    <w:p w:rsidR="00C12070" w:rsidRDefault="00C12070" w:rsidP="00C12070">
      <w:pPr>
        <w:rPr>
          <w:rStyle w:val="StyleUnderline"/>
        </w:rPr>
      </w:pPr>
    </w:p>
    <w:p w:rsidR="00C12070" w:rsidRPr="00D54F4C" w:rsidRDefault="00C12070" w:rsidP="00C12070">
      <w:pPr>
        <w:pStyle w:val="Heading4"/>
        <w:rPr>
          <w:rStyle w:val="StyleUnderline"/>
        </w:rPr>
      </w:pPr>
      <w:r w:rsidRPr="00D54F4C">
        <w:rPr>
          <w:rStyle w:val="StyleUnderline"/>
        </w:rPr>
        <w:t>The statistically significant difference in scores between CTE completers and non-CTE students</w:t>
      </w:r>
    </w:p>
    <w:p w:rsidR="00C12070" w:rsidRPr="00945E49" w:rsidRDefault="00C12070" w:rsidP="00C12070">
      <w:pPr>
        <w:rPr>
          <w:rStyle w:val="StyleUnderline"/>
          <w:rFonts w:eastAsia="Times New Roman"/>
        </w:rPr>
      </w:pPr>
      <w:r w:rsidRPr="00D54F4C">
        <w:rPr>
          <w:rStyle w:val="StyleUnderline"/>
        </w:rPr>
        <w:t xml:space="preserve"> </w:t>
      </w:r>
      <w:r w:rsidRPr="00D54F4C">
        <w:t>Warren 15 (Walter Warren, “</w:t>
      </w:r>
      <w:r w:rsidRPr="00D54F4C">
        <w:rPr>
          <w:sz w:val="20"/>
          <w:szCs w:val="20"/>
        </w:rPr>
        <w:t xml:space="preserve">A </w:t>
      </w:r>
      <w:r w:rsidRPr="00D54F4C">
        <w:rPr>
          <w:rFonts w:cs="TimesNewRomanPSMT"/>
          <w:sz w:val="20"/>
          <w:szCs w:val="20"/>
        </w:rPr>
        <w:t>COMPARATIVE STUDY OF THE ACADEMIC PERFORMANCE OF CAREER AND TECHNICAL EDUCATION STUDENTS</w:t>
      </w:r>
      <w:r w:rsidRPr="00D54F4C">
        <w:rPr>
          <w:rFonts w:cs="TimesNewRomanPSMT"/>
        </w:rPr>
        <w:t xml:space="preserve">”, </w:t>
      </w:r>
      <w:r w:rsidRPr="00D54F4C">
        <w:rPr>
          <w:rFonts w:eastAsia="Times New Roman"/>
        </w:rPr>
        <w:br/>
      </w:r>
      <w:hyperlink r:id="rId48" w:history="1">
        <w:r w:rsidRPr="00D54F4C">
          <w:rPr>
            <w:rStyle w:val="Hyperlink"/>
            <w:rFonts w:eastAsia="Times New Roman"/>
            <w:sz w:val="21"/>
            <w:szCs w:val="21"/>
            <w:shd w:val="clear" w:color="auto" w:fill="FFFFFF"/>
          </w:rPr>
          <w:t>http://proxy.lib.umich.edu/login?url=https://search-proquest-com.proxy.lib.umich.edu/docview/1756281987?accountid=14667</w:t>
        </w:r>
      </w:hyperlink>
      <w:r w:rsidRPr="00D54F4C">
        <w:rPr>
          <w:rFonts w:eastAsia="Times New Roman"/>
          <w:color w:val="555555"/>
          <w:sz w:val="21"/>
          <w:szCs w:val="21"/>
          <w:shd w:val="clear" w:color="auto" w:fill="FFFFFF"/>
        </w:rPr>
        <w:t>, accessed through proquest</w:t>
      </w:r>
    </w:p>
    <w:p w:rsidR="00C12070" w:rsidRDefault="00C12070" w:rsidP="00C12070">
      <w:pPr>
        <w:pStyle w:val="NormalWeb"/>
        <w:spacing w:line="276" w:lineRule="auto"/>
        <w:rPr>
          <w:rFonts w:ascii="Calibri" w:hAnsi="Calibri" w:cs="TimesNewRomanPSMT"/>
          <w:sz w:val="16"/>
        </w:rPr>
      </w:pPr>
      <w:r w:rsidRPr="00D54F4C">
        <w:rPr>
          <w:rStyle w:val="StyleUnderline"/>
          <w:rFonts w:ascii="Calibri" w:hAnsi="Calibri"/>
        </w:rPr>
        <w:t>The data suggested that there is no statistically significant difference among</w:t>
      </w:r>
      <w:r w:rsidRPr="00D54F4C">
        <w:rPr>
          <w:rFonts w:ascii="Calibri" w:hAnsi="Calibri" w:cs="TimesNewRomanPSMT"/>
          <w:sz w:val="16"/>
        </w:rPr>
        <w:t xml:space="preserve"> CTE samplers, CTE concentrators, </w:t>
      </w:r>
      <w:r w:rsidRPr="00D54F4C">
        <w:rPr>
          <w:rStyle w:val="StyleUnderline"/>
          <w:rFonts w:ascii="Calibri" w:hAnsi="Calibri"/>
        </w:rPr>
        <w:t>CTE completers and non-CTE students.</w:t>
      </w:r>
      <w:r w:rsidRPr="00D54F4C">
        <w:rPr>
          <w:rFonts w:ascii="Calibri" w:hAnsi="Calibri" w:cs="TimesNewRomanPSMT"/>
          <w:sz w:val="16"/>
        </w:rPr>
        <w:t xml:space="preserve"> Therefore</w:t>
      </w:r>
      <w:r w:rsidRPr="00D54F4C">
        <w:rPr>
          <w:rStyle w:val="StyleUnderline"/>
          <w:rFonts w:ascii="Calibri" w:hAnsi="Calibri"/>
        </w:rPr>
        <w:t>, it can be concluded that concentrating in a high school CTE program does not impact academic performance either positively or negatively as measured by the ACT Test.</w:t>
      </w:r>
      <w:r w:rsidRPr="00D54F4C">
        <w:rPr>
          <w:rFonts w:ascii="Calibri" w:hAnsi="Calibri" w:cs="TimesNewRomanPSMT"/>
          <w:sz w:val="16"/>
        </w:rPr>
        <w:t xml:space="preserve"> ¶</w:t>
      </w:r>
      <w:r w:rsidRPr="00D54F4C">
        <w:rPr>
          <w:rFonts w:ascii="Calibri" w:hAnsi="Calibri"/>
          <w:sz w:val="16"/>
        </w:rPr>
        <w:t xml:space="preserve"> </w:t>
      </w:r>
      <w:r w:rsidRPr="00D54F4C">
        <w:rPr>
          <w:rFonts w:ascii="Calibri" w:hAnsi="Calibri" w:cs="TimesNewRomanPSMT"/>
          <w:sz w:val="16"/>
        </w:rPr>
        <w:t>Six pairings of subgroups were used in this study to determine if the quantity of CTE had an impact on academic performance as measured by the ACT test. These pairings generated the six hypotheses presented previously. ¶</w:t>
      </w:r>
      <w:r w:rsidRPr="00D54F4C">
        <w:rPr>
          <w:rFonts w:ascii="Calibri" w:hAnsi="Calibri"/>
          <w:sz w:val="16"/>
        </w:rPr>
        <w:t xml:space="preserve"> </w:t>
      </w:r>
      <w:r w:rsidRPr="00D54F4C">
        <w:rPr>
          <w:rFonts w:ascii="Calibri" w:hAnsi="Calibri" w:cs="TimesNewRomanPSMT"/>
          <w:sz w:val="16"/>
        </w:rPr>
        <w:t>The only null hypothesis that was retained was HOI which stated that “CTE concentrators scored lower than CTE samplers on the ACT test.” This finding held true for the composite score as well as the scores on the English and reading subtests. While all other null hypotheses were rejected, it should be noted that with regard to the pairing of CTE concentrators and non-CTE students, non-CTE students outperformed the CTE concentrators on the English subtest. This leads the researcher to conclude that enrollment in CTE courses has no positive or negative impact on academic performance as measured by the ACT test. ¶</w:t>
      </w:r>
      <w:r w:rsidRPr="00D54F4C">
        <w:rPr>
          <w:rFonts w:ascii="Calibri" w:hAnsi="Calibri"/>
          <w:sz w:val="16"/>
        </w:rPr>
        <w:t xml:space="preserve"> </w:t>
      </w:r>
      <w:r w:rsidRPr="00D54F4C">
        <w:rPr>
          <w:rStyle w:val="StyleUnderline"/>
          <w:rFonts w:ascii="Calibri" w:hAnsi="Calibri"/>
        </w:rPr>
        <w:t>The ACT test is designed to measure college readiness</w:t>
      </w:r>
      <w:r w:rsidRPr="00D54F4C">
        <w:rPr>
          <w:rFonts w:ascii="Calibri" w:hAnsi="Calibri" w:cs="TimesNewRomanPSMT"/>
          <w:sz w:val="16"/>
        </w:rPr>
        <w:t xml:space="preserve"> (Allen and Sconing, 2005). </w:t>
      </w:r>
      <w:r w:rsidRPr="00D54F4C">
        <w:rPr>
          <w:rStyle w:val="StyleUnderline"/>
          <w:rFonts w:ascii="Calibri" w:hAnsi="Calibri"/>
        </w:rPr>
        <w:t>Therefore, it can be further concluded that there is no significant difference in college- readiness between CTE and non-CTE students as measured by the ACT Test.</w:t>
      </w:r>
      <w:r w:rsidRPr="00D54F4C">
        <w:rPr>
          <w:rFonts w:ascii="Calibri" w:hAnsi="Calibri" w:cs="TimesNewRomanPSMT"/>
          <w:sz w:val="16"/>
        </w:rPr>
        <w:t xml:space="preserve"> ¶</w:t>
      </w:r>
      <w:r w:rsidRPr="00D54F4C">
        <w:rPr>
          <w:rFonts w:ascii="Calibri" w:hAnsi="Calibri"/>
          <w:sz w:val="16"/>
        </w:rPr>
        <w:t xml:space="preserve"> </w:t>
      </w:r>
      <w:r w:rsidRPr="00D54F4C">
        <w:rPr>
          <w:rStyle w:val="StyleUnderline"/>
          <w:rFonts w:ascii="Calibri" w:hAnsi="Calibri"/>
        </w:rPr>
        <w:t xml:space="preserve">These findings appear to support previous studies. The National Education Longitudinal Study of 1988 also concluded that CTE courses neither add to nor detract from academic achievement </w:t>
      </w:r>
      <w:r w:rsidRPr="00D54F4C">
        <w:rPr>
          <w:rFonts w:ascii="Calibri" w:hAnsi="Calibri" w:cs="TimesNewRomanPSMT"/>
          <w:sz w:val="16"/>
        </w:rPr>
        <w:t xml:space="preserve">(Rasinski and Pedlow, 1994). </w:t>
      </w:r>
      <w:r w:rsidRPr="00D54F4C">
        <w:rPr>
          <w:rStyle w:val="StyleUnderline"/>
          <w:rFonts w:ascii="Calibri" w:hAnsi="Calibri"/>
        </w:rPr>
        <w:t>The current study also appears to support the work of Levesque, et al. (2000) who concluded that students who combine a college-preparatory academic curriculum with CTE courses had gains in math, reading and science that were similar to the gains of students who took the college-prep curriculum only.</w:t>
      </w:r>
      <w:r w:rsidRPr="00D54F4C">
        <w:rPr>
          <w:rFonts w:ascii="Calibri" w:hAnsi="Calibri" w:cs="TimesNewRomanPSMT"/>
          <w:sz w:val="16"/>
        </w:rPr>
        <w:t xml:space="preserve"> The assumption inherent in this conclusion is that the great majority of students in this study completed a college preparatory curriculum. A review of self- reported course taking data indicates that most of the students in this study were on track to complete the Arizona university entrance requirements. Further, ACT’s own research reports that the majority of ACT test takers are enrolled in a college preparatory curriculum (ACT, 1997). ¶</w:t>
      </w:r>
      <w:r w:rsidRPr="00D54F4C">
        <w:rPr>
          <w:rFonts w:ascii="Calibri" w:hAnsi="Calibri"/>
          <w:sz w:val="16"/>
        </w:rPr>
        <w:t xml:space="preserve"> </w:t>
      </w:r>
      <w:r w:rsidRPr="00D54F4C">
        <w:rPr>
          <w:rFonts w:ascii="Calibri" w:hAnsi="Calibri" w:cs="TimesNewRomanPSMT"/>
          <w:sz w:val="16"/>
        </w:rPr>
        <w:t xml:space="preserve">The current study is at odds with the High Schools That Work Studies. The High Schools That Work organization has consistently found that students taking both a college preparatory curriculum and concentrating in a CTE program did better academically than those taking either concentration alone (Southern Regional Education Board, 2000). </w:t>
      </w:r>
    </w:p>
    <w:p w:rsidR="00C12070" w:rsidRDefault="00C12070" w:rsidP="00C12070">
      <w:pPr>
        <w:pStyle w:val="Heading2"/>
      </w:pPr>
      <w:r>
        <w:t>AT: Cyber ADV</w:t>
      </w:r>
    </w:p>
    <w:p w:rsidR="00C12070" w:rsidRPr="00A31F54" w:rsidRDefault="00C12070" w:rsidP="00C12070">
      <w:pPr>
        <w:pStyle w:val="Heading3"/>
      </w:pPr>
      <w:r>
        <w:t>1NC SQ Solves</w:t>
      </w:r>
    </w:p>
    <w:p w:rsidR="00C12070" w:rsidRPr="00F07B7C" w:rsidRDefault="00C12070" w:rsidP="00C12070">
      <w:pPr>
        <w:pStyle w:val="Heading4"/>
      </w:pPr>
      <w:r w:rsidRPr="00F07B7C">
        <w:t>Status quo measures solve the workforce gap and one policy can’t resolve it all</w:t>
      </w:r>
    </w:p>
    <w:p w:rsidR="00C12070" w:rsidRPr="00F07B7C" w:rsidRDefault="00C12070" w:rsidP="00C12070">
      <w:pPr>
        <w:rPr>
          <w:b/>
        </w:rPr>
      </w:pPr>
      <w:r w:rsidRPr="00F07B7C">
        <w:rPr>
          <w:rStyle w:val="Style13ptBold"/>
        </w:rPr>
        <w:t>Bate 5/17</w:t>
      </w:r>
      <w:r w:rsidRPr="00F07B7C">
        <w:t>/17 (Laura K. Bate - Senior Program Associate with New America’s Cybersecurity Initiative and a WiSe Fellow with the American Security Project. A graduate of Georgetown University’s Security Studies Program, she writes on cyber policy, intelligence, and security issues – “The Cyber Workforce Gap: A National Security Liability?” – 5/17/17 - https://warontherocks.com/2017/05/the-cyber-workforce-gap-a-national-security-liability/)/TK</w:t>
      </w:r>
    </w:p>
    <w:p w:rsidR="00C12070" w:rsidRDefault="00C12070" w:rsidP="00C12070">
      <w:pPr>
        <w:rPr>
          <w:rStyle w:val="StyleUnderline"/>
        </w:rPr>
      </w:pPr>
      <w:r w:rsidRPr="00F07B7C">
        <w:rPr>
          <w:sz w:val="16"/>
        </w:rPr>
        <w:t>More than one Way to Build a Workforce</w:t>
      </w:r>
      <w:r w:rsidRPr="00F07B7C">
        <w:rPr>
          <w:sz w:val="12"/>
        </w:rPr>
        <w:t>¶</w:t>
      </w:r>
      <w:r w:rsidRPr="00F07B7C">
        <w:rPr>
          <w:sz w:val="16"/>
        </w:rPr>
        <w:t xml:space="preserve"> Recognizing that universities alone cannot bridge the workforce gap, there are a number of other solutions that the interagency report could recommend. Expect to see recommendations on cybersecurity bootcamps: accelerated, typically for-profit training programs that focus on the concrete skills and tools needed for cybersecurity jobs. These programs are an evolution on the model of the immersive coding bootcamps of prior years. With carefully considered interventions from government and industry groups to help avoid the pitfalls and challenges the coding bootcamps are working to overcome, these cybersecurity training programs could become an important part of the cybersecurity workforce ecosystem.</w:t>
      </w:r>
      <w:r w:rsidRPr="00F07B7C">
        <w:rPr>
          <w:sz w:val="12"/>
        </w:rPr>
        <w:t>¶</w:t>
      </w:r>
      <w:r w:rsidRPr="00F07B7C">
        <w:rPr>
          <w:sz w:val="16"/>
        </w:rPr>
        <w:t xml:space="preserve"> </w:t>
      </w:r>
      <w:r w:rsidRPr="00F07B7C">
        <w:rPr>
          <w:rStyle w:val="StyleUnderline"/>
        </w:rPr>
        <w:t>Community colleges are</w:t>
      </w:r>
      <w:r w:rsidRPr="00F07B7C">
        <w:rPr>
          <w:sz w:val="16"/>
        </w:rPr>
        <w:t xml:space="preserve"> also </w:t>
      </w:r>
      <w:r w:rsidRPr="00F07B7C">
        <w:rPr>
          <w:rStyle w:val="StyleUnderline"/>
        </w:rPr>
        <w:t xml:space="preserve">rising to the challenge, and a growing list of two-year programs are now designated by the Department of Homeland Security and the National Security Agency as Centers of Academic Excellence in teaching cybersecurity and information assurance. </w:t>
      </w:r>
      <w:r w:rsidRPr="00F07B7C">
        <w:rPr>
          <w:rStyle w:val="Emphasis"/>
        </w:rPr>
        <w:t>Options for teaching cybersecurity are beginning to emerge</w:t>
      </w:r>
      <w:r w:rsidRPr="00F07B7C">
        <w:rPr>
          <w:rStyle w:val="StyleUnderline"/>
        </w:rPr>
        <w:t xml:space="preserve"> below the postsecondary level as well, as K-12 educational programs take root. By way of example, the Air Force Association’s CyberPatriot program organizes cybersecurity competitions and camps for students, while providing ready-made curriculum modules to teachers.</w:t>
      </w:r>
      <w:r w:rsidRPr="00F07B7C">
        <w:rPr>
          <w:rStyle w:val="StyleUnderline"/>
          <w:sz w:val="12"/>
        </w:rPr>
        <w:t>¶</w:t>
      </w:r>
      <w:r w:rsidRPr="00F07B7C">
        <w:rPr>
          <w:sz w:val="16"/>
        </w:rPr>
        <w:t xml:space="preserve"> Unsurprisingly, </w:t>
      </w:r>
      <w:r w:rsidRPr="00F07B7C">
        <w:rPr>
          <w:rStyle w:val="StyleUnderline"/>
        </w:rPr>
        <w:t>the military struggles with the same shortage</w:t>
      </w:r>
      <w:r w:rsidRPr="00F07B7C">
        <w:rPr>
          <w:sz w:val="16"/>
        </w:rPr>
        <w:t xml:space="preserve"> of cybersecurity experts the civilian workforce faces </w:t>
      </w:r>
      <w:r w:rsidRPr="00F07B7C">
        <w:rPr>
          <w:rStyle w:val="StyleUnderline"/>
        </w:rPr>
        <w:t>and, there too, creative solutions are beginning to emerge. One proposal is to exempt incoming cyber-skilled soldiers from certain training requirements, allowing them to transfer in “laterally.” Another is to lean on the Reserve and National Guard to supply extra talent. Others suggest developing a new service academy, akin to West Point, the Air Force Academy, and the Naval Academy, dedicated solely to teaching cybersecurity</w:t>
      </w:r>
      <w:r w:rsidRPr="00F07B7C">
        <w:rPr>
          <w:sz w:val="16"/>
        </w:rPr>
        <w:t>. Notably, these options are likely to have follow-on benefits as the cybersecurity industry begins to appreciate the value of pulling veterans into cybersecurity jobs. By building a pool of cyber expertise in the services, military leaders are indirectly benefiting the private sector that will employ veterans who choose to enter the civilian workforce.</w:t>
      </w:r>
      <w:r w:rsidRPr="00F07B7C">
        <w:rPr>
          <w:sz w:val="12"/>
        </w:rPr>
        <w:t>¶</w:t>
      </w:r>
      <w:r w:rsidRPr="00F07B7C">
        <w:rPr>
          <w:sz w:val="16"/>
        </w:rPr>
        <w:t xml:space="preserve"> One key hurdle in both civilian and military workplaces will be expanding cybersecurity’s demographics. Cybersecurity today faces a particularly homogenous workforce. The industry is spectacularly lacking in women and minorities, which means the growth of the U.S. cybersecurity workforce is hobbled until recruiting efforts can find a way to tap into the whole of the American population. As a simple matter of numbers, a larger talent pool allows recruiters to pull in more people, and the United States needs as many minds as it can muster on this challenge. But perhaps more significantly, research shows that diverse teams produce better results, and when the product is ensuring the security and resilience of U.S. networks, results matter. As organizations begin to take notice — and action — on the disparity, the workforce may see accelerated growth.</w:t>
      </w:r>
      <w:r w:rsidRPr="00F07B7C">
        <w:rPr>
          <w:sz w:val="12"/>
        </w:rPr>
        <w:t>¶</w:t>
      </w:r>
      <w:r w:rsidRPr="00F07B7C">
        <w:rPr>
          <w:sz w:val="16"/>
        </w:rPr>
        <w:t xml:space="preserve"> Cybersecurity Apprenticeships</w:t>
      </w:r>
      <w:r w:rsidRPr="00F07B7C">
        <w:rPr>
          <w:sz w:val="12"/>
        </w:rPr>
        <w:t>¶</w:t>
      </w:r>
      <w:r w:rsidRPr="00F07B7C">
        <w:rPr>
          <w:sz w:val="16"/>
        </w:rPr>
        <w:t xml:space="preserve"> </w:t>
      </w:r>
      <w:r w:rsidRPr="00F07B7C">
        <w:rPr>
          <w:rStyle w:val="StyleUnderline"/>
        </w:rPr>
        <w:t>The executive order</w:t>
      </w:r>
      <w:r w:rsidRPr="00F07B7C">
        <w:rPr>
          <w:sz w:val="16"/>
        </w:rPr>
        <w:t xml:space="preserve"> itself specifically </w:t>
      </w:r>
      <w:r w:rsidRPr="00F07B7C">
        <w:rPr>
          <w:rStyle w:val="StyleUnderline"/>
        </w:rPr>
        <w:t>points to perhaps one of the most promising approaches to bridging the workforce gap: cybersecurity apprenticeship training</w:t>
      </w:r>
      <w:r w:rsidRPr="00F07B7C">
        <w:rPr>
          <w:sz w:val="16"/>
        </w:rPr>
        <w:t xml:space="preserve">. While historically associated with the construction trades, </w:t>
      </w:r>
      <w:r w:rsidRPr="00F07B7C">
        <w:rPr>
          <w:rStyle w:val="StyleUnderline"/>
        </w:rPr>
        <w:t>this hybrid system of classroom and applied learning is quickly demonstrating its utility for cybersecurity, and employers across the country have been quick to create registered apprenticeship programs.</w:t>
      </w:r>
      <w:r w:rsidRPr="00F07B7C">
        <w:rPr>
          <w:rStyle w:val="StyleUnderline"/>
          <w:sz w:val="12"/>
        </w:rPr>
        <w:t>¶</w:t>
      </w:r>
      <w:r w:rsidRPr="00F07B7C">
        <w:rPr>
          <w:sz w:val="16"/>
        </w:rPr>
        <w:t xml:space="preserve"> </w:t>
      </w:r>
      <w:r w:rsidRPr="00F07B7C">
        <w:rPr>
          <w:rStyle w:val="StyleUnderline"/>
        </w:rPr>
        <w:t>Under a registered apprenticeship model, employers develop a training program, typically in conjunction with a local university, community college, or specialized firm, which couples rigorous, supervised on-the-job learning with a required number of classroom hours</w:t>
      </w:r>
      <w:r w:rsidRPr="00F07B7C">
        <w:rPr>
          <w:sz w:val="16"/>
        </w:rPr>
        <w:t xml:space="preserve">. This training program is registered with either the state or federal Department of Labor to ensure that the program meets baseline standards. Once established, apprenticeships provide learners with an opportunity to make money — rather than spend it — on a training program, often while working towards valuable industry certifications. Meanwhile, </w:t>
      </w:r>
      <w:r w:rsidRPr="00F07B7C">
        <w:rPr>
          <w:rStyle w:val="StyleUnderline"/>
        </w:rPr>
        <w:t>employers can ensure a steady pipeline of talent guaranteed to be familiar with their particular tools and methods.</w:t>
      </w:r>
      <w:r w:rsidRPr="00F07B7C">
        <w:rPr>
          <w:rStyle w:val="StyleUnderline"/>
          <w:sz w:val="12"/>
        </w:rPr>
        <w:t>¶</w:t>
      </w:r>
      <w:r w:rsidRPr="00F07B7C">
        <w:rPr>
          <w:sz w:val="16"/>
        </w:rPr>
        <w:t xml:space="preserve"> While the idea of apprenticeship programs in the technology sector may still be quite new in the United States, the model is more common overseas. In particular, </w:t>
      </w:r>
      <w:r w:rsidRPr="00F07B7C">
        <w:rPr>
          <w:rStyle w:val="StyleUnderline"/>
        </w:rPr>
        <w:t>the United Kingdom has developed a government-led apprenticeship program that funnels talent directly into jobs protecting critical infrastructure, thus supporting a crucial national security priority</w:t>
      </w:r>
      <w:r w:rsidRPr="00F07B7C">
        <w:rPr>
          <w:sz w:val="16"/>
        </w:rPr>
        <w:t>. Certainly such a model would need to be adapted for implementation in the United States, but apprenticeship systems currently enjoy political support from both sides of the aisle, making this a particularly politically viable moment to push for policies that support and incentivize the growth of cybersecurity apprenticeships.</w:t>
      </w:r>
      <w:r w:rsidRPr="00F07B7C">
        <w:rPr>
          <w:sz w:val="12"/>
        </w:rPr>
        <w:t>¶</w:t>
      </w:r>
      <w:r w:rsidRPr="00F07B7C">
        <w:rPr>
          <w:sz w:val="16"/>
        </w:rPr>
        <w:t xml:space="preserve"> Last week’s executive order laid out some remarkably tall orders, but mundane though it may seem, addressing the workforce shortage may be one of the most intractable and important challenges. </w:t>
      </w:r>
      <w:r w:rsidRPr="00F07B7C">
        <w:rPr>
          <w:rStyle w:val="Emphasis"/>
        </w:rPr>
        <w:t>The cybersecurity training environment is genuinely a complex ecosystem, and no single solution will work in isolation</w:t>
      </w:r>
      <w:r w:rsidRPr="00F07B7C">
        <w:rPr>
          <w:sz w:val="16"/>
        </w:rPr>
        <w:t xml:space="preserve">. Given the scale of the problem and the long time horizons involved in making meaningful change in the workforce pipeline, observers should not expect the interagency report to outline anything more than a basic starting point. </w:t>
      </w:r>
      <w:r w:rsidRPr="00F07B7C">
        <w:rPr>
          <w:rStyle w:val="StyleUnderline"/>
        </w:rPr>
        <w:t>With that said, many good options and strategies are already in development</w:t>
      </w:r>
      <w:r w:rsidRPr="00F07B7C">
        <w:rPr>
          <w:sz w:val="16"/>
        </w:rPr>
        <w:t>. If agency heads are able to craft suggestions that support good work and incentivize effective and scalable solutions</w:t>
      </w:r>
      <w:r w:rsidRPr="00F07B7C">
        <w:rPr>
          <w:rStyle w:val="StyleUnderline"/>
        </w:rPr>
        <w:t>, the order-mandated report could chart the beginnings of a path toward the strong cybersecurity workforce the United States desperately needs.</w:t>
      </w:r>
    </w:p>
    <w:p w:rsidR="00C12070" w:rsidRDefault="00C12070" w:rsidP="00C12070">
      <w:pPr>
        <w:rPr>
          <w:rStyle w:val="StyleUnderline"/>
        </w:rPr>
      </w:pPr>
    </w:p>
    <w:p w:rsidR="00C12070" w:rsidRPr="007A6A2F" w:rsidRDefault="00C12070" w:rsidP="00C12070">
      <w:pPr>
        <w:pStyle w:val="Heading3"/>
      </w:pPr>
      <w:r w:rsidRPr="007A6A2F">
        <w:t>2NC SQ Solves</w:t>
      </w:r>
    </w:p>
    <w:p w:rsidR="00C12070" w:rsidRPr="00F07B7C" w:rsidRDefault="00C12070" w:rsidP="00C12070">
      <w:pPr>
        <w:pStyle w:val="Heading4"/>
      </w:pPr>
      <w:r w:rsidRPr="00F07B7C">
        <w:t xml:space="preserve">Status quo solves cyber education </w:t>
      </w:r>
    </w:p>
    <w:p w:rsidR="00C12070" w:rsidRPr="00F07B7C" w:rsidRDefault="00C12070" w:rsidP="00C12070">
      <w:r w:rsidRPr="00F07B7C">
        <w:rPr>
          <w:rStyle w:val="Style13ptBold"/>
        </w:rPr>
        <w:t>Newsweek 17</w:t>
      </w:r>
      <w:r w:rsidRPr="00F07B7C">
        <w:t xml:space="preserve"> (Newsweek Editorial Insight – “The Cybersecurity Threat - Fighting Back” – 2/14/17 - http://www.newsweek.com/insights/leading-cybersecurity-programs-2017)/TK</w:t>
      </w:r>
    </w:p>
    <w:p w:rsidR="00C12070" w:rsidRDefault="00C12070" w:rsidP="00C12070">
      <w:pPr>
        <w:rPr>
          <w:rStyle w:val="StyleUnderline"/>
        </w:rPr>
      </w:pPr>
      <w:r w:rsidRPr="00F07B7C">
        <w:rPr>
          <w:sz w:val="16"/>
        </w:rPr>
        <w:t>With cyber attacks constantly on the rise, the need to secure our networks is highlighted on a daily basis, not least as publicized in the recent US election revelations. Our increasing reliance on technology has come hand-in-hand with some unsettling statistics for cyber crime; according to various reports, over 60 percent of US companies have been victims of cyber attack, as well as numerous government agencies.</w:t>
      </w:r>
      <w:r w:rsidRPr="00F07B7C">
        <w:rPr>
          <w:sz w:val="12"/>
        </w:rPr>
        <w:t>¶</w:t>
      </w:r>
      <w:r w:rsidRPr="00F07B7C">
        <w:rPr>
          <w:sz w:val="16"/>
        </w:rPr>
        <w:t xml:space="preserve"> </w:t>
      </w:r>
      <w:r w:rsidRPr="00F07B7C">
        <w:rPr>
          <w:rStyle w:val="Emphasis"/>
        </w:rPr>
        <w:t>The US government has in recent years made defending its institutions’ virtual borders a top priority</w:t>
      </w:r>
      <w:r w:rsidRPr="00F07B7C">
        <w:rPr>
          <w:rStyle w:val="StyleUnderline"/>
        </w:rPr>
        <w:t>, implementing the Department of Defense Cyber Strategy in 2015. Cyber education is recognized as a key element within this strategy; specifically the National Initiative for Cybersecurity Education (NICE), as detailed under the “Build the cyber workforce” section of Strategic Goal I.</w:t>
      </w:r>
      <w:r w:rsidRPr="00F07B7C">
        <w:rPr>
          <w:rStyle w:val="StyleUnderline"/>
          <w:sz w:val="12"/>
        </w:rPr>
        <w:t>¶</w:t>
      </w:r>
      <w:r w:rsidRPr="00F07B7C">
        <w:rPr>
          <w:sz w:val="16"/>
        </w:rPr>
        <w:t xml:space="preserve"> </w:t>
      </w:r>
      <w:r w:rsidRPr="00F07B7C">
        <w:rPr>
          <w:rStyle w:val="StyleUnderline"/>
        </w:rPr>
        <w:t xml:space="preserve">One initiative that has been introduced is the ‘Centers of Academic Excellence in Cybersecurity’ program, which is jointly sponsored by the </w:t>
      </w:r>
      <w:r w:rsidRPr="00F07B7C">
        <w:rPr>
          <w:sz w:val="16"/>
        </w:rPr>
        <w:t>National Security Agency</w:t>
      </w:r>
      <w:r w:rsidRPr="00F07B7C">
        <w:rPr>
          <w:rStyle w:val="StyleUnderline"/>
        </w:rPr>
        <w:t xml:space="preserve"> (NSA) and the </w:t>
      </w:r>
      <w:r w:rsidRPr="00F07B7C">
        <w:rPr>
          <w:sz w:val="16"/>
        </w:rPr>
        <w:t>Department of Homeland Security</w:t>
      </w:r>
      <w:r w:rsidRPr="00F07B7C">
        <w:rPr>
          <w:rStyle w:val="StyleUnderline"/>
        </w:rPr>
        <w:t xml:space="preserve"> (DHS</w:t>
      </w:r>
      <w:r w:rsidRPr="00F07B7C">
        <w:rPr>
          <w:sz w:val="16"/>
        </w:rPr>
        <w:t xml:space="preserve">). </w:t>
      </w:r>
      <w:r w:rsidRPr="00F07B7C">
        <w:rPr>
          <w:rStyle w:val="StyleUnderline"/>
        </w:rPr>
        <w:t>The goal of the program, as stated by the NSA, is to reduce vulnerability in our national information infrastructure by promoting higher education and research in cyber defense and producing professionals with cyber defense expertise for the nation</w:t>
      </w:r>
      <w:r w:rsidRPr="00F07B7C">
        <w:rPr>
          <w:sz w:val="16"/>
        </w:rPr>
        <w:t xml:space="preserve">. </w:t>
      </w:r>
      <w:r w:rsidRPr="00F07B7C">
        <w:rPr>
          <w:rStyle w:val="StyleUnderline"/>
        </w:rPr>
        <w:t>There are currently more than two hundred higher education institutions, universities and colleges that participate in the program.</w:t>
      </w:r>
      <w:r w:rsidRPr="00F07B7C">
        <w:rPr>
          <w:rStyle w:val="StyleUnderline"/>
          <w:sz w:val="12"/>
        </w:rPr>
        <w:t>¶</w:t>
      </w:r>
      <w:r w:rsidRPr="00F07B7C">
        <w:rPr>
          <w:sz w:val="16"/>
        </w:rPr>
        <w:t xml:space="preserve"> Whether as part of the NSA/DHS program or otherwise, </w:t>
      </w:r>
      <w:r w:rsidRPr="00F07B7C">
        <w:rPr>
          <w:rStyle w:val="Emphasis"/>
        </w:rPr>
        <w:t>education establishments have</w:t>
      </w:r>
      <w:r w:rsidRPr="00F07B7C">
        <w:rPr>
          <w:rStyle w:val="StyleUnderline"/>
        </w:rPr>
        <w:t xml:space="preserve"> also </w:t>
      </w:r>
      <w:r w:rsidRPr="00F07B7C">
        <w:rPr>
          <w:rStyle w:val="Emphasis"/>
        </w:rPr>
        <w:t>been expanding their range of cyber security courses and student numbers</w:t>
      </w:r>
      <w:r w:rsidRPr="00F07B7C">
        <w:rPr>
          <w:rStyle w:val="StyleUnderline"/>
        </w:rPr>
        <w:t>. This may in part be a response to the immediate cyber threats facing the US, but is also due to the additional demand for degrees, certificates and other courses, relating to the anticipated future need for more STEM workers.</w:t>
      </w:r>
      <w:r w:rsidRPr="00F07B7C">
        <w:rPr>
          <w:rStyle w:val="StyleUnderline"/>
          <w:sz w:val="12"/>
        </w:rPr>
        <w:t>¶</w:t>
      </w:r>
      <w:r w:rsidRPr="00F07B7C">
        <w:rPr>
          <w:sz w:val="16"/>
        </w:rPr>
        <w:t xml:space="preserve"> There are plenty of statistics to be found relating to this demand. An estimate from the Bureau of Labor Statistics states there are currently more than 200,000 available cybersecurity positions and predicts employment growth of 37% within the information security industry over the next 10 years, with 4 out of 5 cyber security jobs requiring a degree. Another report suggested that the demand for cybersecurity professionals over a 5 year period grew 3.5 times faster than other IT sectors and 12 times the rate of employment in general. This exponential growth can no doubt be attributed to the dual driving forces of increased cyber threats and technology proliferation.</w:t>
      </w:r>
      <w:r w:rsidRPr="00F07B7C">
        <w:rPr>
          <w:sz w:val="12"/>
        </w:rPr>
        <w:t>¶</w:t>
      </w:r>
      <w:r w:rsidRPr="00F07B7C">
        <w:rPr>
          <w:sz w:val="16"/>
        </w:rPr>
        <w:t xml:space="preserve"> Cybersecurity, once the domain of engineering and computing colleges only, is now considered over a broad range of disciplines. </w:t>
      </w:r>
      <w:r w:rsidRPr="00F07B7C">
        <w:rPr>
          <w:rStyle w:val="StyleUnderline"/>
        </w:rPr>
        <w:t>It is common to find cyber programs from many other academic institutions including business schools, management schools, natural sciences and liberal arts colleges.</w:t>
      </w:r>
      <w:r w:rsidRPr="00F07B7C">
        <w:rPr>
          <w:sz w:val="16"/>
        </w:rPr>
        <w:t xml:space="preserve"> Many of the courses are multi-departmental, reflecting the ubiquitous nature of today’s cyber threats. </w:t>
      </w:r>
      <w:r w:rsidRPr="00F07B7C">
        <w:rPr>
          <w:rStyle w:val="StyleUnderline"/>
        </w:rPr>
        <w:t>Universities are creating Cybersecurity centers and divisions, often as part of their engineering and science colleges, that help to coordinate academic efforts between various departments, as well as undertaking research and offering specialist expertise both internally and to industry externally.</w:t>
      </w:r>
    </w:p>
    <w:p w:rsidR="00C12070" w:rsidRDefault="00C12070" w:rsidP="00C12070">
      <w:pPr>
        <w:pStyle w:val="Heading4"/>
      </w:pPr>
      <w:r>
        <w:t>No workforce shortage- insufficient data and misunderstanding</w:t>
      </w:r>
    </w:p>
    <w:p w:rsidR="00C12070" w:rsidRPr="003351C9" w:rsidRDefault="00C12070" w:rsidP="00C12070">
      <w:pPr>
        <w:rPr>
          <w:rStyle w:val="Style13ptBold"/>
          <w:b w:val="0"/>
        </w:rPr>
      </w:pPr>
      <w:r>
        <w:rPr>
          <w:rStyle w:val="Style13ptBold"/>
        </w:rPr>
        <w:t xml:space="preserve">Smith 17 – </w:t>
      </w:r>
      <w:r w:rsidRPr="005A75A9">
        <w:t>professor of Education and Social justice at the University of Leicester</w:t>
      </w:r>
      <w:r>
        <w:t xml:space="preserve"> ( Emma |</w:t>
      </w:r>
      <w:r w:rsidRPr="005A75A9">
        <w:t xml:space="preserve"> British Educational Research Association</w:t>
      </w:r>
      <w:r>
        <w:t>, “</w:t>
      </w:r>
      <w:r w:rsidRPr="003351C9">
        <w:t>Shortage or surplus? A long-term perspective on the supply of scientists and engineers in the USA and the UK</w:t>
      </w:r>
      <w:r>
        <w:t xml:space="preserve">” | </w:t>
      </w:r>
      <w:r w:rsidRPr="003351C9">
        <w:t>http://onlinelibrary.wiley.com/doi/10.1002/rev3.3091/full|</w:t>
      </w:r>
      <w:r>
        <w:t xml:space="preserve"> January 24, 2017| DOA: 7/19/17| KG)</w:t>
      </w:r>
    </w:p>
    <w:p w:rsidR="00C12070" w:rsidRDefault="00C12070" w:rsidP="00C12070">
      <w:r>
        <w:t xml:space="preserve">From </w:t>
      </w:r>
      <w:r w:rsidRPr="00FB603B">
        <w:rPr>
          <w:rStyle w:val="StyleUnderline"/>
        </w:rPr>
        <w:t>the academic studies</w:t>
      </w:r>
      <w:r>
        <w:t xml:space="preserve"> in the 1950s that </w:t>
      </w:r>
      <w:r w:rsidRPr="00FB603B">
        <w:rPr>
          <w:rStyle w:val="StyleUnderline"/>
        </w:rPr>
        <w:t>criticised the proponents of the shortage debate for a ‘misunderstanding of economic theory as well as … exaggeration of the empirical evidence</w:t>
      </w:r>
      <w:r>
        <w:t xml:space="preserve">’ (Arrow &amp; Capron, 1958, p. 292; see also Alchian et al., 1958; Blank &amp; Stigler, 1957); to more recent reports by the UK House of Lords whose review into higher education and STEM subjects concluded that: … </w:t>
      </w:r>
      <w:r w:rsidRPr="000131FD">
        <w:rPr>
          <w:rStyle w:val="StyleUnderline"/>
        </w:rPr>
        <w:t xml:space="preserve">lack of data makes it very difficult to assess whether there is in fact a shortage of STEM graduates and postgraduates </w:t>
      </w:r>
      <w:r>
        <w:t xml:space="preserve">and in which sectors. This is critical because, </w:t>
      </w:r>
      <w:r w:rsidRPr="000131FD">
        <w:rPr>
          <w:rStyle w:val="StyleUnderline"/>
        </w:rPr>
        <w:t>if it is not known whether there is a shortage, remedial actions cannot be put in place</w:t>
      </w:r>
      <w:r>
        <w:t xml:space="preserve">. (Select Committee on Science and Technology, 2012, p. 6) </w:t>
      </w:r>
      <w:r w:rsidRPr="000131FD">
        <w:rPr>
          <w:rStyle w:val="StyleUnderline"/>
        </w:rPr>
        <w:t>There have been conceptual, methodological and ideological obstacles to producing good quality evidence about whether or not there is a shortage or surplus of highly skilled scientists and engineers</w:t>
      </w:r>
      <w:r>
        <w:t xml:space="preserve"> (see also Committee on Science, Engineering and Public Policy, 1995; Kastner, 1972; US House of Representatives, 1991; Wilkinson &amp; Mace, 1973). While it is perhaps unsurprising that </w:t>
      </w:r>
      <w:r w:rsidRPr="000131FD">
        <w:t>predicting future supply and demand is an ‘inexact science’</w:t>
      </w:r>
      <w:r>
        <w:t xml:space="preserve"> (Lane, 1995), </w:t>
      </w:r>
      <w:r w:rsidRPr="000131FD">
        <w:rPr>
          <w:rStyle w:val="StyleUnderline"/>
        </w:rPr>
        <w:t>it is important not to underestimate the ideological threads that run through this debate:</w:t>
      </w:r>
      <w:r>
        <w:t xml:space="preserve"> as Godin points out ‘</w:t>
      </w:r>
      <w:r w:rsidRPr="000131FD">
        <w:rPr>
          <w:rStyle w:val="StyleUnderline"/>
        </w:rPr>
        <w:t>incomplete statistics never prevented people taking firm positions on scientific and technical human resources</w:t>
      </w:r>
      <w:r>
        <w:t xml:space="preserve">’ (2002, p. 3). This can be seen in the following quotations from prominent voices in the field: I can give you my own opinion as a result of my long experience and effort in this field, but I fear I </w:t>
      </w:r>
      <w:r w:rsidRPr="000131FD">
        <w:rPr>
          <w:rStyle w:val="StyleUnderline"/>
        </w:rPr>
        <w:t>cannot give you authoritative data with numbers because I have been unable to find such data</w:t>
      </w:r>
      <w:r>
        <w:t xml:space="preserve">; so I am sure that many of your witnesses will give you their opinions, as I am doing. </w:t>
      </w:r>
      <w:r w:rsidRPr="000131FD">
        <w:t>I d</w:t>
      </w:r>
      <w:r w:rsidRPr="000131FD">
        <w:rPr>
          <w:rStyle w:val="StyleUnderline"/>
        </w:rPr>
        <w:t>oubt if</w:t>
      </w:r>
      <w:r>
        <w:t xml:space="preserve"> very </w:t>
      </w:r>
      <w:r w:rsidRPr="000131FD">
        <w:rPr>
          <w:rStyle w:val="StyleUnderline"/>
        </w:rPr>
        <w:t>many of them can give you facts or figures</w:t>
      </w:r>
      <w:r>
        <w:t xml:space="preserve"> which most of us would like to have if they are available. (Evidence given by Admiral Hoare to the US House of Representatives, 1959, p. 839) </w:t>
      </w:r>
      <w:r w:rsidRPr="000131FD">
        <w:rPr>
          <w:rStyle w:val="StyleUnderline"/>
        </w:rPr>
        <w:t>The models used</w:t>
      </w:r>
      <w:r>
        <w:t xml:space="preserve"> to project supply and demand for scientists and engineers </w:t>
      </w:r>
      <w:r w:rsidRPr="000131FD">
        <w:rPr>
          <w:rStyle w:val="StyleUnderline"/>
        </w:rPr>
        <w:t>have been subject to criticism</w:t>
      </w:r>
      <w:r>
        <w:t xml:space="preserve">. But most of the dispute turns on quantitative details rather than the fundamental conclusion, namely that unless corrective actions are taken immediately, universities, industry and government will begin to experience shortages of scientists and engineers in the next four to six years with shortages becoming significant during the early years of the next century. (Presidential address to the AAAS, Atkinson, 1990, p. 427) … it </w:t>
      </w:r>
      <w:r w:rsidRPr="000131FD">
        <w:rPr>
          <w:rStyle w:val="StyleUnderline"/>
        </w:rPr>
        <w:t>would be unfortunate if ‘an erroneous impression [were] created on the basis of insufficient evidence that there is no shortage of scientists and engineers</w:t>
      </w:r>
      <w:r>
        <w:t>—</w:t>
      </w:r>
      <w:r w:rsidRPr="000131FD">
        <w:rPr>
          <w:rStyle w:val="StyleUnderline"/>
        </w:rPr>
        <w:t>a premise which</w:t>
      </w:r>
      <w:r>
        <w:t xml:space="preserve">, in my judgment, </w:t>
      </w:r>
      <w:r w:rsidRPr="000131FD">
        <w:rPr>
          <w:rStyle w:val="StyleUnderline"/>
        </w:rPr>
        <w:t>would be injurious to the best economic and defense interests of the United States’</w:t>
      </w:r>
      <w:r>
        <w:t xml:space="preserve">. [Comments by A. T. Waterman, first director of the NSF, made in response to the publication of Blank and Stigler's (1957) book which disputed the existence of science and engineering shortages, cited in England (1982, p. 405)] Despite this evident need for sound data on the STEM workforce, </w:t>
      </w:r>
      <w:r w:rsidRPr="00FB603B">
        <w:rPr>
          <w:rStyle w:val="StyleUnderline"/>
        </w:rPr>
        <w:t>there are no specific sources of data on occupational shortage</w:t>
      </w:r>
      <w:r>
        <w:t>s (Veneri, 1999) and instead analysts have adopted three main approaches to estimating the supply and demand of scientists and engineers: demand forecasting, wage differentials and employer estimates. The advantages and disadvantages of each are considered in turn below.</w:t>
      </w:r>
    </w:p>
    <w:p w:rsidR="00C12070" w:rsidRDefault="00C12070" w:rsidP="00C12070"/>
    <w:p w:rsidR="00C12070" w:rsidRDefault="00C12070" w:rsidP="00C12070">
      <w:pPr>
        <w:pStyle w:val="Heading4"/>
      </w:pPr>
      <w:r>
        <w:t>No evidence of workforce shortage- data is poor quality and is specific to specialist areas not to a general STEM shortage</w:t>
      </w:r>
    </w:p>
    <w:p w:rsidR="00C12070" w:rsidRPr="003351C9" w:rsidRDefault="00C12070" w:rsidP="00C12070">
      <w:r>
        <w:rPr>
          <w:rStyle w:val="Style13ptBold"/>
        </w:rPr>
        <w:t xml:space="preserve">Smith 17 – </w:t>
      </w:r>
      <w:r w:rsidRPr="005A75A9">
        <w:t>professor of Education and Social justice at the University of Leicester</w:t>
      </w:r>
      <w:r>
        <w:t xml:space="preserve"> ( Emma |</w:t>
      </w:r>
      <w:r w:rsidRPr="005A75A9">
        <w:t xml:space="preserve"> British Educational Research Association</w:t>
      </w:r>
      <w:r>
        <w:t>, “</w:t>
      </w:r>
      <w:r w:rsidRPr="003351C9">
        <w:t>Shortage or surplus? A long-term perspective on the supply of scientists and engineers in the USA and the UK</w:t>
      </w:r>
      <w:r>
        <w:t xml:space="preserve">” | </w:t>
      </w:r>
      <w:r w:rsidRPr="003351C9">
        <w:t>http://onlinelibrary.wiley.com/doi/10.1002/rev3.3091/full|</w:t>
      </w:r>
      <w:r>
        <w:t xml:space="preserve"> January 24, 2017| DOA: 7/19/17| KG)</w:t>
      </w:r>
    </w:p>
    <w:p w:rsidR="00C12070" w:rsidRDefault="00C12070" w:rsidP="00C12070">
      <w:pPr>
        <w:rPr>
          <w:rStyle w:val="StyleUnderline"/>
          <w:sz w:val="32"/>
        </w:rPr>
      </w:pPr>
      <w:r>
        <w:t xml:space="preserve">So what can we conclude from this discussion of the wider historical context of the science and engineering shortage debate? As summarised above, although </w:t>
      </w:r>
      <w:r w:rsidRPr="00FE1E7C">
        <w:rPr>
          <w:rStyle w:val="StyleUnderline"/>
        </w:rPr>
        <w:t>the shortage debate</w:t>
      </w:r>
      <w:r>
        <w:t xml:space="preserve"> has a long history, it is one that </w:t>
      </w:r>
      <w:r w:rsidRPr="00FE1E7C">
        <w:rPr>
          <w:rStyle w:val="StyleUnderline"/>
        </w:rPr>
        <w:t>is characterised</w:t>
      </w:r>
      <w:r>
        <w:t xml:space="preserve"> </w:t>
      </w:r>
      <w:r w:rsidRPr="00FE1E7C">
        <w:rPr>
          <w:rStyle w:val="StyleUnderline"/>
        </w:rPr>
        <w:t>by poor quality data, methodological and conceptual challenge</w:t>
      </w:r>
      <w:r>
        <w:t xml:space="preserve">s, but this is a debate that continues in the UK and the USA, as well as in many other countries (e.g. Gago et al., 2004; Shah &amp; Burke, 2003), where </w:t>
      </w:r>
      <w:r w:rsidRPr="00FE1E7C">
        <w:rPr>
          <w:rStyle w:val="StyleUnderline"/>
        </w:rPr>
        <w:t>concerns about the relative decline of science and engineering in their respective nations have tended to follow the same trajectories of ‘</w:t>
      </w:r>
      <w:r w:rsidRPr="00602805">
        <w:rPr>
          <w:rStyle w:val="Emphasis"/>
        </w:rPr>
        <w:t>alarm, boom and bust’</w:t>
      </w:r>
      <w:r>
        <w:t xml:space="preserve"> (Teitelbaum, 2014) described here. </w:t>
      </w:r>
      <w:r w:rsidRPr="00602805">
        <w:rPr>
          <w:rStyle w:val="StyleUnderline"/>
        </w:rPr>
        <w:t>Seven decades of a purported shortage crisi</w:t>
      </w:r>
      <w:r>
        <w:t xml:space="preserve">s </w:t>
      </w:r>
      <w:r w:rsidRPr="00602805">
        <w:rPr>
          <w:rStyle w:val="StyleUnderline"/>
        </w:rPr>
        <w:t>have resulted in repeated calls for action from influential national figures to increase the flow</w:t>
      </w:r>
      <w:r>
        <w:t xml:space="preserve"> of, usually, graduates into science and engineering fields, </w:t>
      </w:r>
      <w:r w:rsidRPr="00602805">
        <w:rPr>
          <w:rStyle w:val="StyleUnderline"/>
        </w:rPr>
        <w:t>but the evidence</w:t>
      </w:r>
      <w:r>
        <w:t xml:space="preserve"> presented in this paper </w:t>
      </w:r>
      <w:r w:rsidRPr="00602805">
        <w:rPr>
          <w:rStyle w:val="StyleUnderline"/>
        </w:rPr>
        <w:t>suggests</w:t>
      </w:r>
      <w:r>
        <w:t xml:space="preserve"> </w:t>
      </w:r>
      <w:r w:rsidRPr="00602805">
        <w:rPr>
          <w:rStyle w:val="StyleUnderline"/>
        </w:rPr>
        <w:t xml:space="preserve">that while there may have been short-lived shortfalls in specialist areas </w:t>
      </w:r>
      <w:r>
        <w:t xml:space="preserve">(such as within the energy industry), </w:t>
      </w:r>
      <w:r w:rsidRPr="00602805">
        <w:rPr>
          <w:rStyle w:val="StyleUnderline"/>
        </w:rPr>
        <w:t>there is no evidence in support of widespread and far reaching shortages as the rhetoric claims</w:t>
      </w:r>
      <w:r>
        <w:t xml:space="preserve">, </w:t>
      </w:r>
      <w:r w:rsidRPr="00602805">
        <w:rPr>
          <w:rStyle w:val="StyleUnderline"/>
        </w:rPr>
        <w:t>and little to indicate that if there were any shortages that they have been sustained and far reaching</w:t>
      </w:r>
      <w:r>
        <w:t xml:space="preserve"> (see also Weinstein, 2002). So why has this myth persisted for so long and with such potentially destabilising consequences for the sector? One of the answers lies in conflicting views of how the labour market operates and in particular how the term shortage is interpreted, whether it be a shortfall in numerical supply (i.e. enough people to do a job) or related to an employer's requirement for lower cost employees. These </w:t>
      </w:r>
      <w:r w:rsidRPr="00602805">
        <w:rPr>
          <w:rStyle w:val="StyleUnderline"/>
        </w:rPr>
        <w:t>different conceptions of what constitutes a shortage have been central to many of the claims and counterclaims that have come to characterise this debate, but there are other reasons as well</w:t>
      </w:r>
      <w:r w:rsidRPr="00602805">
        <w:t xml:space="preserve">. Many of these are related to the </w:t>
      </w:r>
      <w:r w:rsidRPr="00602805">
        <w:rPr>
          <w:rStyle w:val="StyleUnderline"/>
        </w:rPr>
        <w:t>often inadequately explained methods used to gather and interpret data on workforce supply and demand</w:t>
      </w:r>
      <w:r w:rsidRPr="00602805">
        <w:t>. Such a</w:t>
      </w:r>
      <w:r w:rsidRPr="00602805">
        <w:rPr>
          <w:rStyle w:val="StyleUnderline"/>
        </w:rPr>
        <w:t>nalysis is not straightforward and difficulties with definitions and data have been central to shortage controversies</w:t>
      </w:r>
      <w:r>
        <w:t xml:space="preserve"> in other areas such as the medical and the teaching profession. As this paper has shown, the use of different and often </w:t>
      </w:r>
      <w:r w:rsidRPr="00602805">
        <w:rPr>
          <w:rStyle w:val="StyleUnderline"/>
        </w:rPr>
        <w:t>inadequate definitions of occupations and qualifications have often been combined with confusion over the relationship between the two</w:t>
      </w:r>
      <w:r>
        <w:t>. There has also been an over-reliance on techniques that involve projecting past trends to the future and an uncritical acceptance of employer estimates of future shortages. All these problems have resulted seventy years on in there being still no widely accepted way of compiling reliable data on workforce supply and demand.</w:t>
      </w:r>
      <w:r>
        <w:rPr>
          <w:rStyle w:val="StyleUnderline"/>
          <w:sz w:val="32"/>
        </w:rPr>
        <w:t xml:space="preserve"> </w:t>
      </w:r>
    </w:p>
    <w:p w:rsidR="00C12070" w:rsidRPr="00A31F54" w:rsidRDefault="00C12070" w:rsidP="00C12070">
      <w:pPr>
        <w:pStyle w:val="Heading3"/>
        <w:rPr>
          <w:rStyle w:val="StyleUnderline"/>
          <w:sz w:val="32"/>
        </w:rPr>
      </w:pPr>
      <w:r>
        <w:rPr>
          <w:rStyle w:val="StyleUnderline"/>
          <w:sz w:val="32"/>
        </w:rPr>
        <w:t xml:space="preserve">1NC Alt Causes </w:t>
      </w:r>
    </w:p>
    <w:p w:rsidR="00C12070" w:rsidRDefault="00C12070" w:rsidP="00C12070">
      <w:pPr>
        <w:pStyle w:val="Heading4"/>
        <w:rPr>
          <w:rStyle w:val="StyleUnderline"/>
        </w:rPr>
      </w:pPr>
      <w:r>
        <w:rPr>
          <w:rStyle w:val="StyleUnderline"/>
        </w:rPr>
        <w:t>Alt Causes- businesses necessary to solve workforce shortage</w:t>
      </w:r>
    </w:p>
    <w:p w:rsidR="00C12070" w:rsidRPr="00B965B7" w:rsidRDefault="00C12070" w:rsidP="00C12070">
      <w:r w:rsidRPr="004D7B44">
        <w:rPr>
          <w:rStyle w:val="Style13ptBold"/>
        </w:rPr>
        <w:t>Zadelhoff</w:t>
      </w:r>
      <w:r>
        <w:rPr>
          <w:rStyle w:val="Style13ptBold"/>
        </w:rPr>
        <w:t xml:space="preserve"> 17</w:t>
      </w:r>
      <w:r w:rsidRPr="00B965B7">
        <w:t>- Is the General Manager of IBM Security. Marc previously served as VP, Worldwide Strategy and Product Management for IBM Security</w:t>
      </w:r>
      <w:r>
        <w:t xml:space="preserve"> (</w:t>
      </w:r>
      <w:r w:rsidRPr="00B965B7">
        <w:t>Marc van</w:t>
      </w:r>
      <w:r>
        <w:t xml:space="preserve"> |  Harvard Business Review, “</w:t>
      </w:r>
      <w:r w:rsidRPr="00B965B7">
        <w:t>Cybersecurity Has a Serious Talent Shortage. Here’s How to Fix It</w:t>
      </w:r>
      <w:r>
        <w:t xml:space="preserve">” | </w:t>
      </w:r>
      <w:r w:rsidRPr="00B965B7">
        <w:t>https://hbr.org/2017/05/cybersecurity-has-a-serious-talent-shortage-heres-how-to-fix-it|</w:t>
      </w:r>
      <w:r>
        <w:t xml:space="preserve"> May 4, 2017| DOA: 7/16/17| KG)</w:t>
      </w:r>
    </w:p>
    <w:p w:rsidR="00C12070" w:rsidRDefault="00C12070" w:rsidP="00C12070">
      <w:pPr>
        <w:rPr>
          <w:rStyle w:val="StyleUnderline"/>
        </w:rPr>
      </w:pPr>
      <w:r w:rsidRPr="0065552E">
        <w:rPr>
          <w:rStyle w:val="StyleUnderline"/>
        </w:rPr>
        <w:t>One of the big reasons is that security businesses tend to look for people with traditional technology credentials</w:t>
      </w:r>
      <w:r w:rsidRPr="0065552E">
        <w:t xml:space="preserve"> — college degrees in tech fields, for example. But security is truly everyone’s problem; virtually every aspect of personal and professional data is at risk. So </w:t>
      </w:r>
      <w:r w:rsidRPr="0065552E">
        <w:rPr>
          <w:rStyle w:val="StyleUnderline"/>
        </w:rPr>
        <w:t>why are we limiting security positions to people with four-year degrees in computer science, when we desperately need varied skills</w:t>
      </w:r>
      <w:r w:rsidRPr="0065552E">
        <w:t xml:space="preserve"> </w:t>
      </w:r>
      <w:r w:rsidRPr="0065552E">
        <w:rPr>
          <w:rStyle w:val="StyleUnderline"/>
        </w:rPr>
        <w:t>across so many different industries?</w:t>
      </w:r>
      <w:r w:rsidRPr="0065552E">
        <w:t xml:space="preserve"> </w:t>
      </w:r>
      <w:r w:rsidRPr="0065552E">
        <w:rPr>
          <w:rStyle w:val="StyleUnderline"/>
        </w:rPr>
        <w:t>Businesses should open themselves up to applicants whose nontraditional backgrounds</w:t>
      </w:r>
      <w:r w:rsidRPr="0065552E">
        <w:t xml:space="preserve"> </w:t>
      </w:r>
      <w:r w:rsidRPr="0065552E">
        <w:rPr>
          <w:rStyle w:val="StyleUnderline"/>
        </w:rPr>
        <w:t>mean they could bring new ideas to the position and the challenge of improving cybersecurity</w:t>
      </w:r>
      <w:r w:rsidRPr="0065552E">
        <w:t>.</w:t>
      </w:r>
      <w:r>
        <w:t xml:space="preserve"> </w:t>
      </w:r>
      <w:r w:rsidRPr="0065552E">
        <w:rPr>
          <w:rStyle w:val="StyleUnderline"/>
        </w:rPr>
        <w:t>Other</w:t>
      </w:r>
      <w:r>
        <w:t xml:space="preserve"> burgeoning </w:t>
      </w:r>
      <w:r w:rsidRPr="0065552E">
        <w:rPr>
          <w:rStyle w:val="StyleUnderline"/>
        </w:rPr>
        <w:t>industries</w:t>
      </w:r>
      <w:r>
        <w:t xml:space="preserve"> </w:t>
      </w:r>
      <w:r w:rsidRPr="0065552E">
        <w:rPr>
          <w:rStyle w:val="StyleUnderline"/>
        </w:rPr>
        <w:t xml:space="preserve">have been in similar positions </w:t>
      </w:r>
      <w:r>
        <w:t xml:space="preserve">throughout history. In 1951 </w:t>
      </w:r>
      <w:r w:rsidRPr="0065552E">
        <w:rPr>
          <w:rStyle w:val="StyleUnderline"/>
        </w:rPr>
        <w:t>the U.S. accounting industry was poised for growth but was predominantly male,</w:t>
      </w:r>
      <w:r>
        <w:t xml:space="preserve"> with only 500 female certified public accountants in the country. </w:t>
      </w:r>
      <w:r w:rsidRPr="0065552E">
        <w:rPr>
          <w:rStyle w:val="StyleUnderline"/>
        </w:rPr>
        <w:t>After recognizing the problem, leaders</w:t>
      </w:r>
      <w:r>
        <w:t xml:space="preserve"> across the accounting field </w:t>
      </w:r>
      <w:r w:rsidRPr="0065552E">
        <w:t>t</w:t>
      </w:r>
      <w:r w:rsidRPr="0065552E">
        <w:rPr>
          <w:rStyle w:val="StyleUnderline"/>
        </w:rPr>
        <w:t>eamed with industry associations</w:t>
      </w:r>
      <w:r>
        <w:t xml:space="preserve"> </w:t>
      </w:r>
      <w:r w:rsidRPr="0065552E">
        <w:rPr>
          <w:rStyle w:val="StyleUnderline"/>
        </w:rPr>
        <w:t>and academic institutions to solve the issue through awareness campaigns and hiring initiatives</w:t>
      </w:r>
      <w:r>
        <w:t xml:space="preserve">. Today there are over 800,000 female CPAs in the U.S. Security businesses need to follow this example, taking a hard look at themselves to see what’s holding them back. There are no signs that the bad guys are limiting their talent pool — and cybercrime is now a $445 billion business. The average company handles a bombardment of 200,000 security events per day. </w:t>
      </w:r>
      <w:r w:rsidRPr="0065552E">
        <w:rPr>
          <w:rStyle w:val="StyleUnderline"/>
        </w:rPr>
        <w:t>Cybercriminals are becoming increasingly more organized and aggressive</w:t>
      </w:r>
      <w:r>
        <w:t>, while the teams defending against the</w:t>
      </w:r>
      <w:r w:rsidRPr="004D7B44">
        <w:rPr>
          <w:rStyle w:val="StyleUnderline"/>
        </w:rPr>
        <w:t>s</w:t>
      </w:r>
      <w:r>
        <w:t xml:space="preserve">e attacks are struggling to fill their ranks. One way </w:t>
      </w:r>
      <w:r w:rsidRPr="0065552E">
        <w:rPr>
          <w:rStyle w:val="StyleUnderline"/>
        </w:rPr>
        <w:t>IBM</w:t>
      </w:r>
      <w:r>
        <w:t xml:space="preserve"> </w:t>
      </w:r>
      <w:r w:rsidRPr="0065552E">
        <w:rPr>
          <w:rStyle w:val="StyleUnderline"/>
        </w:rPr>
        <w:t>is addressing the talent shortage is by creating “new collar” jobs</w:t>
      </w:r>
      <w:r>
        <w:t xml:space="preserve">, particularly in cybersecurity. </w:t>
      </w:r>
      <w:r w:rsidRPr="0065552E">
        <w:rPr>
          <w:rStyle w:val="StyleUnderline"/>
        </w:rPr>
        <w:t>These roles prioritize skills, knowledge, and willingness to learn over degrees</w:t>
      </w:r>
      <w:r>
        <w:t xml:space="preserve"> and the career fields that gave people their initial work experience. </w:t>
      </w:r>
      <w:r w:rsidRPr="0065552E">
        <w:rPr>
          <w:rStyle w:val="StyleUnderline"/>
        </w:rPr>
        <w:t>Some characteristics of a successful cybersecurity professional simply can’t be taught in a classroom</w:t>
      </w:r>
      <w:r>
        <w:t xml:space="preserve">: unbridled curiosity, passion for problem solving, strong ethics, and an understanding of risks. People with these traits can quickly pick up the technical skills through on-the-job training, industry certifications, community college courses, and modern vocational and skills education programs. </w:t>
      </w:r>
      <w:r w:rsidRPr="0065552E">
        <w:rPr>
          <w:rStyle w:val="StyleUnderline"/>
        </w:rPr>
        <w:t>We began using this approach about two years ago, and its success has been clear: 20% of our U.S. hiring in cybersecurity since 2015 has consisted of new collar professionals</w:t>
      </w:r>
      <w:r>
        <w:t xml:space="preserve">. Other organizations can use a similar approach by establishing apprenticeship opportunities, emphasizing certification programs, exploring new education models, supporting programs at community colleges or polytechnic schools, and looking for talent in new places. </w:t>
      </w:r>
      <w:r w:rsidRPr="0065552E">
        <w:rPr>
          <w:rStyle w:val="StyleUnderline"/>
        </w:rPr>
        <w:t>Some of our recent additions to the security team came from unexpected career fields such as retail, education, entertainment, and law</w:t>
      </w:r>
      <w:r>
        <w:t xml:space="preserve">. The two things they all had in common? </w:t>
      </w:r>
      <w:r w:rsidRPr="0065552E">
        <w:rPr>
          <w:rStyle w:val="StyleUnderline"/>
        </w:rPr>
        <w:t>They were curious about security and motivated to learn the skills.</w:t>
      </w:r>
      <w:r>
        <w:rPr>
          <w:rStyle w:val="StyleUnderline"/>
        </w:rPr>
        <w:t xml:space="preserve"> </w:t>
      </w:r>
      <w:r>
        <w:t xml:space="preserve">Building a pool of talent to fill these </w:t>
      </w:r>
      <w:r w:rsidRPr="004D7B44">
        <w:rPr>
          <w:rStyle w:val="StyleUnderline"/>
        </w:rPr>
        <w:t>new collar jobs is also an important part of the equation</w:t>
      </w:r>
      <w:r>
        <w:t xml:space="preserve">. A great example of this is the </w:t>
      </w:r>
      <w:r w:rsidRPr="004D7B44">
        <w:rPr>
          <w:rStyle w:val="StyleUnderline"/>
        </w:rPr>
        <w:t>P-TECH</w:t>
      </w:r>
      <w:r>
        <w:t xml:space="preserve"> educational model (Pathways in Technology Early College High School), which </w:t>
      </w:r>
      <w:r w:rsidRPr="004D7B44">
        <w:rPr>
          <w:rStyle w:val="StyleUnderline"/>
        </w:rPr>
        <w:t>provides</w:t>
      </w:r>
      <w:r>
        <w:t xml:space="preserve"> a training avenue for students to jumpstart their careers in cybersecurity. </w:t>
      </w:r>
      <w:r w:rsidRPr="004D7B44">
        <w:rPr>
          <w:rStyle w:val="StyleUnderline"/>
        </w:rPr>
        <w:t>Public high school and college students in grades 9-14 get hands-on experience with the most sought-after technical skills</w:t>
      </w:r>
      <w:r>
        <w:t xml:space="preserve">. By combining specific elements of high school curricula, community college courses, hands-on skills training, and professional mentoring, these students are primed for successful entry into highly technical career fields. The P-TECH model has expanded to over 50 U.S. schools and 300 industry partners, with the goal of expanding to 80+ schools in 2017. </w:t>
      </w:r>
      <w:r w:rsidRPr="004D7B44">
        <w:t xml:space="preserve">Of course, cutting-edge technology is going to be at the center of these new collar jobs. </w:t>
      </w:r>
      <w:r w:rsidRPr="004D7B44">
        <w:rPr>
          <w:rStyle w:val="StyleUnderline"/>
        </w:rPr>
        <w:t>Artificial intelligence</w:t>
      </w:r>
      <w:r w:rsidRPr="004D7B44">
        <w:t xml:space="preserve">, for example, is being used in the workplace in a wide range of ways, and in cybersecurity it </w:t>
      </w:r>
      <w:r w:rsidRPr="004D7B44">
        <w:rPr>
          <w:rStyle w:val="StyleUnderline"/>
        </w:rPr>
        <w:t>is already creating opportunities for new collar positions</w:t>
      </w:r>
      <w:r w:rsidRPr="004D7B44">
        <w:t xml:space="preserve">. </w:t>
      </w:r>
      <w:r w:rsidRPr="004D7B44">
        <w:rPr>
          <w:rStyle w:val="StyleUnderline"/>
        </w:rPr>
        <w:t>AI</w:t>
      </w:r>
      <w:r w:rsidRPr="004D7B44">
        <w:t xml:space="preserve"> not only </w:t>
      </w:r>
      <w:r w:rsidRPr="004D7B44">
        <w:rPr>
          <w:rStyle w:val="StyleUnderline"/>
        </w:rPr>
        <w:t>provides a way to help overcome the skills shortage, but is also an important step forward in the way employees will work and companies will defend themselves</w:t>
      </w:r>
      <w:r w:rsidRPr="004D7B44">
        <w:t xml:space="preserve">. We’ve found that </w:t>
      </w:r>
      <w:r w:rsidRPr="004D7B44">
        <w:rPr>
          <w:rStyle w:val="StyleUnderline"/>
        </w:rPr>
        <w:t>by using AI to gather and correlate the insights from the 60,000 security-related blog posts each month</w:t>
      </w:r>
      <w:r w:rsidRPr="004D7B44">
        <w:t xml:space="preserve">, security </w:t>
      </w:r>
      <w:r w:rsidRPr="004D7B44">
        <w:rPr>
          <w:rStyle w:val="StyleUnderline"/>
        </w:rPr>
        <w:t xml:space="preserve">professionals can digest the relevant information </w:t>
      </w:r>
      <w:r w:rsidRPr="004D7B44">
        <w:t xml:space="preserve">much </w:t>
      </w:r>
      <w:r w:rsidRPr="004D7B44">
        <w:rPr>
          <w:rStyle w:val="StyleUnderline"/>
        </w:rPr>
        <w:t>more</w:t>
      </w:r>
      <w:r w:rsidRPr="004D7B44">
        <w:t xml:space="preserve"> efficiently, </w:t>
      </w:r>
      <w:r w:rsidRPr="004D7B44">
        <w:rPr>
          <w:rStyle w:val="StyleUnderline"/>
        </w:rPr>
        <w:t>allowing</w:t>
      </w:r>
      <w:r w:rsidRPr="004D7B44">
        <w:t xml:space="preserve"> </w:t>
      </w:r>
      <w:r w:rsidRPr="004D7B44">
        <w:rPr>
          <w:rStyle w:val="StyleUnderline"/>
        </w:rPr>
        <w:t>organizations to upskill their employee base</w:t>
      </w:r>
      <w:r w:rsidRPr="004D7B44">
        <w:t>. Companies are already using Watson for Cyber Security to connect obscure data points humans can’t possibly identify on their own, enabling employees to find security threats 60x faster than manual investigations.</w:t>
      </w:r>
      <w:r>
        <w:t xml:space="preserve"> </w:t>
      </w:r>
      <w:r w:rsidRPr="0065552E">
        <w:rPr>
          <w:rStyle w:val="StyleUnderline"/>
        </w:rPr>
        <w:t>Companies</w:t>
      </w:r>
      <w:r>
        <w:t xml:space="preserve"> that are interested in using a new collar approach to fill security positions </w:t>
      </w:r>
      <w:r w:rsidRPr="0065552E">
        <w:rPr>
          <w:rStyle w:val="StyleUnderline"/>
        </w:rPr>
        <w:t>should</w:t>
      </w:r>
      <w:r>
        <w:t xml:space="preserve"> </w:t>
      </w:r>
      <w:r w:rsidRPr="0065552E">
        <w:rPr>
          <w:rStyle w:val="StyleUnderline"/>
        </w:rPr>
        <w:t>conside</w:t>
      </w:r>
      <w:r>
        <w:t xml:space="preserve">r the following: </w:t>
      </w:r>
      <w:r w:rsidRPr="0065552E">
        <w:rPr>
          <w:rStyle w:val="StyleUnderline"/>
        </w:rPr>
        <w:t>Re-examine your workforce strategy</w:t>
      </w:r>
      <w:r>
        <w:t xml:space="preserve">: Do you know what skills you need today and tomorrow to run a successful security program? Realize that skills and experience can come from a variety of places, and adjust your hiring efforts accordingly. </w:t>
      </w:r>
      <w:r w:rsidRPr="0065552E">
        <w:rPr>
          <w:rStyle w:val="StyleUnderline"/>
        </w:rPr>
        <w:t>Improve</w:t>
      </w:r>
      <w:r>
        <w:t xml:space="preserve"> your </w:t>
      </w:r>
      <w:r w:rsidRPr="0065552E">
        <w:t>en</w:t>
      </w:r>
      <w:r w:rsidRPr="0065552E">
        <w:rPr>
          <w:rStyle w:val="StyleUnderline"/>
        </w:rPr>
        <w:t>gagement and outreach</w:t>
      </w:r>
      <w:r>
        <w:t xml:space="preserve">: Don’t limit yourself to the same old career fairs and recruiting programs of yesteryear. Get involved in community colleges, P-TECH schools, and other educational programs to start building your recruiting base. </w:t>
      </w:r>
      <w:r w:rsidRPr="0065552E">
        <w:rPr>
          <w:rStyle w:val="StyleUnderline"/>
        </w:rPr>
        <w:t>Build a local cybersecurity ecosystem</w:t>
      </w:r>
      <w:r>
        <w:t xml:space="preserve">: Connect with government organizations, educational institutions, and other groups. Sponsor Capture the Flag security events, and work with local middle and high schools to generate interest in the field. These groups are always looking for willing experts and mentors. </w:t>
      </w:r>
      <w:r w:rsidRPr="0065552E">
        <w:rPr>
          <w:rStyle w:val="StyleUnderline"/>
        </w:rPr>
        <w:t>Have a robust support program for new hires</w:t>
      </w:r>
      <w:r>
        <w:t xml:space="preserve">: Mentorships, rotational assignments, shadowing, and other opportunities help new cybersecurity hires gain experience and learn. Remember, not everyone knows what they want to do right away. Keep new hires engaged by giving them the creative freedom to work on different projects and explore new technologies and services. </w:t>
      </w:r>
      <w:r w:rsidRPr="00D80AAB">
        <w:rPr>
          <w:rStyle w:val="StyleUnderline"/>
        </w:rPr>
        <w:t>Focus on continuous learning and upskilling</w:t>
      </w:r>
      <w:r>
        <w:t xml:space="preserve">: To retain your new talent, keep employees current on the latest skill sets through classes, certifications, and conferences. Cybersecurity is a highly dynamic field, requiring ongoing education and exploration. And be open to employees from other areas of your business who express interest in cybersecurity career paths. Remember that AI provides employees with more intelligence and contextual recommendations at a speed and scale previously unimagined, so upskilling your workforce is a completely different ballgame these days. </w:t>
      </w:r>
      <w:r w:rsidRPr="00D80AAB">
        <w:rPr>
          <w:rStyle w:val="StyleUnderline"/>
        </w:rPr>
        <w:t>Cybersecurity is a complex career field with extraordinarily challenging problems, but with a diverse pool of experiences and ideas, we stand a much greater chance of successfully defending our assets.</w:t>
      </w:r>
    </w:p>
    <w:p w:rsidR="00C12070" w:rsidRPr="00A31F54" w:rsidRDefault="00C12070" w:rsidP="00C12070">
      <w:pPr>
        <w:pStyle w:val="Heading3"/>
        <w:rPr>
          <w:rStyle w:val="StyleUnderline"/>
          <w:sz w:val="32"/>
        </w:rPr>
      </w:pPr>
      <w:r>
        <w:rPr>
          <w:rStyle w:val="StyleUnderline"/>
          <w:sz w:val="32"/>
        </w:rPr>
        <w:t xml:space="preserve">1NC No Solvency </w:t>
      </w:r>
    </w:p>
    <w:p w:rsidR="00C12070" w:rsidRDefault="00C12070" w:rsidP="00C12070">
      <w:pPr>
        <w:pStyle w:val="Heading4"/>
      </w:pPr>
      <w:r>
        <w:t>No link between increases in STEM education and a larger workforce- empirics prove</w:t>
      </w:r>
    </w:p>
    <w:p w:rsidR="00C12070" w:rsidRPr="003351C9" w:rsidRDefault="00C12070" w:rsidP="00C12070">
      <w:r>
        <w:rPr>
          <w:rStyle w:val="Style13ptBold"/>
        </w:rPr>
        <w:t xml:space="preserve">Smith 17 – </w:t>
      </w:r>
      <w:r w:rsidRPr="005A75A9">
        <w:t>professor of Education and Social justice at the University of Leicester</w:t>
      </w:r>
      <w:r>
        <w:t xml:space="preserve"> ( Emma |</w:t>
      </w:r>
      <w:r w:rsidRPr="005A75A9">
        <w:t xml:space="preserve"> British Educational Research Association</w:t>
      </w:r>
      <w:r>
        <w:t>, “</w:t>
      </w:r>
      <w:r w:rsidRPr="003351C9">
        <w:t>Shortage or surplus? A long-term perspective on the supply of scientists and engineers in the USA and the UK</w:t>
      </w:r>
      <w:r>
        <w:t xml:space="preserve">” | </w:t>
      </w:r>
      <w:r w:rsidRPr="003351C9">
        <w:t>http://onlinelibrary.wiley.com/doi/10.1002/rev3.3091/full|</w:t>
      </w:r>
      <w:r>
        <w:t xml:space="preserve"> January 24, 2017| DOA: 7/19/17| KG)</w:t>
      </w:r>
    </w:p>
    <w:p w:rsidR="00C12070" w:rsidRDefault="00C12070" w:rsidP="00C12070">
      <w:r>
        <w:t xml:space="preserve">These concerns, frequently reiterated by employer organisations, are reflected in the range and scope of initiatives, </w:t>
      </w:r>
      <w:r w:rsidRPr="00175C43">
        <w:rPr>
          <w:rStyle w:val="StyleUnderline"/>
        </w:rPr>
        <w:t>policies and reports that have been aimed at increasing young people's participation in STEM subjects</w:t>
      </w:r>
      <w:r>
        <w:t>, particularly at post-compulsory levels. For example, in the UK a single month in 2016 saw the publication of two major reports into the employability of STEM graduates: The Wakeham Review of STEM Degree Provision and Graduate Employability (Wakeham Review, 2016) and The Shadbolt Review of Computer Sciences Degree Accreditation and Graduate Employability (Shadbolt Review, 2016). Both closely follow the extensive Perkins Review of Engineering Skills (BIS, 2013) in emphasising the economic imperative of a strong and globally competitive STEM sector while at the same time reiterating similar shortcomings in the supply and skills of the STEM workforce</w:t>
      </w:r>
      <w:r w:rsidRPr="00175C43">
        <w:rPr>
          <w:rStyle w:val="StyleUnderline"/>
        </w:rPr>
        <w:t>. The recommendations coming from these reports and numerous others tend to focus on engaging more young people</w:t>
      </w:r>
      <w:r>
        <w:t>, in particular, t</w:t>
      </w:r>
      <w:r w:rsidRPr="00175C43">
        <w:rPr>
          <w:rStyle w:val="StyleUnderline"/>
        </w:rPr>
        <w:t>hose from under-represented groups, in STEM subjects</w:t>
      </w:r>
      <w:r>
        <w:t xml:space="preserve">. </w:t>
      </w:r>
      <w:r w:rsidRPr="00175C43">
        <w:t>However science has been a compulsory part of the national curriculum</w:t>
      </w:r>
      <w:r>
        <w:t xml:space="preserve"> in England and Wales since 1989 and all students have been expected to spend a significant proportion (for many around 20%) of their time studying science from ages 14 to 16. </w:t>
      </w:r>
      <w:r w:rsidRPr="00175C43">
        <w:rPr>
          <w:rStyle w:val="StyleUnderline"/>
        </w:rPr>
        <w:t>Yet the proportion of students studying STEM subjects (e.g. biology, chemistry, physics, mathematics and engineering) at university has remained remarkably stable since the late 1980s</w:t>
      </w:r>
      <w:r>
        <w:t xml:space="preserve">, </w:t>
      </w:r>
      <w:r w:rsidRPr="00175C43">
        <w:rPr>
          <w:rStyle w:val="StyleUnderline"/>
        </w:rPr>
        <w:t>despite a four-fold increase in the number of university entrants</w:t>
      </w:r>
      <w:r>
        <w:t xml:space="preserve"> (Smith &amp; Gorard, 2011). This suggests that </w:t>
      </w:r>
      <w:r w:rsidRPr="00175C43">
        <w:rPr>
          <w:rStyle w:val="StyleUnderline"/>
        </w:rPr>
        <w:t>compulsory school science has had little impact on the throughput of students studying the subject at university level and, subsequently, on the number of graduates who would be available to undertake highly skilled work in the sector.</w:t>
      </w:r>
      <w:r>
        <w:t xml:space="preserve"> Nevertheless, policy makers are now promoting single subject science teaching and the number studying for separate (rather than the previous combined) qualifications in chemistry, physics and biology in England has doubled between 2007 and 2013 (Department for Education, 2015). This further broadening of the science curriculum has the explicit aim of increasing the number of young people studying science beyond the age of 16 (when the subject ceases to be compulsory) and, in turn, increasing the supply of scientists, engineers and technologists in the workforce (Fairbrother &amp; Dillon, 2009). </w:t>
      </w:r>
      <w:r w:rsidRPr="00175C43">
        <w:rPr>
          <w:rStyle w:val="StyleUnderline"/>
        </w:rPr>
        <w:t>In the USA</w:t>
      </w:r>
      <w:r>
        <w:t xml:space="preserve">, the challenge for school science is slightly different—here the concern is that there is too little curriculum focus on the subject. Science is one of four core subjects that are repeatedly tested in school but, unlike mathematics and reading, </w:t>
      </w:r>
      <w:r w:rsidRPr="00175C43">
        <w:rPr>
          <w:rStyle w:val="StyleUnderline"/>
        </w:rPr>
        <w:t xml:space="preserve">science is not reported as part of a school's accountability data. </w:t>
      </w:r>
      <w:r w:rsidRPr="00175C43">
        <w:t>According to some commentators, curriculum emphasis has switched to the subjects that do count in school accountability models and has resulted in a reduction in the time spent teaching science in school and in poor quality instruction (Blank, 2012; Marx &amp; Harris, 2006</w:t>
      </w:r>
      <w:r>
        <w:t xml:space="preserve">). However, </w:t>
      </w:r>
      <w:r w:rsidRPr="00175C43">
        <w:rPr>
          <w:rStyle w:val="StyleUnderline"/>
        </w:rPr>
        <w:t>concerns over the focus on ‘basic’ education to the apparent exclusion of science</w:t>
      </w:r>
      <w:r>
        <w:t xml:space="preserve"> (often not considered to be basic) </w:t>
      </w:r>
      <w:r w:rsidRPr="00175C43">
        <w:rPr>
          <w:rStyle w:val="StyleUnderline"/>
        </w:rPr>
        <w:t>have been a recurring theme in the development of science education policy in the country</w:t>
      </w:r>
      <w:r>
        <w:t xml:space="preserve">. The impetus behind programmes to promote science education, however, is not primarily a concern for the intrinsic value of learning science or the creation of a scientifically literate workforce. Initiatives to encourage participation in science and </w:t>
      </w:r>
      <w:r w:rsidRPr="00175C43">
        <w:rPr>
          <w:rStyle w:val="StyleUnderline"/>
        </w:rPr>
        <w:t>to increase the amount of science taught in school are frequently driven by the discourse of a skills shortage of STEM workers</w:t>
      </w:r>
      <w:r>
        <w:t xml:space="preserve"> and the purpose of this paper is to consider the strength of these shortage claims over the long term. One of the main destabilising effects of the shortage thesis on science education has been the frequent conflation of the apparent shortage problem to all levels of education. The remedy for which is </w:t>
      </w:r>
      <w:r w:rsidRPr="00175C43">
        <w:rPr>
          <w:rStyle w:val="StyleUnderline"/>
        </w:rPr>
        <w:t>to teach more science in schoo</w:t>
      </w:r>
      <w:r>
        <w:t xml:space="preserve">l, which, in time, </w:t>
      </w:r>
      <w:r w:rsidRPr="00175C43">
        <w:rPr>
          <w:rStyle w:val="StyleUnderline"/>
        </w:rPr>
        <w:t>is expected to translate to more highly skilled STEM workers</w:t>
      </w:r>
      <w:r>
        <w:t xml:space="preserve"> (e.g. National Academy of Sciences, 2010; US Congress Joint Economic Committee, 2012), </w:t>
      </w:r>
      <w:r w:rsidRPr="00175C43">
        <w:rPr>
          <w:rStyle w:val="StyleUnderline"/>
        </w:rPr>
        <w:t>but relatively few students</w:t>
      </w:r>
      <w:r>
        <w:t xml:space="preserve"> (and usually only the most able) </w:t>
      </w:r>
      <w:r w:rsidRPr="00175C43">
        <w:rPr>
          <w:rStyle w:val="StyleUnderline"/>
        </w:rPr>
        <w:t>continue to advanced study and subsequent careers in science and engineering</w:t>
      </w:r>
      <w:r>
        <w:t xml:space="preserve">. In the USA, for example, </w:t>
      </w:r>
      <w:r w:rsidRPr="00175C43">
        <w:rPr>
          <w:rStyle w:val="StyleUnderline"/>
        </w:rPr>
        <w:t>only about 5% of the workforce is in science and engineering related occupations</w:t>
      </w:r>
      <w:r>
        <w:t xml:space="preserve"> (Teitelbaum, 2014). </w:t>
      </w:r>
      <w:r w:rsidRPr="00175C43">
        <w:t>In England</w:t>
      </w:r>
      <w:r>
        <w:t xml:space="preserve"> this version of ‘science for all’ has meant that in order to address perceived workforce shortages in the IT industry (House of Commons, 2013), computer coding and programming will now be taught from age 5 because: ‘these are precisely the sort of skills which the jobs of the future—and, for that matter, the jobs of the present—demand’ (Gove, 2014). This, of course, is not to argue against the value of a scientific education. </w:t>
      </w:r>
      <w:r w:rsidRPr="00175C43">
        <w:rPr>
          <w:rStyle w:val="StyleUnderline"/>
        </w:rPr>
        <w:t>Exciting initiatives that promote more science for more students could be seen as an unequivocally positive development</w:t>
      </w:r>
      <w:r>
        <w:t xml:space="preserve">. Science in all of its forms is a fascinating and wonderful subject to study in and of itself, regardless of the need to rank highly in school accountability tables or to provide the next generation of highly skilled STEM workers. However </w:t>
      </w:r>
      <w:r w:rsidRPr="00175C43">
        <w:rPr>
          <w:rStyle w:val="StyleUnderline"/>
        </w:rPr>
        <w:t>there is undoubtedly a tension when shortage claims, and their subsequent impact on the wider school curriculum, are founded upon insufficient evidence and poor data</w:t>
      </w:r>
      <w:r>
        <w:t xml:space="preserve">. </w:t>
      </w:r>
    </w:p>
    <w:p w:rsidR="00C12070" w:rsidRDefault="00C12070" w:rsidP="00C12070"/>
    <w:p w:rsidR="00C12070" w:rsidRDefault="00C12070" w:rsidP="00C12070"/>
    <w:p w:rsidR="00C12070" w:rsidRDefault="00C12070" w:rsidP="00C12070">
      <w:pPr>
        <w:pStyle w:val="Heading4"/>
      </w:pPr>
      <w:r>
        <w:t>Increasing CTE education leads to unethical effects</w:t>
      </w:r>
    </w:p>
    <w:p w:rsidR="00C12070" w:rsidRPr="003351C9" w:rsidRDefault="00C12070" w:rsidP="00C12070">
      <w:pPr>
        <w:rPr>
          <w:rStyle w:val="Style13ptBold"/>
          <w:b w:val="0"/>
        </w:rPr>
      </w:pPr>
      <w:r>
        <w:rPr>
          <w:rStyle w:val="Style13ptBold"/>
        </w:rPr>
        <w:t xml:space="preserve">Smith 17 – </w:t>
      </w:r>
      <w:r w:rsidRPr="005A75A9">
        <w:t>professor of Education and Social justice at the University of Leicester</w:t>
      </w:r>
      <w:r>
        <w:t xml:space="preserve"> ( Emma |</w:t>
      </w:r>
      <w:r w:rsidRPr="005A75A9">
        <w:t xml:space="preserve"> British Educational Research Association</w:t>
      </w:r>
      <w:r>
        <w:t>, “</w:t>
      </w:r>
      <w:r w:rsidRPr="003351C9">
        <w:t>Shortage or surplus? A long-term perspective on the supply of scientists and engineers in the USA and the UK</w:t>
      </w:r>
      <w:r>
        <w:t xml:space="preserve">” | </w:t>
      </w:r>
      <w:r w:rsidRPr="003351C9">
        <w:t>http://onlinelibrary.wiley.com/doi/10.1002/rev3.3091/full|</w:t>
      </w:r>
      <w:r>
        <w:t xml:space="preserve"> January 24, 2017| DOA: 7/19/17| KG)</w:t>
      </w:r>
    </w:p>
    <w:p w:rsidR="00C12070" w:rsidRDefault="00C12070" w:rsidP="00C12070">
      <w:r>
        <w:t xml:space="preserve">Without wishing to stray into conspiracy theory, </w:t>
      </w:r>
      <w:r w:rsidRPr="00602805">
        <w:rPr>
          <w:rStyle w:val="StyleUnderline"/>
        </w:rPr>
        <w:t>maintaining accounts of a ‘crisis’ in the supply of STEM workers has usually been in the interests of industry</w:t>
      </w:r>
      <w:r>
        <w:t xml:space="preserve">, the education sector and government, as well as the lobby groups that represent them. </w:t>
      </w:r>
      <w:r w:rsidRPr="00602805">
        <w:rPr>
          <w:rStyle w:val="StyleUnderline"/>
        </w:rPr>
        <w:t>Concerns about a shortage have meant the allocation of significant additional resources to the sector who</w:t>
      </w:r>
      <w:r>
        <w:t xml:space="preserve">se representatives have, in turn, </w:t>
      </w:r>
      <w:r w:rsidRPr="00602805">
        <w:rPr>
          <w:rStyle w:val="StyleUnderline"/>
        </w:rPr>
        <w:t>become powerful voices in advocating for further funds and further investm</w:t>
      </w:r>
      <w:r>
        <w:t xml:space="preserve">ent. </w:t>
      </w:r>
      <w:r w:rsidRPr="00602805">
        <w:rPr>
          <w:rStyle w:val="StyleUnderline"/>
        </w:rPr>
        <w:t>Their arguments</w:t>
      </w:r>
      <w:r>
        <w:t xml:space="preserve"> for increased investment and the reform of science and engineering education and training </w:t>
      </w:r>
      <w:r w:rsidRPr="00602805">
        <w:rPr>
          <w:rStyle w:val="StyleUnderline"/>
        </w:rPr>
        <w:t>have tended to be as follows. First</w:t>
      </w:r>
      <w:r>
        <w:t xml:space="preserve">, </w:t>
      </w:r>
      <w:r w:rsidRPr="00602805">
        <w:rPr>
          <w:rStyle w:val="StyleUnderline"/>
        </w:rPr>
        <w:t>as the potential for scientific discoveries is unlimited</w:t>
      </w:r>
      <w:r>
        <w:t xml:space="preserve"> (which for many is a good thing), </w:t>
      </w:r>
      <w:r w:rsidRPr="00602805">
        <w:rPr>
          <w:rStyle w:val="StyleUnderline"/>
        </w:rPr>
        <w:t>there should be a continuous increase in the supply of qualified personne</w:t>
      </w:r>
      <w:r>
        <w:t xml:space="preserve">l. </w:t>
      </w:r>
      <w:r w:rsidRPr="00602805">
        <w:rPr>
          <w:rStyle w:val="StyleUnderline"/>
        </w:rPr>
        <w:t>Second, market forces are not able to deliver resources in sufficient quantity or quality to meet national needs</w:t>
      </w:r>
      <w:r>
        <w:t xml:space="preserve"> </w:t>
      </w:r>
      <w:r w:rsidRPr="00602805">
        <w:rPr>
          <w:rStyle w:val="StyleUnderline"/>
        </w:rPr>
        <w:t>and</w:t>
      </w:r>
      <w:r>
        <w:t xml:space="preserve"> that </w:t>
      </w:r>
      <w:r w:rsidRPr="00602805">
        <w:rPr>
          <w:rStyle w:val="StyleUnderline"/>
        </w:rPr>
        <w:t>as a consequence government should secure finances to provide the right number of scientists and engineers</w:t>
      </w:r>
      <w:r>
        <w:t xml:space="preserve"> (Godin, 2002). To demand more scientists and engineers is, to some extent, in the interests of wider society as well. A larger pool of workers and more funding could mean further, faster and cheaper advances in medical, technological and other fields, </w:t>
      </w:r>
      <w:r w:rsidRPr="00602805">
        <w:rPr>
          <w:rStyle w:val="StyleUnderline"/>
        </w:rPr>
        <w:t>but there are also human and ethical costs in using a shortage debate to encourage students to study science and engineering at undergraduate and graduate level</w:t>
      </w:r>
      <w:r>
        <w:t xml:space="preserve"> (while incurring considerable debt) </w:t>
      </w:r>
      <w:r w:rsidRPr="00602805">
        <w:rPr>
          <w:rStyle w:val="StyleUnderline"/>
        </w:rPr>
        <w:t>many of whom face little prospect of stable and rewarding careers in the field.</w:t>
      </w:r>
      <w:r>
        <w:rPr>
          <w:rStyle w:val="StyleUnderline"/>
        </w:rPr>
        <w:t xml:space="preserve"> </w:t>
      </w:r>
      <w:r>
        <w:t xml:space="preserve">There are implications here for science education policy as well. While in many ways </w:t>
      </w:r>
      <w:r w:rsidRPr="00602805">
        <w:rPr>
          <w:rStyle w:val="StyleUnderline"/>
        </w:rPr>
        <w:t>STEM subjects</w:t>
      </w:r>
      <w:r>
        <w:t xml:space="preserve"> </w:t>
      </w:r>
      <w:r w:rsidRPr="00602805">
        <w:rPr>
          <w:rStyle w:val="StyleUnderline"/>
        </w:rPr>
        <w:t>have</w:t>
      </w:r>
      <w:r>
        <w:t xml:space="preserve"> benefitted enormously from the enhanced status and increased funding afforded to them by the skills shortage claims, there are </w:t>
      </w:r>
      <w:r w:rsidRPr="00602805">
        <w:rPr>
          <w:rStyle w:val="StyleUnderline"/>
        </w:rPr>
        <w:t>downsides</w:t>
      </w:r>
      <w:r>
        <w:t xml:space="preserve"> to this. On the one hand </w:t>
      </w:r>
      <w:r w:rsidRPr="00602805">
        <w:rPr>
          <w:rStyle w:val="StyleUnderline"/>
        </w:rPr>
        <w:t>there are the ethical implications for future employment as mentioned above, but there are also implications for the nature of science education itself</w:t>
      </w:r>
      <w:r>
        <w:t>. At the start of the paper, I referred to the dual purpose of science education and the tensions that this can sometimes create between ‘science for all’ and a much more instrumental view of science education for economic benefit. It</w:t>
      </w:r>
      <w:r w:rsidRPr="00602805">
        <w:rPr>
          <w:rStyle w:val="StyleUnderline"/>
        </w:rPr>
        <w:t xml:space="preserve"> is perhaps pertinent to consider which is more desirable: the science of accountability measures where national curricular are aligned with international comparative tests</w:t>
      </w:r>
      <w:r>
        <w:t xml:space="preserve">, that have little to do with the national context, </w:t>
      </w:r>
      <w:r w:rsidRPr="00602805">
        <w:rPr>
          <w:rStyle w:val="StyleUnderline"/>
        </w:rPr>
        <w:t>so that governments can better monitor and compare scientific education with that of their closest economic competitors, or a science curriculum based on enlightenment models of learning driven by a ‘spirit of rational inquiry … a belief in its efficacy and by restless curiosity … a spirit of science’</w:t>
      </w:r>
      <w:r>
        <w:t xml:space="preserve"> (Educational Policies Commission, 1966, p. 1). </w:t>
      </w:r>
      <w:r w:rsidRPr="00602805">
        <w:rPr>
          <w:rStyle w:val="StyleUnderline"/>
        </w:rPr>
        <w:t>Proposals by the British De</w:t>
      </w:r>
      <w:r w:rsidRPr="00602805">
        <w:t>partment</w:t>
      </w:r>
      <w:r>
        <w:t xml:space="preserve"> f</w:t>
      </w:r>
      <w:r w:rsidRPr="00602805">
        <w:rPr>
          <w:rStyle w:val="StyleUnderline"/>
        </w:rPr>
        <w:t>o</w:t>
      </w:r>
      <w:r>
        <w:t xml:space="preserve">r </w:t>
      </w:r>
      <w:r w:rsidRPr="00602805">
        <w:rPr>
          <w:rStyle w:val="StyleUnderline"/>
        </w:rPr>
        <w:t>E</w:t>
      </w:r>
      <w:r>
        <w:t xml:space="preserve">ducation </w:t>
      </w:r>
      <w:r w:rsidRPr="00602805">
        <w:rPr>
          <w:rStyle w:val="StyleUnderline"/>
        </w:rPr>
        <w:t xml:space="preserve">to align curriculum </w:t>
      </w:r>
      <w:r>
        <w:t xml:space="preserve">content with the knowledge and skills that are assessed </w:t>
      </w:r>
      <w:r w:rsidRPr="00602805">
        <w:rPr>
          <w:rStyle w:val="StyleUnderline"/>
        </w:rPr>
        <w:t>as part of international comparative tests perhaps provides a partial answer to these questions</w:t>
      </w:r>
      <w:r>
        <w:t xml:space="preserve"> (Department for Education, 2011). The arguments presented here lead us to several suggestions for what should happen next. First, </w:t>
      </w:r>
      <w:r w:rsidRPr="00602805">
        <w:rPr>
          <w:rStyle w:val="StyleUnderline"/>
        </w:rPr>
        <w:t xml:space="preserve">workforce planning for the sector needs to be based upon the best quality data available, </w:t>
      </w:r>
      <w:r>
        <w:t xml:space="preserve">rather than upon hearsay. Second, </w:t>
      </w:r>
      <w:r w:rsidRPr="00602805">
        <w:rPr>
          <w:rStyle w:val="StyleUnderline"/>
        </w:rPr>
        <w:t>decisions to invest in the sector should not be made in response to short-term fluctuations in supply that affect only specialised areas and yet are</w:t>
      </w:r>
      <w:r>
        <w:t xml:space="preserve">, more often than not, </w:t>
      </w:r>
      <w:r w:rsidRPr="00602805">
        <w:rPr>
          <w:rStyle w:val="StyleUnderline"/>
        </w:rPr>
        <w:t>projected to the wider STEM workforce</w:t>
      </w:r>
      <w:r>
        <w:t xml:space="preserve">. There also </w:t>
      </w:r>
      <w:r w:rsidRPr="00602805">
        <w:rPr>
          <w:rStyle w:val="StyleUnderline"/>
        </w:rPr>
        <w:t>needs to be recognition that changes in demand in specialised fields can be sensitive to what happens beyond the sector</w:t>
      </w:r>
      <w:r>
        <w:t xml:space="preserve">. Therefore particular attention needs to be paid to the wider political and economic context and that </w:t>
      </w:r>
      <w:r w:rsidRPr="00602805">
        <w:rPr>
          <w:rStyle w:val="StyleUnderline"/>
        </w:rPr>
        <w:t>any fluctuations in the STEM job market may be short term and require targeted and focused, rather than wider, intervention</w:t>
      </w:r>
      <w:r>
        <w:t>.</w:t>
      </w:r>
    </w:p>
    <w:p w:rsidR="00C12070" w:rsidRPr="00F07B7C" w:rsidRDefault="00C12070" w:rsidP="00C12070">
      <w:pPr>
        <w:rPr>
          <w:rStyle w:val="StyleUnderline"/>
        </w:rPr>
      </w:pPr>
    </w:p>
    <w:p w:rsidR="00C12070" w:rsidRDefault="00C12070" w:rsidP="00C12070">
      <w:pPr>
        <w:pStyle w:val="Heading3"/>
      </w:pPr>
      <w:r>
        <w:t>1NC No Cyber Attacks</w:t>
      </w:r>
    </w:p>
    <w:p w:rsidR="00C12070" w:rsidRPr="00F07B7C" w:rsidRDefault="00C12070" w:rsidP="00C12070">
      <w:pPr>
        <w:pStyle w:val="Heading4"/>
      </w:pPr>
      <w:r w:rsidRPr="00F07B7C">
        <w:t>Tons of reasons there won’t be a destructive cyber attack on critical infrastructure, including the grid, from any group</w:t>
      </w:r>
    </w:p>
    <w:p w:rsidR="00C12070" w:rsidRPr="00F07B7C" w:rsidRDefault="00C12070" w:rsidP="00C12070">
      <w:r w:rsidRPr="00F07B7C">
        <w:rPr>
          <w:rStyle w:val="Style13ptBold"/>
        </w:rPr>
        <w:t>Amerding 16</w:t>
      </w:r>
      <w:r w:rsidRPr="00F07B7C">
        <w:t xml:space="preserve"> (Taylor Amerding - Freelance writer at International Data Group, CSO – “Catastrophic cyber attack on U.S. grid possible, but not likely” – 4/15/16 - http://www.csoonline.com/article/3055718/critical-infrastructure/catastrophic-cyber-attack-on-u-s-grid-possible-but-not-likely.html)/TK</w:t>
      </w:r>
    </w:p>
    <w:p w:rsidR="00C12070" w:rsidRDefault="00C12070" w:rsidP="00C12070">
      <w:pPr>
        <w:rPr>
          <w:rStyle w:val="StyleUnderline"/>
        </w:rPr>
      </w:pPr>
      <w:r w:rsidRPr="00F07B7C">
        <w:rPr>
          <w:rStyle w:val="StyleUnderline"/>
        </w:rPr>
        <w:t>Warnings about U.S. critical infrastructure’s vulnerabilities to a catastrophic cyber attack – a cyber “Pearl Harbor” or “9/11” – began more than 25 years ago.</w:t>
      </w:r>
      <w:r w:rsidRPr="00F07B7C">
        <w:rPr>
          <w:sz w:val="16"/>
        </w:rPr>
        <w:t xml:space="preserve"> But they have become more insistent and frequent over the past decade.</w:t>
      </w:r>
      <w:r w:rsidRPr="00F07B7C">
        <w:rPr>
          <w:sz w:val="12"/>
        </w:rPr>
        <w:t>¶</w:t>
      </w:r>
      <w:r w:rsidRPr="00F07B7C">
        <w:rPr>
          <w:sz w:val="16"/>
        </w:rPr>
        <w:t xml:space="preserve"> Former Defense Secretary Leon Panetta warned in a 2012 speech of both a “cyber Pearl Harbor” and a “pre-9/11 moment.”</w:t>
      </w:r>
      <w:r w:rsidRPr="00F07B7C">
        <w:rPr>
          <w:sz w:val="12"/>
        </w:rPr>
        <w:t>¶</w:t>
      </w:r>
      <w:r w:rsidRPr="00F07B7C">
        <w:rPr>
          <w:sz w:val="16"/>
        </w:rPr>
        <w:t xml:space="preserve"> They have also expanded from within the security industry to the mass media. It was almost a decade ago, in 2007, that the Idaho National Laboratory demonstrated that a cyber attack could destroy an enormous diesel power generator – an event featured in a 2009 segment on the CBS news magazine “60 Minutes.”</w:t>
      </w:r>
      <w:r w:rsidRPr="00F07B7C">
        <w:rPr>
          <w:sz w:val="12"/>
        </w:rPr>
        <w:t>¶</w:t>
      </w:r>
      <w:r w:rsidRPr="00F07B7C">
        <w:rPr>
          <w:sz w:val="16"/>
        </w:rPr>
        <w:t xml:space="preserve"> Late last year, retired “Nightline” anchor Ted Koppel warned in his book "Lights Out" of possible catastrophe – thousands of deaths – if the U.S. grid is ever taken down by a major cyber attack. </w:t>
      </w:r>
      <w:r w:rsidRPr="00F07B7C">
        <w:rPr>
          <w:sz w:val="12"/>
        </w:rPr>
        <w:t>¶</w:t>
      </w:r>
      <w:r w:rsidRPr="00F07B7C">
        <w:rPr>
          <w:sz w:val="16"/>
        </w:rPr>
        <w:t xml:space="preserve"> And just this month, the FBI and Department of Homeland Security (DHS) launched a national campaign to warn U.S. utilities and the public about the danger from cyber attacks like the one last December that took down part of Ukraine’s power grid.</w:t>
      </w:r>
      <w:r w:rsidRPr="00F07B7C">
        <w:rPr>
          <w:sz w:val="12"/>
        </w:rPr>
        <w:t>¶</w:t>
      </w:r>
      <w:r w:rsidRPr="00F07B7C">
        <w:rPr>
          <w:sz w:val="16"/>
        </w:rPr>
        <w:t xml:space="preserve"> </w:t>
      </w:r>
      <w:r w:rsidRPr="00F07B7C">
        <w:rPr>
          <w:rStyle w:val="StyleUnderline"/>
        </w:rPr>
        <w:t>The worst-case scenario, according to some experts and officials, is that major portions of the grid could go down for months, or even a year.</w:t>
      </w:r>
      <w:r w:rsidRPr="00F07B7C">
        <w:rPr>
          <w:rStyle w:val="StyleUnderline"/>
          <w:sz w:val="12"/>
        </w:rPr>
        <w:t>¶</w:t>
      </w:r>
      <w:r w:rsidRPr="00F07B7C">
        <w:rPr>
          <w:sz w:val="16"/>
        </w:rPr>
        <w:t xml:space="preserve"> </w:t>
      </w:r>
      <w:r w:rsidRPr="00F07B7C">
        <w:rPr>
          <w:rStyle w:val="StyleUnderline"/>
        </w:rPr>
        <w:t xml:space="preserve">Yet, </w:t>
      </w:r>
      <w:r w:rsidRPr="00F07B7C">
        <w:rPr>
          <w:rStyle w:val="Emphasis"/>
        </w:rPr>
        <w:t>nothing close</w:t>
      </w:r>
      <w:r w:rsidRPr="00F07B7C">
        <w:rPr>
          <w:rStyle w:val="StyleUnderline"/>
        </w:rPr>
        <w:t xml:space="preserve"> to that </w:t>
      </w:r>
      <w:r w:rsidRPr="00F07B7C">
        <w:rPr>
          <w:rStyle w:val="Emphasis"/>
        </w:rPr>
        <w:t>has happened</w:t>
      </w:r>
      <w:r w:rsidRPr="00F07B7C">
        <w:rPr>
          <w:rStyle w:val="StyleUnderline"/>
        </w:rPr>
        <w:t xml:space="preserve"> yet – the damage over the past decade from natural disasters like hurricanes, tornadoes and earthquakes has been much more significant than any cyber events.</w:t>
      </w:r>
      <w:r w:rsidRPr="00F07B7C">
        <w:rPr>
          <w:rStyle w:val="StyleUnderline"/>
          <w:sz w:val="12"/>
        </w:rPr>
        <w:t>¶</w:t>
      </w:r>
      <w:r w:rsidRPr="00F07B7C">
        <w:rPr>
          <w:sz w:val="16"/>
        </w:rPr>
        <w:t xml:space="preserve"> </w:t>
      </w:r>
      <w:r w:rsidRPr="00F07B7C">
        <w:rPr>
          <w:rStyle w:val="StyleUnderline"/>
        </w:rPr>
        <w:t>All of which raise the obvious question: Why? If a hostile nation state like Iran could deal the</w:t>
      </w:r>
      <w:r w:rsidRPr="00F07B7C">
        <w:rPr>
          <w:sz w:val="16"/>
        </w:rPr>
        <w:t xml:space="preserve"> “Great Satan” a </w:t>
      </w:r>
      <w:r w:rsidRPr="00F07B7C">
        <w:rPr>
          <w:rStyle w:val="StyleUnderline"/>
        </w:rPr>
        <w:t>crippling blow, why wouldn’t it?</w:t>
      </w:r>
      <w:r w:rsidRPr="00F07B7C">
        <w:rPr>
          <w:rStyle w:val="StyleUnderline"/>
          <w:sz w:val="12"/>
        </w:rPr>
        <w:t>¶</w:t>
      </w:r>
      <w:r w:rsidRPr="00F07B7C">
        <w:rPr>
          <w:sz w:val="16"/>
        </w:rPr>
        <w:t xml:space="preserve"> There are several theories to explain it. </w:t>
      </w:r>
      <w:r w:rsidRPr="00F07B7C">
        <w:rPr>
          <w:rStyle w:val="StyleUnderline"/>
        </w:rPr>
        <w:t xml:space="preserve">One is that even </w:t>
      </w:r>
      <w:r w:rsidRPr="00F07B7C">
        <w:rPr>
          <w:rStyle w:val="Emphasis"/>
        </w:rPr>
        <w:t>countries</w:t>
      </w:r>
      <w:r w:rsidRPr="00F07B7C">
        <w:rPr>
          <w:rStyle w:val="StyleUnderline"/>
        </w:rPr>
        <w:t xml:space="preserve"> like Iran or a rogue state like North Korea </w:t>
      </w:r>
      <w:r w:rsidRPr="00F07B7C">
        <w:rPr>
          <w:rStyle w:val="Emphasis"/>
        </w:rPr>
        <w:t>would not want to take down the U.S. economy because it would have a drastic negative effect on the world economy</w:t>
      </w:r>
      <w:r w:rsidRPr="00F07B7C">
        <w:rPr>
          <w:rStyle w:val="StyleUnderline"/>
        </w:rPr>
        <w:t>.</w:t>
      </w:r>
      <w:r w:rsidRPr="00F07B7C">
        <w:rPr>
          <w:rStyle w:val="StyleUnderline"/>
          <w:sz w:val="12"/>
        </w:rPr>
        <w:t>¶</w:t>
      </w:r>
      <w:r w:rsidRPr="00F07B7C">
        <w:rPr>
          <w:sz w:val="16"/>
        </w:rPr>
        <w:t xml:space="preserve"> “</w:t>
      </w:r>
      <w:r w:rsidRPr="00F07B7C">
        <w:rPr>
          <w:rStyle w:val="StyleUnderline"/>
        </w:rPr>
        <w:t>The same interdependencies that exist in the global economy could have unintended global consequences, were any nation to suffer widespread disruption to foundational systems</w:t>
      </w:r>
      <w:r w:rsidRPr="00F07B7C">
        <w:rPr>
          <w:sz w:val="16"/>
        </w:rPr>
        <w:t>,” said Anthony Di Bello, director of strategic partnerships for Guidance Software.</w:t>
      </w:r>
      <w:r w:rsidRPr="00F07B7C">
        <w:rPr>
          <w:sz w:val="12"/>
        </w:rPr>
        <w:t>¶</w:t>
      </w:r>
      <w:r w:rsidRPr="00F07B7C">
        <w:rPr>
          <w:sz w:val="16"/>
        </w:rPr>
        <w:t xml:space="preserve"> If any large country truly becomes a national security threat to another large country (a cyber attack) may well be far more likely than it would be in today's climate.</w:t>
      </w:r>
      <w:r w:rsidRPr="00F07B7C">
        <w:rPr>
          <w:sz w:val="12"/>
        </w:rPr>
        <w:t>¶</w:t>
      </w:r>
      <w:r w:rsidRPr="00F07B7C">
        <w:rPr>
          <w:sz w:val="16"/>
        </w:rPr>
        <w:t xml:space="preserve"> </w:t>
      </w:r>
      <w:r w:rsidRPr="00F07B7C">
        <w:rPr>
          <w:rStyle w:val="StyleUnderline"/>
        </w:rPr>
        <w:t xml:space="preserve">Another is that </w:t>
      </w:r>
      <w:r w:rsidRPr="00F07B7C">
        <w:rPr>
          <w:rStyle w:val="Emphasis"/>
        </w:rPr>
        <w:t>hostile nation states are more interested in espionage than an attack</w:t>
      </w:r>
      <w:r w:rsidRPr="00F07B7C">
        <w:rPr>
          <w:rStyle w:val="StyleUnderline"/>
        </w:rPr>
        <w:t>, in the hope that knowledge of U.S. infrastructure systems will give them some leverage in foreign policy disputes, or prevent a country like the U.S. from ever attacking them with conventional weapons.</w:t>
      </w:r>
      <w:r w:rsidRPr="00F07B7C">
        <w:rPr>
          <w:rStyle w:val="StyleUnderline"/>
          <w:sz w:val="12"/>
        </w:rPr>
        <w:t>¶</w:t>
      </w:r>
      <w:r w:rsidRPr="00F07B7C">
        <w:rPr>
          <w:sz w:val="16"/>
        </w:rPr>
        <w:t xml:space="preserve"> Yet </w:t>
      </w:r>
      <w:r w:rsidRPr="00F07B7C">
        <w:rPr>
          <w:rStyle w:val="StyleUnderline"/>
        </w:rPr>
        <w:t xml:space="preserve">another is that </w:t>
      </w:r>
      <w:r w:rsidRPr="00F07B7C">
        <w:rPr>
          <w:rStyle w:val="Emphasis"/>
        </w:rPr>
        <w:t>if other countries are inside U.S. systems, the U.S. must be inside of theirs,</w:t>
      </w:r>
      <w:r w:rsidRPr="00F07B7C">
        <w:rPr>
          <w:rStyle w:val="StyleUnderline"/>
        </w:rPr>
        <w:t xml:space="preserve"> which creates the equivalent of a cyber “balance of terror” – the U.S. could do as much or more damage to them in response to an attack.</w:t>
      </w:r>
      <w:r w:rsidRPr="00F07B7C">
        <w:rPr>
          <w:rStyle w:val="StyleUnderline"/>
          <w:sz w:val="12"/>
        </w:rPr>
        <w:t>¶</w:t>
      </w:r>
      <w:r w:rsidRPr="00F07B7C">
        <w:rPr>
          <w:sz w:val="16"/>
        </w:rPr>
        <w:t xml:space="preserve"> As Jason Healey, senior fellow at the Atlantic Council, put it, “</w:t>
      </w:r>
      <w:r w:rsidRPr="00F07B7C">
        <w:rPr>
          <w:rStyle w:val="Emphasis"/>
        </w:rPr>
        <w:t>cyber deterrence is working</w:t>
      </w:r>
      <w:r w:rsidRPr="00F07B7C">
        <w:rPr>
          <w:rStyle w:val="StyleUnderline"/>
        </w:rPr>
        <w:t>. They (hostile nation states) haven’t attacked our cyber systems for many of the same reason they haven’t sent nuclear-tipped missiles: They have no reason to unless the world is in a serious crisis, not least because they know there would be a dangerous counterattack from the U.S.”</w:t>
      </w:r>
      <w:r w:rsidRPr="00F07B7C">
        <w:rPr>
          <w:sz w:val="12"/>
        </w:rPr>
        <w:t>¶</w:t>
      </w:r>
      <w:r w:rsidRPr="00F07B7C">
        <w:rPr>
          <w:sz w:val="16"/>
        </w:rPr>
        <w:t xml:space="preserve"> Indeed, there is general agreement that destructive cyber attacks are unlikely unless hostile nations are heading into war – an armed conflict.</w:t>
      </w:r>
      <w:r w:rsidRPr="00F07B7C">
        <w:rPr>
          <w:sz w:val="12"/>
        </w:rPr>
        <w:t>¶</w:t>
      </w:r>
      <w:r w:rsidRPr="00F07B7C">
        <w:rPr>
          <w:sz w:val="16"/>
        </w:rPr>
        <w:t xml:space="preserve"> “If any large country truly becomes a national security threat to another large country it may well be far more likely than it would be in today's climate,” Di Bello said. “Barring that, it would be unlikely.”</w:t>
      </w:r>
      <w:r w:rsidRPr="00F07B7C">
        <w:rPr>
          <w:sz w:val="12"/>
        </w:rPr>
        <w:t>¶</w:t>
      </w:r>
      <w:r w:rsidRPr="00F07B7C">
        <w:rPr>
          <w:sz w:val="16"/>
        </w:rPr>
        <w:t xml:space="preserve"> For that reason, major cyber attacks are much more likely in areas where there is already armed conflict, or the potential for it. Robert M. Lee, cofounder of Dragos Security and a former U.S Air Force cyber warfare operations officer, noted that the attack on Ukraine’s grid, widely attributed to Russia, was, “simply an extension of what was going on with the military.</w:t>
      </w:r>
      <w:r w:rsidRPr="00F07B7C">
        <w:rPr>
          <w:sz w:val="12"/>
        </w:rPr>
        <w:t>¶</w:t>
      </w:r>
      <w:r w:rsidRPr="00F07B7C">
        <w:rPr>
          <w:sz w:val="16"/>
        </w:rPr>
        <w:t xml:space="preserve"> That, he said, would increase the likelihood of attacks between countries like North and South Korea, or between Iran and Israel – “traditional conflict areas,” as he put it.</w:t>
      </w:r>
      <w:r w:rsidRPr="00F07B7C">
        <w:rPr>
          <w:sz w:val="12"/>
        </w:rPr>
        <w:t>¶</w:t>
      </w:r>
      <w:r w:rsidRPr="00F07B7C">
        <w:rPr>
          <w:sz w:val="16"/>
        </w:rPr>
        <w:t xml:space="preserve"> </w:t>
      </w:r>
      <w:r w:rsidRPr="00F07B7C">
        <w:rPr>
          <w:rStyle w:val="StyleUnderline"/>
        </w:rPr>
        <w:t>Of course that leaves out terrorist organizations that don’t represent any nation state and which give no indication that it would trouble them at all to take down the world economy.</w:t>
      </w:r>
      <w:r w:rsidRPr="00F07B7C">
        <w:rPr>
          <w:rStyle w:val="StyleUnderline"/>
          <w:sz w:val="12"/>
        </w:rPr>
        <w:t>¶</w:t>
      </w:r>
      <w:r w:rsidRPr="00F07B7C">
        <w:rPr>
          <w:sz w:val="16"/>
        </w:rPr>
        <w:t xml:space="preserve"> </w:t>
      </w:r>
      <w:r w:rsidRPr="00F07B7C">
        <w:rPr>
          <w:rStyle w:val="StyleUnderline"/>
        </w:rPr>
        <w:t>But</w:t>
      </w:r>
      <w:r w:rsidRPr="00F07B7C">
        <w:rPr>
          <w:sz w:val="16"/>
        </w:rPr>
        <w:t xml:space="preserve"> Lee and other </w:t>
      </w:r>
      <w:r w:rsidRPr="00F07B7C">
        <w:rPr>
          <w:rStyle w:val="StyleUnderline"/>
        </w:rPr>
        <w:t>experts said</w:t>
      </w:r>
      <w:r w:rsidRPr="00F07B7C">
        <w:rPr>
          <w:sz w:val="16"/>
        </w:rPr>
        <w:t xml:space="preserve"> this week </w:t>
      </w:r>
      <w:r w:rsidRPr="00F07B7C">
        <w:rPr>
          <w:rStyle w:val="StyleUnderline"/>
        </w:rPr>
        <w:t xml:space="preserve">that </w:t>
      </w:r>
      <w:r w:rsidRPr="00F07B7C">
        <w:rPr>
          <w:rStyle w:val="Emphasis"/>
        </w:rPr>
        <w:t>smaller organizations</w:t>
      </w:r>
      <w:r w:rsidRPr="00F07B7C">
        <w:rPr>
          <w:rStyle w:val="StyleUnderline"/>
        </w:rPr>
        <w:t xml:space="preserve"> – even lethal terrorist groups like ISIS – </w:t>
      </w:r>
      <w:r w:rsidRPr="00F07B7C">
        <w:rPr>
          <w:rStyle w:val="Emphasis"/>
        </w:rPr>
        <w:t>don't have the same capability as nation states</w:t>
      </w:r>
      <w:r w:rsidRPr="00F07B7C">
        <w:rPr>
          <w:sz w:val="16"/>
        </w:rPr>
        <w:t xml:space="preserve">. </w:t>
      </w:r>
      <w:r w:rsidRPr="00F07B7C">
        <w:rPr>
          <w:rStyle w:val="StyleUnderline"/>
        </w:rPr>
        <w:t>They say while the U.S. grid and other industrial control systems (ICS) have significant weaknesses – and U.S. adversaries are constantly probing those weaknesses – launching an effective, sustained attack is not as easy as some people, including high government officials, suggest.</w:t>
      </w:r>
      <w:r w:rsidRPr="00F07B7C">
        <w:rPr>
          <w:rStyle w:val="StyleUnderline"/>
          <w:sz w:val="12"/>
        </w:rPr>
        <w:t>¶</w:t>
      </w:r>
      <w:r w:rsidRPr="00F07B7C">
        <w:rPr>
          <w:sz w:val="16"/>
        </w:rPr>
        <w:t xml:space="preserve"> “It is significantly more difficult to do a high-confidence attack on ICS than people think,” Lee said “</w:t>
      </w:r>
      <w:r w:rsidRPr="00F07B7C">
        <w:rPr>
          <w:rStyle w:val="StyleUnderline"/>
        </w:rPr>
        <w:t>It doesn’t just involve the cyber component – it’s the engineering piece as well</w:t>
      </w:r>
      <w:r w:rsidRPr="00F07B7C">
        <w:rPr>
          <w:sz w:val="16"/>
        </w:rPr>
        <w:t>.”</w:t>
      </w:r>
      <w:r w:rsidRPr="00F07B7C">
        <w:rPr>
          <w:sz w:val="12"/>
        </w:rPr>
        <w:t>¶</w:t>
      </w:r>
      <w:r w:rsidRPr="00F07B7C">
        <w:rPr>
          <w:sz w:val="16"/>
        </w:rPr>
        <w:t xml:space="preserve"> Al Berman, president of Disaster Recovery Institute, agreed. He said one reason is that, over the past decade, there has been “tremendous sharing” about threat information among utility companies. The ICS ISAC (Information Sharing and Analysis Center) is “enormously strong,” he said.</w:t>
      </w:r>
      <w:r w:rsidRPr="00F07B7C">
        <w:rPr>
          <w:sz w:val="12"/>
        </w:rPr>
        <w:t>¶</w:t>
      </w:r>
      <w:r w:rsidRPr="00F07B7C">
        <w:rPr>
          <w:sz w:val="16"/>
        </w:rPr>
        <w:t xml:space="preserve"> A second is that most ICSs are not completely automated. “The big ones still require manual intervention,” he said. “There are manual bypasses occurring all the time – people are manning centers around the clock.”</w:t>
      </w:r>
      <w:r w:rsidRPr="00F07B7C">
        <w:rPr>
          <w:sz w:val="12"/>
        </w:rPr>
        <w:t>¶</w:t>
      </w:r>
      <w:r w:rsidRPr="00F07B7C">
        <w:rPr>
          <w:sz w:val="16"/>
        </w:rPr>
        <w:t xml:space="preserve"> That, he said, makes it more difficult for attackers to get control of a system remotely.</w:t>
      </w:r>
      <w:r w:rsidRPr="00F07B7C">
        <w:rPr>
          <w:sz w:val="12"/>
        </w:rPr>
        <w:t>¶</w:t>
      </w:r>
      <w:r w:rsidRPr="00F07B7C">
        <w:rPr>
          <w:sz w:val="16"/>
        </w:rPr>
        <w:t xml:space="preserve"> Third, he said, is that </w:t>
      </w:r>
      <w:r w:rsidRPr="00F07B7C">
        <w:rPr>
          <w:rStyle w:val="StyleUnderline"/>
        </w:rPr>
        <w:t>most utilities are privately owned and have different software, applications and system designs. That diversity makes it much more difficult to launch a coordinated attack on multiple systems.</w:t>
      </w:r>
      <w:r w:rsidRPr="00F07B7C">
        <w:rPr>
          <w:rStyle w:val="StyleUnderline"/>
          <w:sz w:val="12"/>
        </w:rPr>
        <w:t>¶</w:t>
      </w:r>
      <w:r w:rsidRPr="00F07B7C">
        <w:rPr>
          <w:sz w:val="16"/>
        </w:rPr>
        <w:t xml:space="preserve"> Dr. Paul Stockton, managing director at Sonecon, made that point in a recent paper titled “Superstorm Sandy: Implications for designing a post-cyber attack power restoration system.”</w:t>
      </w:r>
      <w:r w:rsidRPr="00F07B7C">
        <w:rPr>
          <w:sz w:val="12"/>
        </w:rPr>
        <w:t>¶</w:t>
      </w:r>
      <w:r w:rsidRPr="00F07B7C">
        <w:rPr>
          <w:sz w:val="16"/>
        </w:rPr>
        <w:t xml:space="preserve"> He wrote that </w:t>
      </w:r>
      <w:r w:rsidRPr="00F07B7C">
        <w:rPr>
          <w:rStyle w:val="StyleUnderline"/>
        </w:rPr>
        <w:t>the diversity of systems</w:t>
      </w:r>
      <w:r w:rsidRPr="00F07B7C">
        <w:rPr>
          <w:sz w:val="16"/>
        </w:rPr>
        <w:t xml:space="preserve"> would likely impede recovery efforts after a major attack, but would also </w:t>
      </w:r>
      <w:r w:rsidRPr="00F07B7C">
        <w:rPr>
          <w:rStyle w:val="StyleUnderline"/>
        </w:rPr>
        <w:t>have the benefit of making large-scale attacks much more difficult in the first place.</w:t>
      </w:r>
      <w:r w:rsidRPr="00F07B7C">
        <w:rPr>
          <w:rStyle w:val="StyleUnderline"/>
          <w:sz w:val="12"/>
        </w:rPr>
        <w:t xml:space="preserve">¶ </w:t>
      </w:r>
      <w:r w:rsidRPr="00F07B7C">
        <w:rPr>
          <w:sz w:val="16"/>
        </w:rPr>
        <w:t>“</w:t>
      </w:r>
      <w:r w:rsidRPr="00F07B7C">
        <w:rPr>
          <w:rStyle w:val="StyleUnderline"/>
        </w:rPr>
        <w:t xml:space="preserve">The enormous </w:t>
      </w:r>
      <w:r w:rsidRPr="00F07B7C">
        <w:rPr>
          <w:rStyle w:val="Emphasis"/>
        </w:rPr>
        <w:t>diversity of</w:t>
      </w:r>
      <w:r w:rsidRPr="00F07B7C">
        <w:rPr>
          <w:rStyle w:val="StyleUnderline"/>
        </w:rPr>
        <w:t xml:space="preserve"> ICS </w:t>
      </w:r>
      <w:r w:rsidRPr="00F07B7C">
        <w:rPr>
          <w:rStyle w:val="Emphasis"/>
        </w:rPr>
        <w:t>software and control system components</w:t>
      </w:r>
      <w:r w:rsidRPr="00F07B7C">
        <w:rPr>
          <w:rStyle w:val="StyleUnderline"/>
        </w:rPr>
        <w:t xml:space="preserve"> among utilities greatly </w:t>
      </w:r>
      <w:r w:rsidRPr="00F07B7C">
        <w:rPr>
          <w:rStyle w:val="Emphasis"/>
        </w:rPr>
        <w:t>complicates</w:t>
      </w:r>
      <w:r w:rsidRPr="00F07B7C">
        <w:rPr>
          <w:rStyle w:val="StyleUnderline"/>
        </w:rPr>
        <w:t xml:space="preserve"> the task of </w:t>
      </w:r>
      <w:r w:rsidRPr="00F07B7C">
        <w:rPr>
          <w:rStyle w:val="Emphasis"/>
        </w:rPr>
        <w:t>conducting a ‘single-stroke’ attack to black</w:t>
      </w:r>
      <w:r w:rsidRPr="00F07B7C">
        <w:rPr>
          <w:rStyle w:val="StyleUnderline"/>
        </w:rPr>
        <w:t xml:space="preserve"> out an entire interconnect or </w:t>
      </w:r>
      <w:r w:rsidRPr="00F07B7C">
        <w:rPr>
          <w:rStyle w:val="Emphasis"/>
        </w:rPr>
        <w:t>the U.S. grid as a whole</w:t>
      </w:r>
      <w:r w:rsidRPr="00F07B7C">
        <w:rPr>
          <w:sz w:val="16"/>
        </w:rPr>
        <w:t>,” he wrote.</w:t>
      </w:r>
      <w:r w:rsidRPr="00F07B7C">
        <w:rPr>
          <w:sz w:val="12"/>
        </w:rPr>
        <w:t>¶</w:t>
      </w:r>
      <w:r w:rsidRPr="00F07B7C">
        <w:rPr>
          <w:sz w:val="16"/>
        </w:rPr>
        <w:t xml:space="preserve"> And according to Lee, </w:t>
      </w:r>
      <w:r w:rsidRPr="00F07B7C">
        <w:rPr>
          <w:rStyle w:val="StyleUnderline"/>
        </w:rPr>
        <w:t>even with all that diversity, critical infrastructure systems are relatively simple to defend.</w:t>
      </w:r>
      <w:r w:rsidRPr="00F07B7C">
        <w:rPr>
          <w:sz w:val="16"/>
        </w:rPr>
        <w:t xml:space="preserve"> “They are among the few networks on the planet that are defensible,” he said.</w:t>
      </w:r>
      <w:r w:rsidRPr="00F07B7C">
        <w:rPr>
          <w:sz w:val="12"/>
        </w:rPr>
        <w:t>¶</w:t>
      </w:r>
      <w:r w:rsidRPr="00F07B7C">
        <w:rPr>
          <w:sz w:val="16"/>
        </w:rPr>
        <w:t xml:space="preserve"> Added to that, said Lila Kee, chief product officer at GlobalSign, is that utility providers are very much aware of the threats, and highly motivated to defend against them.</w:t>
      </w:r>
      <w:r w:rsidRPr="00F07B7C">
        <w:rPr>
          <w:sz w:val="12"/>
        </w:rPr>
        <w:t>¶</w:t>
      </w:r>
      <w:r w:rsidRPr="00F07B7C">
        <w:rPr>
          <w:sz w:val="16"/>
        </w:rPr>
        <w:t xml:space="preserve"> “Grid providers don’t want to be any more regulated than they are, and they understand if they don’t address cyber security vulnerabilities, the government will do it for them,” she said. “It’s also important to note that </w:t>
      </w:r>
      <w:r w:rsidRPr="00F07B7C">
        <w:rPr>
          <w:rStyle w:val="StyleUnderline"/>
        </w:rPr>
        <w:t>grid providers have a self interest around protecting generation and transmission systems.”</w:t>
      </w:r>
    </w:p>
    <w:p w:rsidR="00C12070" w:rsidRDefault="00C12070" w:rsidP="00C12070">
      <w:pPr>
        <w:pStyle w:val="Heading3"/>
      </w:pPr>
      <w:r>
        <w:t>1NC Attacks inevitable</w:t>
      </w:r>
    </w:p>
    <w:p w:rsidR="00C12070" w:rsidRDefault="00C12070" w:rsidP="00C12070">
      <w:pPr>
        <w:pStyle w:val="Heading4"/>
      </w:pPr>
      <w:r>
        <w:t>Cyber attacks inevitable- “spear phishing” techniques prove</w:t>
      </w:r>
    </w:p>
    <w:p w:rsidR="00C12070" w:rsidRPr="00C24C7E" w:rsidRDefault="00C12070" w:rsidP="00C12070">
      <w:r w:rsidRPr="00C24C7E">
        <w:rPr>
          <w:rStyle w:val="Style13ptBold"/>
        </w:rPr>
        <w:t>Banker 15</w:t>
      </w:r>
      <w:r>
        <w:t xml:space="preserve"> – th</w:t>
      </w:r>
      <w:r w:rsidRPr="00C24C7E">
        <w:t>e Service Director, Supply Chain Management at ARC Advisory Group, a leading industry analyst and technology consulting company.</w:t>
      </w:r>
      <w:r>
        <w:t xml:space="preserve"> (Steve| Forbes, “If Preventing a Cybersecurity Attack is Impossible...| </w:t>
      </w:r>
      <w:r w:rsidRPr="00C24C7E">
        <w:t>https://www.forbes.com/sites/stevebanker/2015/03/03/if-preventing-cybersecurity-attacks-is-impossible/#fcccb6e345a4</w:t>
      </w:r>
      <w:r>
        <w:t xml:space="preserve"> | March 3, 2015| DOA: 7/23/17| KG)</w:t>
      </w:r>
    </w:p>
    <w:p w:rsidR="00C12070" w:rsidRPr="00C24C7E" w:rsidRDefault="00C12070" w:rsidP="00C12070">
      <w:pPr>
        <w:rPr>
          <w:rStyle w:val="StyleUnderline"/>
        </w:rPr>
      </w:pPr>
      <w:r>
        <w:t xml:space="preserve">The day after ARC’s forum ended, I ran into my colleague Sid Snitkin in the Orlando airport. Sid had put together the track on cybersecurity and he is also doing consulting in this area. We ended up discussing this topic. One of the things I had noticed on the cybersecurity track is how </w:t>
      </w:r>
      <w:r w:rsidRPr="00925752">
        <w:rPr>
          <w:rStyle w:val="StyleUnderline"/>
        </w:rPr>
        <w:t>experts are focused on building detailed models to analyze every potential way that a company’s IT systems could be breached.</w:t>
      </w:r>
      <w:r>
        <w:rPr>
          <w:rStyle w:val="StyleUnderline"/>
        </w:rPr>
        <w:t xml:space="preserve"> </w:t>
      </w:r>
      <w:r w:rsidRPr="00925752">
        <w:rPr>
          <w:rStyle w:val="StyleUnderline"/>
        </w:rPr>
        <w:t>Yet breaches of sophisticated IT systems in major companies</w:t>
      </w:r>
      <w:r>
        <w:t xml:space="preserve"> like Target, Sony, Anthem, </w:t>
      </w:r>
      <w:r w:rsidRPr="00925752">
        <w:rPr>
          <w:rStyle w:val="StyleUnderline"/>
        </w:rPr>
        <w:t>and the U.S. government still occur and impact hundreds of millions of people with the compromise of their credit card and personal information.</w:t>
      </w:r>
      <w:r>
        <w:rPr>
          <w:rStyle w:val="StyleUnderline"/>
        </w:rPr>
        <w:t xml:space="preserve"> </w:t>
      </w:r>
      <w:r w:rsidRPr="00925752">
        <w:rPr>
          <w:rStyle w:val="StyleUnderline"/>
        </w:rPr>
        <w:t>These attacks exploited the complexity of IT systems and human nature</w:t>
      </w:r>
      <w:r w:rsidRPr="00925752">
        <w:t>.</w:t>
      </w:r>
      <w:r>
        <w:t xml:space="preserve"> </w:t>
      </w:r>
      <w:r w:rsidRPr="00925752">
        <w:t>In the case of Target, a weak link in the corporate HVAC system opened a pathway to all of the stores credit card</w:t>
      </w:r>
      <w:r>
        <w:t xml:space="preserve"> systems. In other cases, attackers gained access by tricking employees into opening infected emails. While seemingly preventable, Sid explained that </w:t>
      </w:r>
      <w:r w:rsidRPr="00925752">
        <w:rPr>
          <w:rStyle w:val="StyleUnderline"/>
        </w:rPr>
        <w:t>today’s cyber criminals are using “spear phishing” techniques that harvest information from social sites to tailor emails that can trick even the most cautious employees</w:t>
      </w:r>
      <w:r>
        <w:t xml:space="preserve">. Spear phishing is often done by organized gangs and nation states to extract specific information. Their resources are unlimited and </w:t>
      </w:r>
      <w:r w:rsidRPr="00C24C7E">
        <w:rPr>
          <w:rStyle w:val="StyleUnderline"/>
        </w:rPr>
        <w:t>Sid doubts whether any large organization could ever hope to safely resist a focused spear phishing attack</w:t>
      </w:r>
      <w:r>
        <w:t xml:space="preserve">. In short, </w:t>
      </w:r>
      <w:r w:rsidRPr="00C24C7E">
        <w:rPr>
          <w:rStyle w:val="StyleUnderline"/>
        </w:rPr>
        <w:t>the sheer complexity of IT systems and human nature means that intrusions may be all but certain for every organization</w:t>
      </w:r>
      <w:r>
        <w:t xml:space="preserve">. </w:t>
      </w:r>
      <w:r w:rsidRPr="00C24C7E">
        <w:rPr>
          <w:rStyle w:val="StyleUnderline"/>
        </w:rPr>
        <w:t>So instead of believing that the goal of cyber security is to prevent all intrusions, which is impossible, risk mitigation needs to become part of every company’s strategy.</w:t>
      </w:r>
      <w:r>
        <w:rPr>
          <w:rStyle w:val="StyleUnderline"/>
        </w:rPr>
        <w:t xml:space="preserve"> </w:t>
      </w:r>
      <w:r>
        <w:t xml:space="preserve">This is where </w:t>
      </w:r>
      <w:r w:rsidRPr="00C24C7E">
        <w:rPr>
          <w:rStyle w:val="StyleUnderline"/>
        </w:rPr>
        <w:t>the cybersecurity world can apply some of the learnings of supply chain management</w:t>
      </w:r>
      <w:r>
        <w:t xml:space="preserve">. </w:t>
      </w:r>
      <w:r w:rsidRPr="00C24C7E">
        <w:rPr>
          <w:rStyle w:val="StyleUnderline"/>
        </w:rPr>
        <w:t>Early efforts focused on planning</w:t>
      </w:r>
      <w:r>
        <w:t xml:space="preserve">, but experience taught us that agility in supply chain </w:t>
      </w:r>
      <w:r w:rsidRPr="00C24C7E">
        <w:t>execution</w:t>
      </w:r>
      <w:r w:rsidRPr="00C24C7E">
        <w:rPr>
          <w:rStyle w:val="StyleUnderline"/>
        </w:rPr>
        <w:t xml:space="preserve"> was just as important</w:t>
      </w:r>
      <w:r>
        <w:t xml:space="preserve">. </w:t>
      </w:r>
      <w:r w:rsidRPr="00C24C7E">
        <w:rPr>
          <w:rStyle w:val="StyleUnderline"/>
        </w:rPr>
        <w:t>Smart supply chain organizations understand the risks of unexpected events and have plans in place to mitigate to these risks</w:t>
      </w:r>
      <w:r>
        <w:t>. For example, a large company might look to their network of warehouses and understand that all those warehouses cannot be made secure in all eventualities. Fl</w:t>
      </w:r>
      <w:r w:rsidRPr="00C24C7E">
        <w:rPr>
          <w:rStyle w:val="StyleUnderline"/>
        </w:rPr>
        <w:t>oods, tornados, hurricanes, strikes, blizzards, and many other possible events could knock a warehouse off line.</w:t>
      </w:r>
      <w:r>
        <w:t xml:space="preserve"> In </w:t>
      </w:r>
      <w:r w:rsidRPr="00C24C7E">
        <w:rPr>
          <w:rStyle w:val="StyleUnderline"/>
        </w:rPr>
        <w:t>this case, the goal is to have a detailed plan in place for who will do what in case a particular warehouse goes down.</w:t>
      </w:r>
      <w:r>
        <w:rPr>
          <w:rStyle w:val="StyleUnderline"/>
        </w:rPr>
        <w:t xml:space="preserve"> </w:t>
      </w:r>
      <w:r w:rsidRPr="00C24C7E">
        <w:rPr>
          <w:rStyle w:val="StyleUnderline"/>
        </w:rPr>
        <w:t>These contingency plans can run to hundreds of pages in length.</w:t>
      </w:r>
      <w:r>
        <w:rPr>
          <w:rStyle w:val="StyleUnderline"/>
        </w:rPr>
        <w:t xml:space="preserve"> </w:t>
      </w:r>
      <w:r w:rsidRPr="00C24C7E">
        <w:rPr>
          <w:rStyle w:val="StyleUnderline"/>
        </w:rPr>
        <w:t>The same thought process can and should be applied to IT breaches</w:t>
      </w:r>
      <w:r>
        <w:t xml:space="preserve">. However, there are some critical differences. If your warehouse has been destroyed by a tornado, you know that. In contrast, </w:t>
      </w:r>
      <w:r w:rsidRPr="00C24C7E">
        <w:rPr>
          <w:rStyle w:val="StyleUnderline"/>
        </w:rPr>
        <w:t>IT breaches often go undetected for weeks or even months.</w:t>
      </w:r>
      <w:r>
        <w:rPr>
          <w:rStyle w:val="StyleUnderline"/>
        </w:rPr>
        <w:t xml:space="preserve"> </w:t>
      </w:r>
      <w:r w:rsidRPr="00C24C7E">
        <w:rPr>
          <w:rStyle w:val="StyleUnderline"/>
        </w:rPr>
        <w:t>So one thing the cybersecurity risk management team has to do is to develop strategies for detecting these breaches as early as possible.</w:t>
      </w:r>
      <w:r>
        <w:t xml:space="preserve"> The short lifecycle of software also creates unique problems. New software creates a constant stream of new risks that must be considered and addressed. Sid did not have time to explain to me how these challenges could be addressed. I suspect it is easier said than done. In conclusion, </w:t>
      </w:r>
      <w:r w:rsidRPr="00C24C7E">
        <w:rPr>
          <w:rStyle w:val="StyleUnderline"/>
        </w:rPr>
        <w:t>cyber security strategies are often described as needing to be multilayered.</w:t>
      </w:r>
      <w:r>
        <w:rPr>
          <w:rStyle w:val="StyleUnderline"/>
        </w:rPr>
        <w:t xml:space="preserve"> </w:t>
      </w:r>
      <w:r w:rsidRPr="00C24C7E">
        <w:rPr>
          <w:rStyle w:val="StyleUnderline"/>
        </w:rPr>
        <w:t>One of those layers needs to have the look and feel of the kind of contingency plans for fast response teams that supply chain risk management groups put together.</w:t>
      </w:r>
    </w:p>
    <w:p w:rsidR="00C12070" w:rsidRPr="00F07B7C" w:rsidRDefault="00C12070" w:rsidP="00C12070">
      <w:pPr>
        <w:rPr>
          <w:rStyle w:val="StyleUnderline"/>
        </w:rPr>
      </w:pPr>
    </w:p>
    <w:p w:rsidR="00C12070" w:rsidRPr="00F07B7C" w:rsidRDefault="00C12070" w:rsidP="00C12070">
      <w:pPr>
        <w:pStyle w:val="Heading3"/>
      </w:pPr>
      <w:r>
        <w:t>2NC Attacks Inevitable/Now</w:t>
      </w:r>
    </w:p>
    <w:p w:rsidR="00C12070" w:rsidRPr="00F07B7C" w:rsidRDefault="00C12070" w:rsidP="00C12070">
      <w:pPr>
        <w:pStyle w:val="Heading4"/>
      </w:pPr>
      <w:r w:rsidRPr="00F07B7C">
        <w:t>Cyber attacks are non-UQ – recent global attack</w:t>
      </w:r>
    </w:p>
    <w:p w:rsidR="00C12070" w:rsidRPr="00F07B7C" w:rsidRDefault="00C12070" w:rsidP="00C12070">
      <w:r w:rsidRPr="00F07B7C">
        <w:rPr>
          <w:rStyle w:val="Style13ptBold"/>
        </w:rPr>
        <w:t>Serhan 6/27</w:t>
      </w:r>
      <w:r w:rsidRPr="00F07B7C">
        <w:t>/17 (Yasmeen Serhan - editorial fellow at The Atlantic – “Another Global Cyberattack?” – 6/27/17 - https://www.theatlantic.com/news/archive/2017/06/another-global-cyberattack/531798/)/TK</w:t>
      </w:r>
    </w:p>
    <w:p w:rsidR="00C12070" w:rsidRPr="00F07B7C" w:rsidRDefault="00C12070" w:rsidP="00C12070">
      <w:pPr>
        <w:rPr>
          <w:sz w:val="16"/>
        </w:rPr>
      </w:pPr>
      <w:r w:rsidRPr="00F07B7C">
        <w:rPr>
          <w:rStyle w:val="StyleUnderline"/>
        </w:rPr>
        <w:t>Computer systems across Europe may have been hit by another cyberattack</w:t>
      </w:r>
      <w:r w:rsidRPr="00F07B7C">
        <w:rPr>
          <w:sz w:val="16"/>
        </w:rPr>
        <w:t xml:space="preserve"> Tuesday </w:t>
      </w:r>
      <w:r w:rsidRPr="00F07B7C">
        <w:rPr>
          <w:rStyle w:val="StyleUnderline"/>
        </w:rPr>
        <w:t>following reports of a breach that some experts bear similarities to last month’s coordinated global hack that spread across Europe and Asia.</w:t>
      </w:r>
      <w:r w:rsidRPr="00F07B7C">
        <w:rPr>
          <w:rStyle w:val="StyleUnderline"/>
          <w:sz w:val="12"/>
        </w:rPr>
        <w:t>¶</w:t>
      </w:r>
      <w:r w:rsidRPr="00F07B7C">
        <w:rPr>
          <w:sz w:val="16"/>
        </w:rPr>
        <w:t xml:space="preserve"> The Ukrainian government was the first to report the cyberattack, noting the country’s institutions—including banks, the state energy distributor, and the country’s main airport—were affected. Ukrainian Deputy Prime Minister Pavlo Rozenko said the government’s entire computer network was down, and posted a picture to Twitter of a computer screen showing an error message.</w:t>
      </w:r>
      <w:r w:rsidRPr="00F07B7C">
        <w:rPr>
          <w:sz w:val="12"/>
        </w:rPr>
        <w:t>¶</w:t>
      </w:r>
      <w:r w:rsidRPr="00F07B7C">
        <w:rPr>
          <w:sz w:val="16"/>
        </w:rPr>
        <w:t xml:space="preserve"> </w:t>
      </w:r>
      <w:r w:rsidRPr="00F07B7C">
        <w:rPr>
          <w:rStyle w:val="StyleUnderline"/>
        </w:rPr>
        <w:t>Ukraine was not the only one to experience computer issues. Indeed, firms around the globe—including British advertising agency WPP, Danish shipping giant A.P. Moller-Maersk, Russian oil producer Rosneft, and French company Saint-Gobain—</w:t>
      </w:r>
      <w:r w:rsidRPr="00F07B7C">
        <w:rPr>
          <w:sz w:val="16"/>
        </w:rPr>
        <w:t>reported similar technical problems, though it is not clear if they were caused by the same attack.</w:t>
      </w:r>
      <w:r w:rsidRPr="00F07B7C">
        <w:rPr>
          <w:sz w:val="12"/>
        </w:rPr>
        <w:t>¶</w:t>
      </w:r>
      <w:r w:rsidRPr="00F07B7C">
        <w:rPr>
          <w:sz w:val="16"/>
        </w:rPr>
        <w:t xml:space="preserve"> </w:t>
      </w:r>
      <w:r w:rsidRPr="00F07B7C">
        <w:rPr>
          <w:rStyle w:val="StyleUnderline"/>
        </w:rPr>
        <w:t>It may be spreading further. U.S. drug company Merck announced its computer network was also compromised</w:t>
      </w:r>
      <w:r w:rsidRPr="00F07B7C">
        <w:rPr>
          <w:sz w:val="16"/>
        </w:rPr>
        <w:t xml:space="preserve"> and that it is investigating the matter.</w:t>
      </w:r>
      <w:r w:rsidRPr="00F07B7C">
        <w:rPr>
          <w:sz w:val="12"/>
        </w:rPr>
        <w:t>¶</w:t>
      </w:r>
      <w:r w:rsidRPr="00F07B7C">
        <w:rPr>
          <w:sz w:val="16"/>
        </w:rPr>
        <w:t xml:space="preserve"> Though it is not known who was behind the attack, </w:t>
      </w:r>
      <w:r w:rsidRPr="00F07B7C">
        <w:rPr>
          <w:rStyle w:val="StyleUnderline"/>
        </w:rPr>
        <w:t>Ukrainian officials said it was caused by a version of the “WannaCry” ransomware that was responsible for last month’s cyberattack on hundreds of thousands of computers in more than 150 countries, which some attributed to North Korean hackers who used leaked tools believed to belong to the National Security Agency</w:t>
      </w:r>
      <w:r w:rsidRPr="00F07B7C">
        <w:rPr>
          <w:sz w:val="16"/>
        </w:rPr>
        <w:t>. Like last month’s cyberattack, the Tuesday hack took control over several computer systems and demanded users pay a digital ransom to access files. Computer experts say this malware, dubbed “Petya,” essentially renders computers inoperable by encrypting their hard drives.</w:t>
      </w:r>
      <w:r w:rsidRPr="00F07B7C">
        <w:rPr>
          <w:sz w:val="12"/>
        </w:rPr>
        <w:t>¶</w:t>
      </w:r>
      <w:r w:rsidRPr="00F07B7C">
        <w:rPr>
          <w:sz w:val="16"/>
        </w:rPr>
        <w:t xml:space="preserve"> Last month’s outbreak was ultimately curtailed after a U.K.-based researcher found a kill switch that he used to disable the ransomware.</w:t>
      </w:r>
    </w:p>
    <w:p w:rsidR="00C12070" w:rsidRPr="00F07B7C" w:rsidRDefault="00C12070" w:rsidP="00C12070">
      <w:pPr>
        <w:pStyle w:val="Heading3"/>
      </w:pPr>
      <w:r>
        <w:t>AT: Nuclear Plants</w:t>
      </w:r>
    </w:p>
    <w:p w:rsidR="00C12070" w:rsidRPr="00F07B7C" w:rsidRDefault="00C12070" w:rsidP="00C12070">
      <w:pPr>
        <w:pStyle w:val="Heading4"/>
      </w:pPr>
      <w:r w:rsidRPr="00F07B7C">
        <w:t>Nuclear power risks are inevitable and only one cyber attack has ever caused damage to them</w:t>
      </w:r>
    </w:p>
    <w:p w:rsidR="00C12070" w:rsidRPr="00F07B7C" w:rsidRDefault="00C12070" w:rsidP="00C12070">
      <w:r w:rsidRPr="00F07B7C">
        <w:rPr>
          <w:rStyle w:val="Style13ptBold"/>
        </w:rPr>
        <w:t>Peterson 16</w:t>
      </w:r>
      <w:r w:rsidRPr="00F07B7C">
        <w:t xml:space="preserve"> (Andrea Peterson - covers technology policy for The Washington Post, with an emphasis on cybersecurity, consumer privacy, transparency, surveillance and open government – “Should you be afraid of cyberattacks on nuclear power plants?” – 1/15/16 - https://www.washingtonpost.com/news/the-switch/wp/2016/01/15/should-you-be-afraid-of-cyberattacks-on-nuclear-power-plants/?utm_term=.5dea3700c9fc)/TK</w:t>
      </w:r>
    </w:p>
    <w:p w:rsidR="00C12070" w:rsidRPr="00F07B7C" w:rsidRDefault="00C12070" w:rsidP="00C12070">
      <w:pPr>
        <w:rPr>
          <w:sz w:val="16"/>
        </w:rPr>
      </w:pPr>
      <w:r w:rsidRPr="00F07B7C">
        <w:rPr>
          <w:rStyle w:val="StyleUnderline"/>
        </w:rPr>
        <w:t xml:space="preserve">And in 2008, a Georgia nuclear power plant went into emergency shutdown for 48 hours due to a cyber incident. This wasn't an attack, but an issue caused when a contractor installed a software update on one computer that reset the the data on a control system. That caused the system to incorrectly believe that the plant didn't have enough water to cool its nuclear fuel rods and triggered the safety precaution. The situation showed that </w:t>
      </w:r>
      <w:r w:rsidRPr="00F07B7C">
        <w:rPr>
          <w:rStyle w:val="Emphasis"/>
        </w:rPr>
        <w:t>even without a malicious actor, increased reliance on software and interconnected systems can come with new risks.</w:t>
      </w:r>
      <w:r w:rsidRPr="00F07B7C">
        <w:rPr>
          <w:rStyle w:val="Emphasis"/>
          <w:sz w:val="12"/>
        </w:rPr>
        <w:t>¶</w:t>
      </w:r>
      <w:r w:rsidRPr="00F07B7C">
        <w:rPr>
          <w:sz w:val="16"/>
        </w:rPr>
        <w:t xml:space="preserve"> But </w:t>
      </w:r>
      <w:r w:rsidRPr="00F07B7C">
        <w:rPr>
          <w:rStyle w:val="Emphasis"/>
        </w:rPr>
        <w:t>nuclear power has always come with a certain amount of risk.</w:t>
      </w:r>
      <w:r w:rsidRPr="00F07B7C">
        <w:rPr>
          <w:sz w:val="16"/>
        </w:rPr>
        <w:t xml:space="preserve"> And just like squirrels seem to currently be a bigger threat to our electrical grid than hackers, </w:t>
      </w:r>
      <w:r w:rsidRPr="00F07B7C">
        <w:rPr>
          <w:rStyle w:val="StyleUnderline"/>
        </w:rPr>
        <w:t>the most recent major incident involving a power plant had to do with a natural disaster: Japan's 2011 Fukushima plant disaster caused by a tsunami.</w:t>
      </w:r>
      <w:r w:rsidRPr="00F07B7C">
        <w:rPr>
          <w:rStyle w:val="StyleUnderline"/>
          <w:sz w:val="12"/>
        </w:rPr>
        <w:t>¶</w:t>
      </w:r>
      <w:r w:rsidRPr="00F07B7C">
        <w:rPr>
          <w:sz w:val="16"/>
        </w:rPr>
        <w:t xml:space="preserve"> </w:t>
      </w:r>
      <w:r w:rsidRPr="00F07B7C">
        <w:rPr>
          <w:rStyle w:val="StyleUnderline"/>
        </w:rPr>
        <w:t xml:space="preserve">In fact, </w:t>
      </w:r>
      <w:r w:rsidRPr="00F07B7C">
        <w:rPr>
          <w:rStyle w:val="Emphasis"/>
        </w:rPr>
        <w:t xml:space="preserve">there is just one cyber campaign involving nuclear facilities reported to have caused physical damage </w:t>
      </w:r>
      <w:r w:rsidRPr="00F07B7C">
        <w:rPr>
          <w:rStyle w:val="StyleUnderline"/>
        </w:rPr>
        <w:t>-- an attack on Iranian nuclear facilities by malware known as Stuxnet thought to have been jointly developed by the United States and Israel</w:t>
      </w:r>
      <w:r w:rsidRPr="00F07B7C">
        <w:rPr>
          <w:sz w:val="16"/>
        </w:rPr>
        <w:t>: The malware destroyed nearly 1,000 of Iran’s 6,000 centrifuges — machines used to enrich uranium.</w:t>
      </w:r>
    </w:p>
    <w:p w:rsidR="00C12070" w:rsidRPr="00F07B7C" w:rsidRDefault="00C12070" w:rsidP="00C12070">
      <w:pPr>
        <w:pStyle w:val="Heading3"/>
      </w:pPr>
      <w:r>
        <w:t>AT: Grid/Infrast</w:t>
      </w:r>
    </w:p>
    <w:p w:rsidR="00C12070" w:rsidRPr="00F07B7C" w:rsidRDefault="00C12070" w:rsidP="00C12070">
      <w:pPr>
        <w:pStyle w:val="Heading4"/>
      </w:pPr>
      <w:r w:rsidRPr="00F07B7C">
        <w:t>Tons of reasons there won’t be a destructive cyber attack on critical infrastructure, including the grid, from any group</w:t>
      </w:r>
    </w:p>
    <w:p w:rsidR="00C12070" w:rsidRPr="00F07B7C" w:rsidRDefault="00C12070" w:rsidP="00C12070">
      <w:r w:rsidRPr="00F07B7C">
        <w:rPr>
          <w:rStyle w:val="Style13ptBold"/>
        </w:rPr>
        <w:t>Amerding 16</w:t>
      </w:r>
      <w:r w:rsidRPr="00F07B7C">
        <w:t xml:space="preserve"> (Taylor Amerding - Freelance writer at International Data Group, CSO – “Catastrophic cyber attack on U.S. grid possible, but not likely” – 4/15/16 - http://www.csoonline.com/article/3055718/critical-infrastructure/catastrophic-cyber-attack-on-u-s-grid-possible-but-not-likely.html)/TK</w:t>
      </w:r>
    </w:p>
    <w:p w:rsidR="00C12070" w:rsidRPr="00F07B7C" w:rsidRDefault="00C12070" w:rsidP="00C12070">
      <w:pPr>
        <w:rPr>
          <w:rStyle w:val="StyleUnderline"/>
        </w:rPr>
      </w:pPr>
      <w:r w:rsidRPr="00F07B7C">
        <w:rPr>
          <w:rStyle w:val="StyleUnderline"/>
        </w:rPr>
        <w:t>Warnings about U.S. critical infrastructure’s vulnerabilities to a catastrophic cyber attack – a cyber “Pearl Harbor” or “9/11” – began more than 25 years ago.</w:t>
      </w:r>
      <w:r w:rsidRPr="00F07B7C">
        <w:rPr>
          <w:sz w:val="16"/>
        </w:rPr>
        <w:t xml:space="preserve"> But they have become more insistent and frequent over the past decade.</w:t>
      </w:r>
      <w:r w:rsidRPr="00F07B7C">
        <w:rPr>
          <w:sz w:val="12"/>
        </w:rPr>
        <w:t>¶</w:t>
      </w:r>
      <w:r w:rsidRPr="00F07B7C">
        <w:rPr>
          <w:sz w:val="16"/>
        </w:rPr>
        <w:t xml:space="preserve"> Former Defense Secretary Leon Panetta warned in a 2012 speech of both a “cyber Pearl Harbor” and a “pre-9/11 moment.”</w:t>
      </w:r>
      <w:r w:rsidRPr="00F07B7C">
        <w:rPr>
          <w:sz w:val="12"/>
        </w:rPr>
        <w:t>¶</w:t>
      </w:r>
      <w:r w:rsidRPr="00F07B7C">
        <w:rPr>
          <w:sz w:val="16"/>
        </w:rPr>
        <w:t xml:space="preserve"> They have also expanded from within the security industry to the mass media. It was almost a decade ago, in 2007, that the Idaho National Laboratory demonstrated that a cyber attack could destroy an enormous diesel power generator – an event featured in a 2009 segment on the CBS news magazine “60 Minutes.”</w:t>
      </w:r>
      <w:r w:rsidRPr="00F07B7C">
        <w:rPr>
          <w:sz w:val="12"/>
        </w:rPr>
        <w:t>¶</w:t>
      </w:r>
      <w:r w:rsidRPr="00F07B7C">
        <w:rPr>
          <w:sz w:val="16"/>
        </w:rPr>
        <w:t xml:space="preserve"> Late last year, retired “Nightline” anchor Ted Koppel warned in his book "Lights Out" of possible catastrophe – thousands of deaths – if the U.S. grid is ever taken down by a major cyber attack. </w:t>
      </w:r>
      <w:r w:rsidRPr="00F07B7C">
        <w:rPr>
          <w:sz w:val="12"/>
        </w:rPr>
        <w:t>¶</w:t>
      </w:r>
      <w:r w:rsidRPr="00F07B7C">
        <w:rPr>
          <w:sz w:val="16"/>
        </w:rPr>
        <w:t xml:space="preserve"> And just this month, the FBI and Department of Homeland Security (DHS) launched a national campaign to warn U.S. utilities and the public about the danger from cyber attacks like the one last December that took down part of Ukraine’s power grid.</w:t>
      </w:r>
      <w:r w:rsidRPr="00F07B7C">
        <w:rPr>
          <w:sz w:val="12"/>
        </w:rPr>
        <w:t>¶</w:t>
      </w:r>
      <w:r w:rsidRPr="00F07B7C">
        <w:rPr>
          <w:sz w:val="16"/>
        </w:rPr>
        <w:t xml:space="preserve"> </w:t>
      </w:r>
      <w:r w:rsidRPr="00F07B7C">
        <w:rPr>
          <w:rStyle w:val="StyleUnderline"/>
        </w:rPr>
        <w:t>The worst-case scenario, according to some experts and officials, is that major portions of the grid could go down for months, or even a year.</w:t>
      </w:r>
      <w:r w:rsidRPr="00F07B7C">
        <w:rPr>
          <w:rStyle w:val="StyleUnderline"/>
          <w:sz w:val="12"/>
        </w:rPr>
        <w:t>¶</w:t>
      </w:r>
      <w:r w:rsidRPr="00F07B7C">
        <w:rPr>
          <w:sz w:val="16"/>
        </w:rPr>
        <w:t xml:space="preserve"> </w:t>
      </w:r>
      <w:r w:rsidRPr="00F07B7C">
        <w:rPr>
          <w:rStyle w:val="StyleUnderline"/>
        </w:rPr>
        <w:t xml:space="preserve">Yet, </w:t>
      </w:r>
      <w:r w:rsidRPr="00F07B7C">
        <w:rPr>
          <w:rStyle w:val="Emphasis"/>
        </w:rPr>
        <w:t>nothing close</w:t>
      </w:r>
      <w:r w:rsidRPr="00F07B7C">
        <w:rPr>
          <w:rStyle w:val="StyleUnderline"/>
        </w:rPr>
        <w:t xml:space="preserve"> to that </w:t>
      </w:r>
      <w:r w:rsidRPr="00F07B7C">
        <w:rPr>
          <w:rStyle w:val="Emphasis"/>
        </w:rPr>
        <w:t>has happened</w:t>
      </w:r>
      <w:r w:rsidRPr="00F07B7C">
        <w:rPr>
          <w:rStyle w:val="StyleUnderline"/>
        </w:rPr>
        <w:t xml:space="preserve"> yet – the damage over the past decade from natural disasters like hurricanes, tornadoes and earthquakes has been much more significant than any cyber events.</w:t>
      </w:r>
      <w:r w:rsidRPr="00F07B7C">
        <w:rPr>
          <w:rStyle w:val="StyleUnderline"/>
          <w:sz w:val="12"/>
        </w:rPr>
        <w:t>¶</w:t>
      </w:r>
      <w:r w:rsidRPr="00F07B7C">
        <w:rPr>
          <w:sz w:val="16"/>
        </w:rPr>
        <w:t xml:space="preserve"> </w:t>
      </w:r>
      <w:r w:rsidRPr="00F07B7C">
        <w:rPr>
          <w:rStyle w:val="StyleUnderline"/>
        </w:rPr>
        <w:t>All of which raise the obvious question: Why? If a hostile nation state like Iran could deal the</w:t>
      </w:r>
      <w:r w:rsidRPr="00F07B7C">
        <w:rPr>
          <w:sz w:val="16"/>
        </w:rPr>
        <w:t xml:space="preserve"> “Great Satan” a </w:t>
      </w:r>
      <w:r w:rsidRPr="00F07B7C">
        <w:rPr>
          <w:rStyle w:val="StyleUnderline"/>
        </w:rPr>
        <w:t>crippling blow, why wouldn’t it?</w:t>
      </w:r>
      <w:r w:rsidRPr="00F07B7C">
        <w:rPr>
          <w:rStyle w:val="StyleUnderline"/>
          <w:sz w:val="12"/>
        </w:rPr>
        <w:t>¶</w:t>
      </w:r>
      <w:r w:rsidRPr="00F07B7C">
        <w:rPr>
          <w:sz w:val="16"/>
        </w:rPr>
        <w:t xml:space="preserve"> There are several theories to explain it. </w:t>
      </w:r>
      <w:r w:rsidRPr="00F07B7C">
        <w:rPr>
          <w:rStyle w:val="StyleUnderline"/>
        </w:rPr>
        <w:t xml:space="preserve">One is that even </w:t>
      </w:r>
      <w:r w:rsidRPr="00F07B7C">
        <w:rPr>
          <w:rStyle w:val="Emphasis"/>
        </w:rPr>
        <w:t>countries</w:t>
      </w:r>
      <w:r w:rsidRPr="00F07B7C">
        <w:rPr>
          <w:rStyle w:val="StyleUnderline"/>
        </w:rPr>
        <w:t xml:space="preserve"> like Iran or a rogue state like North Korea </w:t>
      </w:r>
      <w:r w:rsidRPr="00F07B7C">
        <w:rPr>
          <w:rStyle w:val="Emphasis"/>
        </w:rPr>
        <w:t>would not want to take down the U.S. economy because it would have a drastic negative effect on the world economy</w:t>
      </w:r>
      <w:r w:rsidRPr="00F07B7C">
        <w:rPr>
          <w:rStyle w:val="StyleUnderline"/>
        </w:rPr>
        <w:t>.</w:t>
      </w:r>
      <w:r w:rsidRPr="00F07B7C">
        <w:rPr>
          <w:rStyle w:val="StyleUnderline"/>
          <w:sz w:val="12"/>
        </w:rPr>
        <w:t>¶</w:t>
      </w:r>
      <w:r w:rsidRPr="00F07B7C">
        <w:rPr>
          <w:sz w:val="16"/>
        </w:rPr>
        <w:t xml:space="preserve"> “</w:t>
      </w:r>
      <w:r w:rsidRPr="00F07B7C">
        <w:rPr>
          <w:rStyle w:val="StyleUnderline"/>
        </w:rPr>
        <w:t>The same interdependencies that exist in the global economy could have unintended global consequences, were any nation to suffer widespread disruption to foundational systems</w:t>
      </w:r>
      <w:r w:rsidRPr="00F07B7C">
        <w:rPr>
          <w:sz w:val="16"/>
        </w:rPr>
        <w:t>,” said Anthony Di Bello, director of strategic partnerships for Guidance Software.</w:t>
      </w:r>
      <w:r w:rsidRPr="00F07B7C">
        <w:rPr>
          <w:sz w:val="12"/>
        </w:rPr>
        <w:t>¶</w:t>
      </w:r>
      <w:r w:rsidRPr="00F07B7C">
        <w:rPr>
          <w:sz w:val="16"/>
        </w:rPr>
        <w:t xml:space="preserve"> If any large country truly becomes a national security threat to another large country (a cyber attack) may well be far more likely than it would be in today's climate.</w:t>
      </w:r>
      <w:r w:rsidRPr="00F07B7C">
        <w:rPr>
          <w:sz w:val="12"/>
        </w:rPr>
        <w:t>¶</w:t>
      </w:r>
      <w:r w:rsidRPr="00F07B7C">
        <w:rPr>
          <w:sz w:val="16"/>
        </w:rPr>
        <w:t xml:space="preserve"> </w:t>
      </w:r>
      <w:r w:rsidRPr="00F07B7C">
        <w:rPr>
          <w:rStyle w:val="StyleUnderline"/>
        </w:rPr>
        <w:t xml:space="preserve">Another is that </w:t>
      </w:r>
      <w:r w:rsidRPr="00F07B7C">
        <w:rPr>
          <w:rStyle w:val="Emphasis"/>
        </w:rPr>
        <w:t>hostile nation states are more interested in espionage than an attack</w:t>
      </w:r>
      <w:r w:rsidRPr="00F07B7C">
        <w:rPr>
          <w:rStyle w:val="StyleUnderline"/>
        </w:rPr>
        <w:t>, in the hope that knowledge of U.S. infrastructure systems will give them some leverage in foreign policy disputes, or prevent a country like the U.S. from ever attacking them with conventional weapons.</w:t>
      </w:r>
      <w:r w:rsidRPr="00F07B7C">
        <w:rPr>
          <w:rStyle w:val="StyleUnderline"/>
          <w:sz w:val="12"/>
        </w:rPr>
        <w:t>¶</w:t>
      </w:r>
      <w:r w:rsidRPr="00F07B7C">
        <w:rPr>
          <w:sz w:val="16"/>
        </w:rPr>
        <w:t xml:space="preserve"> Yet </w:t>
      </w:r>
      <w:r w:rsidRPr="00F07B7C">
        <w:rPr>
          <w:rStyle w:val="StyleUnderline"/>
        </w:rPr>
        <w:t xml:space="preserve">another is that </w:t>
      </w:r>
      <w:r w:rsidRPr="00F07B7C">
        <w:rPr>
          <w:rStyle w:val="Emphasis"/>
        </w:rPr>
        <w:t>if other countries are inside U.S. systems, the U.S. must be inside of theirs,</w:t>
      </w:r>
      <w:r w:rsidRPr="00F07B7C">
        <w:rPr>
          <w:rStyle w:val="StyleUnderline"/>
        </w:rPr>
        <w:t xml:space="preserve"> which creates the equivalent of a cyber “balance of terror” – the U.S. could do as much or more damage to them in response to an attack.</w:t>
      </w:r>
      <w:r w:rsidRPr="00F07B7C">
        <w:rPr>
          <w:rStyle w:val="StyleUnderline"/>
          <w:sz w:val="12"/>
        </w:rPr>
        <w:t>¶</w:t>
      </w:r>
      <w:r w:rsidRPr="00F07B7C">
        <w:rPr>
          <w:sz w:val="16"/>
        </w:rPr>
        <w:t xml:space="preserve"> As Jason Healey, senior fellow at the Atlantic Council, put it, “</w:t>
      </w:r>
      <w:r w:rsidRPr="00F07B7C">
        <w:rPr>
          <w:rStyle w:val="Emphasis"/>
        </w:rPr>
        <w:t>cyber deterrence is working</w:t>
      </w:r>
      <w:r w:rsidRPr="00F07B7C">
        <w:rPr>
          <w:rStyle w:val="StyleUnderline"/>
        </w:rPr>
        <w:t>. They (hostile nation states) haven’t attacked our cyber systems for many of the same reason they haven’t sent nuclear-tipped missiles: They have no reason to unless the world is in a serious crisis, not least because they know there would be a dangerous counterattack from the U.S.”</w:t>
      </w:r>
      <w:r w:rsidRPr="00F07B7C">
        <w:rPr>
          <w:sz w:val="12"/>
        </w:rPr>
        <w:t>¶</w:t>
      </w:r>
      <w:r w:rsidRPr="00F07B7C">
        <w:rPr>
          <w:sz w:val="16"/>
        </w:rPr>
        <w:t xml:space="preserve"> Indeed, there is general agreement that destructive cyber attacks are unlikely unless hostile nations are heading into war – an armed conflict.</w:t>
      </w:r>
      <w:r w:rsidRPr="00F07B7C">
        <w:rPr>
          <w:sz w:val="12"/>
        </w:rPr>
        <w:t>¶</w:t>
      </w:r>
      <w:r w:rsidRPr="00F07B7C">
        <w:rPr>
          <w:sz w:val="16"/>
        </w:rPr>
        <w:t xml:space="preserve"> “If any large country truly becomes a national security threat to another large country it may well be far more likely than it would be in today's climate,” Di Bello said. “Barring that, it would be unlikely.”</w:t>
      </w:r>
      <w:r w:rsidRPr="00F07B7C">
        <w:rPr>
          <w:sz w:val="12"/>
        </w:rPr>
        <w:t>¶</w:t>
      </w:r>
      <w:r w:rsidRPr="00F07B7C">
        <w:rPr>
          <w:sz w:val="16"/>
        </w:rPr>
        <w:t xml:space="preserve"> For that reason, major cyber attacks are much more likely in areas where there is already armed conflict, or the potential for it. Robert M. Lee, cofounder of Dragos Security and a former U.S Air Force cyber warfare operations officer, noted that the attack on Ukraine’s grid, widely attributed to Russia, was, “simply an extension of what was going on with the military.</w:t>
      </w:r>
      <w:r w:rsidRPr="00F07B7C">
        <w:rPr>
          <w:sz w:val="12"/>
        </w:rPr>
        <w:t>¶</w:t>
      </w:r>
      <w:r w:rsidRPr="00F07B7C">
        <w:rPr>
          <w:sz w:val="16"/>
        </w:rPr>
        <w:t xml:space="preserve"> That, he said, would increase the likelihood of attacks between countries like North and South Korea, or between Iran and Israel – “traditional conflict areas,” as he put it.</w:t>
      </w:r>
      <w:r w:rsidRPr="00F07B7C">
        <w:rPr>
          <w:sz w:val="12"/>
        </w:rPr>
        <w:t>¶</w:t>
      </w:r>
      <w:r w:rsidRPr="00F07B7C">
        <w:rPr>
          <w:sz w:val="16"/>
        </w:rPr>
        <w:t xml:space="preserve"> </w:t>
      </w:r>
      <w:r w:rsidRPr="00F07B7C">
        <w:rPr>
          <w:rStyle w:val="StyleUnderline"/>
        </w:rPr>
        <w:t>Of course that leaves out terrorist organizations that don’t represent any nation state and which give no indication that it would trouble them at all to take down the world economy.</w:t>
      </w:r>
      <w:r w:rsidRPr="00F07B7C">
        <w:rPr>
          <w:rStyle w:val="StyleUnderline"/>
          <w:sz w:val="12"/>
        </w:rPr>
        <w:t>¶</w:t>
      </w:r>
      <w:r w:rsidRPr="00F07B7C">
        <w:rPr>
          <w:sz w:val="16"/>
        </w:rPr>
        <w:t xml:space="preserve"> </w:t>
      </w:r>
      <w:r w:rsidRPr="00F07B7C">
        <w:rPr>
          <w:rStyle w:val="StyleUnderline"/>
        </w:rPr>
        <w:t>But</w:t>
      </w:r>
      <w:r w:rsidRPr="00F07B7C">
        <w:rPr>
          <w:sz w:val="16"/>
        </w:rPr>
        <w:t xml:space="preserve"> Lee and other </w:t>
      </w:r>
      <w:r w:rsidRPr="00F07B7C">
        <w:rPr>
          <w:rStyle w:val="StyleUnderline"/>
        </w:rPr>
        <w:t>experts said</w:t>
      </w:r>
      <w:r w:rsidRPr="00F07B7C">
        <w:rPr>
          <w:sz w:val="16"/>
        </w:rPr>
        <w:t xml:space="preserve"> this week </w:t>
      </w:r>
      <w:r w:rsidRPr="00F07B7C">
        <w:rPr>
          <w:rStyle w:val="StyleUnderline"/>
        </w:rPr>
        <w:t xml:space="preserve">that </w:t>
      </w:r>
      <w:r w:rsidRPr="00F07B7C">
        <w:rPr>
          <w:rStyle w:val="Emphasis"/>
        </w:rPr>
        <w:t>smaller organizations</w:t>
      </w:r>
      <w:r w:rsidRPr="00F07B7C">
        <w:rPr>
          <w:rStyle w:val="StyleUnderline"/>
        </w:rPr>
        <w:t xml:space="preserve"> – even lethal terrorist groups like ISIS – </w:t>
      </w:r>
      <w:r w:rsidRPr="00F07B7C">
        <w:rPr>
          <w:rStyle w:val="Emphasis"/>
        </w:rPr>
        <w:t>don't have the same capability as nation states</w:t>
      </w:r>
      <w:r w:rsidRPr="00F07B7C">
        <w:rPr>
          <w:sz w:val="16"/>
        </w:rPr>
        <w:t xml:space="preserve">. </w:t>
      </w:r>
      <w:r w:rsidRPr="00F07B7C">
        <w:rPr>
          <w:rStyle w:val="StyleUnderline"/>
        </w:rPr>
        <w:t>They say while the U.S. grid and other industrial control systems (ICS) have significant weaknesses – and U.S. adversaries are constantly probing those weaknesses – launching an effective, sustained attack is not as easy as some people, including high government officials, suggest.</w:t>
      </w:r>
      <w:r w:rsidRPr="00F07B7C">
        <w:rPr>
          <w:rStyle w:val="StyleUnderline"/>
          <w:sz w:val="12"/>
        </w:rPr>
        <w:t>¶</w:t>
      </w:r>
      <w:r w:rsidRPr="00F07B7C">
        <w:rPr>
          <w:sz w:val="16"/>
        </w:rPr>
        <w:t xml:space="preserve"> “It is significantly more difficult to do a high-confidence attack on ICS than people think,” Lee said “</w:t>
      </w:r>
      <w:r w:rsidRPr="00F07B7C">
        <w:rPr>
          <w:rStyle w:val="StyleUnderline"/>
        </w:rPr>
        <w:t>It doesn’t just involve the cyber component – it’s the engineering piece as well</w:t>
      </w:r>
      <w:r w:rsidRPr="00F07B7C">
        <w:rPr>
          <w:sz w:val="16"/>
        </w:rPr>
        <w:t>.”</w:t>
      </w:r>
      <w:r w:rsidRPr="00F07B7C">
        <w:rPr>
          <w:sz w:val="12"/>
        </w:rPr>
        <w:t>¶</w:t>
      </w:r>
      <w:r w:rsidRPr="00F07B7C">
        <w:rPr>
          <w:sz w:val="16"/>
        </w:rPr>
        <w:t xml:space="preserve"> Al Berman, president of Disaster Recovery Institute, agreed. He said one reason is that, over the past decade, there has been “tremendous sharing” about threat information among utility companies. The ICS ISAC (Information Sharing and Analysis Center) is “enormously strong,” he said.</w:t>
      </w:r>
      <w:r w:rsidRPr="00F07B7C">
        <w:rPr>
          <w:sz w:val="12"/>
        </w:rPr>
        <w:t>¶</w:t>
      </w:r>
      <w:r w:rsidRPr="00F07B7C">
        <w:rPr>
          <w:sz w:val="16"/>
        </w:rPr>
        <w:t xml:space="preserve"> A second is that most ICSs are not completely automated. “The big ones still require manual intervention,” he said. “There are manual bypasses occurring all the time – people are manning centers around the clock.”</w:t>
      </w:r>
      <w:r w:rsidRPr="00F07B7C">
        <w:rPr>
          <w:sz w:val="12"/>
        </w:rPr>
        <w:t>¶</w:t>
      </w:r>
      <w:r w:rsidRPr="00F07B7C">
        <w:rPr>
          <w:sz w:val="16"/>
        </w:rPr>
        <w:t xml:space="preserve"> That, he said, makes it more difficult for attackers to get control of a system remotely.</w:t>
      </w:r>
      <w:r w:rsidRPr="00F07B7C">
        <w:rPr>
          <w:sz w:val="12"/>
        </w:rPr>
        <w:t>¶</w:t>
      </w:r>
      <w:r w:rsidRPr="00F07B7C">
        <w:rPr>
          <w:sz w:val="16"/>
        </w:rPr>
        <w:t xml:space="preserve"> Third, he said, is that </w:t>
      </w:r>
      <w:r w:rsidRPr="00F07B7C">
        <w:rPr>
          <w:rStyle w:val="StyleUnderline"/>
        </w:rPr>
        <w:t>most utilities are privately owned and have different software, applications and system designs. That diversity makes it much more difficult to launch a coordinated attack on multiple systems.</w:t>
      </w:r>
      <w:r w:rsidRPr="00F07B7C">
        <w:rPr>
          <w:rStyle w:val="StyleUnderline"/>
          <w:sz w:val="12"/>
        </w:rPr>
        <w:t>¶</w:t>
      </w:r>
      <w:r w:rsidRPr="00F07B7C">
        <w:rPr>
          <w:sz w:val="16"/>
        </w:rPr>
        <w:t xml:space="preserve"> Dr. Paul Stockton, managing director at Sonecon, made that point in a recent paper titled “Superstorm Sandy: Implications for designing a post-cyber attack power restoration system.”</w:t>
      </w:r>
      <w:r w:rsidRPr="00F07B7C">
        <w:rPr>
          <w:sz w:val="12"/>
        </w:rPr>
        <w:t>¶</w:t>
      </w:r>
      <w:r w:rsidRPr="00F07B7C">
        <w:rPr>
          <w:sz w:val="16"/>
        </w:rPr>
        <w:t xml:space="preserve"> He wrote that </w:t>
      </w:r>
      <w:r w:rsidRPr="00F07B7C">
        <w:rPr>
          <w:rStyle w:val="StyleUnderline"/>
        </w:rPr>
        <w:t>the diversity of systems</w:t>
      </w:r>
      <w:r w:rsidRPr="00F07B7C">
        <w:rPr>
          <w:sz w:val="16"/>
        </w:rPr>
        <w:t xml:space="preserve"> would likely impede recovery efforts after a major attack, but would also </w:t>
      </w:r>
      <w:r w:rsidRPr="00F07B7C">
        <w:rPr>
          <w:rStyle w:val="StyleUnderline"/>
        </w:rPr>
        <w:t>have the benefit of making large-scale attacks much more difficult in the first place.</w:t>
      </w:r>
      <w:r w:rsidRPr="00F07B7C">
        <w:rPr>
          <w:rStyle w:val="StyleUnderline"/>
          <w:sz w:val="12"/>
        </w:rPr>
        <w:t xml:space="preserve">¶ </w:t>
      </w:r>
      <w:r w:rsidRPr="00F07B7C">
        <w:rPr>
          <w:sz w:val="16"/>
        </w:rPr>
        <w:t>“</w:t>
      </w:r>
      <w:r w:rsidRPr="00F07B7C">
        <w:rPr>
          <w:rStyle w:val="StyleUnderline"/>
        </w:rPr>
        <w:t xml:space="preserve">The enormous </w:t>
      </w:r>
      <w:r w:rsidRPr="00F07B7C">
        <w:rPr>
          <w:rStyle w:val="Emphasis"/>
        </w:rPr>
        <w:t>diversity of</w:t>
      </w:r>
      <w:r w:rsidRPr="00F07B7C">
        <w:rPr>
          <w:rStyle w:val="StyleUnderline"/>
        </w:rPr>
        <w:t xml:space="preserve"> ICS </w:t>
      </w:r>
      <w:r w:rsidRPr="00F07B7C">
        <w:rPr>
          <w:rStyle w:val="Emphasis"/>
        </w:rPr>
        <w:t>software and control system components</w:t>
      </w:r>
      <w:r w:rsidRPr="00F07B7C">
        <w:rPr>
          <w:rStyle w:val="StyleUnderline"/>
        </w:rPr>
        <w:t xml:space="preserve"> among utilities greatly </w:t>
      </w:r>
      <w:r w:rsidRPr="00F07B7C">
        <w:rPr>
          <w:rStyle w:val="Emphasis"/>
        </w:rPr>
        <w:t>complicates</w:t>
      </w:r>
      <w:r w:rsidRPr="00F07B7C">
        <w:rPr>
          <w:rStyle w:val="StyleUnderline"/>
        </w:rPr>
        <w:t xml:space="preserve"> the task of </w:t>
      </w:r>
      <w:r w:rsidRPr="00F07B7C">
        <w:rPr>
          <w:rStyle w:val="Emphasis"/>
        </w:rPr>
        <w:t>conducting a ‘single-stroke’ attack to black</w:t>
      </w:r>
      <w:r w:rsidRPr="00F07B7C">
        <w:rPr>
          <w:rStyle w:val="StyleUnderline"/>
        </w:rPr>
        <w:t xml:space="preserve"> out an entire interconnect or </w:t>
      </w:r>
      <w:r w:rsidRPr="00F07B7C">
        <w:rPr>
          <w:rStyle w:val="Emphasis"/>
        </w:rPr>
        <w:t>the U.S. grid as a whole</w:t>
      </w:r>
      <w:r w:rsidRPr="00F07B7C">
        <w:rPr>
          <w:sz w:val="16"/>
        </w:rPr>
        <w:t>,” he wrote.</w:t>
      </w:r>
      <w:r w:rsidRPr="00F07B7C">
        <w:rPr>
          <w:sz w:val="12"/>
        </w:rPr>
        <w:t>¶</w:t>
      </w:r>
      <w:r w:rsidRPr="00F07B7C">
        <w:rPr>
          <w:sz w:val="16"/>
        </w:rPr>
        <w:t xml:space="preserve"> And according to Lee, </w:t>
      </w:r>
      <w:r w:rsidRPr="00F07B7C">
        <w:rPr>
          <w:rStyle w:val="StyleUnderline"/>
        </w:rPr>
        <w:t>even with all that diversity, critical infrastructure systems are relatively simple to defend.</w:t>
      </w:r>
      <w:r w:rsidRPr="00F07B7C">
        <w:rPr>
          <w:sz w:val="16"/>
        </w:rPr>
        <w:t xml:space="preserve"> “They are among the few networks on the planet that are defensible,” he said.</w:t>
      </w:r>
      <w:r w:rsidRPr="00F07B7C">
        <w:rPr>
          <w:sz w:val="12"/>
        </w:rPr>
        <w:t>¶</w:t>
      </w:r>
      <w:r w:rsidRPr="00F07B7C">
        <w:rPr>
          <w:sz w:val="16"/>
        </w:rPr>
        <w:t xml:space="preserve"> Added to that, said Lila Kee, chief product officer at GlobalSign, is that utility providers are very much aware of the threats, and highly motivated to defend against them.</w:t>
      </w:r>
      <w:r w:rsidRPr="00F07B7C">
        <w:rPr>
          <w:sz w:val="12"/>
        </w:rPr>
        <w:t>¶</w:t>
      </w:r>
      <w:r w:rsidRPr="00F07B7C">
        <w:rPr>
          <w:sz w:val="16"/>
        </w:rPr>
        <w:t xml:space="preserve"> “Grid providers don’t want to be any more regulated than they are, and they understand if they don’t address cyber security vulnerabilities, the government will do it for them,” she said. “It’s also important to note that </w:t>
      </w:r>
      <w:r w:rsidRPr="00F07B7C">
        <w:rPr>
          <w:rStyle w:val="StyleUnderline"/>
        </w:rPr>
        <w:t>grid providers have a self interest around protecting generation and transmission systems.”</w:t>
      </w:r>
    </w:p>
    <w:p w:rsidR="00C12070" w:rsidRPr="00F07B7C" w:rsidRDefault="00C12070" w:rsidP="00C12070">
      <w:pPr>
        <w:pStyle w:val="Heading3"/>
      </w:pPr>
      <w:r>
        <w:t>AT: Meltdowns</w:t>
      </w:r>
    </w:p>
    <w:p w:rsidR="00C12070" w:rsidRPr="00F07B7C" w:rsidRDefault="00C12070" w:rsidP="00C12070">
      <w:pPr>
        <w:pStyle w:val="Heading4"/>
      </w:pPr>
      <w:r w:rsidRPr="00F07B7C">
        <w:t>No meltdowns in the US and destructive attacks are non-UQ</w:t>
      </w:r>
    </w:p>
    <w:p w:rsidR="00C12070" w:rsidRPr="00F07B7C" w:rsidRDefault="00C12070" w:rsidP="00C12070">
      <w:r w:rsidRPr="00F07B7C">
        <w:rPr>
          <w:rStyle w:val="Style13ptBold"/>
        </w:rPr>
        <w:t>McBride 16</w:t>
      </w:r>
      <w:r w:rsidRPr="00F07B7C">
        <w:t xml:space="preserve"> (Stephen McBride - editor at Hard Assets Alliance, PhD in economics from Stanford University – “Is the US on the Verge of a Cyber Pearl Harbor?” – 11/8/16 - https://www.riskhedge.com/post/us-verge-cyber-pearl-harbor)/TK</w:t>
      </w:r>
    </w:p>
    <w:p w:rsidR="00C12070" w:rsidRPr="00F07B7C" w:rsidRDefault="00C12070" w:rsidP="00C12070">
      <w:pPr>
        <w:rPr>
          <w:rStyle w:val="StyleUnderline"/>
        </w:rPr>
      </w:pPr>
      <w:r w:rsidRPr="00F07B7C">
        <w:rPr>
          <w:rStyle w:val="StyleUnderline"/>
        </w:rPr>
        <w:t>In December 2015, hackers took down about one-third of Ukraine’s power stations, knocking out power to almost 250,000 people</w:t>
      </w:r>
      <w:r w:rsidRPr="00F07B7C">
        <w:rPr>
          <w:sz w:val="16"/>
        </w:rPr>
        <w:t>. Even though the outage only lasted about 12 hours, it resulted in major disruptions across the country.</w:t>
      </w:r>
      <w:r w:rsidRPr="00F07B7C">
        <w:rPr>
          <w:sz w:val="12"/>
        </w:rPr>
        <w:t>¶</w:t>
      </w:r>
      <w:r w:rsidRPr="00F07B7C">
        <w:rPr>
          <w:sz w:val="16"/>
        </w:rPr>
        <w:t xml:space="preserve"> </w:t>
      </w:r>
      <w:r w:rsidRPr="00F07B7C">
        <w:rPr>
          <w:rStyle w:val="StyleUnderline"/>
        </w:rPr>
        <w:t>One of the most sophisticated cyber attacks came in 2010, when hackers released a piece of malware called Stuxnet into the Iranian nuclear power system. This attack destroyed over 25% of its centrifuges</w:t>
      </w:r>
      <w:r w:rsidRPr="00F07B7C">
        <w:rPr>
          <w:sz w:val="16"/>
        </w:rPr>
        <w:t>. This happened in spite of the fact that facility was in tight lockdown… its computers were not even connected to an external network.</w:t>
      </w:r>
      <w:r w:rsidRPr="00F07B7C">
        <w:rPr>
          <w:sz w:val="12"/>
        </w:rPr>
        <w:t>¶</w:t>
      </w:r>
      <w:r w:rsidRPr="00F07B7C">
        <w:rPr>
          <w:sz w:val="16"/>
        </w:rPr>
        <w:t xml:space="preserve"> </w:t>
      </w:r>
      <w:r w:rsidRPr="00F07B7C">
        <w:rPr>
          <w:rStyle w:val="StyleUnderline"/>
        </w:rPr>
        <w:t xml:space="preserve">Another potential target is nuclear systems. These could be infected by a cyber virus. However, </w:t>
      </w:r>
      <w:r w:rsidRPr="00F07B7C">
        <w:rPr>
          <w:rStyle w:val="Emphasis"/>
        </w:rPr>
        <w:t>a nuclear meltdown emanating from a cyber attack is unlikely in the US</w:t>
      </w:r>
      <w:r w:rsidRPr="00F07B7C">
        <w:rPr>
          <w:sz w:val="16"/>
        </w:rPr>
        <w:t xml:space="preserve">. </w:t>
      </w:r>
      <w:r w:rsidRPr="00F07B7C">
        <w:rPr>
          <w:rStyle w:val="StyleUnderline"/>
        </w:rPr>
        <w:t>This is due to the Nuclear Regulatory Commission’s requirement that critical safety and security systems be isolated from the Internet.</w:t>
      </w:r>
    </w:p>
    <w:p w:rsidR="00C12070" w:rsidRPr="00F07B7C" w:rsidRDefault="00C12070" w:rsidP="00C12070">
      <w:pPr>
        <w:pStyle w:val="Heading4"/>
      </w:pPr>
      <w:r w:rsidRPr="00F07B7C">
        <w:t>Meltdowns don’t cause extinction - empirics</w:t>
      </w:r>
    </w:p>
    <w:p w:rsidR="00C12070" w:rsidRPr="00F07B7C" w:rsidRDefault="00C12070" w:rsidP="00C12070">
      <w:pPr>
        <w:rPr>
          <w:rFonts w:asciiTheme="majorHAnsi" w:hAnsiTheme="majorHAnsi"/>
        </w:rPr>
      </w:pPr>
      <w:r w:rsidRPr="00F07B7C">
        <w:rPr>
          <w:rStyle w:val="Style13ptBold"/>
        </w:rPr>
        <w:t>WNA 12</w:t>
      </w:r>
      <w:r w:rsidRPr="00F07B7C">
        <w:rPr>
          <w:rFonts w:asciiTheme="majorHAnsi" w:hAnsiTheme="majorHAnsi"/>
          <w:b/>
        </w:rPr>
        <w:t> </w:t>
      </w:r>
      <w:r w:rsidRPr="00F07B7C">
        <w:rPr>
          <w:rFonts w:asciiTheme="majorHAnsi" w:hAnsiTheme="majorHAnsi"/>
        </w:rPr>
        <w:t>(World nuclear association members are responsible for 95% of the world's nuclear power outside of the U.S., as well as the vast majority of world uranium, conversion and enrichment production, “Safety of Nuclear Power Reactors”, March 2012, WNA, </w:t>
      </w:r>
      <w:hyperlink r:id="rId49" w:tgtFrame="_blank" w:history="1">
        <w:r w:rsidRPr="00F07B7C">
          <w:rPr>
            <w:rStyle w:val="Hyperlink"/>
            <w:rFonts w:asciiTheme="majorHAnsi" w:hAnsiTheme="majorHAnsi"/>
          </w:rPr>
          <w:t>http://www.world-nuclear.org/info/inf06.html</w:t>
        </w:r>
      </w:hyperlink>
      <w:r w:rsidRPr="00F07B7C">
        <w:rPr>
          <w:rFonts w:asciiTheme="majorHAnsi" w:hAnsiTheme="majorHAnsi"/>
        </w:rPr>
        <w:t>)</w:t>
      </w:r>
    </w:p>
    <w:p w:rsidR="00C12070" w:rsidRPr="00F07B7C" w:rsidRDefault="00C12070" w:rsidP="00C12070">
      <w:pPr>
        <w:rPr>
          <w:sz w:val="16"/>
        </w:rPr>
      </w:pPr>
      <w:r w:rsidRPr="00F07B7C">
        <w:rPr>
          <w:sz w:val="16"/>
        </w:rPr>
        <w:t>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However, with nuclear power safety depends on much the same factors as in any comparable industry: intelligent planning, proper design with conservative margins and back-up systems, high-quality components and a well-developed safety culture in operations. A particular nuclear scenario was loss of cooling which resulted in melting of the nuclear reactor core, and this motivated studies on both the physical and chemical possibilities as well as the biological effects of any dispersed radioactivity. Those responsible for</w:t>
      </w:r>
      <w:r w:rsidRPr="00F07B7C">
        <w:rPr>
          <w:rStyle w:val="StyleUnderline"/>
          <w:rFonts w:asciiTheme="majorHAnsi" w:hAnsiTheme="majorHAnsi"/>
        </w:rPr>
        <w:t xml:space="preserve"> nuclear power technology </w:t>
      </w:r>
      <w:r w:rsidRPr="00F07B7C">
        <w:rPr>
          <w:sz w:val="16"/>
        </w:rPr>
        <w:t>in the West</w:t>
      </w:r>
      <w:r w:rsidRPr="00F07B7C">
        <w:rPr>
          <w:rStyle w:val="StyleUnderline"/>
          <w:rFonts w:asciiTheme="majorHAnsi" w:hAnsiTheme="majorHAnsi"/>
          <w:sz w:val="16"/>
        </w:rPr>
        <w:t xml:space="preserve"> </w:t>
      </w:r>
      <w:r w:rsidRPr="00F07B7C">
        <w:rPr>
          <w:rStyle w:val="StyleUnderline"/>
          <w:rFonts w:asciiTheme="majorHAnsi" w:hAnsiTheme="majorHAnsi"/>
        </w:rPr>
        <w:t>devoted extraordinary effort to ensuring that a meltdown </w:t>
      </w:r>
      <w:r w:rsidRPr="00F07B7C">
        <w:rPr>
          <w:sz w:val="16"/>
        </w:rPr>
        <w:t>of the reactor core </w:t>
      </w:r>
      <w:r w:rsidRPr="00F07B7C">
        <w:rPr>
          <w:rStyle w:val="StyleUnderline"/>
          <w:rFonts w:asciiTheme="majorHAnsi" w:hAnsiTheme="majorHAnsi"/>
        </w:rPr>
        <w:t xml:space="preserve">would not take place, </w:t>
      </w:r>
      <w:r w:rsidRPr="00F07B7C">
        <w:rPr>
          <w:sz w:val="16"/>
        </w:rPr>
        <w:t>since it was assumed that a meltdown of the core would create a major public hazard, and if uncontained, a tragic accident with likely multiple fatalities. In avoiding such accidents the industry has been very successful. In over 14,500 cumulative reactor-years of commercial operation in 32 countries, there have been only three major accidents to nuclear power plants - Three Mile Island, Chernobyl, and Fukushima - the second being of little relevance to reactor design outside the old Soviet bloc. It was not until the late 1970s that detailed analyses and large-scale testing, followed by the 1979 meltdown of the Three Mile Island reactor, began to make clear that </w:t>
      </w:r>
      <w:r w:rsidRPr="00F07B7C">
        <w:rPr>
          <w:rStyle w:val="StyleUnderline"/>
          <w:rFonts w:asciiTheme="majorHAnsi" w:hAnsiTheme="majorHAnsi"/>
        </w:rPr>
        <w:t>even the worst possible accident</w:t>
      </w:r>
      <w:r w:rsidRPr="00F07B7C">
        <w:rPr>
          <w:rStyle w:val="StyleUnderline"/>
          <w:rFonts w:asciiTheme="majorHAnsi" w:hAnsiTheme="majorHAnsi"/>
          <w:sz w:val="16"/>
        </w:rPr>
        <w:t> </w:t>
      </w:r>
      <w:r w:rsidRPr="00F07B7C">
        <w:rPr>
          <w:sz w:val="16"/>
        </w:rPr>
        <w:t>in a conventional western nuclear power plant or its fuel</w:t>
      </w:r>
      <w:r w:rsidRPr="00F07B7C">
        <w:rPr>
          <w:rStyle w:val="StyleUnderline"/>
          <w:rFonts w:asciiTheme="majorHAnsi" w:hAnsiTheme="majorHAnsi"/>
        </w:rPr>
        <w:t> would not be likely to cause</w:t>
      </w:r>
      <w:r w:rsidRPr="00F07B7C">
        <w:rPr>
          <w:rStyle w:val="StyleUnderline"/>
          <w:rFonts w:asciiTheme="majorHAnsi" w:hAnsiTheme="majorHAnsi"/>
          <w:sz w:val="16"/>
        </w:rPr>
        <w:t> </w:t>
      </w:r>
      <w:r w:rsidRPr="00F07B7C">
        <w:rPr>
          <w:sz w:val="16"/>
        </w:rPr>
        <w:t>dramatic</w:t>
      </w:r>
      <w:r w:rsidRPr="00F07B7C">
        <w:rPr>
          <w:rStyle w:val="StyleUnderline"/>
          <w:rFonts w:asciiTheme="majorHAnsi" w:hAnsiTheme="majorHAnsi"/>
          <w:sz w:val="16"/>
        </w:rPr>
        <w:t> </w:t>
      </w:r>
      <w:r w:rsidRPr="00F07B7C">
        <w:rPr>
          <w:rStyle w:val="StyleUnderline"/>
          <w:rFonts w:asciiTheme="majorHAnsi" w:hAnsiTheme="majorHAnsi"/>
        </w:rPr>
        <w:t>public harm</w:t>
      </w:r>
      <w:r w:rsidRPr="00F07B7C">
        <w:rPr>
          <w:rStyle w:val="StyleUnderline"/>
        </w:rPr>
        <w:t>. The industry still works hard to</w:t>
      </w:r>
      <w:r w:rsidRPr="00F07B7C">
        <w:rPr>
          <w:rStyle w:val="StyleUnderline"/>
          <w:rFonts w:asciiTheme="majorHAnsi" w:hAnsiTheme="majorHAnsi"/>
          <w:sz w:val="16"/>
        </w:rPr>
        <w:t xml:space="preserve"> </w:t>
      </w:r>
      <w:r w:rsidRPr="00F07B7C">
        <w:rPr>
          <w:rStyle w:val="StyleUnderline"/>
          <w:rFonts w:asciiTheme="majorHAnsi" w:hAnsiTheme="majorHAnsi"/>
        </w:rPr>
        <w:t>minimize the probability of a meltdown accident, but it is now clear that no-one need fear a potential public health catastrophe</w:t>
      </w:r>
      <w:r w:rsidRPr="00F07B7C">
        <w:rPr>
          <w:rStyle w:val="StyleUnderline"/>
          <w:rFonts w:asciiTheme="majorHAnsi" w:hAnsiTheme="majorHAnsi"/>
          <w:sz w:val="16"/>
        </w:rPr>
        <w:t xml:space="preserve"> </w:t>
      </w:r>
      <w:r w:rsidRPr="00F07B7C">
        <w:rPr>
          <w:sz w:val="16"/>
        </w:rPr>
        <w:t>simply because a fuel meltdown happens</w:t>
      </w:r>
      <w:r w:rsidRPr="00F07B7C">
        <w:rPr>
          <w:rStyle w:val="StyleUnderline"/>
          <w:rFonts w:asciiTheme="majorHAnsi" w:hAnsiTheme="majorHAnsi"/>
          <w:sz w:val="16"/>
        </w:rPr>
        <w:t>. </w:t>
      </w:r>
      <w:r w:rsidRPr="00F07B7C">
        <w:rPr>
          <w:rStyle w:val="StyleUnderline"/>
          <w:rFonts w:asciiTheme="majorHAnsi" w:hAnsiTheme="majorHAnsi"/>
        </w:rPr>
        <w:t xml:space="preserve">Fukushima has made that clear, </w:t>
      </w:r>
      <w:r w:rsidRPr="00F07B7C">
        <w:rPr>
          <w:sz w:val="16"/>
        </w:rPr>
        <w:t>with</w:t>
      </w:r>
      <w:r w:rsidRPr="00F07B7C">
        <w:rPr>
          <w:rStyle w:val="StyleUnderline"/>
          <w:rFonts w:asciiTheme="majorHAnsi" w:hAnsiTheme="majorHAnsi"/>
        </w:rPr>
        <w:t xml:space="preserve"> a triple meltdown causing no fatalities or serious radiation doses to anyone, </w:t>
      </w:r>
      <w:r w:rsidRPr="00F07B7C">
        <w:rPr>
          <w:sz w:val="16"/>
        </w:rPr>
        <w:t>while over two hundred people continued working on the site to mitigate the accident's effects. The decades-long test and analysis program showed that less radioactivity escapes from molten fuel than initially assumed, and that most of this radioactive material is not readily mobilized beyond the immediate internal structure. Thus, even if the containment structure that surrounds all modern nuclear plants were ruptured, as it has been with at least one of the Fukushima reactors, it is still very effective in preventing escape of most radioactivity. It is the laws of physics and the properties of materials that mitigate disaster, more than the required actions by safety equipment or personnel. In fact,</w:t>
      </w:r>
      <w:r w:rsidRPr="00F07B7C">
        <w:rPr>
          <w:rStyle w:val="StyleUnderline"/>
          <w:rFonts w:asciiTheme="majorHAnsi" w:hAnsiTheme="majorHAnsi"/>
          <w:sz w:val="16"/>
        </w:rPr>
        <w:t xml:space="preserve"> </w:t>
      </w:r>
      <w:r w:rsidRPr="00F07B7C">
        <w:rPr>
          <w:rStyle w:val="StyleUnderline"/>
          <w:rFonts w:asciiTheme="majorHAnsi" w:hAnsiTheme="majorHAnsi"/>
        </w:rPr>
        <w:t>licensing approval for new plants now requires that the effects of any core-melt accident must be confined to the plant itself, </w:t>
      </w:r>
      <w:r w:rsidRPr="00F07B7C">
        <w:rPr>
          <w:sz w:val="16"/>
        </w:rPr>
        <w:t>without the need to evacuate nearby residents. The three significant accidents in the 50-year history of civil nuclear power generation are: Three Mile Island (USA 1979) where the reactor was severely damaged but radiation was contained and there were no adverse health or environmental consequences </w:t>
      </w:r>
      <w:r w:rsidRPr="00F07B7C">
        <w:rPr>
          <w:rStyle w:val="StyleUnderline"/>
          <w:rFonts w:asciiTheme="majorHAnsi" w:hAnsiTheme="majorHAnsi"/>
        </w:rPr>
        <w:t>Chernobyl </w:t>
      </w:r>
      <w:r w:rsidRPr="00F07B7C">
        <w:rPr>
          <w:rStyle w:val="StyleUnderline"/>
          <w:rFonts w:asciiTheme="majorHAnsi" w:hAnsiTheme="majorHAnsi"/>
          <w:sz w:val="16"/>
        </w:rPr>
        <w:t>(</w:t>
      </w:r>
      <w:r w:rsidRPr="00F07B7C">
        <w:rPr>
          <w:sz w:val="16"/>
        </w:rPr>
        <w:t>Ukraine 1986) where the destruction of the reactor by steam explosion and fire </w:t>
      </w:r>
      <w:r w:rsidRPr="00F07B7C">
        <w:rPr>
          <w:rStyle w:val="StyleUnderline"/>
          <w:rFonts w:asciiTheme="majorHAnsi" w:hAnsiTheme="majorHAnsi"/>
        </w:rPr>
        <w:t>killed 31 people </w:t>
      </w:r>
      <w:r w:rsidRPr="00F07B7C">
        <w:rPr>
          <w:sz w:val="16"/>
        </w:rPr>
        <w:t>and had significant health and environmental consequences. The death toll has since</w:t>
      </w:r>
      <w:r w:rsidRPr="00F07B7C">
        <w:rPr>
          <w:rStyle w:val="StyleUnderline"/>
          <w:rFonts w:asciiTheme="majorHAnsi" w:hAnsiTheme="majorHAnsi"/>
          <w:sz w:val="16"/>
        </w:rPr>
        <w:t xml:space="preserve"> </w:t>
      </w:r>
      <w:r w:rsidRPr="00F07B7C">
        <w:rPr>
          <w:sz w:val="16"/>
        </w:rPr>
        <w:t>increased to about 5 Fukushima (Japan 2011) where three old reactors</w:t>
      </w:r>
      <w:r w:rsidRPr="00F07B7C">
        <w:rPr>
          <w:rStyle w:val="StyleUnderline"/>
          <w:rFonts w:asciiTheme="majorHAnsi" w:hAnsiTheme="majorHAnsi"/>
        </w:rPr>
        <w:t> </w:t>
      </w:r>
      <w:r w:rsidRPr="00F07B7C">
        <w:rPr>
          <w:sz w:val="16"/>
        </w:rPr>
        <w:t>(together with a fourth) were written off and the effects of loss of cooling due to a huge tsunami were inadequately contained. A table showing all reactor accidents, and a table listing some energy-related accidents with multiple fatalities are appended. </w:t>
      </w:r>
      <w:r w:rsidRPr="00F07B7C">
        <w:rPr>
          <w:rStyle w:val="StyleUnderline"/>
        </w:rPr>
        <w:t>These three significant accidents occurred during more than 14,000 reactor-years of civil operation. Of all the accidents and incidents, only the Chernobyl and Fukushima accidents resulted in radiation doses to the public greater than those resulting from the exposure to natural sources</w:t>
      </w:r>
      <w:r w:rsidRPr="00F07B7C">
        <w:rPr>
          <w:sz w:val="16"/>
        </w:rPr>
        <w:t>. The Fukushima accident resulted in some radiation exposure of workers at the plant, but not such as to threaten their health, unlike Chernobyl. Other incidents (and one 'accident') have been completely confined to the plant. Apart from Chernobyl, no nuclear workers or members of the public have ever died as a result of exposure to radiation due to a commercial nuclear reactor incident. Most of the serious radiological injuries and deaths that occur each year (2-4 deaths and many more exposures above regulatory limits) are the result of large uncontrolled radiation sources, such as abandoned medical or industrial equipment. (There have also been a number of accidents in experimental reactors and in one military plutonium-producing pile - at Windscale, UK, in 1957, but none of these resulted in loss of life outside the actual plant, or long-term environmental contamination.) See also Table 2 in Appendix. </w:t>
      </w:r>
    </w:p>
    <w:p w:rsidR="00C12070" w:rsidRPr="00F07B7C" w:rsidRDefault="00C12070" w:rsidP="00C12070">
      <w:pPr>
        <w:rPr>
          <w:rFonts w:eastAsia="SimSun"/>
          <w:b/>
          <w:lang w:eastAsia="zh-CN"/>
        </w:rPr>
      </w:pPr>
    </w:p>
    <w:p w:rsidR="00C12070" w:rsidRPr="00F07B7C" w:rsidRDefault="00C12070" w:rsidP="00C12070">
      <w:pPr>
        <w:rPr>
          <w:rFonts w:eastAsia="SimSun"/>
          <w:b/>
          <w:lang w:eastAsia="zh-CN"/>
        </w:rPr>
      </w:pPr>
      <w:r w:rsidRPr="00F07B7C">
        <w:rPr>
          <w:rFonts w:eastAsia="SimSun"/>
          <w:b/>
          <w:lang w:eastAsia="zh-CN"/>
        </w:rPr>
        <w:t>No risk of a meltdown and no impact to it</w:t>
      </w:r>
    </w:p>
    <w:p w:rsidR="00C12070" w:rsidRPr="00F07B7C" w:rsidRDefault="00C12070" w:rsidP="00C12070">
      <w:pPr>
        <w:rPr>
          <w:rFonts w:eastAsia="SimSun"/>
          <w:lang w:eastAsia="zh-CN"/>
        </w:rPr>
      </w:pPr>
      <w:r w:rsidRPr="00F07B7C">
        <w:rPr>
          <w:rFonts w:eastAsia="SimSun"/>
          <w:b/>
          <w:lang w:eastAsia="zh-CN"/>
        </w:rPr>
        <w:t>Wald 11</w:t>
      </w:r>
      <w:r w:rsidRPr="00F07B7C">
        <w:rPr>
          <w:rFonts w:eastAsia="SimSun"/>
          <w:lang w:eastAsia="zh-CN"/>
        </w:rPr>
        <w:t xml:space="preserve"> (Matthew L Wald, energy correspondent for the New York Times, toured more than two dozen power reactors, B.A. in urban studies from Brown University, “N.R.C. Lowers Estimate of How Many Would Die in Meltdown”, NYT, 7/30/11, </w:t>
      </w:r>
      <w:hyperlink r:id="rId50" w:history="1">
        <w:r w:rsidRPr="00F07B7C">
          <w:rPr>
            <w:rFonts w:eastAsia="SimSun"/>
            <w:lang w:eastAsia="zh-CN"/>
          </w:rPr>
          <w:t>http://www.nytimes.com/2011/07/30/science/earth/30radiation.html</w:t>
        </w:r>
      </w:hyperlink>
      <w:r w:rsidRPr="00F07B7C">
        <w:rPr>
          <w:rFonts w:eastAsia="SimSun"/>
          <w:lang w:eastAsia="zh-CN"/>
        </w:rPr>
        <w:t>)//sawyer</w:t>
      </w:r>
    </w:p>
    <w:p w:rsidR="00C12070" w:rsidRPr="00F07B7C" w:rsidRDefault="00C12070" w:rsidP="00C12070">
      <w:pPr>
        <w:rPr>
          <w:rFonts w:eastAsia="SimSun"/>
          <w:sz w:val="16"/>
          <w:lang w:eastAsia="zh-CN"/>
        </w:rPr>
      </w:pPr>
      <w:r w:rsidRPr="00F07B7C">
        <w:rPr>
          <w:rFonts w:eastAsia="SimSun"/>
          <w:sz w:val="16"/>
          <w:lang w:eastAsia="zh-CN"/>
        </w:rPr>
        <w:t xml:space="preserve">ROCKVILLE, Md. — The </w:t>
      </w:r>
      <w:r w:rsidRPr="00F07B7C">
        <w:rPr>
          <w:rFonts w:eastAsia="SimSun"/>
          <w:u w:val="single"/>
          <w:lang w:eastAsia="zh-CN"/>
        </w:rPr>
        <w:t>Nuclear Regulatory Commission</w:t>
      </w:r>
      <w:r w:rsidRPr="00F07B7C">
        <w:rPr>
          <w:rFonts w:eastAsia="SimSun"/>
          <w:sz w:val="16"/>
          <w:lang w:eastAsia="zh-CN"/>
        </w:rPr>
        <w:t xml:space="preserve"> is approaching completion of an ambitious </w:t>
      </w:r>
      <w:r w:rsidRPr="00F07B7C">
        <w:rPr>
          <w:rFonts w:eastAsia="SimSun"/>
          <w:u w:val="single"/>
          <w:lang w:eastAsia="zh-CN"/>
        </w:rPr>
        <w:t>study</w:t>
      </w:r>
      <w:r w:rsidRPr="00F07B7C">
        <w:rPr>
          <w:rFonts w:eastAsia="SimSun"/>
          <w:sz w:val="16"/>
          <w:lang w:eastAsia="zh-CN"/>
        </w:rPr>
        <w:t xml:space="preserve"> that </w:t>
      </w:r>
      <w:r w:rsidRPr="00F07B7C">
        <w:rPr>
          <w:rFonts w:eastAsia="SimSun"/>
          <w:u w:val="single"/>
          <w:lang w:eastAsia="zh-CN"/>
        </w:rPr>
        <w:t>concludes that a meltdown</w:t>
      </w:r>
      <w:r w:rsidRPr="00F07B7C">
        <w:rPr>
          <w:rFonts w:eastAsia="SimSun"/>
          <w:sz w:val="16"/>
          <w:lang w:eastAsia="zh-CN"/>
        </w:rPr>
        <w:t xml:space="preserve"> at a typical American reactor </w:t>
      </w:r>
      <w:r w:rsidRPr="00F07B7C">
        <w:rPr>
          <w:rStyle w:val="StyleUnderline"/>
        </w:rPr>
        <w:t>would lead to far fewer deaths than</w:t>
      </w:r>
      <w:r w:rsidRPr="00F07B7C">
        <w:rPr>
          <w:rFonts w:eastAsia="SimSun"/>
          <w:sz w:val="16"/>
          <w:lang w:eastAsia="zh-CN"/>
        </w:rPr>
        <w:t xml:space="preserve"> previously </w:t>
      </w:r>
      <w:r w:rsidRPr="00F07B7C">
        <w:rPr>
          <w:rStyle w:val="StyleUnderline"/>
        </w:rPr>
        <w:t>assumed</w:t>
      </w:r>
      <w:r w:rsidRPr="00F07B7C">
        <w:rPr>
          <w:rFonts w:eastAsia="SimSun"/>
          <w:sz w:val="16"/>
          <w:lang w:eastAsia="zh-CN"/>
        </w:rPr>
        <w:t xml:space="preserve">. The conclusion, to be published in April after six years of work, is based largely on a radical revision of projections of how much and how quickly cesium 137, a radioactive material that is created when uranium is split, could escape from a nuclear plant after a core meltdown. In </w:t>
      </w:r>
      <w:r w:rsidRPr="00F07B7C">
        <w:rPr>
          <w:rFonts w:eastAsia="SimSun" w:cs="Helvetica"/>
          <w:u w:val="single"/>
          <w:lang w:eastAsia="zh-CN"/>
        </w:rPr>
        <w:t>past studies</w:t>
      </w:r>
      <w:r w:rsidRPr="00F07B7C">
        <w:rPr>
          <w:rFonts w:eastAsia="SimSun"/>
          <w:sz w:val="16"/>
          <w:lang w:eastAsia="zh-CN"/>
        </w:rPr>
        <w:t xml:space="preserve">, researchers </w:t>
      </w:r>
      <w:r w:rsidRPr="00F07B7C">
        <w:rPr>
          <w:rFonts w:eastAsia="SimSun" w:cs="Helvetica"/>
          <w:u w:val="single"/>
          <w:lang w:eastAsia="zh-CN"/>
        </w:rPr>
        <w:t>estimated that 60 percent of a reactor core’s cesium</w:t>
      </w:r>
      <w:r w:rsidRPr="00F07B7C">
        <w:rPr>
          <w:rFonts w:eastAsia="SimSun"/>
          <w:sz w:val="16"/>
          <w:lang w:eastAsia="zh-CN"/>
        </w:rPr>
        <w:t xml:space="preserve"> inventory </w:t>
      </w:r>
      <w:r w:rsidRPr="00F07B7C">
        <w:rPr>
          <w:rFonts w:eastAsia="SimSun" w:cs="Helvetica"/>
          <w:u w:val="single"/>
          <w:lang w:eastAsia="zh-CN"/>
        </w:rPr>
        <w:t>could escape; the new estimate is only 1</w:t>
      </w:r>
      <w:r w:rsidRPr="00F07B7C">
        <w:rPr>
          <w:rFonts w:eastAsia="SimSun"/>
          <w:sz w:val="16"/>
          <w:lang w:eastAsia="zh-CN"/>
        </w:rPr>
        <w:t xml:space="preserve"> to 2 </w:t>
      </w:r>
      <w:r w:rsidRPr="00F07B7C">
        <w:rPr>
          <w:rFonts w:eastAsia="SimSun" w:cs="Helvetica"/>
          <w:u w:val="single"/>
          <w:lang w:eastAsia="zh-CN"/>
        </w:rPr>
        <w:t>percent.</w:t>
      </w:r>
      <w:r w:rsidRPr="00F07B7C">
        <w:rPr>
          <w:rFonts w:eastAsia="SimSun"/>
          <w:sz w:val="16"/>
          <w:lang w:eastAsia="zh-CN"/>
        </w:rPr>
        <w:t xml:space="preserve"> A draft version of the report was provided to The New York Times by the Union of Concerned Scientists, a nuclear watchdog group that has long been critical of the commission’s risk assessments and obtained it through a Freedom of Information Act request. Since the recent triple meltdown at the Fukushima Daiichi nuclear plant in Japan, such groups have been arguing that the commission urgently needs to tighten safeguards for new and aging plants in the United States. </w:t>
      </w:r>
      <w:r w:rsidRPr="00F07B7C">
        <w:rPr>
          <w:rFonts w:eastAsia="SimSun" w:cs="Helvetica"/>
          <w:u w:val="single"/>
          <w:lang w:eastAsia="zh-CN"/>
        </w:rPr>
        <w:t>The report is a synthesis of 20 years of computer studies and engineering analyses</w:t>
      </w:r>
      <w:r w:rsidRPr="00F07B7C">
        <w:rPr>
          <w:rFonts w:eastAsia="SimSun"/>
          <w:sz w:val="16"/>
          <w:lang w:eastAsia="zh-CN"/>
        </w:rPr>
        <w:t xml:space="preserve">, stated in complex mathematical terms. In essence, it states that </w:t>
      </w:r>
      <w:r w:rsidRPr="00F07B7C">
        <w:rPr>
          <w:rFonts w:eastAsia="SimSun" w:cs="Helvetica"/>
          <w:u w:val="single"/>
          <w:lang w:eastAsia="zh-CN"/>
        </w:rPr>
        <w:t xml:space="preserve">if a prolonged loss of electric power caused a typical American reactor core to melt down, the </w:t>
      </w:r>
      <w:r w:rsidRPr="00F07B7C">
        <w:rPr>
          <w:rFonts w:eastAsia="SimSun"/>
          <w:sz w:val="16"/>
          <w:lang w:eastAsia="zh-CN"/>
        </w:rPr>
        <w:t xml:space="preserve">great bulk of the </w:t>
      </w:r>
      <w:r w:rsidRPr="00F07B7C">
        <w:rPr>
          <w:rFonts w:eastAsia="SimSun" w:cs="Helvetica"/>
          <w:u w:val="single"/>
          <w:lang w:eastAsia="zh-CN"/>
        </w:rPr>
        <w:t>radioactive material released would remain inside the building</w:t>
      </w:r>
      <w:r w:rsidRPr="00F07B7C">
        <w:rPr>
          <w:rFonts w:eastAsia="SimSun"/>
          <w:sz w:val="16"/>
          <w:lang w:eastAsia="zh-CN"/>
        </w:rPr>
        <w:t xml:space="preserve"> even when the reactor’s containment shell was breached. </w:t>
      </w:r>
      <w:r w:rsidRPr="00F07B7C">
        <w:rPr>
          <w:rStyle w:val="StyleUnderline"/>
        </w:rPr>
        <w:t>Big releases</w:t>
      </w:r>
      <w:r w:rsidRPr="00F07B7C">
        <w:rPr>
          <w:rFonts w:eastAsia="SimSun" w:cs="Helvetica"/>
          <w:u w:val="single"/>
          <w:lang w:eastAsia="zh-CN"/>
        </w:rPr>
        <w:t xml:space="preserve"> of radioactive material would not be immediate, and people</w:t>
      </w:r>
      <w:r w:rsidRPr="00F07B7C">
        <w:rPr>
          <w:rFonts w:eastAsia="SimSun"/>
          <w:sz w:val="16"/>
          <w:lang w:eastAsia="zh-CN"/>
        </w:rPr>
        <w:t xml:space="preserve"> within a 10-mile radius </w:t>
      </w:r>
      <w:r w:rsidRPr="00F07B7C">
        <w:rPr>
          <w:rFonts w:eastAsia="SimSun" w:cs="Helvetica"/>
          <w:u w:val="single"/>
          <w:lang w:eastAsia="zh-CN"/>
        </w:rPr>
        <w:t>would have enough time to evacuate</w:t>
      </w:r>
      <w:r w:rsidRPr="00F07B7C">
        <w:rPr>
          <w:rFonts w:eastAsia="SimSun"/>
          <w:sz w:val="16"/>
          <w:lang w:eastAsia="zh-CN"/>
        </w:rPr>
        <w:t>, the study found. The chance of a death from acute radiation exposure within 10 miles is therefore near zero, the study projects, although some people would receive doses high enough to cause fatal cancers in decades to come. One person in every 4,348 living within 10 miles would be expected to develop a “latent cancer” as a result of radiation exposure, compared with one in 167 in previous estimates. “</w:t>
      </w:r>
      <w:r w:rsidRPr="00F07B7C">
        <w:rPr>
          <w:rFonts w:eastAsia="SimSun" w:cs="Helvetica"/>
          <w:u w:val="single"/>
          <w:lang w:eastAsia="zh-CN"/>
        </w:rPr>
        <w:t>Accidents progress more slowly, in some cases much more slowly, than previously assumed,”</w:t>
      </w:r>
      <w:r w:rsidRPr="00F07B7C">
        <w:rPr>
          <w:rFonts w:eastAsia="SimSun"/>
          <w:sz w:val="16"/>
          <w:lang w:eastAsia="zh-CN"/>
        </w:rPr>
        <w:t xml:space="preserve"> Charles G. </w:t>
      </w:r>
      <w:r w:rsidRPr="00F07B7C">
        <w:rPr>
          <w:rFonts w:eastAsia="SimSun" w:cs="Helvetica"/>
          <w:u w:val="single"/>
          <w:lang w:eastAsia="zh-CN"/>
        </w:rPr>
        <w:t>Tinkler, a senior adviser for research on severe accidents</w:t>
      </w:r>
      <w:r w:rsidRPr="00F07B7C">
        <w:rPr>
          <w:rFonts w:eastAsia="SimSun"/>
          <w:sz w:val="16"/>
          <w:lang w:eastAsia="zh-CN"/>
        </w:rPr>
        <w:t xml:space="preserve"> and one of the study’s authors, </w:t>
      </w:r>
      <w:r w:rsidRPr="00F07B7C">
        <w:rPr>
          <w:rFonts w:eastAsia="SimSun" w:cs="Helvetica"/>
          <w:u w:val="single"/>
          <w:lang w:eastAsia="zh-CN"/>
        </w:rPr>
        <w:t>said</w:t>
      </w:r>
      <w:r w:rsidRPr="00F07B7C">
        <w:rPr>
          <w:rFonts w:eastAsia="SimSun"/>
          <w:sz w:val="16"/>
          <w:lang w:eastAsia="zh-CN"/>
        </w:rPr>
        <w:t xml:space="preserve"> in an interview at a commission office building here. </w:t>
      </w:r>
      <w:r w:rsidRPr="00F07B7C">
        <w:rPr>
          <w:rFonts w:eastAsia="SimSun" w:cs="Helvetica"/>
          <w:u w:val="single"/>
          <w:lang w:eastAsia="zh-CN"/>
        </w:rPr>
        <w:t>“Releases are smaller</w:t>
      </w:r>
      <w:r w:rsidRPr="00F07B7C">
        <w:rPr>
          <w:rFonts w:eastAsia="SimSun"/>
          <w:sz w:val="16"/>
          <w:lang w:eastAsia="zh-CN"/>
        </w:rPr>
        <w:t xml:space="preserve">, and in some cases much smaller, of certain key radioactive materials.” The N.R.C. did not intend to release the report until next spring and said its conclusions were still being adjusted after a peer review. The health effects of a catastrophic meltdown were hypothetical until the 1979 accident at Three Mile Island. That destroyed a billion-dollar reactor but caused no apparent physical harm to nearby residents, immediately or over time. Debate has persisted over whether the United States skirted a disaster or whether that accident was about as bad as it could get. Edwin Lyman, a nuclear physicist with the Union of Concerned Scientists, contends that the nuclear commission has consistently painted an overly rosy picture and that its latest study does as well. He noted that the study assumed a successful evacuation of 99.5 percent of the people within 10 miles, for example. The report also assumes “average” weather conditions, he noted. But if a rainstorm were under way during a release of radioactive materials, he said, it could wash contaminants out of the air into a small area, producing a high dose there. Jennifer L. Uhle, the deputy director of the commission’s office of nuclear regulatory research, said the report was intended to present the “best estimate” and not the worst case. Dr. Lyman said the earlier estimate was of a different accident, a major pipe break. The new study considered that accident too unlikely to analyze. Dr. Lyman suggested that in projections of fatal cancer cases, the focus should be on people who live within 50 miles. The average population within 10 miles of an American nuclear plant is 62,000; within 50 miles, it is about five million. The commission’s old projection of eventual cancer deaths was one for every 2,128 people exposed within 50 miles; the new study projects one cancer death for every 6,250 people exposed, which still comes to hundreds of cancer deaths within the 50-mile circle, in addition to the hundreds of thousands who would be expected to die of cancer from other causes. Dr. Lyman countered that when dealing with estimates based on so many variables — including more than 100 reactors of different designs and vintage, in areas with disparate population densities — a difference of a factor of three is not important. In his view, the study reconfirms that reactors pose serious risks. The commission’s shift in thinking about how much radioactive cesium 137 would escape after a core meltdown is based on a conclusion that most of it would either dissolve in water that stays put or adhere to surfaces within the plant. The authors said previous analyses had made “conservative assumptions” that most of the cesium and other materials would escape. But laboratory studies and computer modeling have not borne out that hypothesis, they said. </w:t>
      </w:r>
      <w:r w:rsidRPr="00F07B7C">
        <w:rPr>
          <w:rFonts w:eastAsia="SimSun" w:cs="Helvetica"/>
          <w:u w:val="single"/>
          <w:lang w:eastAsia="zh-CN"/>
        </w:rPr>
        <w:t>Commission experts have said that a total blackout would be extremely rare</w:t>
      </w:r>
      <w:r w:rsidRPr="00F07B7C">
        <w:rPr>
          <w:rFonts w:eastAsia="SimSun"/>
          <w:sz w:val="16"/>
          <w:lang w:eastAsia="zh-CN"/>
        </w:rPr>
        <w:t xml:space="preserve"> at an American plant </w:t>
      </w:r>
      <w:r w:rsidRPr="00F07B7C">
        <w:rPr>
          <w:rFonts w:eastAsia="SimSun" w:cs="Helvetica"/>
          <w:u w:val="single"/>
          <w:lang w:eastAsia="zh-CN"/>
        </w:rPr>
        <w:t>and that backup generators and other machinery would fill the breach until grid power was restored</w:t>
      </w:r>
      <w:r w:rsidRPr="00F07B7C">
        <w:rPr>
          <w:rFonts w:eastAsia="SimSun"/>
          <w:sz w:val="16"/>
          <w:lang w:eastAsia="zh-CN"/>
        </w:rPr>
        <w:t>. Nonetheless, the study focused on what would happen in the event of a nuclear station blackout, meaning a complete loss of power from the grid and from backup diesel generators, and then an exhaustion of batteries that supply power, leading to a meltdown. That is what happened at Fukushima. The study focused on two common reactor types in this country: boiling-water reactors at the Peach Bottom Atomic Power Station in Pennsylvania, similar to those at Fukushima, and pressurized-water reactors at the Surry Power Station in Virginia. The study gives a highly detailed prediction of which equipment would stop operating; what temperatures, steam pressures and flows of water and steam would result; and where and when leaks would begin after a meltdown. It concluded that Peach Bottom would not release enough radioactive material to kill anyone immediately, although it could increase the rate of cancer deaths over future decades. At Surry, the probability was so low and the number of people living within 10 miles so small that the death toll would be a fraction of a person. The report was prepared by staff members of the Nuclear Regulatory Commission and Sandia National Laboratories, a Department of Energy lab. Beyond the revisions to be made as a result of the peer review, the report could undergo further changes after public comments are received next year. Once completed, it might be used by the commission when it analyzes proposed safety improvements in terms of costs and benefits, or decides where reactors should be located. “Once we think we know what the best estimate is, we think we can start thinking about applications,” said Jason H. Schaperow, a senior reactor systems engineer and one of the authors.</w:t>
      </w:r>
    </w:p>
    <w:p w:rsidR="00C12070" w:rsidRPr="00F07B7C" w:rsidRDefault="00C12070" w:rsidP="00C12070">
      <w:pPr>
        <w:rPr>
          <w:sz w:val="16"/>
        </w:rPr>
      </w:pPr>
    </w:p>
    <w:p w:rsidR="00C12070" w:rsidRPr="00F07B7C" w:rsidRDefault="00C12070" w:rsidP="00C12070">
      <w:pPr>
        <w:pStyle w:val="Heading4"/>
      </w:pPr>
      <w:r w:rsidRPr="00F07B7C">
        <w:t>Meltdowns don’t cause extinction - empirics</w:t>
      </w:r>
    </w:p>
    <w:p w:rsidR="00C12070" w:rsidRPr="00F07B7C" w:rsidRDefault="00C12070" w:rsidP="00C12070">
      <w:pPr>
        <w:rPr>
          <w:rFonts w:asciiTheme="majorHAnsi" w:hAnsiTheme="majorHAnsi"/>
        </w:rPr>
      </w:pPr>
      <w:r w:rsidRPr="00F07B7C">
        <w:rPr>
          <w:rStyle w:val="Style13ptBold"/>
        </w:rPr>
        <w:t>WNA 12</w:t>
      </w:r>
      <w:r w:rsidRPr="00F07B7C">
        <w:rPr>
          <w:rFonts w:asciiTheme="majorHAnsi" w:hAnsiTheme="majorHAnsi"/>
          <w:b/>
        </w:rPr>
        <w:t> </w:t>
      </w:r>
      <w:r w:rsidRPr="00F07B7C">
        <w:rPr>
          <w:rFonts w:asciiTheme="majorHAnsi" w:hAnsiTheme="majorHAnsi"/>
        </w:rPr>
        <w:t>(World nuclear association members are responsible for 95% of the world's nuclear power outside of the U.S., as well as the vast majority of world uranium, conversion and enrichment production, “Safety of Nuclear Power Reactors”, March 2012, WNA, </w:t>
      </w:r>
      <w:hyperlink r:id="rId51" w:tgtFrame="_blank" w:history="1">
        <w:r w:rsidRPr="00F07B7C">
          <w:rPr>
            <w:rStyle w:val="Hyperlink"/>
            <w:rFonts w:asciiTheme="majorHAnsi" w:hAnsiTheme="majorHAnsi"/>
          </w:rPr>
          <w:t>http://www.world-nuclear.org/info/inf06.html</w:t>
        </w:r>
      </w:hyperlink>
      <w:r w:rsidRPr="00F07B7C">
        <w:rPr>
          <w:rFonts w:asciiTheme="majorHAnsi" w:hAnsiTheme="majorHAnsi"/>
        </w:rPr>
        <w:t>)</w:t>
      </w:r>
    </w:p>
    <w:p w:rsidR="00C12070" w:rsidRPr="00F07B7C" w:rsidRDefault="00C12070" w:rsidP="00C12070">
      <w:pPr>
        <w:rPr>
          <w:sz w:val="16"/>
        </w:rPr>
      </w:pPr>
      <w:r w:rsidRPr="00F07B7C">
        <w:rPr>
          <w:sz w:val="16"/>
        </w:rPr>
        <w:t>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However, with nuclear power safety depends on much the same factors as in any comparable industry: intelligent planning, proper design with conservative margins and back-up systems, high-quality components and a well-developed safety culture in operations. A particular nuclear scenario was loss of cooling which resulted in melting of the nuclear reactor core, and this motivated studies on both the physical and chemical possibilities as well as the biological effects of any dispersed radioactivity. Those responsible for</w:t>
      </w:r>
      <w:r w:rsidRPr="00F07B7C">
        <w:rPr>
          <w:rStyle w:val="StyleUnderline"/>
          <w:rFonts w:asciiTheme="majorHAnsi" w:hAnsiTheme="majorHAnsi"/>
        </w:rPr>
        <w:t xml:space="preserve"> nuclear power technology </w:t>
      </w:r>
      <w:r w:rsidRPr="00F07B7C">
        <w:rPr>
          <w:sz w:val="16"/>
        </w:rPr>
        <w:t>in the West</w:t>
      </w:r>
      <w:r w:rsidRPr="00F07B7C">
        <w:rPr>
          <w:rStyle w:val="StyleUnderline"/>
          <w:rFonts w:asciiTheme="majorHAnsi" w:hAnsiTheme="majorHAnsi"/>
          <w:sz w:val="16"/>
        </w:rPr>
        <w:t xml:space="preserve"> </w:t>
      </w:r>
      <w:r w:rsidRPr="00F07B7C">
        <w:rPr>
          <w:rStyle w:val="StyleUnderline"/>
          <w:rFonts w:asciiTheme="majorHAnsi" w:hAnsiTheme="majorHAnsi"/>
        </w:rPr>
        <w:t>devoted extraordinary effort to ensuring that a meltdown </w:t>
      </w:r>
      <w:r w:rsidRPr="00F07B7C">
        <w:rPr>
          <w:sz w:val="16"/>
        </w:rPr>
        <w:t>of the reactor core </w:t>
      </w:r>
      <w:r w:rsidRPr="00F07B7C">
        <w:rPr>
          <w:rStyle w:val="StyleUnderline"/>
          <w:rFonts w:asciiTheme="majorHAnsi" w:hAnsiTheme="majorHAnsi"/>
        </w:rPr>
        <w:t xml:space="preserve">would not take place, </w:t>
      </w:r>
      <w:r w:rsidRPr="00F07B7C">
        <w:rPr>
          <w:sz w:val="16"/>
        </w:rPr>
        <w:t>since it was assumed that a meltdown of the core would create a major public hazard, and if uncontained, a tragic accident with likely multiple fatalities. In avoiding such accidents the industry has been very successful. In over 14,500 cumulative reactor-years of commercial operation in 32 countries, there have been only three major accidents to nuclear power plants - Three Mile Island, Chernobyl, and Fukushima - the second being of little relevance to reactor design outside the old Soviet bloc. It was not until the late 1970s that detailed analyses and large-scale testing, followed by the 1979 meltdown of the Three Mile Island reactor, began to make clear that </w:t>
      </w:r>
      <w:r w:rsidRPr="00F07B7C">
        <w:rPr>
          <w:rStyle w:val="StyleUnderline"/>
          <w:rFonts w:asciiTheme="majorHAnsi" w:hAnsiTheme="majorHAnsi"/>
        </w:rPr>
        <w:t>even the worst possible accident</w:t>
      </w:r>
      <w:r w:rsidRPr="00F07B7C">
        <w:rPr>
          <w:rStyle w:val="StyleUnderline"/>
          <w:rFonts w:asciiTheme="majorHAnsi" w:hAnsiTheme="majorHAnsi"/>
          <w:sz w:val="16"/>
        </w:rPr>
        <w:t> </w:t>
      </w:r>
      <w:r w:rsidRPr="00F07B7C">
        <w:rPr>
          <w:sz w:val="16"/>
        </w:rPr>
        <w:t>in a conventional western nuclear power plant or its fuel</w:t>
      </w:r>
      <w:r w:rsidRPr="00F07B7C">
        <w:rPr>
          <w:rStyle w:val="StyleUnderline"/>
          <w:rFonts w:asciiTheme="majorHAnsi" w:hAnsiTheme="majorHAnsi"/>
        </w:rPr>
        <w:t> would not be likely to cause</w:t>
      </w:r>
      <w:r w:rsidRPr="00F07B7C">
        <w:rPr>
          <w:rStyle w:val="StyleUnderline"/>
          <w:rFonts w:asciiTheme="majorHAnsi" w:hAnsiTheme="majorHAnsi"/>
          <w:sz w:val="16"/>
        </w:rPr>
        <w:t> </w:t>
      </w:r>
      <w:r w:rsidRPr="00F07B7C">
        <w:rPr>
          <w:sz w:val="16"/>
        </w:rPr>
        <w:t>dramatic</w:t>
      </w:r>
      <w:r w:rsidRPr="00F07B7C">
        <w:rPr>
          <w:rStyle w:val="StyleUnderline"/>
          <w:rFonts w:asciiTheme="majorHAnsi" w:hAnsiTheme="majorHAnsi"/>
          <w:sz w:val="16"/>
        </w:rPr>
        <w:t> </w:t>
      </w:r>
      <w:r w:rsidRPr="00F07B7C">
        <w:rPr>
          <w:rStyle w:val="StyleUnderline"/>
          <w:rFonts w:asciiTheme="majorHAnsi" w:hAnsiTheme="majorHAnsi"/>
        </w:rPr>
        <w:t>public harm</w:t>
      </w:r>
      <w:r w:rsidRPr="00F07B7C">
        <w:rPr>
          <w:rStyle w:val="StyleUnderline"/>
        </w:rPr>
        <w:t>. The industry still works hard to</w:t>
      </w:r>
      <w:r w:rsidRPr="00F07B7C">
        <w:rPr>
          <w:rStyle w:val="StyleUnderline"/>
          <w:rFonts w:asciiTheme="majorHAnsi" w:hAnsiTheme="majorHAnsi"/>
          <w:sz w:val="16"/>
        </w:rPr>
        <w:t xml:space="preserve"> </w:t>
      </w:r>
      <w:r w:rsidRPr="00F07B7C">
        <w:rPr>
          <w:rStyle w:val="StyleUnderline"/>
          <w:rFonts w:asciiTheme="majorHAnsi" w:hAnsiTheme="majorHAnsi"/>
        </w:rPr>
        <w:t>minimize the probability of a meltdown accident, but it is now clear that no-one need fear a potential public health catastrophe</w:t>
      </w:r>
      <w:r w:rsidRPr="00F07B7C">
        <w:rPr>
          <w:rStyle w:val="StyleUnderline"/>
          <w:rFonts w:asciiTheme="majorHAnsi" w:hAnsiTheme="majorHAnsi"/>
          <w:sz w:val="16"/>
        </w:rPr>
        <w:t xml:space="preserve"> </w:t>
      </w:r>
      <w:r w:rsidRPr="00F07B7C">
        <w:rPr>
          <w:sz w:val="16"/>
        </w:rPr>
        <w:t>simply because a fuel meltdown happens</w:t>
      </w:r>
      <w:r w:rsidRPr="00F07B7C">
        <w:rPr>
          <w:rStyle w:val="StyleUnderline"/>
          <w:rFonts w:asciiTheme="majorHAnsi" w:hAnsiTheme="majorHAnsi"/>
          <w:sz w:val="16"/>
        </w:rPr>
        <w:t>. </w:t>
      </w:r>
      <w:r w:rsidRPr="00F07B7C">
        <w:rPr>
          <w:rStyle w:val="StyleUnderline"/>
          <w:rFonts w:asciiTheme="majorHAnsi" w:hAnsiTheme="majorHAnsi"/>
        </w:rPr>
        <w:t xml:space="preserve">Fukushima has made that clear, </w:t>
      </w:r>
      <w:r w:rsidRPr="00F07B7C">
        <w:rPr>
          <w:sz w:val="16"/>
        </w:rPr>
        <w:t>with</w:t>
      </w:r>
      <w:r w:rsidRPr="00F07B7C">
        <w:rPr>
          <w:rStyle w:val="StyleUnderline"/>
          <w:rFonts w:asciiTheme="majorHAnsi" w:hAnsiTheme="majorHAnsi"/>
        </w:rPr>
        <w:t xml:space="preserve"> a triple meltdown causing no fatalities or serious radiation doses to anyone, </w:t>
      </w:r>
      <w:r w:rsidRPr="00F07B7C">
        <w:rPr>
          <w:sz w:val="16"/>
        </w:rPr>
        <w:t>while over two hundred people continued working on the site to mitigate the accident's effects. The decades-long test and analysis program showed that less radioactivity escapes from molten fuel than initially assumed, and that most of this radioactive material is not readily mobilized beyond the immediate internal structure. Thus, even if the containment structure that surrounds all modern nuclear plants were ruptured, as it has been with at least one of the Fukushima reactors, it is still very effective in preventing escape of most radioactivity. It is the laws of physics and the properties of materials that mitigate disaster, more than the required actions by safety equipment or personnel. In fact,</w:t>
      </w:r>
      <w:r w:rsidRPr="00F07B7C">
        <w:rPr>
          <w:rStyle w:val="StyleUnderline"/>
          <w:rFonts w:asciiTheme="majorHAnsi" w:hAnsiTheme="majorHAnsi"/>
          <w:sz w:val="16"/>
        </w:rPr>
        <w:t xml:space="preserve"> </w:t>
      </w:r>
      <w:r w:rsidRPr="00F07B7C">
        <w:rPr>
          <w:rStyle w:val="StyleUnderline"/>
          <w:rFonts w:asciiTheme="majorHAnsi" w:hAnsiTheme="majorHAnsi"/>
        </w:rPr>
        <w:t>licensing approval for new plants now requires that the effects of any core-melt accident must be confined to the plant itself, </w:t>
      </w:r>
      <w:r w:rsidRPr="00F07B7C">
        <w:rPr>
          <w:sz w:val="16"/>
        </w:rPr>
        <w:t>without the need to evacuate nearby residents. The three significant accidents in the 50-year history of civil nuclear power generation are: Three Mile Island (USA 1979) where the reactor was severely damaged but radiation was contained and there were no adverse health or environmental consequences </w:t>
      </w:r>
      <w:r w:rsidRPr="00F07B7C">
        <w:rPr>
          <w:rStyle w:val="StyleUnderline"/>
          <w:rFonts w:asciiTheme="majorHAnsi" w:hAnsiTheme="majorHAnsi"/>
        </w:rPr>
        <w:t>Chernobyl </w:t>
      </w:r>
      <w:r w:rsidRPr="00F07B7C">
        <w:rPr>
          <w:rStyle w:val="StyleUnderline"/>
          <w:rFonts w:asciiTheme="majorHAnsi" w:hAnsiTheme="majorHAnsi"/>
          <w:sz w:val="16"/>
        </w:rPr>
        <w:t>(</w:t>
      </w:r>
      <w:r w:rsidRPr="00F07B7C">
        <w:rPr>
          <w:sz w:val="16"/>
        </w:rPr>
        <w:t>Ukraine 1986) where the destruction of the reactor by steam explosion and fire </w:t>
      </w:r>
      <w:r w:rsidRPr="00F07B7C">
        <w:rPr>
          <w:rStyle w:val="StyleUnderline"/>
          <w:rFonts w:asciiTheme="majorHAnsi" w:hAnsiTheme="majorHAnsi"/>
        </w:rPr>
        <w:t>killed 31 people </w:t>
      </w:r>
      <w:r w:rsidRPr="00F07B7C">
        <w:rPr>
          <w:sz w:val="16"/>
        </w:rPr>
        <w:t>and had significant health and environmental consequences. The death toll has since</w:t>
      </w:r>
      <w:r w:rsidRPr="00F07B7C">
        <w:rPr>
          <w:rStyle w:val="StyleUnderline"/>
          <w:rFonts w:asciiTheme="majorHAnsi" w:hAnsiTheme="majorHAnsi"/>
          <w:sz w:val="16"/>
        </w:rPr>
        <w:t xml:space="preserve"> </w:t>
      </w:r>
      <w:r w:rsidRPr="00F07B7C">
        <w:rPr>
          <w:sz w:val="16"/>
        </w:rPr>
        <w:t>increased to about 5 Fukushima (Japan 2011) where three old reactors</w:t>
      </w:r>
      <w:r w:rsidRPr="00F07B7C">
        <w:rPr>
          <w:rStyle w:val="StyleUnderline"/>
          <w:rFonts w:asciiTheme="majorHAnsi" w:hAnsiTheme="majorHAnsi"/>
        </w:rPr>
        <w:t> </w:t>
      </w:r>
      <w:r w:rsidRPr="00F07B7C">
        <w:rPr>
          <w:sz w:val="16"/>
        </w:rPr>
        <w:t>(together with a fourth) were written off and the effects of loss of cooling due to a huge tsunami were inadequately contained. A table showing all reactor accidents, and a table listing some energy-related accidents with multiple fatalities are appended. </w:t>
      </w:r>
      <w:r w:rsidRPr="00F07B7C">
        <w:rPr>
          <w:rStyle w:val="StyleUnderline"/>
        </w:rPr>
        <w:t>These three significant accidents occurred during more than 14,000 reactor-years of civil operation. Of all the accidents and incidents, only the Chernobyl and Fukushima accidents resulted in radiation doses to the public greater than those resulting from the exposure to natural sources</w:t>
      </w:r>
      <w:r w:rsidRPr="00F07B7C">
        <w:rPr>
          <w:sz w:val="16"/>
        </w:rPr>
        <w:t>. The Fukushima accident resulted in some radiation exposure of workers at the plant, but not such as to threaten their health, unlike Chernobyl. Other incidents (and one 'accident') have been completely confined to the plant. Apart from Chernobyl, no nuclear workers or members of the public have ever died as a result of exposure to radiation due to a commercial nuclear reactor incident. Most of the serious radiological injuries and deaths that occur each year (2-4 deaths and many more exposures above regulatory limits) are the result of large uncontrolled radiation sources, such as abandoned medical or industrial equipment. (There have also been a number of accidents in experimental reactors and in one military plutonium-producing pile - at Windscale, UK, in 1957, but none of these resulted in loss of life outside the actual plant, or long-term environmental contamination.) See also Table 2 in Appendix. </w:t>
      </w:r>
    </w:p>
    <w:p w:rsidR="00C12070" w:rsidRDefault="00C12070" w:rsidP="00C12070">
      <w:pPr>
        <w:pStyle w:val="Heading3"/>
      </w:pPr>
      <w:r>
        <w:t>AT: Noko – SQ Solves</w:t>
      </w:r>
    </w:p>
    <w:p w:rsidR="00C12070" w:rsidRPr="00A31F54" w:rsidRDefault="00C12070" w:rsidP="00C12070">
      <w:pPr>
        <w:pStyle w:val="Heading4"/>
      </w:pPr>
      <w:r>
        <w:rPr>
          <w:rStyle w:val="StyleUnderline"/>
        </w:rPr>
        <w:t>Squo solves- Trump plans on using offensive cyber capabilities against North Korea</w:t>
      </w:r>
    </w:p>
    <w:p w:rsidR="00C12070" w:rsidRDefault="00C12070" w:rsidP="00C12070">
      <w:r>
        <w:rPr>
          <w:rStyle w:val="Style13ptBold"/>
        </w:rPr>
        <w:t>Read 17</w:t>
      </w:r>
      <w:r w:rsidRPr="003351C9">
        <w:t>-  a reporter for the pentagon and foreign policy</w:t>
      </w:r>
      <w:r>
        <w:t xml:space="preserve"> ( Russ | Daily Caller, “</w:t>
      </w:r>
      <w:r w:rsidRPr="00161638">
        <w:t>Trump Plans To Go On T</w:t>
      </w:r>
      <w:r>
        <w:t xml:space="preserve">he Offensive With Cyber Weapons| </w:t>
      </w:r>
      <w:r w:rsidRPr="00161638">
        <w:t>http://dailycaller.com/2017/01/20/trump-plans-to-go-on-the-offensive-with-cyber-weapons/|</w:t>
      </w:r>
      <w:r>
        <w:t xml:space="preserve"> January 20, 2017| DOA 7/19/17| KG)</w:t>
      </w:r>
    </w:p>
    <w:p w:rsidR="00C12070" w:rsidRPr="003351C9" w:rsidRDefault="00C12070" w:rsidP="00C12070">
      <w:r w:rsidRPr="003351C9">
        <w:rPr>
          <w:rStyle w:val="StyleUnderline"/>
        </w:rPr>
        <w:t>The</w:t>
      </w:r>
      <w:r>
        <w:t xml:space="preserve"> newly updated </w:t>
      </w:r>
      <w:r w:rsidRPr="003351C9">
        <w:rPr>
          <w:rStyle w:val="StyleUnderline"/>
        </w:rPr>
        <w:t xml:space="preserve">White House </w:t>
      </w:r>
      <w:r>
        <w:t xml:space="preserve">website </w:t>
      </w:r>
      <w:r w:rsidRPr="003351C9">
        <w:rPr>
          <w:rStyle w:val="StyleUnderline"/>
        </w:rPr>
        <w:t>reveals plans to prioritize both offensive and defensive cyber capabilities by the new administration</w:t>
      </w:r>
      <w:r>
        <w:t xml:space="preserve">. </w:t>
      </w:r>
      <w:r w:rsidRPr="003351C9">
        <w:rPr>
          <w:rStyle w:val="StyleUnderline"/>
        </w:rPr>
        <w:t>Openly indicating potential willingness to utilize offensive cyber weapons is a relatively new change in U.S. policy,</w:t>
      </w:r>
      <w:r>
        <w:t xml:space="preserve"> </w:t>
      </w:r>
      <w:r w:rsidRPr="003351C9">
        <w:rPr>
          <w:rStyle w:val="StyleUnderline"/>
        </w:rPr>
        <w:t>as such matters have historically been kept top secret</w:t>
      </w:r>
      <w:r>
        <w:t>. “</w:t>
      </w:r>
      <w:r w:rsidRPr="003351C9">
        <w:rPr>
          <w:rStyle w:val="StyleUnderline"/>
        </w:rPr>
        <w:t>Cyberwarfare is an emerging battlefiel</w:t>
      </w:r>
      <w:r>
        <w:t xml:space="preserve">d, </w:t>
      </w:r>
      <w:r w:rsidRPr="003351C9">
        <w:rPr>
          <w:rStyle w:val="StyleUnderline"/>
        </w:rPr>
        <w:t>and we must take every measure to safeguard our national security secrets and systems</w:t>
      </w:r>
      <w:r>
        <w:t>,” stated the White House website Friday. “</w:t>
      </w:r>
      <w:r w:rsidRPr="003351C9">
        <w:rPr>
          <w:rStyle w:val="StyleUnderline"/>
        </w:rPr>
        <w:t>We will make it a priority to develop defensive and offensive cyber capabilities at our U.S. Cyber Command, and recruit the best and brightest Americans to serve in this crucial area.</w:t>
      </w:r>
      <w:r>
        <w:t xml:space="preserve">” </w:t>
      </w:r>
      <w:r w:rsidRPr="003351C9">
        <w:rPr>
          <w:rStyle w:val="StyleUnderline"/>
        </w:rPr>
        <w:t>Trump promised to increase U.S. cyber capabilities throughout his campaign, repeatedly noting that countries like Russia, North Korea and China are hacking important U.S. military and civilian infrastructure</w:t>
      </w:r>
      <w:r>
        <w:t xml:space="preserve">. After winning the election, </w:t>
      </w:r>
      <w:r w:rsidRPr="003351C9">
        <w:rPr>
          <w:rStyle w:val="StyleUnderline"/>
        </w:rPr>
        <w:t>he named former New York Mayor Rudolph Giuliani to act as his cybersecurity adviser</w:t>
      </w:r>
      <w:r>
        <w:t xml:space="preserve">. A prosecutor by trade, </w:t>
      </w:r>
      <w:r w:rsidRPr="003351C9">
        <w:rPr>
          <w:rStyle w:val="StyleUnderline"/>
        </w:rPr>
        <w:t>Giuliani currently heads up the Giuliani Partners cybersecurity consulting firm.</w:t>
      </w:r>
      <w:r>
        <w:rPr>
          <w:rStyle w:val="StyleUnderline"/>
        </w:rPr>
        <w:t xml:space="preserve"> </w:t>
      </w:r>
      <w:r>
        <w:t>“</w:t>
      </w:r>
      <w:r w:rsidRPr="003351C9">
        <w:rPr>
          <w:rStyle w:val="StyleUnderline"/>
        </w:rPr>
        <w:t>This is a rapidly evolving field both as to intrusions and solutions and it is critically important to get timely information from all sources</w:t>
      </w:r>
      <w:r>
        <w:t>,” the Trump transition team said in a statement. “</w:t>
      </w:r>
      <w:r w:rsidRPr="003351C9">
        <w:t>Mr. Giuliani was asked to initiate this process because of his long and very successful government career in law enforcement and his now sixteen years of work providing security solutions in the private sector</w:t>
      </w:r>
      <w:r w:rsidRPr="003351C9">
        <w:rPr>
          <w:rStyle w:val="StyleUnderline"/>
        </w:rPr>
        <w:t>.”</w:t>
      </w:r>
      <w:r>
        <w:rPr>
          <w:rStyle w:val="StyleUnderline"/>
        </w:rPr>
        <w:t xml:space="preserve"> </w:t>
      </w:r>
      <w:r w:rsidRPr="003351C9">
        <w:rPr>
          <w:rStyle w:val="StyleUnderline"/>
        </w:rPr>
        <w:t>Cyber weapons are one of the country’s most closely guarded secrets, but the computer worm known as Stuxnet brought the issue in the spotlight after it destroyed Iranian nuclear centrifuges</w:t>
      </w:r>
      <w:r>
        <w:t xml:space="preserve"> </w:t>
      </w:r>
      <w:r w:rsidRPr="003351C9">
        <w:rPr>
          <w:rStyle w:val="StyleUnderline"/>
        </w:rPr>
        <w:t>in 2010.</w:t>
      </w:r>
      <w:r>
        <w:t xml:space="preserve"> While the origin of the worm is unknown, </w:t>
      </w:r>
      <w:r w:rsidRPr="003351C9">
        <w:rPr>
          <w:rStyle w:val="StyleUnderline"/>
        </w:rPr>
        <w:t>cybersecurity experts believe it was a joint Israel-U.S. project.</w:t>
      </w:r>
      <w:r>
        <w:t xml:space="preserve"> At the time, it was considered one of the most elaborate computer worms in existence.</w:t>
      </w:r>
    </w:p>
    <w:p w:rsidR="00C12070" w:rsidRPr="00E33E36" w:rsidRDefault="00C12070" w:rsidP="00C12070"/>
    <w:p w:rsidR="00C12070" w:rsidRDefault="00C12070" w:rsidP="00C12070">
      <w:pPr>
        <w:pStyle w:val="Heading3"/>
      </w:pPr>
      <w:r>
        <w:t>1NC Cognitive Technologies CP</w:t>
      </w:r>
    </w:p>
    <w:p w:rsidR="00C12070" w:rsidRDefault="00C12070" w:rsidP="00C12070">
      <w:pPr>
        <w:pStyle w:val="Heading4"/>
      </w:pPr>
      <w:r>
        <w:t>The United States Federal Government should increase funding of corporations that develop cognitive technologies to ensure cyber security.</w:t>
      </w:r>
    </w:p>
    <w:p w:rsidR="00C12070" w:rsidRPr="00560D01" w:rsidRDefault="00C12070" w:rsidP="00C12070"/>
    <w:p w:rsidR="00C12070" w:rsidRDefault="00C12070" w:rsidP="00C12070">
      <w:pPr>
        <w:pStyle w:val="Heading4"/>
      </w:pPr>
      <w:r>
        <w:t>Cognitive technologies alleviate workforce shortages and create cyber security opportunities</w:t>
      </w:r>
    </w:p>
    <w:p w:rsidR="00C12070" w:rsidRPr="00FD0079" w:rsidRDefault="00C12070" w:rsidP="00C12070">
      <w:r>
        <w:rPr>
          <w:rStyle w:val="Style13ptBold"/>
        </w:rPr>
        <w:t xml:space="preserve">Golden and Johnson 17 - </w:t>
      </w:r>
      <w:r w:rsidRPr="00FD0079">
        <w:t>Deborah Golden is a principal in Deloitte &amp; Touche LLP’s Advisory practice, ith a specialization in Cyber Risk Services, as well as within the Federal, Life Sciences &amp; Health Care, and Financial Services industries. Ted is the Defense and National Security research manager with Deloitte’s Center for Government Insig</w:t>
      </w:r>
      <w:r>
        <w:t>hts within Deloitte Services LP. A</w:t>
      </w:r>
      <w:r w:rsidRPr="00FD0079">
        <w:t xml:space="preserve"> retired commander in the United States Navy where he primarily focused on cyber policy and signals intelligence</w:t>
      </w:r>
      <w:r>
        <w:t xml:space="preserve"> (Deborah and Ted | Deloitte University Press, “Augmented security: How cognitive technologies can address the cyber workforce shortage” | </w:t>
      </w:r>
      <w:r w:rsidRPr="00FD0079">
        <w:t>https://dupress.deloitte.com/dup-us-en/industry/public-sector/addressing-cybersecurity-talent-shortage.html</w:t>
      </w:r>
      <w:r>
        <w:t xml:space="preserve"> | June 8, 2017| DOA: 7/16/17| KG)</w:t>
      </w:r>
    </w:p>
    <w:p w:rsidR="00C12070" w:rsidRDefault="00C12070" w:rsidP="00C12070">
      <w:pPr>
        <w:rPr>
          <w:rStyle w:val="StyleUnderline"/>
        </w:rPr>
      </w:pPr>
      <w:r w:rsidRPr="005B5704">
        <w:rPr>
          <w:rStyle w:val="StyleUnderline"/>
        </w:rPr>
        <w:t>Cybersecurity professionals agree</w:t>
      </w:r>
      <w:r>
        <w:t xml:space="preserve">: Nine out of ten believe </w:t>
      </w:r>
      <w:r w:rsidRPr="005B5704">
        <w:rPr>
          <w:rStyle w:val="StyleUnderline"/>
        </w:rPr>
        <w:t>that technology could help compensate for skill shortages</w:t>
      </w:r>
      <w:r>
        <w:t>, and that “</w:t>
      </w:r>
      <w:r w:rsidRPr="005B5704">
        <w:rPr>
          <w:rStyle w:val="StyleUnderline"/>
        </w:rPr>
        <w:t>the solutions most likely to be outsourced are ones that lend themselves to automation” and other cognitive technologies</w:t>
      </w:r>
      <w:r>
        <w:t xml:space="preserve">.9 Here again, a framework to define and categorize skills can be useful. In identifying the work roles that are best suited to technological solutions and those where </w:t>
      </w:r>
      <w:r w:rsidRPr="005B5704">
        <w:rPr>
          <w:rStyle w:val="StyleUnderline"/>
        </w:rPr>
        <w:t>cognitive technologies can support faster, smarter human decision making, the cyber talent shortage can be addressed—or at least the gap may be minimized.</w:t>
      </w:r>
      <w:r>
        <w:rPr>
          <w:rStyle w:val="StyleUnderline"/>
        </w:rPr>
        <w:t xml:space="preserve"> </w:t>
      </w:r>
      <w:r>
        <w:t xml:space="preserve">THE ROLE FOR COGNITIVE TECHNOLOGIES So what exactly are cognitive technologies and how might they address the talent shortage? Cognitive </w:t>
      </w:r>
      <w:r w:rsidRPr="005B5704">
        <w:rPr>
          <w:rStyle w:val="StyleUnderline"/>
        </w:rPr>
        <w:t>computing refers to the “systems that learn at scale, reason with purpose, and interact with humans naturally</w:t>
      </w:r>
      <w:r>
        <w:t xml:space="preserve">.”10 They </w:t>
      </w:r>
      <w:r w:rsidRPr="005B5704">
        <w:rPr>
          <w:rStyle w:val="StyleUnderline"/>
        </w:rPr>
        <w:t>include</w:t>
      </w:r>
      <w:r>
        <w:t xml:space="preserve"> technologies such as </w:t>
      </w:r>
      <w:r w:rsidRPr="005B5704">
        <w:rPr>
          <w:rStyle w:val="StyleUnderline"/>
        </w:rPr>
        <w:t>artificial intelligence, text and speech processing, automation and robotics, and machine learning</w:t>
      </w:r>
      <w:r>
        <w:t xml:space="preserve">. </w:t>
      </w:r>
      <w:r w:rsidRPr="005B5704">
        <w:rPr>
          <w:rStyle w:val="StyleUnderline"/>
        </w:rPr>
        <w:t>Their use can</w:t>
      </w:r>
      <w:r>
        <w:t xml:space="preserve"> typically </w:t>
      </w:r>
      <w:r w:rsidRPr="005B5704">
        <w:rPr>
          <w:rStyle w:val="StyleUnderline"/>
        </w:rPr>
        <w:t>be</w:t>
      </w:r>
      <w:r>
        <w:t xml:space="preserve"> categorized in three primary ways: in product applications to improve customer benefits, in process applications </w:t>
      </w:r>
      <w:r w:rsidRPr="005B5704">
        <w:rPr>
          <w:rStyle w:val="StyleUnderline"/>
        </w:rPr>
        <w:t>to improve an organization’s workflow and operations, and for insights that can help inform decisions</w:t>
      </w:r>
      <w:r>
        <w:t xml:space="preserve">.11 </w:t>
      </w:r>
      <w:r w:rsidRPr="005B5704">
        <w:rPr>
          <w:rStyle w:val="StyleUnderline"/>
        </w:rPr>
        <w:t>For example</w:t>
      </w:r>
      <w:r>
        <w:t xml:space="preserve">, an executive at a leading investment firm noted its </w:t>
      </w:r>
      <w:r w:rsidRPr="005B5704">
        <w:rPr>
          <w:rStyle w:val="StyleUnderline"/>
        </w:rPr>
        <w:t>cybersecurity analysts were spending 30 to 45 minutes working through checklists</w:t>
      </w:r>
      <w:r>
        <w:t xml:space="preserve"> </w:t>
      </w:r>
      <w:r w:rsidRPr="005B5704">
        <w:rPr>
          <w:rStyle w:val="StyleUnderline"/>
        </w:rPr>
        <w:t>in the course of investigating security alerts</w:t>
      </w:r>
      <w:r>
        <w:t xml:space="preserve">. Moreover, </w:t>
      </w:r>
      <w:r w:rsidRPr="005B5704">
        <w:rPr>
          <w:rStyle w:val="StyleUnderline"/>
        </w:rPr>
        <w:t>because the work was monotonous, the analysts began skipping steps, resulting in less rigorous examinations of incidents</w:t>
      </w:r>
      <w:r>
        <w:t xml:space="preserve">. </w:t>
      </w:r>
      <w:r w:rsidRPr="005B5704">
        <w:rPr>
          <w:rStyle w:val="StyleUnderline"/>
        </w:rPr>
        <w:t>But by automating the process, investigations were conducted in 40 seconds</w:t>
      </w:r>
      <w:r>
        <w:t xml:space="preserve">, </w:t>
      </w:r>
      <w:r w:rsidRPr="005B5704">
        <w:rPr>
          <w:rStyle w:val="StyleUnderline"/>
        </w:rPr>
        <w:t>and</w:t>
      </w:r>
      <w:r>
        <w:t xml:space="preserve"> </w:t>
      </w:r>
      <w:r w:rsidRPr="005B5704">
        <w:rPr>
          <w:rStyle w:val="StyleUnderline"/>
        </w:rPr>
        <w:t>analysts were freed up to focus on remediation</w:t>
      </w:r>
      <w:r>
        <w:t xml:space="preserve">. </w:t>
      </w:r>
      <w:r w:rsidRPr="005B5704">
        <w:rPr>
          <w:rStyle w:val="StyleUnderline"/>
        </w:rPr>
        <w:t>The end result? Productivity of analysts tripled</w:t>
      </w:r>
      <w:r>
        <w:t xml:space="preserve">, with each one doing the work it would have taken three people to do prior to the integration of automated processes.12 </w:t>
      </w:r>
      <w:r w:rsidRPr="005B5704">
        <w:t>Not only did</w:t>
      </w:r>
      <w:r w:rsidRPr="005B5704">
        <w:rPr>
          <w:rStyle w:val="StyleUnderline"/>
        </w:rPr>
        <w:t xml:space="preserve"> this help address the firm’s talent shortage</w:t>
      </w:r>
      <w:r w:rsidRPr="005B5704">
        <w:t>, but it seemed to aid in retention as well</w:t>
      </w:r>
      <w:r>
        <w:t>—</w:t>
      </w:r>
      <w:r w:rsidRPr="005B5704">
        <w:t>employees were more satisfied now that the tedium of checklist completion was replaced with more challenging and exciting work.</w:t>
      </w:r>
      <w:r>
        <w:t xml:space="preserve"> But to truly leverage the power of cognitive technologies, an organization could have employed data analytics to examine extremely large amounts of network traffic. One estimate shows that “a medium-size network with 20,000 devices (laptops, smartphones, and servers) will transmit more than 5 gigabits of data every second and 50 terabytes of data in a 24-hour period.”13 </w:t>
      </w:r>
      <w:r w:rsidRPr="005B5704">
        <w:rPr>
          <w:rStyle w:val="StyleUnderline"/>
        </w:rPr>
        <w:t>Using supercomputers and artificial intelligence systems to analyze such large data streams could have helped detect advanced threats in near-real-time, identified the most likely types of attacks against the network, revealed patterns of network and user behavior for stronger authentication procedures</w:t>
      </w:r>
      <w:r>
        <w:t xml:space="preserve">, </w:t>
      </w:r>
      <w:r w:rsidRPr="005B5704">
        <w:rPr>
          <w:rStyle w:val="StyleUnderline"/>
        </w:rPr>
        <w:t>and improved management of all devices connected to the network</w:t>
      </w:r>
      <w:r>
        <w:t xml:space="preserve">. Thus, </w:t>
      </w:r>
      <w:r w:rsidRPr="005B5704">
        <w:rPr>
          <w:rStyle w:val="StyleUnderline"/>
        </w:rPr>
        <w:t>analysts</w:t>
      </w:r>
      <w:r>
        <w:t xml:space="preserve"> would not only accomplish more in less time, their </w:t>
      </w:r>
      <w:r w:rsidRPr="005B5704">
        <w:rPr>
          <w:rStyle w:val="StyleUnderline"/>
        </w:rPr>
        <w:t>workload would be focused and prioritized on the most pressing issues</w:t>
      </w:r>
      <w:r>
        <w:t xml:space="preserve">. Importantly, such technological advances also require savvy cyber professionals with a particular set of skills that can recognize and act on the insights gleaned from processing big data sets. Just as the cyberthreat is emblematic of a changing world, </w:t>
      </w:r>
      <w:r w:rsidRPr="005B5704">
        <w:rPr>
          <w:rStyle w:val="StyleUnderline"/>
        </w:rPr>
        <w:t>the talent required to mitigate those threats should also change and adapt to the evolving security environmen</w:t>
      </w:r>
      <w:r>
        <w:t xml:space="preserve">t. </w:t>
      </w:r>
      <w:r w:rsidRPr="005B5704">
        <w:rPr>
          <w:rStyle w:val="StyleUnderline"/>
        </w:rPr>
        <w:t>Cognitive technologies can help direct the efforts of these professionals, thereby getting the best utilization of their time and skills</w:t>
      </w:r>
      <w:r>
        <w:t xml:space="preserve">. Ultimately, </w:t>
      </w:r>
      <w:r w:rsidRPr="005B5704">
        <w:rPr>
          <w:rStyle w:val="StyleUnderline"/>
        </w:rPr>
        <w:t>cognitive technologies can mitigate the effects of cyber talent shortages in two primary ways</w:t>
      </w:r>
      <w:r>
        <w:t xml:space="preserve">. </w:t>
      </w:r>
      <w:r w:rsidRPr="005B5704">
        <w:rPr>
          <w:rStyle w:val="StyleUnderline"/>
        </w:rPr>
        <w:t>First</w:t>
      </w:r>
      <w:r>
        <w:t xml:space="preserve">, the lingering, unaddressed, or </w:t>
      </w:r>
      <w:r w:rsidRPr="005B5704">
        <w:rPr>
          <w:rStyle w:val="StyleUnderline"/>
        </w:rPr>
        <w:t>low-priority cybersecurity issues resulting from personnel strains and shortages can be remedied by applying cognitive technologies</w:t>
      </w:r>
      <w:r>
        <w:t xml:space="preserve">. </w:t>
      </w:r>
      <w:r w:rsidRPr="005B5704">
        <w:rPr>
          <w:rStyle w:val="StyleUnderline"/>
        </w:rPr>
        <w:t>And second, they can help inform</w:t>
      </w:r>
      <w:r>
        <w:t xml:space="preserve"> </w:t>
      </w:r>
      <w:r w:rsidRPr="005B5704">
        <w:rPr>
          <w:rStyle w:val="StyleUnderline"/>
        </w:rPr>
        <w:t>smarter decisions through the use of artificial intelligence and advanced techniques, such as data analytics, which permits a forward-looking, predictive approach to security challenges.</w:t>
      </w:r>
    </w:p>
    <w:p w:rsidR="00C12070" w:rsidRPr="00780EE9" w:rsidRDefault="00C12070" w:rsidP="00C12070">
      <w:pPr>
        <w:rPr>
          <w:rStyle w:val="StyleUnderline"/>
        </w:rPr>
      </w:pPr>
    </w:p>
    <w:p w:rsidR="00C12070" w:rsidRDefault="00C12070" w:rsidP="00C12070">
      <w:pPr>
        <w:pStyle w:val="Heading4"/>
      </w:pPr>
      <w:r>
        <w:t>CP is popular with the Trump administration- creates Jobs</w:t>
      </w:r>
    </w:p>
    <w:p w:rsidR="00C12070" w:rsidRPr="00B62D43" w:rsidRDefault="00C12070" w:rsidP="00C12070">
      <w:pPr>
        <w:rPr>
          <w:rStyle w:val="Style13ptBold"/>
        </w:rPr>
      </w:pPr>
      <w:r w:rsidRPr="00B62D43">
        <w:rPr>
          <w:rStyle w:val="Style13ptBold"/>
        </w:rPr>
        <w:t>DeAngelis 17</w:t>
      </w:r>
      <w:r>
        <w:rPr>
          <w:rStyle w:val="Style13ptBold"/>
        </w:rPr>
        <w:t xml:space="preserve"> - </w:t>
      </w:r>
      <w:r w:rsidRPr="00B62D43">
        <w:t>a technology and manufacturing sector entrepreneur and patent holder with over 25 years of experience of advanced cognitive computing technologies and applied mathematics to commercial industries and governmental agencies.</w:t>
      </w:r>
      <w:r>
        <w:t xml:space="preserve"> ( Stephen F. | Enterra Solutions, “</w:t>
      </w:r>
      <w:r w:rsidRPr="00B62D43">
        <w:t>Use Cognitive Technologies to Reduce Offshoring and Create U.S. Jobs</w:t>
      </w:r>
      <w:r>
        <w:t xml:space="preserve">”| </w:t>
      </w:r>
      <w:r w:rsidRPr="00B62D43">
        <w:t>http://www.enterrasolutions.com/use-cognitive-technologies-reduce-offshoring-create-jobs/|</w:t>
      </w:r>
      <w:r>
        <w:t xml:space="preserve"> March 3, 2017| DOA: 7/19/17| KG)</w:t>
      </w:r>
    </w:p>
    <w:p w:rsidR="00C12070" w:rsidRPr="00560D01" w:rsidRDefault="00C12070" w:rsidP="00C12070">
      <w:r w:rsidRPr="00B62D43">
        <w:rPr>
          <w:rStyle w:val="StyleUnderline"/>
        </w:rPr>
        <w:t>The business world is in turmoil over President Donald Trump’s emphasis on reinvigorating manufacturing jobs in America</w:t>
      </w:r>
      <w:r>
        <w:t xml:space="preserve">. </w:t>
      </w:r>
      <w:r w:rsidRPr="00B62D43">
        <w:rPr>
          <w:rStyle w:val="StyleUnderline"/>
        </w:rPr>
        <w:t>He</w:t>
      </w:r>
      <w:r>
        <w:t xml:space="preserve"> </w:t>
      </w:r>
      <w:r w:rsidRPr="00B62D43">
        <w:rPr>
          <w:rStyle w:val="StyleUnderline"/>
        </w:rPr>
        <w:t xml:space="preserve">pushed hard to save 800 jobs </w:t>
      </w:r>
      <w:r>
        <w:t>in Indiana by convincing Carrier not to close a plant in Indianapolis; but Carrier’s corporate parent, United Technologies, has admitted some of those jobs will be eliminated after the plant is updated and automated. Bowing to the President’s agenda, Ford canceled plans to build a factory in Mexico, but</w:t>
      </w:r>
      <w:r w:rsidRPr="00B62D43">
        <w:rPr>
          <w:rStyle w:val="StyleUnderline"/>
        </w:rPr>
        <w:t xml:space="preserve"> a</w:t>
      </w:r>
      <w:r>
        <w:t xml:space="preserve">utomation means that decision will also have limited impact on jobs creation. </w:t>
      </w:r>
      <w:r w:rsidRPr="00B62D43">
        <w:rPr>
          <w:rStyle w:val="StyleUnderline"/>
        </w:rPr>
        <w:t>That’s why many analysts believe the President’s focus on manufacturing jobs is misplace</w:t>
      </w:r>
      <w:r>
        <w:t xml:space="preserve">d. Andrew Tangel (@AndrewTangel) and Patrick McGroarty (@patmcgroarty) explain, “Factories were humming back to life even before a pledge to revitalize American manufacturing helped propel Donald Trump to the presidency. But </w:t>
      </w:r>
      <w:r w:rsidRPr="00B62D43">
        <w:rPr>
          <w:rStyle w:val="StyleUnderline"/>
        </w:rPr>
        <w:t>jobs aren’t returning in kind, a reality that will make it tough for Mr. Trump</w:t>
      </w:r>
      <w:r>
        <w:t xml:space="preserve"> — or anyone — </w:t>
      </w:r>
      <w:r w:rsidRPr="00B62D43">
        <w:rPr>
          <w:rStyle w:val="StyleUnderline"/>
        </w:rPr>
        <w:t>to significantly boost employment in the industrial heartland, as he has pledged to do</w:t>
      </w:r>
      <w:r>
        <w:t xml:space="preserve">. Technology and automation have given manufacturing companies the means to function, and even thrive, with fewer employees than ever before.”[1] Don’t get me wrong, like </w:t>
      </w:r>
      <w:r w:rsidRPr="00B62D43">
        <w:rPr>
          <w:rStyle w:val="StyleUnderline"/>
        </w:rPr>
        <w:t>the</w:t>
      </w:r>
      <w:r>
        <w:t xml:space="preserve"> </w:t>
      </w:r>
      <w:r w:rsidRPr="00B62D43">
        <w:rPr>
          <w:rStyle w:val="StyleUnderline"/>
        </w:rPr>
        <w:t>President</w:t>
      </w:r>
      <w:r>
        <w:t xml:space="preserve">, I </w:t>
      </w:r>
      <w:r w:rsidRPr="00B62D43">
        <w:rPr>
          <w:rStyle w:val="StyleUnderline"/>
        </w:rPr>
        <w:t>believe that manufacturing is important to</w:t>
      </w:r>
      <w:r>
        <w:t xml:space="preserve"> America for a number of reasons, including </w:t>
      </w:r>
      <w:r w:rsidRPr="00B62D43">
        <w:rPr>
          <w:rStyle w:val="StyleUnderline"/>
        </w:rPr>
        <w:t>jobs</w:t>
      </w:r>
      <w:r>
        <w:t>. But many of the jobs created by increased manufacturing are not found on the factory floor but in the supply chain supporting manufacturing. People hoping for the return of their father’s factory jobs are likely to be disappointed. On the other hand, workers willing and eager to enter the cognitive era workforce should be both optimistic and enthusiastic. Kevin Kelly (@kevin2kelly), founding Executive Editor of Wired magazine, explains, “This is not a race against the machines. If we race against them, we lose. This is a race with the machines. Yo</w:t>
      </w:r>
      <w:r w:rsidRPr="00B62D43">
        <w:rPr>
          <w:rStyle w:val="StyleUnderline"/>
        </w:rPr>
        <w:t xml:space="preserve">u’ll be paid </w:t>
      </w:r>
      <w:r w:rsidRPr="00B62D43">
        <w:t>in the future</w:t>
      </w:r>
      <w:r w:rsidRPr="00B62D43">
        <w:rPr>
          <w:rStyle w:val="StyleUnderline"/>
        </w:rPr>
        <w:t xml:space="preserve"> based on how well you work with robots. </w:t>
      </w:r>
      <w:r w:rsidRPr="00B62D43">
        <w:t>Ninety percent of your coworkers will be unseen machines.</w:t>
      </w:r>
      <w:r w:rsidRPr="00B62D43">
        <w:rPr>
          <w:rStyle w:val="StyleUnderline"/>
        </w:rPr>
        <w:t xml:space="preserve"> Most of what you do will not be possible without them</w:t>
      </w:r>
      <w:r>
        <w:t xml:space="preserve">. </w:t>
      </w:r>
      <w:r w:rsidRPr="00B62D43">
        <w:rPr>
          <w:rStyle w:val="StyleUnderline"/>
        </w:rPr>
        <w:t>And there will be a blurry line between what you do and what they do. You might no longer think of it as a job, at least at first, because anything that resembles drudgery will be handed over to robots by the accountants</w:t>
      </w:r>
      <w:r>
        <w:t>.”[2] The Rise of Intelligent Agents (aka Software Robots) Not all process automation is done by physical robots. Intelligent agents (or software robots) are also beginning to penetrate the business environment. Frederick Mills and Robert Stufflebeam explain, “One sort of intelligent system of particular interest to cognitive scientists is that of an artificial autonomous intelligent agent. But what are they? Well, let’s break the term down. An agent is anything that is capable of acting upon information it perceives. An intelligent agent is an agent capable of making decisions about how it acts based on experience. An autonomous intelligent agent is an intelligent agent that is free to choose between different actions. As the term ‘artificial’ suggests, the sort of autonomous intelligent agents of interest to us here are not the sorts of things we find in the wild. Rather, they are created. Hence, an artificial autonomous intelligent agent is anything we create that is capable of actions based on information it perceives, its own experiences, and its own decisions about which action it performs.”[3] It could also be termed a cognitive agent, but the conventional term is intelligent agent. Some analysts predict intelligent agents will stimulate business growth. For example, the Institute for Robotic Process Automation (IRPA), asserts, “The automation of knowledge work will be this decade’s engine of growth.”[4] The Institute goes on to state, “By freeing up human labor to provide additional capacity for more strategic work, RPA simply creates more value with less investment.” I believe the Institute’s conclusion is on the right track; but, Robotic Process Automation (RPA) may be an unfortunate moniker. The terms “robotic” and “automation” conjure up industrial age images ill-suited to the cognitive era. That’s why I prefer the term of Cognitive Process Automation™ (CPA). It more correctly envisages the use of intelligent agents to improve business processes. Reshoring Outsourced Work Robotic Process Automation has its place. It’s particularly adept at performing routine tasks involving no ambiguity. Often these tasks are called “swivel chair” activities. Allan Surtees, head of IT at Gazprom Energy, explains, “It’s what they call ‘swivel chair’ work — clicking on multiple systems, getting data from one source and putting it into another, where people are actually stuck four or five hours a day just doing this boring, manual nonsense.”[5] Because these are not activities most employees want to do, many U.S. companies have offshored them to companies overseas. Using intelligent agents, these activities can be reshored to the United States, saving money and time, without adding drudgery to the workplace. Kristin Harris (@kristin1773), Marketing Manager at Deputy, insists “future-ready businesses” need to recognize the value of intelligent agents and their “implications on productivity.”[6] They include: Made in USA1. Increasing productivity. “Freeing up humans so they can focus on higher-value work is one of the more obvious benefits of machine integration. Technology has dramatically reshaped the workplace, not only making us more productive but fundamentally changing the types of jobs we do, and the way that we do them.” 2. Eliminating human error. “One of the greatest hindrances to business success is human error, which can diminish the quality of mission-critical outputs. There is no doubt that when it comes down to quality control, machines simply do a better job.” 3. Eliminating monotony. “It isn’t news that monotonous tasks are a major cause of employee dissatisfaction. … Interestingly, the things that make a task monotonous can also make it easier to automate. This is because the more repetitive, rules-based and predictable a task, the fewer variables need to be built into a machine’s movement, routine or programming so it can perform accurately and frequently.” Harris notes that another reason to employ intelligent agents is to “fill specialist roles.” Today’s business executives know that finding data scientists is becoming a big challenge. Cognitive computing systems — like the Enterra® Enterprise Cognitive System™ (ECS) — cannot only orchestrate cognitive process automation, they can take the place of hard to find analysts.</w:t>
      </w:r>
      <w:r>
        <w:rPr>
          <w:rStyle w:val="StyleUnderline"/>
        </w:rPr>
        <w:t xml:space="preserve"> </w:t>
      </w:r>
      <w:r>
        <w:t xml:space="preserve">Reshoring tasks that can leverage </w:t>
      </w:r>
      <w:r w:rsidRPr="00560D01">
        <w:rPr>
          <w:rStyle w:val="StyleUnderline"/>
        </w:rPr>
        <w:t>robotic process automation helps save jobs by making workers more productive</w:t>
      </w:r>
      <w:r>
        <w:t xml:space="preserve"> — what some analysts refer to as a Return on Improved Performance (ROIP). What </w:t>
      </w:r>
      <w:r w:rsidRPr="00560D01">
        <w:rPr>
          <w:rStyle w:val="StyleUnderline"/>
        </w:rPr>
        <w:t>America needs,</w:t>
      </w:r>
      <w:r>
        <w:t xml:space="preserve"> however, is </w:t>
      </w:r>
      <w:r w:rsidRPr="00560D01">
        <w:rPr>
          <w:rStyle w:val="StyleUnderline"/>
        </w:rPr>
        <w:t>new jobs</w:t>
      </w:r>
      <w:r>
        <w:t xml:space="preserve">. I believe </w:t>
      </w:r>
      <w:r w:rsidRPr="00560D01">
        <w:rPr>
          <w:rStyle w:val="StyleUnderline"/>
        </w:rPr>
        <w:t>cognitive process automation can help create those jobs</w:t>
      </w:r>
      <w:r>
        <w:t xml:space="preserve">. Cognitive Process Automation can go beyond accomplishing routine tasks and can actually help improve processes. As </w:t>
      </w:r>
      <w:r w:rsidRPr="00560D01">
        <w:rPr>
          <w:rStyle w:val="StyleUnderline"/>
        </w:rPr>
        <w:t>Bill Gates</w:t>
      </w:r>
      <w:r>
        <w:t xml:space="preserve"> once </w:t>
      </w:r>
      <w:r w:rsidRPr="00560D01">
        <w:rPr>
          <w:rStyle w:val="StyleUnderline"/>
        </w:rPr>
        <w:t>noted</w:t>
      </w:r>
      <w:r>
        <w:t xml:space="preserve">, “The first rule of any technology used in a business is that </w:t>
      </w:r>
      <w:r w:rsidRPr="00560D01">
        <w:rPr>
          <w:rStyle w:val="StyleUnderline"/>
        </w:rPr>
        <w:t>automation applied to an efficient operation will magnify the efficiency.</w:t>
      </w:r>
      <w:r>
        <w:t xml:space="preserve"> </w:t>
      </w:r>
      <w:r w:rsidRPr="00560D01">
        <w:rPr>
          <w:rStyle w:val="StyleUnderline"/>
        </w:rPr>
        <w:t>The second is that automation applied to an inefficient operation will magnify the inefficiency</w:t>
      </w:r>
      <w:r>
        <w:t xml:space="preserve">.” </w:t>
      </w:r>
      <w:r w:rsidRPr="00560D01">
        <w:rPr>
          <w:rStyle w:val="StyleUnderline"/>
        </w:rPr>
        <w:t>Because cognitive systems learn as they go, they can improve processes for which they are fit.</w:t>
      </w:r>
      <w:r>
        <w:t xml:space="preserve"> So how does this create jobs? In some ways, that question is unanswerable and requires a bit of faith. Ira Wolfe (@HireAuthority) reports a study by the U.S</w:t>
      </w:r>
      <w:r w:rsidRPr="00560D01">
        <w:rPr>
          <w:rStyle w:val="StyleUnderline"/>
        </w:rPr>
        <w:t>. Department of Labor concludes, “65 percent of today’s schoolchildren will eventually be employed in jobs that have yet to be created</w:t>
      </w:r>
      <w:r>
        <w:t xml:space="preserve">.”[7] Who do you think will be creating those jobs? My guess is that many of today’s workers will be involved. If that is the case, many (if not most) of them will have to receive some kind of retraining and reskilling. </w:t>
      </w:r>
      <w:r w:rsidRPr="00560D01">
        <w:rPr>
          <w:rStyle w:val="StyleUnderline"/>
        </w:rPr>
        <w:t>As new industries emerge, new jobs will be created in those industries along with jobs supporting those industries.</w:t>
      </w:r>
      <w:r>
        <w:rPr>
          <w:rStyle w:val="StyleUnderline"/>
        </w:rPr>
        <w:t xml:space="preserve"> </w:t>
      </w:r>
      <w:r w:rsidRPr="00560D01">
        <w:rPr>
          <w:rStyle w:val="StyleUnderline"/>
        </w:rPr>
        <w:t>Cognitive computing</w:t>
      </w:r>
      <w:r>
        <w:t xml:space="preserve"> (along with other areas of artificial intelligence, including intelligent agents) </w:t>
      </w:r>
      <w:r w:rsidRPr="00560D01">
        <w:rPr>
          <w:rStyle w:val="StyleUnderline"/>
        </w:rPr>
        <w:t>will play a significant role in the creation of jobs</w:t>
      </w:r>
      <w:r>
        <w:t xml:space="preserve">. Thomas H. Davenport (@tdav), a Distinguished Professor at Babson College, writes, “That old clichéd triumvirate of ‘people, processes, and </w:t>
      </w:r>
      <w:r w:rsidRPr="00560D01">
        <w:t>technology’ became popular for a reason — we need all of them, no matter how impressive the technology is</w:t>
      </w:r>
      <w:r>
        <w:t xml:space="preserve">.”[8] I agree with him. There is a symbiotic relation between the three and one of the glues that will hold them together in the future is cognitive computing. Don’t get me wrong. I don’t believe the U.S. should become isolationist or curtail free trade. </w:t>
      </w:r>
      <w:r w:rsidRPr="00560D01">
        <w:rPr>
          <w:rStyle w:val="StyleUnderline"/>
        </w:rPr>
        <w:t>I’m saying there is a way to create good jobs in America by embracing the emerging technologies that will power the world economy for decades to come.</w:t>
      </w:r>
      <w:r>
        <w:t xml:space="preserve"> </w:t>
      </w:r>
      <w:r w:rsidRPr="00560D01">
        <w:rPr>
          <w:rStyle w:val="StyleUnderline"/>
        </w:rPr>
        <w:t>You don’t have to withdraw into a past that will never be recreated in order to move forward</w:t>
      </w:r>
      <w:r>
        <w:t>.</w:t>
      </w:r>
    </w:p>
    <w:p w:rsidR="00C12070" w:rsidRDefault="00C12070" w:rsidP="00C12070"/>
    <w:p w:rsidR="00C12070" w:rsidRDefault="00C12070" w:rsidP="00C12070">
      <w:pPr>
        <w:pStyle w:val="Heading3"/>
      </w:pPr>
      <w:r>
        <w:t>2NC Cognitive Technologies CP</w:t>
      </w:r>
    </w:p>
    <w:p w:rsidR="00C12070" w:rsidRDefault="00C12070" w:rsidP="00C12070">
      <w:pPr>
        <w:pStyle w:val="Heading4"/>
      </w:pPr>
      <w:r>
        <w:t>Cognitive technologies solve better than human workforce</w:t>
      </w:r>
    </w:p>
    <w:p w:rsidR="00C12070" w:rsidRPr="004944F6" w:rsidRDefault="00C12070" w:rsidP="00C12070">
      <w:r>
        <w:rPr>
          <w:rStyle w:val="Style13ptBold"/>
        </w:rPr>
        <w:t xml:space="preserve">Golden and Johnson 17 - </w:t>
      </w:r>
      <w:r w:rsidRPr="00FD0079">
        <w:t>Deborah Golden is a principal in Deloitte &amp; Touche LLP’s Advisory practice, ith a specialization in Cyber Risk Services, as well as within the Federal, Life Sciences &amp; Health Care, and Financial Services industries. Ted is the Defense and National Security research manager with Deloitte’s Center for Government Insig</w:t>
      </w:r>
      <w:r>
        <w:t>hts within Deloitte Services LP. A</w:t>
      </w:r>
      <w:r w:rsidRPr="00FD0079">
        <w:t xml:space="preserve"> retired commander in the United States Navy where he primarily focused on cyber policy and signals intelligence</w:t>
      </w:r>
      <w:r>
        <w:t xml:space="preserve"> (Deborah and Ted | Deloitte University Press, “Augmented security: How cognitive technologies can address the cyber workforce shortage” | </w:t>
      </w:r>
      <w:r w:rsidRPr="00FD0079">
        <w:t>https://dupress.deloitte.com/dup-us-en/industry/public-sector/addressing-cybersecurity-talent-shortage.html</w:t>
      </w:r>
      <w:r>
        <w:t xml:space="preserve"> | June 8, 2017| DOA: 7/16/17| KG)</w:t>
      </w:r>
    </w:p>
    <w:p w:rsidR="00C12070" w:rsidRDefault="00C12070" w:rsidP="00C12070">
      <w:pPr>
        <w:rPr>
          <w:rStyle w:val="StyleUnderline"/>
        </w:rPr>
      </w:pPr>
      <w:r>
        <w:t xml:space="preserve">Perhaps </w:t>
      </w:r>
      <w:r w:rsidRPr="00FD0079">
        <w:rPr>
          <w:rStyle w:val="StyleUnderline"/>
        </w:rPr>
        <w:t>a greater benefit of cognitive technologies</w:t>
      </w:r>
      <w:r>
        <w:t xml:space="preserve"> than the automation of repetitive tasks </w:t>
      </w:r>
      <w:r w:rsidRPr="00FD0079">
        <w:rPr>
          <w:rStyle w:val="StyleUnderline"/>
        </w:rPr>
        <w:t>is the analysis of large data sets to identify insights and discern patterns that may have otherwise gone unnoticed</w:t>
      </w:r>
      <w:r>
        <w:t xml:space="preserve">. </w:t>
      </w:r>
      <w:r w:rsidRPr="00FD0079">
        <w:rPr>
          <w:rStyle w:val="StyleUnderline"/>
        </w:rPr>
        <w:t>The amount of activity and alerts that occur in and around networks is simply too vast and complex for detailed human examination</w:t>
      </w:r>
      <w:r>
        <w:t xml:space="preserve">, even if no workforce shortage existed. But </w:t>
      </w:r>
      <w:r w:rsidRPr="00FD0079">
        <w:rPr>
          <w:rStyle w:val="StyleUnderline"/>
        </w:rPr>
        <w:t>with the assistance of advanced analytics and machine learning, cyber professionals can more quickly pinpoint the cause of issues or even address incidents before they occur</w:t>
      </w:r>
      <w:r>
        <w:t xml:space="preserve">. This pairing of data-derived insights with skilled personnel is an especially potent combination that can significantly reduce the impacts of a talent shortage. Consider </w:t>
      </w:r>
      <w:r w:rsidRPr="00FD0079">
        <w:rPr>
          <w:rStyle w:val="StyleUnderline"/>
        </w:rPr>
        <w:t>predictive cyber analytics</w:t>
      </w:r>
      <w:r>
        <w:t xml:space="preserve">. This technique </w:t>
      </w:r>
      <w:r w:rsidRPr="00FD0079">
        <w:rPr>
          <w:rStyle w:val="StyleUnderline"/>
        </w:rPr>
        <w:t>uses supercomputer processing power to sift through extremely large sets of data to identify malicious code, anomalous patterns, and other network threats that may not be readily apparent</w:t>
      </w:r>
      <w:r>
        <w:t>. When these insights are combined with an organization’s knowledge of its own network, c</w:t>
      </w:r>
      <w:r w:rsidRPr="00FD0079">
        <w:rPr>
          <w:rStyle w:val="StyleUnderline"/>
        </w:rPr>
        <w:t>yber professionals can identify the network’s weak points</w:t>
      </w:r>
      <w:r>
        <w:t xml:space="preserve">, characterize the type of attacks the network is most susceptible to, </w:t>
      </w:r>
      <w:r w:rsidRPr="00D4643A">
        <w:rPr>
          <w:rStyle w:val="StyleUnderline"/>
        </w:rPr>
        <w:t>and prioritize addressing the pertinent vulnerabilities</w:t>
      </w:r>
      <w:r>
        <w:t xml:space="preserve">. In this way, </w:t>
      </w:r>
      <w:r w:rsidRPr="00D4643A">
        <w:rPr>
          <w:rStyle w:val="StyleUnderline"/>
        </w:rPr>
        <w:t>human-machine teaming can produce better outcomes in less time</w:t>
      </w:r>
      <w:r>
        <w:t xml:space="preserve">. One of </w:t>
      </w:r>
      <w:r w:rsidRPr="00D4643A">
        <w:rPr>
          <w:rStyle w:val="StyleUnderline"/>
        </w:rPr>
        <w:t>cognitive technologies’ greatest advantages for cybersecurity is that they allow organizations to take a proactive approach instead of the more prevalent reactive stance</w:t>
      </w:r>
      <w:r>
        <w:t xml:space="preserve">. </w:t>
      </w:r>
      <w:r w:rsidRPr="00D4643A">
        <w:rPr>
          <w:rStyle w:val="StyleUnderline"/>
        </w:rPr>
        <w:t>Being able to predict where threats are most likely to occur</w:t>
      </w:r>
      <w:r>
        <w:t xml:space="preserve">, and then prevent them before they do, </w:t>
      </w:r>
      <w:r w:rsidRPr="00D4643A">
        <w:rPr>
          <w:rStyle w:val="StyleUnderline"/>
        </w:rPr>
        <w:t>can change the security paradigm</w:t>
      </w:r>
      <w:r>
        <w:t xml:space="preserve">. </w:t>
      </w:r>
      <w:r w:rsidRPr="00D4643A">
        <w:rPr>
          <w:rStyle w:val="StyleUnderline"/>
        </w:rPr>
        <w:t>Cognitive technologies can also contribute to behavioral analytics that can defend against insider threats, identify compromised credentials of employees, or quickly detect breaches.</w:t>
      </w:r>
      <w:r>
        <w:t xml:space="preserve"> And machine learning allows networks to learn in real time so that when malicious or anomalous events occur, mitigation can begin immediately based on a set of programmable rules or human direction. Interactive data analysis, proactive discovery, and threat characterization </w:t>
      </w:r>
      <w:r w:rsidRPr="00D4643A">
        <w:rPr>
          <w:rStyle w:val="StyleUnderline"/>
        </w:rPr>
        <w:t>can empower cyber professionals and extend their capabilities far beyond the scope of what could be accomplished alone by even the most talented workforce.</w:t>
      </w:r>
      <w:r>
        <w:t xml:space="preserve"> With these tools, </w:t>
      </w:r>
      <w:r w:rsidRPr="00D4643A">
        <w:rPr>
          <w:rStyle w:val="StyleUnderline"/>
        </w:rPr>
        <w:t>cyber talent can be more precise in the application of their skills and resolve most issues in much less time.</w:t>
      </w:r>
    </w:p>
    <w:p w:rsidR="00C12070" w:rsidRDefault="00C12070" w:rsidP="00C12070">
      <w:pPr>
        <w:rPr>
          <w:rStyle w:val="StyleUnderline"/>
        </w:rPr>
      </w:pPr>
    </w:p>
    <w:p w:rsidR="00C12070" w:rsidRDefault="00C12070" w:rsidP="00C12070">
      <w:pPr>
        <w:rPr>
          <w:rStyle w:val="StyleUnderline"/>
        </w:rPr>
      </w:pPr>
    </w:p>
    <w:p w:rsidR="00C12070" w:rsidRPr="004944F6" w:rsidRDefault="00C12070" w:rsidP="00C12070">
      <w:pPr>
        <w:pStyle w:val="Heading4"/>
      </w:pPr>
      <w:r w:rsidRPr="004944F6">
        <w:t>Cognitive Technologies key to more efficient workforce without loss of human jobs</w:t>
      </w:r>
    </w:p>
    <w:p w:rsidR="00C12070" w:rsidRPr="004944F6" w:rsidRDefault="00C12070" w:rsidP="00C12070">
      <w:r>
        <w:rPr>
          <w:rStyle w:val="Style13ptBold"/>
        </w:rPr>
        <w:t xml:space="preserve">Golden and Johnson 17 - </w:t>
      </w:r>
      <w:r w:rsidRPr="00FD0079">
        <w:t>Deborah Golden is a principal in Deloitte &amp; Touche LLP’s Advisory practice, ith a specialization in Cyber Risk Services, as well as within the Federal, Life Sciences &amp; Health Care, and Financial Services industries. Ted is the Defense and National Security research manager with Deloitte’s Center for Government Insig</w:t>
      </w:r>
      <w:r>
        <w:t>hts within Deloitte Services LP. A</w:t>
      </w:r>
      <w:r w:rsidRPr="00FD0079">
        <w:t xml:space="preserve"> retired commander in the United States Navy where he primarily focused on cyber policy and signals intelligence</w:t>
      </w:r>
      <w:r>
        <w:t xml:space="preserve"> (Deborah and Ted | Deloitte University Press, “Augmented security: How cognitive technologies can address the cyber workforce shortage” | </w:t>
      </w:r>
      <w:r w:rsidRPr="00FD0079">
        <w:t>https://dupress.deloitte.com/dup-us-en/industry/public-sector/addressing-cybersecurity-talent-shortage.html</w:t>
      </w:r>
      <w:r>
        <w:t xml:space="preserve"> | June 8, 2017| DOA: 7/16/17| KG)</w:t>
      </w:r>
    </w:p>
    <w:p w:rsidR="00C12070" w:rsidRPr="004944F6" w:rsidRDefault="00C12070" w:rsidP="00C12070">
      <w:r w:rsidRPr="004944F6">
        <w:t xml:space="preserve">In a tight information technology and cybersecurity skills market, </w:t>
      </w:r>
      <w:r w:rsidRPr="004944F6">
        <w:rPr>
          <w:rStyle w:val="StyleUnderline"/>
        </w:rPr>
        <w:t>professionals</w:t>
      </w:r>
      <w:r w:rsidRPr="004944F6">
        <w:t xml:space="preserve"> are usually more than willing to race with the machine instead of raging against it. They </w:t>
      </w:r>
      <w:r w:rsidRPr="004944F6">
        <w:rPr>
          <w:rStyle w:val="StyleUnderline"/>
        </w:rPr>
        <w:t>are not worried about whether they will lose their jobs to automation, but rather how their jobs will change with its adoption.</w:t>
      </w:r>
      <w:r>
        <w:rPr>
          <w:rStyle w:val="StyleUnderline"/>
        </w:rPr>
        <w:t xml:space="preserve"> </w:t>
      </w:r>
      <w:r w:rsidRPr="004944F6">
        <w:t>Cognitive</w:t>
      </w:r>
      <w:r w:rsidRPr="004944F6">
        <w:rPr>
          <w:rStyle w:val="StyleUnderline"/>
        </w:rPr>
        <w:t xml:space="preserve"> technologies can manage rote security tasks</w:t>
      </w:r>
      <w:r w:rsidRPr="004944F6">
        <w:t xml:space="preserve">, including tasks such as resetting passwords and deactivating malicious hyperlinks in phishing emails, only pushing specific incidents to analysts for further review. </w:t>
      </w:r>
      <w:r w:rsidRPr="004944F6">
        <w:rPr>
          <w:rStyle w:val="StyleUnderline"/>
        </w:rPr>
        <w:t>They can detect when a network is being attacked and respond at machine-speed to reduce impact. Data analytics and machine learning algorithms can identify threats to a network before attacks occur and recommend measures to address those vulnerabilities.</w:t>
      </w:r>
      <w:r w:rsidRPr="004944F6">
        <w:t xml:space="preserve"> They ca</w:t>
      </w:r>
      <w:r w:rsidRPr="004944F6">
        <w:rPr>
          <w:rStyle w:val="StyleUnderline"/>
        </w:rPr>
        <w:t>n scan the reams of legal and regulatory requirements and identify insights that help reduce the number of hours personnel spend on manual compliance and administrative work</w:t>
      </w:r>
      <w:r w:rsidRPr="004944F6">
        <w:t xml:space="preserve">. And they </w:t>
      </w:r>
      <w:r w:rsidRPr="004944F6">
        <w:rPr>
          <w:rStyle w:val="StyleUnderline"/>
        </w:rPr>
        <w:t>can automate routine security updates and functions to ensure a network’s hygiene doesn’t lapse due to human error</w:t>
      </w:r>
      <w:r w:rsidRPr="004944F6">
        <w:t xml:space="preserve">. </w:t>
      </w:r>
      <w:r w:rsidRPr="004944F6">
        <w:rPr>
          <w:rStyle w:val="StyleUnderline"/>
        </w:rPr>
        <w:t>A cybersecurity professional’s time and talents are put to best use when paired with cognitive technologies</w:t>
      </w:r>
      <w:r w:rsidRPr="004944F6">
        <w:t xml:space="preserve"> (see figure 1).</w:t>
      </w:r>
      <w:r>
        <w:t xml:space="preserve"> </w:t>
      </w:r>
      <w:r w:rsidRPr="004944F6">
        <w:t xml:space="preserve">Put simply, </w:t>
      </w:r>
      <w:r w:rsidRPr="004944F6">
        <w:rPr>
          <w:rStyle w:val="StyleUnderline"/>
        </w:rPr>
        <w:t xml:space="preserve">cognitive technologies used for cybersecurity are not a job taker, but a job reallocator. </w:t>
      </w:r>
      <w:r w:rsidRPr="004944F6">
        <w:t xml:space="preserve">These capabilities </w:t>
      </w:r>
      <w:r w:rsidRPr="004944F6">
        <w:rPr>
          <w:rStyle w:val="StyleUnderline"/>
        </w:rPr>
        <w:t>allow companies to address workforce shortfalls by reassigning existing personnel without needing to hire or let staff go, while also improving processes and adding rigor to decision making.</w:t>
      </w:r>
    </w:p>
    <w:p w:rsidR="00C12070" w:rsidRDefault="00C12070" w:rsidP="00C12070"/>
    <w:p w:rsidR="00C12070" w:rsidRDefault="00C12070" w:rsidP="00C12070">
      <w:pPr>
        <w:pStyle w:val="Heading3"/>
      </w:pPr>
      <w:r>
        <w:t>1NC Transparency CP</w:t>
      </w:r>
    </w:p>
    <w:p w:rsidR="00C12070" w:rsidRDefault="00C12070" w:rsidP="00C12070">
      <w:pPr>
        <w:pStyle w:val="Heading4"/>
      </w:pPr>
      <w:r>
        <w:t xml:space="preserve">The United States Federal Government should </w:t>
      </w:r>
    </w:p>
    <w:p w:rsidR="00C12070" w:rsidRPr="00780EE9" w:rsidRDefault="00C12070" w:rsidP="00C12070">
      <w:pPr>
        <w:pStyle w:val="ListParagraph"/>
        <w:numPr>
          <w:ilvl w:val="0"/>
          <w:numId w:val="18"/>
        </w:numPr>
      </w:pPr>
      <w:r w:rsidRPr="00780EE9">
        <w:t>Retarget nuclear weapons to a hazard free location</w:t>
      </w:r>
    </w:p>
    <w:p w:rsidR="00C12070" w:rsidRPr="00780EE9" w:rsidRDefault="00C12070" w:rsidP="00C12070">
      <w:pPr>
        <w:pStyle w:val="ListParagraph"/>
        <w:numPr>
          <w:ilvl w:val="0"/>
          <w:numId w:val="18"/>
        </w:numPr>
      </w:pPr>
      <w:r w:rsidRPr="00780EE9">
        <w:t xml:space="preserve">Develop confidence- building measures with other countries </w:t>
      </w:r>
    </w:p>
    <w:p w:rsidR="00C12070" w:rsidRPr="00780EE9" w:rsidRDefault="00C12070" w:rsidP="00C12070">
      <w:pPr>
        <w:pStyle w:val="ListParagraph"/>
        <w:numPr>
          <w:ilvl w:val="0"/>
          <w:numId w:val="18"/>
        </w:numPr>
      </w:pPr>
      <w:r w:rsidRPr="00780EE9">
        <w:t>Develop transparency with other nuclear states in order to share strategies against cyber attacks</w:t>
      </w:r>
    </w:p>
    <w:p w:rsidR="00C12070" w:rsidRPr="00780EE9" w:rsidRDefault="00C12070" w:rsidP="00C12070">
      <w:pPr>
        <w:pStyle w:val="ListParagraph"/>
        <w:numPr>
          <w:ilvl w:val="0"/>
          <w:numId w:val="18"/>
        </w:numPr>
      </w:pPr>
      <w:r w:rsidRPr="00780EE9">
        <w:t xml:space="preserve">Develop a neutral multilateral organization with the purpose of issuing an international ban on cyber circuitry </w:t>
      </w:r>
    </w:p>
    <w:p w:rsidR="00C12070" w:rsidRPr="00D94D4A" w:rsidRDefault="00C12070" w:rsidP="00C12070"/>
    <w:p w:rsidR="00C12070" w:rsidRDefault="00C12070" w:rsidP="00C12070">
      <w:pPr>
        <w:pStyle w:val="Heading4"/>
      </w:pPr>
      <w:r>
        <w:t>The Counterplan solves prevents cyber attacks and solves case</w:t>
      </w:r>
    </w:p>
    <w:p w:rsidR="00C12070" w:rsidRDefault="00C12070" w:rsidP="00C12070">
      <w:pPr>
        <w:rPr>
          <w:sz w:val="21"/>
          <w:szCs w:val="21"/>
        </w:rPr>
      </w:pPr>
      <w:r w:rsidRPr="00FB3FD8">
        <w:rPr>
          <w:rStyle w:val="Style13ptBold"/>
        </w:rPr>
        <w:t>Van der Meer 16</w:t>
      </w:r>
      <w:r w:rsidRPr="00FB3FD8">
        <w:t xml:space="preserve"> </w:t>
      </w:r>
      <w:r w:rsidRPr="00FB3FD8">
        <w:rPr>
          <w:sz w:val="21"/>
          <w:szCs w:val="21"/>
        </w:rPr>
        <w:t>(Sico van der Meer - Research Fellow at the Clingendael Institute. His research is focussing on non-conventional weapons like Weapons of Mass Destruction and cyber weapons from a strategic policy perspective – “Cyber Warfare and Nuclear Weapons: Game-changing Consequences?” – 12/6/16 -https://www.clingendael.nl/sites/default/files/SWP_Paper_Chapter_Sico_van_der_Meer.pdf)/</w:t>
      </w:r>
      <w:r>
        <w:rPr>
          <w:sz w:val="21"/>
          <w:szCs w:val="21"/>
        </w:rPr>
        <w:t>KG</w:t>
      </w:r>
    </w:p>
    <w:p w:rsidR="00C12070" w:rsidRPr="00EE0947" w:rsidRDefault="00C12070" w:rsidP="00C12070">
      <w:pPr>
        <w:rPr>
          <w:rStyle w:val="Style13ptBold"/>
        </w:rPr>
      </w:pPr>
      <w:r>
        <w:rPr>
          <w:rStyle w:val="Style13ptBold"/>
        </w:rPr>
        <w:t>*** Their evidence ends</w:t>
      </w:r>
    </w:p>
    <w:p w:rsidR="00C12070" w:rsidRDefault="00C12070" w:rsidP="00C12070">
      <w:pPr>
        <w:rPr>
          <w:rStyle w:val="StyleUnderline"/>
        </w:rPr>
      </w:pPr>
      <w:r>
        <w:t xml:space="preserve">To limit the potentially destabilizing effects of cyber threats on nuclear weapons, </w:t>
      </w:r>
      <w:r w:rsidRPr="00E05AD0">
        <w:rPr>
          <w:rStyle w:val="StyleUnderline"/>
        </w:rPr>
        <w:t>various policy options</w:t>
      </w:r>
      <w:r>
        <w:rPr>
          <w:rStyle w:val="StyleUnderline"/>
        </w:rPr>
        <w:t xml:space="preserve"> </w:t>
      </w:r>
      <w:r w:rsidRPr="00E05AD0">
        <w:rPr>
          <w:rStyle w:val="StyleUnderline"/>
        </w:rPr>
        <w:t>can be considered by the international community</w:t>
      </w:r>
      <w:r>
        <w:rPr>
          <w:rStyle w:val="StyleUnderline"/>
        </w:rPr>
        <w:t xml:space="preserve"> </w:t>
      </w:r>
      <w:r>
        <w:t xml:space="preserve">(especially the nuclear weapon states): </w:t>
      </w:r>
      <w:r w:rsidRPr="00E05AD0">
        <w:rPr>
          <w:rStyle w:val="StyleUnderline"/>
        </w:rPr>
        <w:t> Nuclear weapon missiles could be de-alerted and</w:t>
      </w:r>
      <w:r>
        <w:rPr>
          <w:rStyle w:val="StyleUnderline"/>
        </w:rPr>
        <w:t xml:space="preserve"> </w:t>
      </w:r>
      <w:r w:rsidRPr="00E05AD0">
        <w:rPr>
          <w:rStyle w:val="StyleUnderline"/>
        </w:rPr>
        <w:t>retargeted to hazard-free locations such as oceans</w:t>
      </w:r>
      <w:r>
        <w:rPr>
          <w:rStyle w:val="StyleUnderline"/>
        </w:rPr>
        <w:t xml:space="preserve"> </w:t>
      </w:r>
      <w:r w:rsidRPr="00E05AD0">
        <w:rPr>
          <w:rStyle w:val="StyleUnderline"/>
        </w:rPr>
        <w:t>to prevent inadvertent use because of cyber attacks</w:t>
      </w:r>
      <w:r>
        <w:t xml:space="preserve">. </w:t>
      </w:r>
      <w:r w:rsidRPr="00E05AD0">
        <w:rPr>
          <w:rStyle w:val="StyleUnderline"/>
        </w:rPr>
        <w:t>This will also increase the response time (</w:t>
      </w:r>
      <w:r>
        <w:t xml:space="preserve">especially in cases where there are automated alarm systems), </w:t>
      </w:r>
      <w:r w:rsidRPr="00E05AD0">
        <w:rPr>
          <w:rStyle w:val="StyleUnderline"/>
        </w:rPr>
        <w:t>enabling decision-makers to carefully check all</w:t>
      </w:r>
      <w:r>
        <w:rPr>
          <w:rStyle w:val="StyleUnderline"/>
        </w:rPr>
        <w:t xml:space="preserve"> </w:t>
      </w:r>
      <w:r w:rsidRPr="00E05AD0">
        <w:rPr>
          <w:rStyle w:val="StyleUnderline"/>
        </w:rPr>
        <w:t>circumstances before launching</w:t>
      </w:r>
      <w:r>
        <w:t xml:space="preserve">. To prevent manipulation via the cyber domain, </w:t>
      </w:r>
      <w:r w:rsidRPr="00E05AD0">
        <w:rPr>
          <w:rStyle w:val="StyleUnderline"/>
        </w:rPr>
        <w:t>human decisionmakers</w:t>
      </w:r>
      <w:r>
        <w:rPr>
          <w:rStyle w:val="StyleUnderline"/>
        </w:rPr>
        <w:t xml:space="preserve"> </w:t>
      </w:r>
      <w:r w:rsidRPr="00E05AD0">
        <w:rPr>
          <w:rStyle w:val="StyleUnderline"/>
        </w:rPr>
        <w:t>must always be in the loop with regard to</w:t>
      </w:r>
      <w:r>
        <w:rPr>
          <w:rStyle w:val="StyleUnderline"/>
        </w:rPr>
        <w:t xml:space="preserve"> </w:t>
      </w:r>
      <w:r w:rsidRPr="00E05AD0">
        <w:rPr>
          <w:rStyle w:val="StyleUnderline"/>
        </w:rPr>
        <w:t>the possible use of nuclear weapons</w:t>
      </w:r>
      <w:r>
        <w:t xml:space="preserve">. </w:t>
      </w:r>
      <w:r>
        <w:t xml:space="preserve"> </w:t>
      </w:r>
      <w:r w:rsidRPr="00E05AD0">
        <w:rPr>
          <w:rStyle w:val="StyleUnderline"/>
        </w:rPr>
        <w:t>Confidence-building measures (CBMs</w:t>
      </w:r>
      <w:r>
        <w:t xml:space="preserve">) among  nuclear weapon states as well as toward nonnuclear weapon states </w:t>
      </w:r>
      <w:r w:rsidRPr="00E05AD0">
        <w:rPr>
          <w:rStyle w:val="StyleUnderline"/>
        </w:rPr>
        <w:t>could be developed to ensure</w:t>
      </w:r>
      <w:r>
        <w:rPr>
          <w:rStyle w:val="StyleUnderline"/>
        </w:rPr>
        <w:t xml:space="preserve"> </w:t>
      </w:r>
      <w:r w:rsidRPr="00E05AD0">
        <w:rPr>
          <w:rStyle w:val="StyleUnderline"/>
        </w:rPr>
        <w:t>that cyber attackers cannot cause incidents by</w:t>
      </w:r>
      <w:r>
        <w:rPr>
          <w:rStyle w:val="StyleUnderline"/>
        </w:rPr>
        <w:t xml:space="preserve"> </w:t>
      </w:r>
      <w:r w:rsidRPr="00E05AD0">
        <w:rPr>
          <w:rStyle w:val="StyleUnderline"/>
        </w:rPr>
        <w:t>manipulating nuclear weapons systems</w:t>
      </w:r>
      <w:r>
        <w:t xml:space="preserve">. These </w:t>
      </w:r>
      <w:r w:rsidRPr="00E05AD0">
        <w:rPr>
          <w:rStyle w:val="StyleUnderline"/>
        </w:rPr>
        <w:t>CBMs could deal with issues such as reliable emergency</w:t>
      </w:r>
      <w:r>
        <w:rPr>
          <w:rStyle w:val="StyleUnderline"/>
        </w:rPr>
        <w:t xml:space="preserve"> </w:t>
      </w:r>
      <w:r w:rsidRPr="00E05AD0">
        <w:rPr>
          <w:rStyle w:val="StyleUnderline"/>
        </w:rPr>
        <w:t>procedures to prevent inadvertent use after</w:t>
      </w:r>
      <w:r>
        <w:rPr>
          <w:rStyle w:val="StyleUnderline"/>
        </w:rPr>
        <w:t xml:space="preserve"> </w:t>
      </w:r>
      <w:r w:rsidRPr="00E05AD0">
        <w:rPr>
          <w:rStyle w:val="StyleUnderline"/>
        </w:rPr>
        <w:t>the control over any nuclear weapon is lost or</w:t>
      </w:r>
      <w:r>
        <w:rPr>
          <w:rStyle w:val="StyleUnderline"/>
        </w:rPr>
        <w:t xml:space="preserve"> </w:t>
      </w:r>
      <w:r w:rsidRPr="00E05AD0">
        <w:rPr>
          <w:rStyle w:val="StyleUnderline"/>
        </w:rPr>
        <w:t>manipulation is detected</w:t>
      </w:r>
      <w:r>
        <w:t xml:space="preserve">. Nuclear weapon </w:t>
      </w:r>
      <w:r w:rsidRPr="00E05AD0">
        <w:rPr>
          <w:rStyle w:val="StyleUnderline"/>
        </w:rPr>
        <w:t>states</w:t>
      </w:r>
      <w:r>
        <w:t xml:space="preserve"> can no longer get away with statements such as “trust us, our nuclear weapons are safe”; </w:t>
      </w:r>
      <w:r w:rsidRPr="00E05AD0">
        <w:t>they</w:t>
      </w:r>
      <w:r>
        <w:rPr>
          <w:rStyle w:val="StyleUnderline"/>
        </w:rPr>
        <w:t xml:space="preserve"> </w:t>
      </w:r>
      <w:r w:rsidRPr="00E05AD0">
        <w:rPr>
          <w:rStyle w:val="StyleUnderline"/>
        </w:rPr>
        <w:t>should offer at least some transparency concerning</w:t>
      </w:r>
      <w:r>
        <w:rPr>
          <w:rStyle w:val="StyleUnderline"/>
        </w:rPr>
        <w:t xml:space="preserve"> </w:t>
      </w:r>
      <w:r w:rsidRPr="00E05AD0">
        <w:rPr>
          <w:rStyle w:val="StyleUnderline"/>
        </w:rPr>
        <w:t>basic cyber security measures.</w:t>
      </w:r>
      <w:r>
        <w:rPr>
          <w:rStyle w:val="StyleUnderline"/>
        </w:rPr>
        <w:t xml:space="preserve"> </w:t>
      </w:r>
      <w:r w:rsidRPr="00E05AD0">
        <w:rPr>
          <w:rStyle w:val="StyleUnderline"/>
        </w:rPr>
        <w:t>Increased intelligence-sharing among nuclear</w:t>
      </w:r>
      <w:r>
        <w:rPr>
          <w:rStyle w:val="StyleUnderline"/>
        </w:rPr>
        <w:t xml:space="preserve"> </w:t>
      </w:r>
      <w:r w:rsidRPr="00E05AD0">
        <w:rPr>
          <w:rStyle w:val="StyleUnderline"/>
        </w:rPr>
        <w:t>weapon states regarding non-state actors trying to</w:t>
      </w:r>
      <w:r>
        <w:rPr>
          <w:rStyle w:val="StyleUnderline"/>
        </w:rPr>
        <w:t xml:space="preserve"> </w:t>
      </w:r>
      <w:r w:rsidRPr="00E05AD0">
        <w:rPr>
          <w:rStyle w:val="StyleUnderline"/>
        </w:rPr>
        <w:t>manipulate nuclear weapons systems via the cyber</w:t>
      </w:r>
      <w:r>
        <w:rPr>
          <w:rStyle w:val="StyleUnderline"/>
        </w:rPr>
        <w:t xml:space="preserve"> </w:t>
      </w:r>
      <w:r w:rsidRPr="00E05AD0">
        <w:rPr>
          <w:rStyle w:val="StyleUnderline"/>
        </w:rPr>
        <w:t>domain</w:t>
      </w:r>
      <w:r>
        <w:t xml:space="preserve">, cooperation in cyber forensics, and the sharing of best practices and lessons-learned regarding the cyber security of nuclear weapons systems. </w:t>
      </w:r>
      <w:r w:rsidRPr="00E05AD0">
        <w:rPr>
          <w:rStyle w:val="StyleUnderline"/>
        </w:rPr>
        <w:t>International standards could be developed on</w:t>
      </w:r>
      <w:r>
        <w:rPr>
          <w:rStyle w:val="StyleUnderline"/>
        </w:rPr>
        <w:t xml:space="preserve"> </w:t>
      </w:r>
      <w:r w:rsidRPr="00E05AD0">
        <w:rPr>
          <w:rStyle w:val="StyleUnderline"/>
        </w:rPr>
        <w:t>what minimum effects a cyber attack should have</w:t>
      </w:r>
      <w:r>
        <w:rPr>
          <w:rStyle w:val="StyleUnderline"/>
        </w:rPr>
        <w:t xml:space="preserve"> </w:t>
      </w:r>
      <w:r w:rsidRPr="00E05AD0">
        <w:rPr>
          <w:rStyle w:val="StyleUnderline"/>
        </w:rPr>
        <w:t>to qualify for military retaliatio</w:t>
      </w:r>
      <w:r>
        <w:t xml:space="preserve">n, </w:t>
      </w:r>
      <w:r w:rsidRPr="00E05AD0">
        <w:rPr>
          <w:rStyle w:val="StyleUnderline"/>
        </w:rPr>
        <w:t>including wording</w:t>
      </w:r>
      <w:r>
        <w:rPr>
          <w:rStyle w:val="StyleUnderline"/>
        </w:rPr>
        <w:t xml:space="preserve"> </w:t>
      </w:r>
      <w:r w:rsidRPr="00E05AD0">
        <w:rPr>
          <w:rStyle w:val="StyleUnderline"/>
        </w:rPr>
        <w:t>on if/when nuclear weapons could be used for</w:t>
      </w:r>
      <w:r>
        <w:rPr>
          <w:rStyle w:val="StyleUnderline"/>
        </w:rPr>
        <w:t xml:space="preserve"> </w:t>
      </w:r>
      <w:r w:rsidRPr="00E05AD0">
        <w:rPr>
          <w:rStyle w:val="StyleUnderline"/>
        </w:rPr>
        <w:t>that</w:t>
      </w:r>
      <w:r>
        <w:t xml:space="preserve">. An important issue in this regard is what evidence must be provided in order to engage in legitimate retaliation. In addition, </w:t>
      </w:r>
      <w:r w:rsidRPr="00E05AD0">
        <w:rPr>
          <w:rStyle w:val="StyleUnderline"/>
        </w:rPr>
        <w:t>one could think</w:t>
      </w:r>
      <w:r>
        <w:rPr>
          <w:rStyle w:val="StyleUnderline"/>
        </w:rPr>
        <w:t xml:space="preserve"> </w:t>
      </w:r>
      <w:r w:rsidRPr="00E05AD0">
        <w:rPr>
          <w:rStyle w:val="StyleUnderline"/>
        </w:rPr>
        <w:t>of establishing a neutral multilateral organization</w:t>
      </w:r>
      <w:r>
        <w:rPr>
          <w:rStyle w:val="StyleUnderline"/>
        </w:rPr>
        <w:t xml:space="preserve"> </w:t>
      </w:r>
      <w:r w:rsidRPr="00E05AD0">
        <w:rPr>
          <w:rStyle w:val="StyleUnderline"/>
        </w:rPr>
        <w:t>that inquires into and verifies the forensic evidence</w:t>
      </w:r>
      <w:r>
        <w:rPr>
          <w:rStyle w:val="StyleUnderline"/>
        </w:rPr>
        <w:t xml:space="preserve"> </w:t>
      </w:r>
      <w:r w:rsidRPr="00E05AD0">
        <w:rPr>
          <w:rStyle w:val="StyleUnderline"/>
        </w:rPr>
        <w:t>of large cyber attacks.</w:t>
      </w:r>
      <w:r>
        <w:rPr>
          <w:rStyle w:val="StyleUnderline"/>
        </w:rPr>
        <w:t xml:space="preserve"> </w:t>
      </w:r>
      <w:r>
        <w:t xml:space="preserve">Theoretically, </w:t>
      </w:r>
      <w:r w:rsidRPr="00E05AD0">
        <w:rPr>
          <w:rStyle w:val="StyleUnderline"/>
        </w:rPr>
        <w:t>an international ban could be considered</w:t>
      </w:r>
      <w:r>
        <w:rPr>
          <w:rStyle w:val="StyleUnderline"/>
        </w:rPr>
        <w:t xml:space="preserve"> </w:t>
      </w:r>
      <w:r w:rsidRPr="00E05AD0">
        <w:rPr>
          <w:rStyle w:val="StyleUnderline"/>
        </w:rPr>
        <w:t>on embedding secret malicious codes or circuitry</w:t>
      </w:r>
      <w:r>
        <w:rPr>
          <w:rStyle w:val="StyleUnderline"/>
        </w:rPr>
        <w:t xml:space="preserve"> </w:t>
      </w:r>
      <w:r w:rsidRPr="00E05AD0">
        <w:rPr>
          <w:rStyle w:val="StyleUnderline"/>
        </w:rPr>
        <w:t>in products that could be activated any time</w:t>
      </w:r>
      <w:r>
        <w:t xml:space="preserve"> (for example, in the event of war). Currently, </w:t>
      </w:r>
      <w:r w:rsidRPr="00E05AD0">
        <w:rPr>
          <w:rStyle w:val="StyleUnderline"/>
        </w:rPr>
        <w:t>this does not</w:t>
      </w:r>
      <w:r>
        <w:rPr>
          <w:rStyle w:val="StyleUnderline"/>
        </w:rPr>
        <w:t xml:space="preserve"> </w:t>
      </w:r>
      <w:r w:rsidRPr="00E05AD0">
        <w:rPr>
          <w:rStyle w:val="StyleUnderline"/>
        </w:rPr>
        <w:t>seem to be realistic though, because of serious</w:t>
      </w:r>
      <w:r>
        <w:rPr>
          <w:rStyle w:val="StyleUnderline"/>
        </w:rPr>
        <w:t xml:space="preserve"> </w:t>
      </w:r>
      <w:r w:rsidRPr="00E05AD0">
        <w:rPr>
          <w:rStyle w:val="StyleUnderline"/>
        </w:rPr>
        <w:t>problems with the verification and enforcement of</w:t>
      </w:r>
      <w:r>
        <w:rPr>
          <w:rStyle w:val="StyleUnderline"/>
        </w:rPr>
        <w:t xml:space="preserve"> </w:t>
      </w:r>
      <w:r w:rsidRPr="00E05AD0">
        <w:rPr>
          <w:rStyle w:val="StyleUnderline"/>
        </w:rPr>
        <w:t>such a ban.</w:t>
      </w:r>
    </w:p>
    <w:p w:rsidR="00C12070" w:rsidRDefault="00C12070" w:rsidP="00C12070">
      <w:pPr>
        <w:rPr>
          <w:rStyle w:val="StyleUnderline"/>
        </w:rPr>
      </w:pPr>
    </w:p>
    <w:p w:rsidR="00C12070" w:rsidRPr="006F1817" w:rsidRDefault="00C12070" w:rsidP="00C12070">
      <w:pPr>
        <w:pStyle w:val="Heading4"/>
        <w:rPr>
          <w:rStyle w:val="StyleUnderline"/>
        </w:rPr>
      </w:pPr>
      <w:r>
        <w:rPr>
          <w:rStyle w:val="StyleUnderline"/>
        </w:rPr>
        <w:t xml:space="preserve">NB= DOE trade off or any DA that has a link based on education reform </w:t>
      </w:r>
    </w:p>
    <w:p w:rsidR="00C12070" w:rsidRDefault="00C12070" w:rsidP="00C12070"/>
    <w:p w:rsidR="00C12070" w:rsidRDefault="00C12070" w:rsidP="00C12070"/>
    <w:p w:rsidR="00C12070" w:rsidRDefault="00C12070" w:rsidP="00C12070">
      <w:pPr>
        <w:pStyle w:val="Heading2"/>
      </w:pPr>
      <w:r>
        <w:t>AFF—AT Cyber CPs</w:t>
      </w:r>
    </w:p>
    <w:p w:rsidR="00C12070" w:rsidRDefault="00C12070" w:rsidP="00C12070">
      <w:pPr>
        <w:pStyle w:val="Heading3"/>
      </w:pPr>
      <w:r>
        <w:t>2AC Cognitive technologies CP</w:t>
      </w:r>
    </w:p>
    <w:p w:rsidR="00C12070" w:rsidRDefault="00C12070" w:rsidP="00C12070">
      <w:pPr>
        <w:pStyle w:val="Heading4"/>
      </w:pPr>
      <w:r>
        <w:t>Perm do both- Cognitive technologies are inherently dangerous- the 1AC is a prerequisite to the successful construction and implementation of these technologies</w:t>
      </w:r>
    </w:p>
    <w:p w:rsidR="00C12070" w:rsidRPr="000F4947" w:rsidRDefault="00C12070" w:rsidP="00C12070">
      <w:r w:rsidRPr="000F4947">
        <w:rPr>
          <w:rStyle w:val="Style13ptBold"/>
        </w:rPr>
        <w:t>Cook 03</w:t>
      </w:r>
      <w:r>
        <w:t>- MD-  Research Scientist at the Department of Integrated Systems Engineering at Ohio State University  ( Richard I | Cognitive technologies Laboratory at University of Chicago, “</w:t>
      </w:r>
      <w:r w:rsidRPr="000F4947">
        <w:t>How Complex Systems Fail</w:t>
      </w:r>
      <w:r>
        <w:t xml:space="preserve">” | </w:t>
      </w:r>
      <w:hyperlink r:id="rId52" w:history="1">
        <w:r w:rsidRPr="00C90A4A">
          <w:rPr>
            <w:rStyle w:val="Hyperlink"/>
          </w:rPr>
          <w:t>https://www.researchgate.net/profile/Richard_Cook3/publication/228797158_How_complex_systems_fail/links/0c96053410db96a89c000000.pdf|</w:t>
        </w:r>
      </w:hyperlink>
      <w:r>
        <w:t xml:space="preserve"> </w:t>
      </w:r>
      <w:r w:rsidRPr="000F4947">
        <w:t>2003|</w:t>
      </w:r>
      <w:r>
        <w:t xml:space="preserve"> </w:t>
      </w:r>
      <w:r w:rsidRPr="000F4947">
        <w:t>DOA</w:t>
      </w:r>
      <w:r>
        <w:t>:7/23/17|KG)</w:t>
      </w:r>
    </w:p>
    <w:p w:rsidR="00C12070" w:rsidRDefault="00C12070" w:rsidP="00C12070">
      <w:r w:rsidRPr="007C4347">
        <w:rPr>
          <w:rStyle w:val="StyleUnderline"/>
        </w:rPr>
        <w:t xml:space="preserve">Complex systems are intrinsically hazardous </w:t>
      </w:r>
      <w:r w:rsidRPr="007C4347">
        <w:t>systems</w:t>
      </w:r>
      <w:r>
        <w:t xml:space="preserve">. All of the interesting systems (e.g. transportation, healthcare, power generation) are inherently and </w:t>
      </w:r>
      <w:r w:rsidRPr="007C4347">
        <w:rPr>
          <w:rStyle w:val="StyleUnderline"/>
        </w:rPr>
        <w:t>unavoidably hazardous by the own nature</w:t>
      </w:r>
      <w:r>
        <w:t xml:space="preserve">. </w:t>
      </w:r>
      <w:r w:rsidRPr="007C4347">
        <w:rPr>
          <w:rStyle w:val="StyleUnderline"/>
        </w:rPr>
        <w:t>The frequency of hazard</w:t>
      </w:r>
      <w:r>
        <w:t xml:space="preserve"> exposure </w:t>
      </w:r>
      <w:r w:rsidRPr="007C4347">
        <w:rPr>
          <w:rStyle w:val="StyleUnderline"/>
        </w:rPr>
        <w:t>can sometimes be changed but the processes</w:t>
      </w:r>
      <w:r>
        <w:t xml:space="preserve"> involved in the system </w:t>
      </w:r>
      <w:r w:rsidRPr="007C4347">
        <w:rPr>
          <w:rStyle w:val="StyleUnderline"/>
        </w:rPr>
        <w:t>are</w:t>
      </w:r>
      <w:r>
        <w:t xml:space="preserve"> </w:t>
      </w:r>
      <w:r w:rsidRPr="007C4347">
        <w:rPr>
          <w:rStyle w:val="StyleUnderline"/>
        </w:rPr>
        <w:t>themselves</w:t>
      </w:r>
      <w:r>
        <w:t xml:space="preserve"> intrinsically and irreducibly </w:t>
      </w:r>
      <w:r w:rsidRPr="007C4347">
        <w:rPr>
          <w:rStyle w:val="StyleUnderline"/>
        </w:rPr>
        <w:t>hazardous</w:t>
      </w:r>
      <w:r>
        <w:t xml:space="preserve">. </w:t>
      </w:r>
      <w:r w:rsidRPr="007C4347">
        <w:rPr>
          <w:rStyle w:val="StyleUnderline"/>
        </w:rPr>
        <w:t>It is the presence of these hazards</w:t>
      </w:r>
      <w:r>
        <w:rPr>
          <w:rStyle w:val="StyleUnderline"/>
        </w:rPr>
        <w:t xml:space="preserve"> </w:t>
      </w:r>
      <w:r w:rsidRPr="007C4347">
        <w:rPr>
          <w:rStyle w:val="StyleUnderline"/>
        </w:rPr>
        <w:t>that drives the creation of defenses against hazard that characterize these systems</w:t>
      </w:r>
      <w:r>
        <w:t xml:space="preserve">. </w:t>
      </w:r>
      <w:r w:rsidRPr="00A1626B">
        <w:t>2)</w:t>
      </w:r>
      <w:r w:rsidRPr="007C4347">
        <w:rPr>
          <w:rStyle w:val="StyleUnderline"/>
        </w:rPr>
        <w:t xml:space="preserve"> Complex systems are heavily and successfully defended against failure.</w:t>
      </w:r>
      <w:r>
        <w:rPr>
          <w:rStyle w:val="StyleUnderline"/>
        </w:rPr>
        <w:t xml:space="preserve"> </w:t>
      </w:r>
      <w:r>
        <w:t xml:space="preserve">The high consequences of failure lead over time to the construction of multiple layers of defense against failure. These defenses include obvious technical components (e.g. backup systems, ‘safety’ features of equipment) and human components (e.g. training, knowledge) but also a variety of organizational, institutional, and regulatory defenses (e.g. policies and procedures, certification, work rules, team training). The effect of these measures is to provide a series of shields that normally divert operations away from accidents. 3) Catastrophe requires multiple failures – single point failures are not enough.. The array of defenses works. System operations are generally successful. Overt catastrophic failure occurs when small, apparently innocuous failures join to create opportunity for a systemic accident. Each of these small failures is necessary to cause catastrophe but only the combination is sufficient to permit failure. Put another way, there are many more failure opportunities than overt system accidents. Most initial failure trajectories are blocked by designed system safety components. Trajectories that reach the operational level are mostly blocked, usually by practitioners. 4) </w:t>
      </w:r>
      <w:r w:rsidRPr="00A1626B">
        <w:rPr>
          <w:rStyle w:val="StyleUnderline"/>
        </w:rPr>
        <w:t>Complex systems contain changing mixtures of failures latent within them.</w:t>
      </w:r>
      <w:r>
        <w:rPr>
          <w:rStyle w:val="StyleUnderline"/>
        </w:rPr>
        <w:t xml:space="preserve"> </w:t>
      </w:r>
      <w:r>
        <w:t xml:space="preserve">The complexity of these systems </w:t>
      </w:r>
      <w:r w:rsidRPr="00A1626B">
        <w:rPr>
          <w:rStyle w:val="StyleUnderline"/>
        </w:rPr>
        <w:t>makes it impossible for them to run without multiple</w:t>
      </w:r>
      <w:r>
        <w:rPr>
          <w:rStyle w:val="StyleUnderline"/>
        </w:rPr>
        <w:t xml:space="preserve"> </w:t>
      </w:r>
      <w:r w:rsidRPr="00A1626B">
        <w:rPr>
          <w:rStyle w:val="StyleUnderline"/>
        </w:rPr>
        <w:t>flaws</w:t>
      </w:r>
      <w:r>
        <w:t xml:space="preserve"> being present. Because these are individually insufficient to cause failure they are regarded as minor factors during operations. E</w:t>
      </w:r>
      <w:r w:rsidRPr="00A1626B">
        <w:rPr>
          <w:rStyle w:val="StyleUnderline"/>
        </w:rPr>
        <w:t>radication of all latent failures is limited</w:t>
      </w:r>
      <w:r>
        <w:rPr>
          <w:rStyle w:val="StyleUnderline"/>
        </w:rPr>
        <w:t xml:space="preserve"> </w:t>
      </w:r>
      <w:r w:rsidRPr="00A1626B">
        <w:rPr>
          <w:rStyle w:val="StyleUnderline"/>
        </w:rPr>
        <w:t>primarily by economic cost but also because it is difficult before the fact to see how such</w:t>
      </w:r>
      <w:r>
        <w:rPr>
          <w:rStyle w:val="StyleUnderline"/>
        </w:rPr>
        <w:t xml:space="preserve"> </w:t>
      </w:r>
      <w:r w:rsidRPr="00A1626B">
        <w:rPr>
          <w:rStyle w:val="StyleUnderline"/>
        </w:rPr>
        <w:t>failures might contribute to an accident</w:t>
      </w:r>
      <w:r w:rsidRPr="00A1626B">
        <w:t xml:space="preserve">. </w:t>
      </w:r>
      <w:r w:rsidRPr="00A1626B">
        <w:rPr>
          <w:rStyle w:val="StyleUnderline"/>
        </w:rPr>
        <w:t>The failures change constantly because of</w:t>
      </w:r>
      <w:r>
        <w:rPr>
          <w:rStyle w:val="StyleUnderline"/>
        </w:rPr>
        <w:t xml:space="preserve"> </w:t>
      </w:r>
      <w:r w:rsidRPr="00A1626B">
        <w:rPr>
          <w:rStyle w:val="StyleUnderline"/>
        </w:rPr>
        <w:t>changing technology, work organization, and efforts to eradicate failures.</w:t>
      </w:r>
      <w:r>
        <w:rPr>
          <w:rStyle w:val="StyleUnderline"/>
        </w:rPr>
        <w:t xml:space="preserve"> </w:t>
      </w:r>
      <w:r>
        <w:t xml:space="preserve">5) </w:t>
      </w:r>
      <w:r w:rsidRPr="00A1626B">
        <w:rPr>
          <w:rStyle w:val="StyleUnderline"/>
        </w:rPr>
        <w:t>Complex systems run in degraded mode.</w:t>
      </w:r>
      <w:r>
        <w:rPr>
          <w:rStyle w:val="StyleUnderline"/>
        </w:rPr>
        <w:t xml:space="preserve"> </w:t>
      </w:r>
      <w:r>
        <w:t xml:space="preserve">A corollary to the preceding point is that complex systems run as broken systems. </w:t>
      </w:r>
      <w:r w:rsidRPr="00A1626B">
        <w:rPr>
          <w:rStyle w:val="StyleUnderline"/>
        </w:rPr>
        <w:t>The</w:t>
      </w:r>
      <w:r>
        <w:rPr>
          <w:rStyle w:val="StyleUnderline"/>
        </w:rPr>
        <w:t xml:space="preserve"> </w:t>
      </w:r>
      <w:r w:rsidRPr="00A1626B">
        <w:rPr>
          <w:rStyle w:val="StyleUnderline"/>
        </w:rPr>
        <w:t>system continues to function because it contains so many redundancies and because</w:t>
      </w:r>
      <w:r>
        <w:rPr>
          <w:rStyle w:val="StyleUnderline"/>
        </w:rPr>
        <w:t xml:space="preserve"> </w:t>
      </w:r>
      <w:r w:rsidRPr="00A1626B">
        <w:t>people can make it function, despite the presence of many flaws. After accident reviews</w:t>
      </w:r>
      <w:r>
        <w:t xml:space="preserve"> nearly always </w:t>
      </w:r>
      <w:r w:rsidRPr="00A1626B">
        <w:rPr>
          <w:rStyle w:val="StyleUnderline"/>
        </w:rPr>
        <w:t>note that the system has a history of prior ‘proto-accidents’ that nearly</w:t>
      </w:r>
      <w:r>
        <w:rPr>
          <w:rStyle w:val="StyleUnderline"/>
        </w:rPr>
        <w:t xml:space="preserve"> </w:t>
      </w:r>
      <w:r w:rsidRPr="00A1626B">
        <w:rPr>
          <w:rStyle w:val="StyleUnderline"/>
        </w:rPr>
        <w:t>generated catastrophe</w:t>
      </w:r>
      <w:r>
        <w:t xml:space="preserve">. Arguments that these degraded conditions should have been recognized before the overt accident are usually predicated on naïve notions of system performance. </w:t>
      </w:r>
      <w:r w:rsidRPr="00A1626B">
        <w:rPr>
          <w:rStyle w:val="StyleUnderline"/>
        </w:rPr>
        <w:t>System operations are dynamic, with components (organizational, human,</w:t>
      </w:r>
      <w:r>
        <w:rPr>
          <w:rStyle w:val="StyleUnderline"/>
        </w:rPr>
        <w:t xml:space="preserve"> </w:t>
      </w:r>
      <w:r w:rsidRPr="00A1626B">
        <w:rPr>
          <w:rStyle w:val="StyleUnderline"/>
        </w:rPr>
        <w:t>technical) failing and being replaced continuously.</w:t>
      </w:r>
      <w:r>
        <w:rPr>
          <w:rStyle w:val="StyleUnderline"/>
        </w:rPr>
        <w:t xml:space="preserve"> </w:t>
      </w:r>
      <w:r>
        <w:t xml:space="preserve">6) </w:t>
      </w:r>
      <w:r w:rsidRPr="00A1626B">
        <w:rPr>
          <w:rStyle w:val="StyleUnderline"/>
        </w:rPr>
        <w:t>Catastrophe is always just around the corner.</w:t>
      </w:r>
      <w:r>
        <w:rPr>
          <w:rStyle w:val="StyleUnderline"/>
        </w:rPr>
        <w:t xml:space="preserve"> </w:t>
      </w:r>
      <w:r w:rsidRPr="00A1626B">
        <w:rPr>
          <w:rStyle w:val="StyleUnderline"/>
        </w:rPr>
        <w:t>Complex systems possess potential for catastrophic failure</w:t>
      </w:r>
      <w:r>
        <w:t xml:space="preserve">. </w:t>
      </w:r>
      <w:r w:rsidRPr="00A1626B">
        <w:rPr>
          <w:rStyle w:val="StyleUnderline"/>
        </w:rPr>
        <w:t>Human practitioners are</w:t>
      </w:r>
      <w:r>
        <w:rPr>
          <w:rStyle w:val="StyleUnderline"/>
        </w:rPr>
        <w:t xml:space="preserve"> </w:t>
      </w:r>
      <w:r w:rsidRPr="00A1626B">
        <w:rPr>
          <w:rStyle w:val="StyleUnderline"/>
        </w:rPr>
        <w:t>nearly always in close physical and temporal proximity to these potential failures</w:t>
      </w:r>
      <w:r>
        <w:t xml:space="preserve"> – disaster can occur at any time and in nearly any place. </w:t>
      </w:r>
      <w:r w:rsidRPr="00A1626B">
        <w:rPr>
          <w:rStyle w:val="StyleUnderline"/>
        </w:rPr>
        <w:t>The potential for catastrophic</w:t>
      </w:r>
      <w:r>
        <w:rPr>
          <w:rStyle w:val="StyleUnderline"/>
        </w:rPr>
        <w:t xml:space="preserve"> </w:t>
      </w:r>
      <w:r w:rsidRPr="00A1626B">
        <w:rPr>
          <w:rStyle w:val="StyleUnderline"/>
        </w:rPr>
        <w:t>outcome is a hallmark of complex systems. It is impossible to eliminate the potential for</w:t>
      </w:r>
      <w:r>
        <w:rPr>
          <w:rStyle w:val="StyleUnderline"/>
        </w:rPr>
        <w:t xml:space="preserve"> </w:t>
      </w:r>
      <w:r w:rsidRPr="00A1626B">
        <w:rPr>
          <w:rStyle w:val="StyleUnderline"/>
        </w:rPr>
        <w:t>such catastrophic failure; the potential for such failure is always present by the system’s</w:t>
      </w:r>
      <w:r>
        <w:rPr>
          <w:rStyle w:val="StyleUnderline"/>
        </w:rPr>
        <w:t xml:space="preserve"> </w:t>
      </w:r>
      <w:r w:rsidRPr="00A1626B">
        <w:rPr>
          <w:rStyle w:val="StyleUnderline"/>
        </w:rPr>
        <w:t>own nature.</w:t>
      </w:r>
      <w:r>
        <w:rPr>
          <w:rStyle w:val="StyleUnderline"/>
        </w:rPr>
        <w:t xml:space="preserve"> </w:t>
      </w:r>
      <w:r>
        <w:t xml:space="preserve">7) </w:t>
      </w:r>
      <w:r w:rsidRPr="00A1626B">
        <w:rPr>
          <w:rStyle w:val="StyleUnderline"/>
        </w:rPr>
        <w:t>Post-accident attribution accident to a ‘root cause’ is fundamentally wrong.</w:t>
      </w:r>
      <w:r>
        <w:rPr>
          <w:rStyle w:val="StyleUnderline"/>
        </w:rPr>
        <w:t xml:space="preserve"> </w:t>
      </w:r>
      <w:r>
        <w:t xml:space="preserve">Because overt failure requires multiple faults, </w:t>
      </w:r>
      <w:r w:rsidRPr="00A1626B">
        <w:rPr>
          <w:rStyle w:val="StyleUnderline"/>
        </w:rPr>
        <w:t>there is no isolated ‘cause’ of an accident.</w:t>
      </w:r>
      <w:r>
        <w:rPr>
          <w:rStyle w:val="StyleUnderline"/>
        </w:rPr>
        <w:t xml:space="preserve"> </w:t>
      </w:r>
      <w:r w:rsidRPr="00A1626B">
        <w:rPr>
          <w:rStyle w:val="StyleUnderline"/>
        </w:rPr>
        <w:t>There are multiple contributors to accidents.</w:t>
      </w:r>
      <w:r w:rsidRPr="00A1626B">
        <w:t xml:space="preserve"> Each of these is necessary insufficient in</w:t>
      </w:r>
      <w:r>
        <w:rPr>
          <w:rStyle w:val="StyleUnderline"/>
        </w:rPr>
        <w:t xml:space="preserve"> </w:t>
      </w:r>
      <w:r>
        <w:t>itself to create an accident. Only jointly are these causes sufficient to create an accident. Indeed, i</w:t>
      </w:r>
      <w:r w:rsidRPr="00A1626B">
        <w:rPr>
          <w:rStyle w:val="StyleUnderline"/>
        </w:rPr>
        <w:t>t is the linking of these causes together that creates the circumstances required</w:t>
      </w:r>
      <w:r>
        <w:rPr>
          <w:rStyle w:val="StyleUnderline"/>
        </w:rPr>
        <w:t xml:space="preserve"> </w:t>
      </w:r>
      <w:r w:rsidRPr="00A1626B">
        <w:rPr>
          <w:rStyle w:val="StyleUnderline"/>
        </w:rPr>
        <w:t>for the accident</w:t>
      </w:r>
      <w:r>
        <w:t xml:space="preserve">. </w:t>
      </w:r>
      <w:r w:rsidRPr="00A1626B">
        <w:rPr>
          <w:rStyle w:val="StyleUnderline"/>
        </w:rPr>
        <w:t>Thus, no isolation of the ‘root cause’ of an accident is possible</w:t>
      </w:r>
      <w:r>
        <w:t xml:space="preserve">. The evaluations based on such reasoning </w:t>
      </w:r>
      <w:r w:rsidRPr="00A1626B">
        <w:rPr>
          <w:rStyle w:val="StyleUnderline"/>
        </w:rPr>
        <w:t>as ‘root cause’ do not reflect a technical</w:t>
      </w:r>
      <w:r>
        <w:rPr>
          <w:rStyle w:val="StyleUnderline"/>
        </w:rPr>
        <w:t xml:space="preserve"> </w:t>
      </w:r>
      <w:r w:rsidRPr="00A1626B">
        <w:rPr>
          <w:rStyle w:val="StyleUnderline"/>
        </w:rPr>
        <w:t>understanding of the nature of failure but rather the social</w:t>
      </w:r>
      <w:r>
        <w:t xml:space="preserve">, </w:t>
      </w:r>
      <w:r w:rsidRPr="00A1626B">
        <w:rPr>
          <w:rStyle w:val="StyleUnderline"/>
        </w:rPr>
        <w:t>cultural need to blame</w:t>
      </w:r>
      <w:r>
        <w:rPr>
          <w:rStyle w:val="StyleUnderline"/>
        </w:rPr>
        <w:t xml:space="preserve"> </w:t>
      </w:r>
      <w:r w:rsidRPr="00A1626B">
        <w:rPr>
          <w:rStyle w:val="StyleUnderline"/>
        </w:rPr>
        <w:t>specific, localized forces or events for outcomes</w:t>
      </w:r>
      <w:r w:rsidRPr="00A1626B">
        <w:t>.1</w:t>
      </w:r>
      <w:r>
        <w:rPr>
          <w:rStyle w:val="StyleUnderline"/>
        </w:rPr>
        <w:t xml:space="preserve"> </w:t>
      </w:r>
      <w:r>
        <w:t xml:space="preserve">8) </w:t>
      </w:r>
      <w:r w:rsidRPr="00A1626B">
        <w:rPr>
          <w:rStyle w:val="StyleUnderline"/>
        </w:rPr>
        <w:t>Hindsight biases post-accident assessments of human performance</w:t>
      </w:r>
      <w:r>
        <w:t xml:space="preserve">. </w:t>
      </w:r>
      <w:r w:rsidRPr="00A1626B">
        <w:rPr>
          <w:rStyle w:val="StyleUnderline"/>
        </w:rPr>
        <w:t>Knowledge of the outcome makes it seem that events leading to the outcome should have</w:t>
      </w:r>
      <w:r>
        <w:rPr>
          <w:rStyle w:val="StyleUnderline"/>
        </w:rPr>
        <w:t xml:space="preserve"> </w:t>
      </w:r>
      <w:r w:rsidRPr="00A1626B">
        <w:rPr>
          <w:rStyle w:val="StyleUnderline"/>
        </w:rPr>
        <w:t>appeared more salient to practitioners</w:t>
      </w:r>
      <w:r>
        <w:t xml:space="preserve"> </w:t>
      </w:r>
      <w:r w:rsidRPr="00A1626B">
        <w:rPr>
          <w:rStyle w:val="StyleUnderline"/>
        </w:rPr>
        <w:t>at the time than was actually the case</w:t>
      </w:r>
      <w:r>
        <w:t xml:space="preserve">. This means that </w:t>
      </w:r>
      <w:r w:rsidRPr="00A1626B">
        <w:rPr>
          <w:rStyle w:val="StyleUnderline"/>
        </w:rPr>
        <w:t>ex post facto accident analysis of human performance is inaccurate</w:t>
      </w:r>
      <w:r>
        <w:t xml:space="preserve">. </w:t>
      </w:r>
      <w:r w:rsidRPr="00A1626B">
        <w:rPr>
          <w:rStyle w:val="StyleUnderline"/>
        </w:rPr>
        <w:t>The outcome</w:t>
      </w:r>
      <w:r>
        <w:rPr>
          <w:rStyle w:val="StyleUnderline"/>
        </w:rPr>
        <w:t xml:space="preserve"> </w:t>
      </w:r>
      <w:r w:rsidRPr="00A1626B">
        <w:rPr>
          <w:rStyle w:val="StyleUnderline"/>
        </w:rPr>
        <w:t>knowledge poisons the ability of after-accident observers to recreate the view of</w:t>
      </w:r>
      <w:r>
        <w:rPr>
          <w:rStyle w:val="StyleUnderline"/>
        </w:rPr>
        <w:t xml:space="preserve"> </w:t>
      </w:r>
      <w:r w:rsidRPr="00A1626B">
        <w:rPr>
          <w:rStyle w:val="StyleUnderline"/>
        </w:rPr>
        <w:t xml:space="preserve">practitioners </w:t>
      </w:r>
      <w:r>
        <w:t xml:space="preserve">before the accident of those same factors. </w:t>
      </w:r>
      <w:r w:rsidRPr="00A1626B">
        <w:rPr>
          <w:rStyle w:val="StyleUnderline"/>
        </w:rPr>
        <w:t>It seems that practitioners “should</w:t>
      </w:r>
      <w:r>
        <w:rPr>
          <w:rStyle w:val="StyleUnderline"/>
        </w:rPr>
        <w:t xml:space="preserve"> </w:t>
      </w:r>
      <w:r w:rsidRPr="00A1626B">
        <w:rPr>
          <w:rStyle w:val="StyleUnderline"/>
        </w:rPr>
        <w:t>have known” that the factors would “inevitably” lead to an accident</w:t>
      </w:r>
      <w:r>
        <w:t xml:space="preserve">.2 </w:t>
      </w:r>
      <w:r w:rsidRPr="00A1626B">
        <w:rPr>
          <w:rStyle w:val="StyleUnderline"/>
        </w:rPr>
        <w:t>Hindsight bias</w:t>
      </w:r>
      <w:r>
        <w:rPr>
          <w:rStyle w:val="StyleUnderline"/>
        </w:rPr>
        <w:t xml:space="preserve"> </w:t>
      </w:r>
      <w:r w:rsidRPr="00A1626B">
        <w:rPr>
          <w:rStyle w:val="StyleUnderline"/>
        </w:rPr>
        <w:t>remains the primary obstacle to accident investigation</w:t>
      </w:r>
      <w:r>
        <w:t xml:space="preserve">, especially when expert human performance is involved. 9) </w:t>
      </w:r>
      <w:r w:rsidRPr="00A1626B">
        <w:rPr>
          <w:rStyle w:val="StyleUnderline"/>
        </w:rPr>
        <w:t>Human operators have dual roles: as producers &amp; as defenders against failure.</w:t>
      </w:r>
      <w:r>
        <w:rPr>
          <w:rStyle w:val="StyleUnderline"/>
        </w:rPr>
        <w:t xml:space="preserve"> </w:t>
      </w:r>
      <w:r>
        <w:t>The system practitioners operate the system in order to produce its desired product and also work to forestall accidents. This dynamic quality of system operation</w:t>
      </w:r>
      <w:r w:rsidRPr="00A1626B">
        <w:rPr>
          <w:rStyle w:val="StyleUnderline"/>
        </w:rPr>
        <w:t>, the balancing</w:t>
      </w:r>
      <w:r>
        <w:rPr>
          <w:rStyle w:val="StyleUnderline"/>
        </w:rPr>
        <w:t xml:space="preserve"> </w:t>
      </w:r>
      <w:r w:rsidRPr="00A1626B">
        <w:rPr>
          <w:rStyle w:val="StyleUnderline"/>
        </w:rPr>
        <w:t>of demands for production against the possibility of incipient failure is unavoidable.</w:t>
      </w:r>
      <w:r>
        <w:rPr>
          <w:rStyle w:val="StyleUnderline"/>
        </w:rPr>
        <w:t xml:space="preserve"> </w:t>
      </w:r>
      <w:r>
        <w:t>Outsiders rarely acknowledge the duality of this role. I</w:t>
      </w:r>
      <w:r w:rsidRPr="00A1626B">
        <w:rPr>
          <w:rStyle w:val="StyleUnderline"/>
        </w:rPr>
        <w:t>n non-accident filled times, the</w:t>
      </w:r>
      <w:r>
        <w:rPr>
          <w:rStyle w:val="StyleUnderline"/>
        </w:rPr>
        <w:t xml:space="preserve"> </w:t>
      </w:r>
      <w:r w:rsidRPr="00A1626B">
        <w:rPr>
          <w:rStyle w:val="StyleUnderline"/>
        </w:rPr>
        <w:t>production role is emphasized. After accidents, the defense against failure role is</w:t>
      </w:r>
      <w:r>
        <w:rPr>
          <w:rStyle w:val="StyleUnderline"/>
        </w:rPr>
        <w:t xml:space="preserve"> </w:t>
      </w:r>
      <w:r w:rsidRPr="00A1626B">
        <w:rPr>
          <w:rStyle w:val="StyleUnderline"/>
        </w:rPr>
        <w:t>emphasized.</w:t>
      </w:r>
      <w:r>
        <w:t xml:space="preserve"> At either time</w:t>
      </w:r>
      <w:r w:rsidRPr="00A1626B">
        <w:rPr>
          <w:rStyle w:val="StyleUnderline"/>
        </w:rPr>
        <w:t>, the outsider’s view misapprehends the operator’s constant,</w:t>
      </w:r>
      <w:r>
        <w:rPr>
          <w:rStyle w:val="StyleUnderline"/>
        </w:rPr>
        <w:t xml:space="preserve"> </w:t>
      </w:r>
      <w:r w:rsidRPr="00A1626B">
        <w:rPr>
          <w:rStyle w:val="StyleUnderline"/>
        </w:rPr>
        <w:t>simultaneous engagement with both roles.</w:t>
      </w:r>
      <w:r>
        <w:rPr>
          <w:rStyle w:val="StyleUnderline"/>
        </w:rPr>
        <w:t xml:space="preserve"> </w:t>
      </w:r>
      <w:r>
        <w:t xml:space="preserve">10) </w:t>
      </w:r>
      <w:r w:rsidRPr="00A1626B">
        <w:rPr>
          <w:rStyle w:val="StyleUnderline"/>
        </w:rPr>
        <w:t>All practitioner actions are gambles.</w:t>
      </w:r>
      <w:r>
        <w:rPr>
          <w:rStyle w:val="StyleUnderline"/>
        </w:rPr>
        <w:t xml:space="preserve"> </w:t>
      </w:r>
      <w:r>
        <w:t xml:space="preserve">After accidents, the overt failure often appears to have been inevitable and the practitioner’s actions as blunders or deliberate willful disregard of certain impending failure. But </w:t>
      </w:r>
      <w:r w:rsidRPr="00A1626B">
        <w:rPr>
          <w:rStyle w:val="StyleUnderline"/>
        </w:rPr>
        <w:t>all practitioner actions are actually gambles</w:t>
      </w:r>
      <w:r>
        <w:t xml:space="preserve">, </w:t>
      </w:r>
      <w:r w:rsidRPr="00A1626B">
        <w:rPr>
          <w:rStyle w:val="StyleUnderline"/>
        </w:rPr>
        <w:t>that is, acts that take place in the</w:t>
      </w:r>
      <w:r>
        <w:rPr>
          <w:rStyle w:val="StyleUnderline"/>
        </w:rPr>
        <w:t xml:space="preserve"> </w:t>
      </w:r>
      <w:r w:rsidRPr="00A1626B">
        <w:rPr>
          <w:rStyle w:val="StyleUnderline"/>
        </w:rPr>
        <w:t>face of uncertain outcomes</w:t>
      </w:r>
      <w:r>
        <w:t xml:space="preserve">. The degree of uncertainty may change from moment to moment. That practitioner actions are gambles appears clear after accidents; in general, </w:t>
      </w:r>
      <w:r w:rsidRPr="00A1626B">
        <w:rPr>
          <w:rStyle w:val="StyleUnderline"/>
        </w:rPr>
        <w:t>post hoc analysis regards these gambles as poor ones</w:t>
      </w:r>
      <w:r>
        <w:t xml:space="preserve">. </w:t>
      </w:r>
      <w:r w:rsidRPr="00A1626B">
        <w:rPr>
          <w:rStyle w:val="StyleUnderline"/>
        </w:rPr>
        <w:t xml:space="preserve">But the converse: </w:t>
      </w:r>
      <w:r w:rsidRPr="00A1626B">
        <w:t>that</w:t>
      </w:r>
      <w:r w:rsidRPr="00A1626B">
        <w:rPr>
          <w:rStyle w:val="StyleUnderline"/>
        </w:rPr>
        <w:t xml:space="preserve"> successful</w:t>
      </w:r>
      <w:r>
        <w:rPr>
          <w:rStyle w:val="StyleUnderline"/>
        </w:rPr>
        <w:t xml:space="preserve"> </w:t>
      </w:r>
      <w:r w:rsidRPr="00A1626B">
        <w:rPr>
          <w:rStyle w:val="StyleUnderline"/>
        </w:rPr>
        <w:t>outcomes are also the result of gambles; i</w:t>
      </w:r>
      <w:r w:rsidRPr="00A1626B">
        <w:t>s not widely appreciated.</w:t>
      </w:r>
      <w:r>
        <w:rPr>
          <w:rStyle w:val="StyleUnderline"/>
        </w:rPr>
        <w:t xml:space="preserve"> </w:t>
      </w:r>
      <w:r>
        <w:t xml:space="preserve">11) Actions at the sharp end resolve all ambiguity. </w:t>
      </w:r>
      <w:r w:rsidRPr="00A1626B">
        <w:rPr>
          <w:rStyle w:val="StyleUnderline"/>
        </w:rPr>
        <w:t>Organizations are ambiguous</w:t>
      </w:r>
      <w:r>
        <w:t>, often intentionally, a</w:t>
      </w:r>
      <w:r w:rsidRPr="00A1626B">
        <w:rPr>
          <w:rStyle w:val="StyleUnderline"/>
        </w:rPr>
        <w:t>bout the relationship between</w:t>
      </w:r>
      <w:r>
        <w:rPr>
          <w:rStyle w:val="StyleUnderline"/>
        </w:rPr>
        <w:t xml:space="preserve"> </w:t>
      </w:r>
      <w:r w:rsidRPr="00A1626B">
        <w:rPr>
          <w:rStyle w:val="StyleUnderline"/>
        </w:rPr>
        <w:t>production targets, efficient use of resources, economy and costs of operations, and</w:t>
      </w:r>
      <w:r>
        <w:rPr>
          <w:rStyle w:val="StyleUnderline"/>
        </w:rPr>
        <w:t xml:space="preserve"> </w:t>
      </w:r>
      <w:r w:rsidRPr="00A1626B">
        <w:rPr>
          <w:rStyle w:val="StyleUnderline"/>
        </w:rPr>
        <w:t>acceptable risks of low and high consequence accidents</w:t>
      </w:r>
      <w:r>
        <w:t>. All ambiguity is resolved by actions of practitioners at the sharp end of the system. After an accident, practitioner actions may be regarded as ‘errors’ or ‘violations’ but these evaluations are heavily biased by hindsight and ignore the other driving forces, especially production pressure. 12) Human practitioners are the adaptable element of complex systems. Practitioners and first line management actively adapt the system to maximize production and minimize accidents. These adaptations often occur on a moment by moment basis. Some of these adaptations include: (1) Restructuring the system in order to reduce exposure of vulnerable parts to failure. (2) Concentrating critical resources in areas of expected high demand. (3) Providing pathways for retreat or recovery from expected and unexpected faults. (4) Establishing means for early detection of changed system performance in order to allow graceful cutbacks in production or other means of increasing resiliency. 13) Human expertise in complex systems is constantly changing C</w:t>
      </w:r>
      <w:r w:rsidRPr="00A1626B">
        <w:rPr>
          <w:rStyle w:val="StyleUnderline"/>
        </w:rPr>
        <w:t>omplex systems require substantial human expertise in their operation and</w:t>
      </w:r>
      <w:r>
        <w:rPr>
          <w:rStyle w:val="StyleUnderline"/>
        </w:rPr>
        <w:t xml:space="preserve"> </w:t>
      </w:r>
      <w:r w:rsidRPr="00A1626B">
        <w:rPr>
          <w:rStyle w:val="StyleUnderline"/>
        </w:rPr>
        <w:t>management</w:t>
      </w:r>
      <w:r>
        <w:t xml:space="preserve">. </w:t>
      </w:r>
      <w:r w:rsidRPr="00A1626B">
        <w:rPr>
          <w:rStyle w:val="StyleUnderline"/>
        </w:rPr>
        <w:t>This expertise changes in character as technology changes but it also</w:t>
      </w:r>
      <w:r>
        <w:rPr>
          <w:rStyle w:val="StyleUnderline"/>
        </w:rPr>
        <w:t xml:space="preserve"> </w:t>
      </w:r>
      <w:r w:rsidRPr="00A1626B">
        <w:rPr>
          <w:rStyle w:val="StyleUnderline"/>
        </w:rPr>
        <w:t>changes because of the need to replace experts who leav</w:t>
      </w:r>
      <w:r>
        <w:t xml:space="preserve">e. In every case, training and refinement of skill and expertise is one part of the function of the system itself. At any moment, therefore, a </w:t>
      </w:r>
      <w:r w:rsidRPr="00A1626B">
        <w:rPr>
          <w:rStyle w:val="StyleUnderline"/>
        </w:rPr>
        <w:t>given complex system will contain practitioners and trainees with</w:t>
      </w:r>
      <w:r>
        <w:rPr>
          <w:rStyle w:val="StyleUnderline"/>
        </w:rPr>
        <w:t xml:space="preserve"> </w:t>
      </w:r>
      <w:r w:rsidRPr="00A1626B">
        <w:rPr>
          <w:rStyle w:val="StyleUnderline"/>
        </w:rPr>
        <w:t>varying degrees of expertise</w:t>
      </w:r>
      <w:r w:rsidRPr="00A1626B">
        <w:t xml:space="preserve">. </w:t>
      </w:r>
      <w:r w:rsidRPr="00A1626B">
        <w:rPr>
          <w:rStyle w:val="StyleUnderline"/>
        </w:rPr>
        <w:t>Critical issues related to expertise arise from (1) the need to</w:t>
      </w:r>
      <w:r>
        <w:rPr>
          <w:rStyle w:val="StyleUnderline"/>
        </w:rPr>
        <w:t xml:space="preserve"> </w:t>
      </w:r>
      <w:r w:rsidRPr="00A1626B">
        <w:rPr>
          <w:rStyle w:val="StyleUnderline"/>
        </w:rPr>
        <w:t>use scarce expertise as a resource for the most difficult or demanding production needs</w:t>
      </w:r>
      <w:r>
        <w:rPr>
          <w:rStyle w:val="StyleUnderline"/>
        </w:rPr>
        <w:t xml:space="preserve"> </w:t>
      </w:r>
      <w:r w:rsidRPr="00A1626B">
        <w:rPr>
          <w:rStyle w:val="StyleUnderline"/>
        </w:rPr>
        <w:t>and (2) the need to develop expertise for future use.</w:t>
      </w:r>
      <w:r>
        <w:rPr>
          <w:rStyle w:val="StyleUnderline"/>
        </w:rPr>
        <w:t xml:space="preserve"> </w:t>
      </w:r>
      <w:r>
        <w:t xml:space="preserve">14) </w:t>
      </w:r>
      <w:r w:rsidRPr="00A1626B">
        <w:rPr>
          <w:rStyle w:val="StyleUnderline"/>
        </w:rPr>
        <w:t>Change introduces new forms of failure.</w:t>
      </w:r>
      <w:r>
        <w:rPr>
          <w:rStyle w:val="StyleUnderline"/>
        </w:rPr>
        <w:t xml:space="preserve"> </w:t>
      </w:r>
      <w:r>
        <w:t xml:space="preserve">The low rate of overt accidents in reliable systems may encourage changes, especially the use of new technology, to decrease the number of low consequence but high frequency failures. These </w:t>
      </w:r>
      <w:r w:rsidRPr="00A1626B">
        <w:rPr>
          <w:rStyle w:val="StyleUnderline"/>
        </w:rPr>
        <w:t>changes maybe actually create opportunities for new, low frequency but</w:t>
      </w:r>
      <w:r>
        <w:rPr>
          <w:rStyle w:val="StyleUnderline"/>
        </w:rPr>
        <w:t xml:space="preserve"> </w:t>
      </w:r>
      <w:r w:rsidRPr="00A1626B">
        <w:rPr>
          <w:rStyle w:val="StyleUnderline"/>
        </w:rPr>
        <w:t>high consequence failures</w:t>
      </w:r>
      <w:r>
        <w:t xml:space="preserve">. When </w:t>
      </w:r>
      <w:r w:rsidRPr="008B05C3">
        <w:rPr>
          <w:rStyle w:val="StyleUnderline"/>
        </w:rPr>
        <w:t>new technologies</w:t>
      </w:r>
      <w:r>
        <w:t xml:space="preserve"> are used to eliminate well understood system failures or to gain high precision performance they </w:t>
      </w:r>
      <w:r w:rsidRPr="008B05C3">
        <w:rPr>
          <w:rStyle w:val="StyleUnderline"/>
        </w:rPr>
        <w:t>often introduce</w:t>
      </w:r>
      <w:r>
        <w:rPr>
          <w:rStyle w:val="StyleUnderline"/>
        </w:rPr>
        <w:t xml:space="preserve"> </w:t>
      </w:r>
      <w:r w:rsidRPr="008B05C3">
        <w:rPr>
          <w:rStyle w:val="StyleUnderline"/>
        </w:rPr>
        <w:t>new pathways to large scale, catastrophic failures</w:t>
      </w:r>
      <w:r>
        <w:t xml:space="preserve">. </w:t>
      </w:r>
      <w:r w:rsidRPr="008B05C3">
        <w:rPr>
          <w:rStyle w:val="StyleUnderline"/>
        </w:rPr>
        <w:t>Not uncommonly, these new, rare</w:t>
      </w:r>
      <w:r>
        <w:rPr>
          <w:rStyle w:val="StyleUnderline"/>
        </w:rPr>
        <w:t xml:space="preserve"> </w:t>
      </w:r>
      <w:r w:rsidRPr="008B05C3">
        <w:rPr>
          <w:rStyle w:val="StyleUnderline"/>
        </w:rPr>
        <w:t>catastrophes have even greater impact than those eliminated by the new technology.</w:t>
      </w:r>
      <w:r>
        <w:rPr>
          <w:rStyle w:val="StyleUnderline"/>
        </w:rPr>
        <w:t xml:space="preserve"> </w:t>
      </w:r>
      <w:r>
        <w:t xml:space="preserve">These new forms of failure are difficult to see before the fact; attention is paid mostly to the putative beneficial characteristics of the changes. Because these new, high consequence accidents occur at a low rate, </w:t>
      </w:r>
      <w:r w:rsidRPr="008B05C3">
        <w:rPr>
          <w:rStyle w:val="StyleUnderline"/>
        </w:rPr>
        <w:t>multiple system changes may occur before an</w:t>
      </w:r>
      <w:r>
        <w:rPr>
          <w:rStyle w:val="StyleUnderline"/>
        </w:rPr>
        <w:t xml:space="preserve"> </w:t>
      </w:r>
      <w:r w:rsidRPr="008B05C3">
        <w:rPr>
          <w:rStyle w:val="StyleUnderline"/>
        </w:rPr>
        <w:t>accident, making it hard to see the contribution of technology to the failure.</w:t>
      </w:r>
      <w:r>
        <w:rPr>
          <w:rStyle w:val="StyleUnderline"/>
        </w:rPr>
        <w:t xml:space="preserve"> </w:t>
      </w:r>
      <w:r>
        <w:t xml:space="preserve">15) </w:t>
      </w:r>
      <w:r w:rsidRPr="008B05C3">
        <w:rPr>
          <w:rStyle w:val="StyleUnderline"/>
        </w:rPr>
        <w:t>Views of ‘cause’ limit the effectiveness of defenses against future events.</w:t>
      </w:r>
      <w:r>
        <w:rPr>
          <w:rStyle w:val="StyleUnderline"/>
        </w:rPr>
        <w:t xml:space="preserve"> </w:t>
      </w:r>
      <w:r w:rsidRPr="008B05C3">
        <w:rPr>
          <w:rStyle w:val="StyleUnderline"/>
        </w:rPr>
        <w:t>Post-accident remedies for “human error” are usually predicated on obstructing activities</w:t>
      </w:r>
      <w:r>
        <w:rPr>
          <w:rStyle w:val="StyleUnderline"/>
        </w:rPr>
        <w:t xml:space="preserve"> </w:t>
      </w:r>
      <w:r w:rsidRPr="008B05C3">
        <w:rPr>
          <w:rStyle w:val="StyleUnderline"/>
        </w:rPr>
        <w:t>that can “cause” accidents</w:t>
      </w:r>
      <w:r>
        <w:t xml:space="preserve">. </w:t>
      </w:r>
      <w:r w:rsidRPr="008B05C3">
        <w:rPr>
          <w:rStyle w:val="StyleUnderline"/>
        </w:rPr>
        <w:t>These end-of-the-chain measures do little to reduce the</w:t>
      </w:r>
      <w:r>
        <w:rPr>
          <w:rStyle w:val="StyleUnderline"/>
        </w:rPr>
        <w:t xml:space="preserve"> </w:t>
      </w:r>
      <w:r w:rsidRPr="008B05C3">
        <w:rPr>
          <w:rStyle w:val="StyleUnderline"/>
        </w:rPr>
        <w:t>likelihood of further accident</w:t>
      </w:r>
      <w:r>
        <w:t xml:space="preserve">s. In fact that </w:t>
      </w:r>
      <w:r w:rsidRPr="008B05C3">
        <w:rPr>
          <w:rStyle w:val="StyleUnderline"/>
        </w:rPr>
        <w:t>likelihood of an identical accident is already</w:t>
      </w:r>
      <w:r>
        <w:rPr>
          <w:rStyle w:val="StyleUnderline"/>
        </w:rPr>
        <w:t xml:space="preserve"> </w:t>
      </w:r>
      <w:r w:rsidRPr="008B05C3">
        <w:rPr>
          <w:rStyle w:val="StyleUnderline"/>
        </w:rPr>
        <w:t>extraordinarily low</w:t>
      </w:r>
      <w:r>
        <w:t xml:space="preserve"> </w:t>
      </w:r>
      <w:r w:rsidRPr="008B05C3">
        <w:rPr>
          <w:rStyle w:val="StyleUnderline"/>
        </w:rPr>
        <w:t>because</w:t>
      </w:r>
      <w:r>
        <w:t xml:space="preserve"> the pattern </w:t>
      </w:r>
      <w:r w:rsidRPr="008B05C3">
        <w:rPr>
          <w:rStyle w:val="StyleUnderline"/>
        </w:rPr>
        <w:t>of</w:t>
      </w:r>
      <w:r>
        <w:t xml:space="preserve"> latent failures </w:t>
      </w:r>
      <w:r w:rsidRPr="008B05C3">
        <w:rPr>
          <w:rStyle w:val="StyleUnderline"/>
        </w:rPr>
        <w:t>changes</w:t>
      </w:r>
      <w:r>
        <w:t xml:space="preserve"> constantly</w:t>
      </w:r>
      <w:r w:rsidRPr="008B05C3">
        <w:rPr>
          <w:rStyle w:val="StyleUnderline"/>
        </w:rPr>
        <w:t>. Instead of</w:t>
      </w:r>
      <w:r>
        <w:rPr>
          <w:rStyle w:val="StyleUnderline"/>
        </w:rPr>
        <w:t xml:space="preserve"> </w:t>
      </w:r>
      <w:r w:rsidRPr="008B05C3">
        <w:rPr>
          <w:rStyle w:val="StyleUnderline"/>
        </w:rPr>
        <w:t>increasing safety,</w:t>
      </w:r>
      <w:r>
        <w:t xml:space="preserve"> </w:t>
      </w:r>
      <w:r w:rsidRPr="008B05C3">
        <w:rPr>
          <w:rStyle w:val="StyleUnderline"/>
        </w:rPr>
        <w:t>post-accident remedies usually increase the coupling and complexity of</w:t>
      </w:r>
      <w:r>
        <w:rPr>
          <w:rStyle w:val="StyleUnderline"/>
        </w:rPr>
        <w:t xml:space="preserve"> </w:t>
      </w:r>
      <w:r w:rsidRPr="008B05C3">
        <w:rPr>
          <w:rStyle w:val="StyleUnderline"/>
        </w:rPr>
        <w:t>the system.</w:t>
      </w:r>
      <w:r>
        <w:t xml:space="preserve"> This increases the potential number of latent failures and also makes the detection and blocking of accident trajectories more difficult. 16) </w:t>
      </w:r>
      <w:r w:rsidRPr="008B05C3">
        <w:rPr>
          <w:rStyle w:val="StyleUnderline"/>
        </w:rPr>
        <w:t>Safety is a characteristic of systems and not of their components</w:t>
      </w:r>
      <w:r>
        <w:rPr>
          <w:rStyle w:val="StyleUnderline"/>
        </w:rPr>
        <w:t xml:space="preserve"> </w:t>
      </w:r>
      <w:r w:rsidRPr="008B05C3">
        <w:rPr>
          <w:rStyle w:val="StyleUnderline"/>
        </w:rPr>
        <w:t>Safety</w:t>
      </w:r>
      <w:r>
        <w:t xml:space="preserve"> is an emergent property of systems; it </w:t>
      </w:r>
      <w:r w:rsidRPr="008B05C3">
        <w:rPr>
          <w:rStyle w:val="StyleUnderline"/>
        </w:rPr>
        <w:t>does not reside in a person, device or</w:t>
      </w:r>
      <w:r>
        <w:rPr>
          <w:rStyle w:val="StyleUnderline"/>
        </w:rPr>
        <w:t xml:space="preserve"> </w:t>
      </w:r>
      <w:r w:rsidRPr="008B05C3">
        <w:rPr>
          <w:rStyle w:val="StyleUnderline"/>
        </w:rPr>
        <w:t>department of an organization or system</w:t>
      </w:r>
      <w:r>
        <w:t xml:space="preserve">. </w:t>
      </w:r>
      <w:r w:rsidRPr="008B05C3">
        <w:rPr>
          <w:rStyle w:val="StyleUnderline"/>
        </w:rPr>
        <w:t>Safety cannot be purchased or manufactured</w:t>
      </w:r>
      <w:r>
        <w:t xml:space="preserve">; it is not a feature that is separate from the other components of the system. This means that </w:t>
      </w:r>
      <w:r w:rsidRPr="008B05C3">
        <w:rPr>
          <w:rStyle w:val="StyleUnderline"/>
        </w:rPr>
        <w:t>safety cannot be manipulated like a feedstock or raw material</w:t>
      </w:r>
      <w:r>
        <w:t xml:space="preserve">. </w:t>
      </w:r>
      <w:r w:rsidRPr="008B05C3">
        <w:rPr>
          <w:rStyle w:val="StyleUnderline"/>
        </w:rPr>
        <w:t>The state of safety in any</w:t>
      </w:r>
      <w:r>
        <w:rPr>
          <w:rStyle w:val="StyleUnderline"/>
        </w:rPr>
        <w:t xml:space="preserve"> </w:t>
      </w:r>
      <w:r w:rsidRPr="008B05C3">
        <w:rPr>
          <w:rStyle w:val="StyleUnderline"/>
        </w:rPr>
        <w:t>system is always dynamic; continuous systemic change insures that hazard and its</w:t>
      </w:r>
      <w:r>
        <w:rPr>
          <w:rStyle w:val="StyleUnderline"/>
        </w:rPr>
        <w:t xml:space="preserve"> </w:t>
      </w:r>
      <w:r w:rsidRPr="008B05C3">
        <w:rPr>
          <w:rStyle w:val="StyleUnderline"/>
        </w:rPr>
        <w:t>management are constantly changing.</w:t>
      </w:r>
      <w:r>
        <w:rPr>
          <w:rStyle w:val="StyleUnderline"/>
        </w:rPr>
        <w:t xml:space="preserve"> </w:t>
      </w:r>
      <w:r>
        <w:t xml:space="preserve">17) </w:t>
      </w:r>
      <w:r w:rsidRPr="008B05C3">
        <w:rPr>
          <w:rStyle w:val="StyleUnderline"/>
        </w:rPr>
        <w:t>People continuously create safety</w:t>
      </w:r>
      <w:r>
        <w:t xml:space="preserve">. </w:t>
      </w:r>
      <w:r w:rsidRPr="008B05C3">
        <w:rPr>
          <w:rStyle w:val="StyleUnderline"/>
        </w:rPr>
        <w:t>Failure free operations are the result of activities of people who work to keep the system</w:t>
      </w:r>
      <w:r>
        <w:rPr>
          <w:rStyle w:val="StyleUnderline"/>
        </w:rPr>
        <w:t xml:space="preserve"> </w:t>
      </w:r>
      <w:r w:rsidRPr="008B05C3">
        <w:rPr>
          <w:rStyle w:val="StyleUnderline"/>
        </w:rPr>
        <w:t>within the boundaries of tolerable performance</w:t>
      </w:r>
      <w:r>
        <w:t>. These activities are, for the most part, part of normal operations and superficially straightforward. But be</w:t>
      </w:r>
      <w:r w:rsidRPr="008B05C3">
        <w:rPr>
          <w:rStyle w:val="StyleUnderline"/>
        </w:rPr>
        <w:t>cause system</w:t>
      </w:r>
      <w:r>
        <w:rPr>
          <w:rStyle w:val="StyleUnderline"/>
        </w:rPr>
        <w:t xml:space="preserve"> </w:t>
      </w:r>
      <w:r w:rsidRPr="008B05C3">
        <w:rPr>
          <w:rStyle w:val="StyleUnderline"/>
        </w:rPr>
        <w:t>operations are never trouble free, human practitioner adaptations to changing conditions</w:t>
      </w:r>
      <w:r>
        <w:rPr>
          <w:rStyle w:val="StyleUnderline"/>
        </w:rPr>
        <w:t xml:space="preserve"> </w:t>
      </w:r>
      <w:r w:rsidRPr="008B05C3">
        <w:rPr>
          <w:rStyle w:val="StyleUnderline"/>
        </w:rPr>
        <w:t>actually create safety from moment to moment</w:t>
      </w:r>
      <w:r>
        <w:t xml:space="preserve">. These adaptations often amount to just the selection of a well-rehearsed routine from a store of available responses; sometimes, however, </w:t>
      </w:r>
      <w:r w:rsidRPr="008B05C3">
        <w:rPr>
          <w:rStyle w:val="StyleUnderline"/>
        </w:rPr>
        <w:t>the adaptations are novel combinations or de novo creations of new approaches</w:t>
      </w:r>
      <w:r>
        <w:t xml:space="preserve">. 18) </w:t>
      </w:r>
      <w:r w:rsidRPr="008B05C3">
        <w:rPr>
          <w:rStyle w:val="StyleUnderline"/>
        </w:rPr>
        <w:t>Failure free operations require experience with failure</w:t>
      </w:r>
      <w:r>
        <w:t xml:space="preserve">. </w:t>
      </w:r>
      <w:r w:rsidRPr="008B05C3">
        <w:rPr>
          <w:rStyle w:val="StyleUnderline"/>
        </w:rPr>
        <w:t>Recognizing hazard and successfully manipulating system operations</w:t>
      </w:r>
      <w:r w:rsidRPr="008B05C3">
        <w:t xml:space="preserve"> to remain inside</w:t>
      </w:r>
      <w:r>
        <w:t xml:space="preserve"> the tolerable performance boundaries </w:t>
      </w:r>
      <w:r w:rsidRPr="008B05C3">
        <w:rPr>
          <w:rStyle w:val="StyleUnderline"/>
        </w:rPr>
        <w:t>requires intimate contact with failure.</w:t>
      </w:r>
      <w:r>
        <w:t xml:space="preserve"> </w:t>
      </w:r>
      <w:r w:rsidRPr="008B05C3">
        <w:rPr>
          <w:rStyle w:val="StyleUnderline"/>
        </w:rPr>
        <w:t>More robust</w:t>
      </w:r>
      <w:r>
        <w:rPr>
          <w:rStyle w:val="StyleUnderline"/>
        </w:rPr>
        <w:t xml:space="preserve"> </w:t>
      </w:r>
      <w:r w:rsidRPr="008B05C3">
        <w:rPr>
          <w:rStyle w:val="StyleUnderline"/>
        </w:rPr>
        <w:t>system performance is likely to arise in systems where operators can discern the “edge of</w:t>
      </w:r>
      <w:r>
        <w:rPr>
          <w:rStyle w:val="StyleUnderline"/>
        </w:rPr>
        <w:t xml:space="preserve"> </w:t>
      </w:r>
      <w:r w:rsidRPr="008B05C3">
        <w:rPr>
          <w:rStyle w:val="StyleUnderline"/>
        </w:rPr>
        <w:t>the envelope”</w:t>
      </w:r>
      <w:r>
        <w:t xml:space="preserve">. This is where system performance begins to deteriorate, becomes difficult to predict, or cannot be readily recovered. In intrinsically hazardous systems, </w:t>
      </w:r>
      <w:r w:rsidRPr="008B05C3">
        <w:rPr>
          <w:rStyle w:val="StyleUnderline"/>
        </w:rPr>
        <w:t>operators</w:t>
      </w:r>
      <w:r>
        <w:rPr>
          <w:rStyle w:val="StyleUnderline"/>
        </w:rPr>
        <w:t xml:space="preserve"> </w:t>
      </w:r>
      <w:r w:rsidRPr="008B05C3">
        <w:rPr>
          <w:rStyle w:val="StyleUnderline"/>
        </w:rPr>
        <w:t>are expected to encounter and appreciate hazards in ways that lead to overall</w:t>
      </w:r>
      <w:r>
        <w:rPr>
          <w:rStyle w:val="StyleUnderline"/>
        </w:rPr>
        <w:t xml:space="preserve"> </w:t>
      </w:r>
      <w:r w:rsidRPr="008B05C3">
        <w:rPr>
          <w:rStyle w:val="StyleUnderline"/>
        </w:rPr>
        <w:t>performance that is desirable</w:t>
      </w:r>
      <w:r>
        <w:t xml:space="preserve">. </w:t>
      </w:r>
      <w:r w:rsidRPr="008B05C3">
        <w:rPr>
          <w:rStyle w:val="StyleUnderline"/>
        </w:rPr>
        <w:t>Improved safety depends on providing operators with</w:t>
      </w:r>
      <w:r>
        <w:rPr>
          <w:rStyle w:val="StyleUnderline"/>
        </w:rPr>
        <w:t xml:space="preserve"> </w:t>
      </w:r>
      <w:r w:rsidRPr="008B05C3">
        <w:rPr>
          <w:rStyle w:val="StyleUnderline"/>
        </w:rPr>
        <w:t>calibrated views of the hazards. It</w:t>
      </w:r>
      <w:r>
        <w:t xml:space="preserve"> also depends on providing calibration about how their actions move system performance towards or away from the edge of the envelope.</w:t>
      </w:r>
    </w:p>
    <w:p w:rsidR="00C12070" w:rsidRDefault="00C12070" w:rsidP="00C12070"/>
    <w:p w:rsidR="00C12070" w:rsidRDefault="00C12070" w:rsidP="00C12070">
      <w:pPr>
        <w:pStyle w:val="Heading4"/>
      </w:pPr>
      <w:r>
        <w:t>Cognitive technologies like AI lead to human extinction- risks ecological destruction and global arms race</w:t>
      </w:r>
    </w:p>
    <w:p w:rsidR="00C12070" w:rsidRPr="00511901" w:rsidRDefault="00C12070" w:rsidP="00C12070">
      <w:r>
        <w:rPr>
          <w:rStyle w:val="Style13ptBold"/>
        </w:rPr>
        <w:t xml:space="preserve">Future of Life institute-  no date- </w:t>
      </w:r>
      <w:r w:rsidRPr="00511901">
        <w:t>a charity organization working to ensure powerful technologies are beneficial for humanity</w:t>
      </w:r>
      <w:r>
        <w:t>. An organization that is advised by leading scientists like Elon Musk and Stephen Hawking. (Future of life institute, “</w:t>
      </w:r>
      <w:r w:rsidRPr="006F1817">
        <w:t>BENEFITS &amp; RISKS OF ARTIFICIAL INTELLIGENCE</w:t>
      </w:r>
      <w:r>
        <w:t>” |</w:t>
      </w:r>
      <w:r w:rsidRPr="006F1817">
        <w:t>https://futureoflife.org/background/benefits-risks-of-artificial-intelligence/</w:t>
      </w:r>
      <w:r>
        <w:t xml:space="preserve"> |No date: DOA: 7/23/17| KG)</w:t>
      </w:r>
    </w:p>
    <w:p w:rsidR="00C12070" w:rsidRDefault="00C12070" w:rsidP="00C12070">
      <w:pPr>
        <w:jc w:val="both"/>
        <w:rPr>
          <w:rStyle w:val="StyleUnderline"/>
        </w:rPr>
      </w:pPr>
      <w:r w:rsidRPr="00A010B9">
        <w:rPr>
          <w:rStyle w:val="StyleUnderline"/>
        </w:rPr>
        <w:t>Most researchers agree that a superintelligent AI is unlikely to exhibit human emotions</w:t>
      </w:r>
      <w:r>
        <w:t xml:space="preserve"> like love or hate, and that </w:t>
      </w:r>
      <w:r w:rsidRPr="00A010B9">
        <w:rPr>
          <w:rStyle w:val="StyleUnderline"/>
        </w:rPr>
        <w:t>there is no reason to expect AI to become intentionally benevolent or malevolent</w:t>
      </w:r>
      <w:r>
        <w:t xml:space="preserve">. Instead, </w:t>
      </w:r>
      <w:r w:rsidRPr="00A010B9">
        <w:rPr>
          <w:rStyle w:val="StyleUnderline"/>
        </w:rPr>
        <w:t>when considering how AI might become a risk, experts think two scenarios most likely:</w:t>
      </w:r>
      <w:r>
        <w:rPr>
          <w:rStyle w:val="StyleUnderline"/>
        </w:rPr>
        <w:t xml:space="preserve"> </w:t>
      </w:r>
      <w:r w:rsidRPr="00A010B9">
        <w:rPr>
          <w:rStyle w:val="StyleUnderline"/>
        </w:rPr>
        <w:t>The AI is programmed to do something devastating</w:t>
      </w:r>
      <w:r>
        <w:t xml:space="preserve">: </w:t>
      </w:r>
      <w:r w:rsidRPr="00A010B9">
        <w:rPr>
          <w:rStyle w:val="StyleUnderline"/>
        </w:rPr>
        <w:t>Autonomous weapons are artificial intelligence systems that are programmed to kil</w:t>
      </w:r>
      <w:r>
        <w:t xml:space="preserve">l. </w:t>
      </w:r>
      <w:r w:rsidRPr="00A010B9">
        <w:rPr>
          <w:rStyle w:val="StyleUnderline"/>
        </w:rPr>
        <w:t>In the hands of the wrong person, these weapons could easily cause mass casualtie</w:t>
      </w:r>
      <w:r>
        <w:t xml:space="preserve">s. Moreover, </w:t>
      </w:r>
      <w:r w:rsidRPr="00A010B9">
        <w:rPr>
          <w:rStyle w:val="StyleUnderline"/>
        </w:rPr>
        <w:t>an AI arms race could inadvertently lead to an AI war that also results in mass casualties</w:t>
      </w:r>
      <w:r>
        <w:t>. To</w:t>
      </w:r>
      <w:r w:rsidRPr="00A010B9">
        <w:rPr>
          <w:rStyle w:val="StyleUnderline"/>
        </w:rPr>
        <w:t xml:space="preserve"> avoid being thwarted by the enemy, these weapons would be designed to be extremely difficult to simply “turn off,” so humans could plausibly lose control of such a situation. This risk</w:t>
      </w:r>
      <w:r>
        <w:t xml:space="preserve"> is one that’s present even with narrow AI, but </w:t>
      </w:r>
      <w:r w:rsidRPr="00A010B9">
        <w:rPr>
          <w:rStyle w:val="StyleUnderline"/>
        </w:rPr>
        <w:t>grows as levels of AI intelligence and autonomy increase.</w:t>
      </w:r>
      <w:r>
        <w:rPr>
          <w:rStyle w:val="StyleUnderline"/>
        </w:rPr>
        <w:t xml:space="preserve"> </w:t>
      </w:r>
      <w:r w:rsidRPr="00A010B9">
        <w:rPr>
          <w:rStyle w:val="StyleUnderline"/>
        </w:rPr>
        <w:t>The AI is</w:t>
      </w:r>
      <w:r>
        <w:t xml:space="preserve"> </w:t>
      </w:r>
      <w:r w:rsidRPr="00A010B9">
        <w:rPr>
          <w:rStyle w:val="StyleUnderline"/>
        </w:rPr>
        <w:t>programmed to do something beneficial, but it develops a destructive method for achieving its goal</w:t>
      </w:r>
      <w:r>
        <w:t xml:space="preserve">: </w:t>
      </w:r>
      <w:r w:rsidRPr="00A010B9">
        <w:rPr>
          <w:rStyle w:val="StyleUnderline"/>
        </w:rPr>
        <w:t>This can happen whenever we fail to fully align the AI’s goals with ours</w:t>
      </w:r>
      <w:r>
        <w:t xml:space="preserve">, which is strikingly difficult. If </w:t>
      </w:r>
      <w:r w:rsidRPr="00A010B9">
        <w:rPr>
          <w:rStyle w:val="StyleUnderline"/>
        </w:rPr>
        <w:t>you ask an obedient intelligent car to take you to the airport as fast as possible, it might get you there chased by helicopters</w:t>
      </w:r>
      <w:r>
        <w:t xml:space="preserve"> </w:t>
      </w:r>
      <w:r w:rsidRPr="00A010B9">
        <w:rPr>
          <w:rStyle w:val="StyleUnderline"/>
        </w:rPr>
        <w:t>and covered in vomit, doing not what you wanted but literally what you asked for</w:t>
      </w:r>
      <w:r>
        <w:t xml:space="preserve">. If a </w:t>
      </w:r>
      <w:r w:rsidRPr="00511901">
        <w:rPr>
          <w:rStyle w:val="StyleUnderline"/>
        </w:rPr>
        <w:t>superintelligent system is tasked with a ambitious geoengineering project, it might wreak havoc with our ecosystem as a side effect, and view human attempts to stop it as a threat to be met.</w:t>
      </w:r>
      <w:r>
        <w:rPr>
          <w:rStyle w:val="StyleUnderline"/>
        </w:rPr>
        <w:t xml:space="preserve"> </w:t>
      </w:r>
      <w:r>
        <w:t xml:space="preserve">As these examples illustrate, </w:t>
      </w:r>
      <w:r w:rsidRPr="00511901">
        <w:rPr>
          <w:rStyle w:val="StyleUnderline"/>
        </w:rPr>
        <w:t>the concern about advanced AI isn’t malevolence but competence</w:t>
      </w:r>
      <w:r>
        <w:t xml:space="preserve">. </w:t>
      </w:r>
      <w:r w:rsidRPr="00511901">
        <w:rPr>
          <w:rStyle w:val="StyleUnderline"/>
        </w:rPr>
        <w:t>A super-intelligent AI will be extremely good at accomplishing its goals, and if those goals aren’t aligned with ours, we have a problem</w:t>
      </w:r>
      <w:r>
        <w:t xml:space="preserve">. </w:t>
      </w:r>
      <w:r w:rsidRPr="00511901">
        <w:rPr>
          <w:rStyle w:val="StyleUnderline"/>
        </w:rPr>
        <w:t>You’re probably not an evil ant-hater who steps on ants out of malice, but if you’re in charge of a hydroelectric green energy project and there’s an anthill in the region to be flooded, too bad for the ants. A key goal of AI safety research is to never place humanity in the position of those ants.</w:t>
      </w:r>
    </w:p>
    <w:p w:rsidR="00C12070" w:rsidRDefault="00C12070" w:rsidP="00C12070">
      <w:pPr>
        <w:jc w:val="both"/>
        <w:rPr>
          <w:rStyle w:val="StyleUnderline"/>
        </w:rPr>
      </w:pPr>
    </w:p>
    <w:p w:rsidR="00C12070" w:rsidRPr="00A31F54" w:rsidRDefault="00C12070" w:rsidP="00C12070">
      <w:pPr>
        <w:pStyle w:val="Heading3"/>
        <w:rPr>
          <w:rStyle w:val="StyleUnderline"/>
          <w:sz w:val="52"/>
          <w:szCs w:val="52"/>
          <w:u w:val="double"/>
        </w:rPr>
      </w:pPr>
      <w:r>
        <w:rPr>
          <w:rStyle w:val="StyleUnderline"/>
          <w:sz w:val="52"/>
          <w:szCs w:val="52"/>
          <w:u w:val="double"/>
        </w:rPr>
        <w:t xml:space="preserve">2AC </w:t>
      </w:r>
      <w:r w:rsidRPr="00A31F54">
        <w:rPr>
          <w:rStyle w:val="StyleUnderline"/>
          <w:sz w:val="52"/>
          <w:szCs w:val="52"/>
          <w:u w:val="double"/>
        </w:rPr>
        <w:t>Transparency CP</w:t>
      </w:r>
    </w:p>
    <w:p w:rsidR="00C12070" w:rsidRDefault="00C12070" w:rsidP="00C12070"/>
    <w:p w:rsidR="00C12070" w:rsidRDefault="00C12070" w:rsidP="00C12070">
      <w:pPr>
        <w:pStyle w:val="Heading4"/>
      </w:pPr>
      <w:r>
        <w:t>The counterplan fails – only risk of CBM’s solving is with Track II diplomacy</w:t>
      </w:r>
    </w:p>
    <w:p w:rsidR="00C12070" w:rsidRPr="00CD6F8A" w:rsidRDefault="00C12070" w:rsidP="00C12070">
      <w:pPr>
        <w:rPr>
          <w:rStyle w:val="Style13ptBold"/>
          <w:b w:val="0"/>
        </w:rPr>
      </w:pPr>
      <w:r w:rsidRPr="00CD6F8A">
        <w:rPr>
          <w:rStyle w:val="Style13ptBold"/>
        </w:rPr>
        <w:t>Johnston 05</w:t>
      </w:r>
      <w:r>
        <w:rPr>
          <w:rStyle w:val="Style13ptBold"/>
        </w:rPr>
        <w:t xml:space="preserve"> - </w:t>
      </w:r>
      <w:r w:rsidRPr="00CD6F8A">
        <w:t>Douglas M. Johnston is President Emeritus and founder of the International Center for Religion &amp; Diplomacy.</w:t>
      </w:r>
      <w:r>
        <w:t xml:space="preserve"> </w:t>
      </w:r>
      <w:r w:rsidRPr="00CD6F8A">
        <w:t>A distinguished graduate of the U.S. Naval Academy, Dr. Johnston holds a Master’s Degree in Public Administration and Ph.D. in Political Science from Harvard University and has served in senior positions in both the public and private sectors</w:t>
      </w:r>
      <w:r>
        <w:t>. (Douglas M. | International Center for Religion and Diplomacy, “</w:t>
      </w:r>
      <w:r w:rsidRPr="00CD6F8A">
        <w:t>CONFIDENCE-BUILDING MEASURES: A HELP OR A HINDRANCE?</w:t>
      </w:r>
      <w:r>
        <w:t xml:space="preserve">” | </w:t>
      </w:r>
      <w:r w:rsidRPr="00CD6F8A">
        <w:t>http://icrd.org/rp29/</w:t>
      </w:r>
      <w:r>
        <w:t xml:space="preserve"> | July 14, 2005| DOA: 7/23/17| KG)</w:t>
      </w:r>
    </w:p>
    <w:p w:rsidR="00C12070" w:rsidRPr="00733085" w:rsidRDefault="00C12070" w:rsidP="00C12070">
      <w:r>
        <w:t xml:space="preserve">By the same token, </w:t>
      </w:r>
      <w:r w:rsidRPr="00733085">
        <w:rPr>
          <w:rStyle w:val="StyleUnderline"/>
        </w:rPr>
        <w:t>it must be acknowledged that</w:t>
      </w:r>
      <w:r>
        <w:t xml:space="preserve"> over the tortured history of the Kashmir dispute, a</w:t>
      </w:r>
      <w:r w:rsidRPr="00733085">
        <w:rPr>
          <w:rStyle w:val="StyleUnderline"/>
        </w:rPr>
        <w:t xml:space="preserve"> number of confidence-building measures have been proposed, a lesser number have been enacted, and almost all of those that were have failed to build any degree of real trust</w:t>
      </w:r>
      <w:r>
        <w:t xml:space="preserve"> between India and Pakistan. Perhaps the most widely known of the enacted CBMs have been those in the military domain, such as the 1991 agreement on advanced notification of military exercises, the 1992 Chemical weapons ban, or the hotlines that have been set up to facilitate instant communications between military commands or foreign secretaries during times of crisis. </w:t>
      </w:r>
      <w:r w:rsidRPr="00733085">
        <w:rPr>
          <w:rStyle w:val="StyleUnderline"/>
        </w:rPr>
        <w:t>While these can clearly play an important role in preventing accidental wars, such measures by themselves are insufficient to establish a genuine climate of trust.</w:t>
      </w:r>
      <w:r>
        <w:rPr>
          <w:rStyle w:val="StyleUnderline"/>
        </w:rPr>
        <w:t xml:space="preserve"> </w:t>
      </w:r>
      <w:r w:rsidRPr="00733085">
        <w:t xml:space="preserve">A number of economic CBMs have also been suggested, such as the recently proposed natural gas pipeline to link Iran, India and Pakistan or more limited plans to reduce trade barriers and open trucking routes through Kashmir. Such </w:t>
      </w:r>
      <w:r w:rsidRPr="00733085">
        <w:rPr>
          <w:rStyle w:val="StyleUnderline"/>
        </w:rPr>
        <w:t>CBMs would be valuable because of the financial benefits they would convey to governments</w:t>
      </w:r>
      <w:r w:rsidRPr="00733085">
        <w:t xml:space="preserve"> (whose revenues would increase as international trade moves out of the black market) and to private businesses as well. Linking security to commerce has a great deal to recommend it, </w:t>
      </w:r>
      <w:r w:rsidRPr="00733085">
        <w:rPr>
          <w:rStyle w:val="StyleUnderline"/>
        </w:rPr>
        <w:t>but even that doesn’t take you as far as one needs to go.</w:t>
      </w:r>
      <w:r>
        <w:rPr>
          <w:rStyle w:val="StyleUnderline"/>
        </w:rPr>
        <w:t xml:space="preserve"> </w:t>
      </w:r>
      <w:r>
        <w:t xml:space="preserve">In the final analysis, </w:t>
      </w:r>
      <w:r w:rsidRPr="00733085">
        <w:rPr>
          <w:rStyle w:val="StyleUnderline"/>
        </w:rPr>
        <w:t>establishing trust involves winning the hearts and minds of the people</w:t>
      </w:r>
      <w:r>
        <w:t xml:space="preserve">. And that is what is so significant about the recent, much-heralded restoration of bus service between Srinagar and Mussaffarabad. Since the opening of that bus route, there has been a great deal of talk about political or cultural CBM’s. Building upon the enthusiasm generated by the bus initiative, people have been quick to propose additional measures – opening more bus routes, liberalizing the standards for issuing visas, opening new consulates, promoting student exchanges, and undertaking joint initiatives to promote tourism. </w:t>
      </w:r>
      <w:r w:rsidRPr="00733085">
        <w:rPr>
          <w:rStyle w:val="StyleUnderline"/>
        </w:rPr>
        <w:t>All of these CBMs can only be understood as part of the cyclical relationship between official Track I diplomacy and the unofficial Track II efforts that take place outside of formal diplomatic</w:t>
      </w:r>
      <w:r>
        <w:t xml:space="preserve"> </w:t>
      </w:r>
      <w:r w:rsidRPr="00733085">
        <w:rPr>
          <w:rStyle w:val="StyleUnderline"/>
        </w:rPr>
        <w:t>channels</w:t>
      </w:r>
      <w:r>
        <w:t xml:space="preserve">. Many of the </w:t>
      </w:r>
      <w:r w:rsidRPr="00733085">
        <w:rPr>
          <w:rStyle w:val="StyleUnderline"/>
        </w:rPr>
        <w:t xml:space="preserve">CBMs we have been discussing </w:t>
      </w:r>
      <w:r w:rsidRPr="00733085">
        <w:t>today</w:t>
      </w:r>
      <w:r w:rsidRPr="00733085">
        <w:rPr>
          <w:rStyle w:val="StyleUnderline"/>
        </w:rPr>
        <w:t xml:space="preserve"> are the product of Track II diplomac</w:t>
      </w:r>
      <w:r>
        <w:t xml:space="preserve">y. Freed from the obligation to speak “on the record” and to answer directly to constituents, </w:t>
      </w:r>
      <w:r w:rsidRPr="00733085">
        <w:rPr>
          <w:rStyle w:val="StyleUnderline"/>
        </w:rPr>
        <w:t>Track II diplomats are often free to propose ideas that government officials cannot</w:t>
      </w:r>
      <w:r>
        <w:t xml:space="preserve">. </w:t>
      </w:r>
      <w:r w:rsidRPr="00733085">
        <w:rPr>
          <w:rStyle w:val="StyleUnderline"/>
        </w:rPr>
        <w:t>The better of these ideas then attract sufficient popular support to warrant their eventual inclusion in Track I deliberation</w:t>
      </w:r>
      <w:r>
        <w:t xml:space="preserve">s. And once implemented, </w:t>
      </w:r>
      <w:r w:rsidRPr="00733085">
        <w:rPr>
          <w:rStyle w:val="StyleUnderline"/>
        </w:rPr>
        <w:t>these initiatives have the power to improve people’s lives in deeply meaningful ways</w:t>
      </w:r>
      <w:r>
        <w:t xml:space="preserve">. In the case of the People’s Bus, one elderly gentleman declared in advance of the inaugural trip that he would be able to die happy if he could only visit his children and grandchildren on the other side of the Line of Control. </w:t>
      </w:r>
      <w:r w:rsidRPr="00733085">
        <w:rPr>
          <w:rStyle w:val="StyleUnderline"/>
        </w:rPr>
        <w:t>Tangible steps of this nature demonstrate to affected populations the personal benefits of easing international tensions and to politicians the political rewards of escaping the gridlock</w:t>
      </w:r>
      <w:r>
        <w:t xml:space="preserve"> that has prevailed for so long. The enthusiasm generated by such gestures, in turn, develops support for more ambitious Track 2 initiatives, while </w:t>
      </w:r>
      <w:r w:rsidRPr="00733085">
        <w:rPr>
          <w:rStyle w:val="StyleUnderline"/>
        </w:rPr>
        <w:t>putting increased pressure on the involved governments to support the original CBMs through Track 1 negotiations</w:t>
      </w:r>
      <w:r>
        <w:t xml:space="preserve">. Public pressure of this nature – in India, Pakistan and Kashmir itself – is essential if one is to overcome the political reluctance to abandon the status quo. In short, </w:t>
      </w:r>
      <w:r w:rsidRPr="00733085">
        <w:rPr>
          <w:rStyle w:val="StyleUnderline"/>
        </w:rPr>
        <w:t>for Track II diplomacy to succeed, it must ultimately be accepted and incorporated into Track I negotiations</w:t>
      </w:r>
      <w:r>
        <w:t xml:space="preserve">. The People’s Bus initiative, for example, only became a reality 5 years after a formidable Track II diplomat first proposed it in a refugee camp in Muzaffrabad. In short, it took 5 years of exhaustive lobbying before government officials were ready to support the plan. And even at that point, one isn’t completely home free. </w:t>
      </w:r>
      <w:r w:rsidRPr="00733085">
        <w:rPr>
          <w:rStyle w:val="StyleUnderline"/>
        </w:rPr>
        <w:t>Implemented CBMs can quickly be reversed if official relations between the affected governments suffer a setback.</w:t>
      </w:r>
      <w:r>
        <w:t xml:space="preserve"> When this happens, </w:t>
      </w:r>
      <w:r w:rsidRPr="00733085">
        <w:rPr>
          <w:rStyle w:val="StyleUnderline"/>
        </w:rPr>
        <w:t>the hope and trust generated by the CBMs quickly dissolves into frustration and cynicism.</w:t>
      </w:r>
      <w:r>
        <w:t xml:space="preserve"> A </w:t>
      </w:r>
      <w:r w:rsidRPr="00733085">
        <w:rPr>
          <w:rStyle w:val="StyleUnderline"/>
        </w:rPr>
        <w:t>graphic case in point is the</w:t>
      </w:r>
      <w:r>
        <w:t xml:space="preserve"> disenchantment that set in when </w:t>
      </w:r>
      <w:r w:rsidRPr="00733085">
        <w:rPr>
          <w:rStyle w:val="StyleUnderline"/>
        </w:rPr>
        <w:t>conflict</w:t>
      </w:r>
      <w:r>
        <w:t xml:space="preserve"> erupted </w:t>
      </w:r>
      <w:r w:rsidRPr="00733085">
        <w:rPr>
          <w:rStyle w:val="StyleUnderline"/>
        </w:rPr>
        <w:t>in Kargil</w:t>
      </w:r>
      <w:r>
        <w:t xml:space="preserve"> immediately following the hope-filled Lahore Declaration that resulted from former Prime Minister Vajpayee’s bold trip to Lahore in February 1999. </w:t>
      </w:r>
      <w:r w:rsidRPr="00733085">
        <w:rPr>
          <w:rStyle w:val="StyleUnderline"/>
        </w:rPr>
        <w:t>India felt totally betrayed, and all enthusiasm for future confidence-building efforts instantly disappeared</w:t>
      </w:r>
      <w:r>
        <w:t xml:space="preserve">. Since the behavior of governments is inevitably held hostage to political developments, including the violent actions of extremists, </w:t>
      </w:r>
      <w:r w:rsidRPr="00733085">
        <w:rPr>
          <w:rStyle w:val="StyleUnderline"/>
        </w:rPr>
        <w:t>there is always a risk that CBMs will be derailed.</w:t>
      </w:r>
    </w:p>
    <w:p w:rsidR="00C12070" w:rsidRDefault="00C12070" w:rsidP="00C12070">
      <w:pPr>
        <w:pStyle w:val="Heading2"/>
      </w:pPr>
      <w:r>
        <w:t xml:space="preserve">AT: Agriculture Advantage </w:t>
      </w:r>
    </w:p>
    <w:p w:rsidR="00C12070" w:rsidRDefault="00C12070" w:rsidP="00C12070"/>
    <w:p w:rsidR="00C12070" w:rsidRPr="00F07B7C" w:rsidRDefault="00C12070" w:rsidP="00C12070">
      <w:pPr>
        <w:pStyle w:val="Heading3"/>
      </w:pPr>
      <w:r>
        <w:t>E</w:t>
      </w:r>
      <w:r w:rsidRPr="00F07B7C">
        <w:t>nvironment turn</w:t>
      </w:r>
    </w:p>
    <w:p w:rsidR="00C12070" w:rsidRPr="00F07B7C" w:rsidRDefault="00C12070" w:rsidP="00C12070">
      <w:pPr>
        <w:pStyle w:val="Heading4"/>
      </w:pPr>
      <w:r w:rsidRPr="00F07B7C">
        <w:t>Turn – agricultural production and food distribution cause large-scale deterioration of the environment</w:t>
      </w:r>
    </w:p>
    <w:p w:rsidR="00C12070" w:rsidRPr="00F07B7C" w:rsidRDefault="00C12070" w:rsidP="00C12070">
      <w:r w:rsidRPr="00F07B7C">
        <w:rPr>
          <w:rStyle w:val="Style13ptBold"/>
        </w:rPr>
        <w:t>Food and Nutrition Board 15</w:t>
      </w:r>
      <w:r w:rsidRPr="00F07B7C">
        <w:t xml:space="preserve"> [Food and Nutrition Board; Committee on a Framework for Assessing the Health, Environmental, and Social Effects of the Food System; Board on Agriculture and Natural Resources; Institute of Medicine; National Research Council. “A Framework for Assessing Effects of the Food System” National Academies Press (US) 6/17/15 //GK]</w:t>
      </w:r>
    </w:p>
    <w:p w:rsidR="00C12070" w:rsidRPr="00F07B7C" w:rsidRDefault="00C12070" w:rsidP="00C12070">
      <w:pPr>
        <w:rPr>
          <w:sz w:val="16"/>
        </w:rPr>
      </w:pPr>
      <w:r w:rsidRPr="00141AFD">
        <w:rPr>
          <w:rStyle w:val="StyleUnderline"/>
          <w:highlight w:val="cyan"/>
        </w:rPr>
        <w:t>The U.S. food system</w:t>
      </w:r>
      <w:r w:rsidRPr="00F07B7C">
        <w:rPr>
          <w:sz w:val="16"/>
        </w:rPr>
        <w:t xml:space="preserve"> (described in Chapter 2) </w:t>
      </w:r>
      <w:r w:rsidRPr="00141AFD">
        <w:rPr>
          <w:rStyle w:val="StyleUnderline"/>
          <w:highlight w:val="cyan"/>
        </w:rPr>
        <w:t>is widely recognized to have direct and indirect effects on the environment</w:t>
      </w:r>
      <w:r w:rsidRPr="00F07B7C">
        <w:rPr>
          <w:sz w:val="16"/>
        </w:rPr>
        <w:t xml:space="preserve">. The degree to which each sector of the food system affects the environment depends on a variety of natural and human-driven processes. </w:t>
      </w:r>
      <w:r w:rsidRPr="00F07B7C">
        <w:rPr>
          <w:rStyle w:val="StyleUnderline"/>
        </w:rPr>
        <w:t>For example</w:t>
      </w:r>
      <w:r w:rsidRPr="00141AFD">
        <w:rPr>
          <w:rStyle w:val="StyleUnderline"/>
          <w:highlight w:val="cyan"/>
        </w:rPr>
        <w:t>, increased use of mineral fertilizers is responsible for much of the growth in productivity</w:t>
      </w:r>
      <w:r w:rsidRPr="00F07B7C">
        <w:rPr>
          <w:rStyle w:val="StyleUnderline"/>
        </w:rPr>
        <w:t xml:space="preserve"> in U.S. agriculture over the past 50 years, </w:t>
      </w:r>
      <w:r w:rsidRPr="00B13EA9">
        <w:rPr>
          <w:rStyle w:val="StyleUnderline"/>
          <w:highlight w:val="cyan"/>
        </w:rPr>
        <w:t>but it also has led to negative impacts on the environment</w:t>
      </w:r>
      <w:r w:rsidRPr="00F07B7C">
        <w:rPr>
          <w:rStyle w:val="StyleUnderline"/>
        </w:rPr>
        <w:t>, such as greater greenhouse gas (GHG) emissions and deterioration of water quality. GHG emissions also can result from the burning of fossil fuels in the food manufacturing process and during food distribution. The ongoing intensification of agricultural production</w:t>
      </w:r>
      <w:r w:rsidRPr="00F07B7C">
        <w:rPr>
          <w:sz w:val="16"/>
        </w:rPr>
        <w:t xml:space="preserve">1 </w:t>
      </w:r>
      <w:r w:rsidRPr="00F07B7C">
        <w:rPr>
          <w:rStyle w:val="StyleUnderline"/>
        </w:rPr>
        <w:t>has had particularly notable effects on the environment</w:t>
      </w:r>
      <w:r w:rsidRPr="00F07B7C">
        <w:rPr>
          <w:sz w:val="16"/>
        </w:rPr>
        <w:t>. According to the 2012 Agricultural Census, 2.1 million farms and ranches operate in the United States, of which two-thirds sell less than $25,000 worth of livestock or crops. In contrast, large farms (about 80,000 of them) represent only 4 percent of the total farm population but are responsible for two-thirds of the agricultural production in the United States today (USDA, 2014b</w:t>
      </w:r>
      <w:r w:rsidRPr="00B13EA9">
        <w:rPr>
          <w:sz w:val="16"/>
          <w:highlight w:val="cyan"/>
        </w:rPr>
        <w:t xml:space="preserve">). </w:t>
      </w:r>
      <w:r w:rsidRPr="00B13EA9">
        <w:rPr>
          <w:rStyle w:val="StyleUnderline"/>
          <w:highlight w:val="cyan"/>
        </w:rPr>
        <w:t>Intensive agricultural production has become highly efficient, which reduces costs per unit of produc</w:t>
      </w:r>
      <w:r w:rsidRPr="00F07B7C">
        <w:rPr>
          <w:rStyle w:val="StyleUnderline"/>
        </w:rPr>
        <w:t>t</w:t>
      </w:r>
      <w:r w:rsidRPr="00F07B7C">
        <w:rPr>
          <w:sz w:val="16"/>
        </w:rPr>
        <w:t xml:space="preserve"> (thus, likely reducing costs to consumers) </w:t>
      </w:r>
      <w:r w:rsidRPr="00F07B7C">
        <w:rPr>
          <w:rStyle w:val="StyleUnderline"/>
        </w:rPr>
        <w:t>and can alter environmental impacts per unit of product</w:t>
      </w:r>
      <w:r w:rsidRPr="00F07B7C">
        <w:rPr>
          <w:sz w:val="16"/>
        </w:rPr>
        <w:t>. For example, Capper et al. (2009) showed historic advances in dairy production, where 2007 cows produced 43 percent less methane and 56 percent less nitrous oxide per 1 billion kilograms of milk than did 1944 cows. Similar trends have been described for the beef sector (Capper, 2011), where the number of cattle was reduced by 40 percent over this time span, but the total amount of beef produced remained the same (USDA, 2014b). On the other hand, large concentrations of livestock (concentrated animal feeding operations,2 or CAFOs) can lead to regional air and water quality issues if the animal waste is not properly managed. CAFOs can cause nuisance and health issues for neighboring communities—including dust, odors, flies, and gaseous emissions—and therefore often face public scrutiny. In addition, runoff from CAFOs can create food safety problems by contaminating water or downstream agriculture fields with pathogens. Increasingly, livestock CAFOs attempt to counteract these challenges by collecting manure from the animal housing and placing it into treatment facilities like composters or anaerobic digesters, which can convert waste to energy</w:t>
      </w:r>
      <w:r w:rsidRPr="00B13EA9">
        <w:rPr>
          <w:sz w:val="16"/>
          <w:highlight w:val="cyan"/>
        </w:rPr>
        <w:t xml:space="preserve">. </w:t>
      </w:r>
      <w:r w:rsidRPr="00B13EA9">
        <w:rPr>
          <w:rStyle w:val="StyleUnderline"/>
          <w:highlight w:val="cyan"/>
        </w:rPr>
        <w:t>The impact of contaminated surface</w:t>
      </w:r>
      <w:r w:rsidRPr="00F07B7C">
        <w:rPr>
          <w:rStyle w:val="StyleUnderline"/>
        </w:rPr>
        <w:t xml:space="preserve"> or groundwater from excessive nitrogen fertilizer applications, in both inorganic and organic forms</w:t>
      </w:r>
      <w:r w:rsidRPr="00B13EA9">
        <w:rPr>
          <w:rStyle w:val="StyleUnderline"/>
          <w:highlight w:val="cyan"/>
        </w:rPr>
        <w:t>, may affect a local community over a short period of time</w:t>
      </w:r>
      <w:r w:rsidRPr="00F07B7C">
        <w:rPr>
          <w:rStyle w:val="StyleUnderline"/>
        </w:rPr>
        <w:t>, or decades later, sometimes miles from the initial nutrient inputs.</w:t>
      </w:r>
      <w:r w:rsidRPr="00F07B7C">
        <w:rPr>
          <w:sz w:val="16"/>
        </w:rPr>
        <w:t xml:space="preserve"> </w:t>
      </w:r>
      <w:r w:rsidRPr="00F07B7C">
        <w:rPr>
          <w:rStyle w:val="StyleUnderline"/>
        </w:rPr>
        <w:t>The impact within a community also may be disparate, as disadvantaged portions of the community may not have the resources to ensure a safe drinking water source.</w:t>
      </w:r>
      <w:r w:rsidRPr="00F07B7C">
        <w:rPr>
          <w:sz w:val="16"/>
        </w:rPr>
        <w:t xml:space="preserve"> (Health effects related to environmental contaminants and their differential effects on the general population are discussed in Chapters 3 and 5, respectively.) Although the U.S. food system's impacts on the environment are often undesirable, the current system can provide environmental benefits as well (see Figure 4-1 for examples). Benefits such as carbon sequestration, biodiversity conservation, aesthetically pleasing landscapes, and sustained food and fiber production can all be realized, particularly when an ecological approach is used by agricultural producers (Robertson and Swinton, 2005; Swinton et al., 2007; Zhang et al., 2007). An ecological approach requires actors to recognize not only how management choices affect the environment, both temporally and spatially but also how managing the system for multiple ecosystem services3 can often result in significant mitigation of these impacts, acknowledging also that trade-offs are inevitable (Robertson and Swinton, 2005). Agricultural producers are chiefly in business to produce food, fiber, and fuel products for sale, but most also place a high value on ecosystem services from their farms, especially those that offer private benefits (e.g., enhanced soil fertility and organic matter). However</w:t>
      </w:r>
      <w:r w:rsidRPr="00B13EA9">
        <w:rPr>
          <w:sz w:val="16"/>
          <w:highlight w:val="cyan"/>
        </w:rPr>
        <w:t xml:space="preserve">, </w:t>
      </w:r>
      <w:r w:rsidRPr="00B13EA9">
        <w:rPr>
          <w:rStyle w:val="StyleUnderline"/>
          <w:highlight w:val="cyan"/>
        </w:rPr>
        <w:t>many producers believe ecosystem services that offer distant benefits</w:t>
      </w:r>
      <w:r w:rsidRPr="00F07B7C">
        <w:rPr>
          <w:sz w:val="16"/>
        </w:rPr>
        <w:t xml:space="preserve"> (e.g., climate or water quality regulation) </w:t>
      </w:r>
      <w:r w:rsidRPr="00B13EA9">
        <w:rPr>
          <w:rStyle w:val="StyleUnderline"/>
          <w:highlight w:val="cyan"/>
        </w:rPr>
        <w:t>are costly to provide without financial incentives and technical resources</w:t>
      </w:r>
      <w:r w:rsidRPr="00F07B7C">
        <w:rPr>
          <w:sz w:val="16"/>
        </w:rPr>
        <w:t xml:space="preserve"> (Ma et al., 2012; Smith and Sullivan, 2014). Understanding how actors in the food system make decisions is important when assessing the environmental impacts of the system. Broadly, </w:t>
      </w:r>
      <w:r w:rsidRPr="00F07B7C">
        <w:rPr>
          <w:rStyle w:val="StyleUnderline"/>
        </w:rPr>
        <w:t>the U.S. food system's environmental effects can be grouped into three categories: (1) environmental contaminants/pollutants, (2) depletion and replenishment of natural resources, and (3) population and community disruption.</w:t>
      </w:r>
      <w:r w:rsidRPr="00F07B7C">
        <w:rPr>
          <w:sz w:val="16"/>
        </w:rPr>
        <w:t xml:space="preserve"> In this chapter, each of these broad effects categories is described briefly, highlighting the major environmental features and mechanisms of each category. The chapter further discusses the dynamic nature of environmental effects, including the importance of understanding how human behavior influences direct and indirect, and positive and negative, impacts on the environment. The chapter concludes with a basic overview of the various approaches used to quantify the performance of a dynamic environmental system, including direct measurement, the use of indicators, and simulation modeling. A comprehensive list of environmental data sources, metrics, and models commonly employed to quantify environmental impacts is included in Tables B-1 through B-4 of Appendix B.</w:t>
      </w:r>
    </w:p>
    <w:p w:rsidR="00C12070" w:rsidRDefault="00C12070" w:rsidP="00C12070"/>
    <w:p w:rsidR="00C12070" w:rsidRDefault="00C12070" w:rsidP="00C12070">
      <w:pPr>
        <w:pStyle w:val="Heading3"/>
      </w:pPr>
      <w:r>
        <w:t>No Ag Worker Shortage</w:t>
      </w:r>
    </w:p>
    <w:p w:rsidR="00C12070" w:rsidRDefault="00C12070" w:rsidP="00C12070">
      <w:pPr>
        <w:pStyle w:val="Heading4"/>
      </w:pPr>
      <w:r>
        <w:t>No Labor Shortage – H-2A program and automation solve the problem</w:t>
      </w:r>
    </w:p>
    <w:p w:rsidR="00C12070" w:rsidRPr="00F61728" w:rsidRDefault="00C12070" w:rsidP="00C12070">
      <w:r>
        <w:rPr>
          <w:rStyle w:val="Style13ptBold"/>
        </w:rPr>
        <w:t xml:space="preserve">Capital Press 17 </w:t>
      </w:r>
      <w:r w:rsidRPr="00F61728">
        <w:t>– (</w:t>
      </w:r>
      <w:r>
        <w:t xml:space="preserve">Capital Press, “Agriculture copes with a growing labor shortage,” 6/1/17, accessed on 7/19/17, </w:t>
      </w:r>
      <w:hyperlink r:id="rId53" w:history="1">
        <w:r w:rsidRPr="009A5350">
          <w:rPr>
            <w:rStyle w:val="Hyperlink"/>
          </w:rPr>
          <w:t>http://www.capitalpress.com/Opinion/Editorials/20170601/agriculture-copes-with-a-growing-labor-shortage</w:t>
        </w:r>
      </w:hyperlink>
      <w:r>
        <w:t xml:space="preserve"> ) // MK</w:t>
      </w:r>
    </w:p>
    <w:p w:rsidR="00C12070" w:rsidRPr="00B77D53" w:rsidRDefault="00C12070" w:rsidP="00C12070">
      <w:pPr>
        <w:rPr>
          <w:sz w:val="16"/>
        </w:rPr>
      </w:pPr>
      <w:r w:rsidRPr="00B77D53">
        <w:rPr>
          <w:sz w:val="16"/>
        </w:rPr>
        <w:t xml:space="preserve">“Labor is the No. 1 issue in agriculture.” Ask a farmer, orchardist, nursery or dairy operator, packer or processor — anyone who hires full-time or seasonal farmworkers, and most will tell you they are worried about labor. For them, labor is the make-or-break factor of this year — and every other year, for that matter. The supply of labor is one of the many factors they do not control. </w:t>
      </w:r>
      <w:r w:rsidRPr="00F61728">
        <w:rPr>
          <w:rStyle w:val="StyleUnderline"/>
        </w:rPr>
        <w:t>Even in areas where the labor pool has remained steady the need for farmworkers has continued to grow as production increases.</w:t>
      </w:r>
      <w:r w:rsidRPr="00B77D53">
        <w:rPr>
          <w:sz w:val="16"/>
        </w:rPr>
        <w:t xml:space="preserve"> </w:t>
      </w:r>
      <w:r w:rsidRPr="00F61728">
        <w:rPr>
          <w:rStyle w:val="StyleUnderline"/>
        </w:rPr>
        <w:t>For decades the farm labor supply has depended on an array of factors, including federal immigration policy and enforcement. Over the years, many farmworkers have arrived in the U.S. illegally. Whether that happened 20 years ago or last week, it means that getting a job legally in the U.S. is problematic. Many farmers are forced to accept workers’ documentation with the realization that it may not be valid.</w:t>
      </w:r>
      <w:r w:rsidRPr="00B77D53">
        <w:rPr>
          <w:sz w:val="16"/>
        </w:rPr>
        <w:t xml:space="preserve"> That puts farmers between the proverbial rock and a hard place. </w:t>
      </w:r>
      <w:r w:rsidRPr="00F61728">
        <w:rPr>
          <w:rStyle w:val="StyleUnderline"/>
        </w:rPr>
        <w:t>They need to get their crops harvested and packed, but they are on the hook if an employee does not have adequate documentation.</w:t>
      </w:r>
      <w:r w:rsidRPr="00B77D53">
        <w:rPr>
          <w:sz w:val="16"/>
        </w:rPr>
        <w:t xml:space="preserve"> Without legal status, those workers are in limbo. It is up to Congress to come up with a way to do that, but members of that august body seem about as eager to fix the system as they are to lick an electric fence. Doing that will take political courage, which appears to be an oxymoron these days in the U.S. Capitol. But the unemployment rate appears to be the primary driver that farmers don’t control. </w:t>
      </w:r>
      <w:r w:rsidRPr="00F61728">
        <w:rPr>
          <w:rStyle w:val="StyleUnderline"/>
        </w:rPr>
        <w:t>When the unemployment rate is low, as it is now across the West, the pool of farmworkers is smaller because other jobs are available that pay better, offer benefits and are more stable. This is not a matter of immigration policy so much as economics.</w:t>
      </w:r>
      <w:r w:rsidRPr="00B77D53">
        <w:rPr>
          <w:sz w:val="16"/>
        </w:rPr>
        <w:t xml:space="preserve"> </w:t>
      </w:r>
      <w:r w:rsidRPr="00F61728">
        <w:rPr>
          <w:rStyle w:val="StyleUnderline"/>
        </w:rPr>
        <w:t>The saving grace for agriculture has been the H-2A guestworker program. It provides a temporary visa to foreign workers. Farmers pay for round-trip transportation between the workers’ home country and the farm, housing and good pay. When the job is over they return to their homes.</w:t>
      </w:r>
      <w:r w:rsidRPr="00B77D53">
        <w:rPr>
          <w:rStyle w:val="StyleUnderline"/>
          <w:sz w:val="16"/>
        </w:rPr>
        <w:t xml:space="preserve"> </w:t>
      </w:r>
      <w:r w:rsidRPr="00F61728">
        <w:rPr>
          <w:rStyle w:val="StyleUnderline"/>
        </w:rPr>
        <w:t>This year Washington farmers will bring in 15,000 guestworkers from Mexico and other countries, and California will bring in 11,000. Farmers in other states also depend on H-2A workers.</w:t>
      </w:r>
      <w:r w:rsidRPr="00B77D53">
        <w:rPr>
          <w:sz w:val="16"/>
        </w:rPr>
        <w:t xml:space="preserve"> The downside of the H-2A program: It is limited to temporary workers. Some sectors of agriculture, such as dairy farms and processing plants, need full-time, year-round employees. </w:t>
      </w:r>
      <w:r w:rsidRPr="00F61728">
        <w:rPr>
          <w:rStyle w:val="StyleUnderline"/>
        </w:rPr>
        <w:t>Under the Trump administration, the H-2A program seems to be working better than under the previous administration, which seemed bent on slowing down the paperwork and causing as much consternation as possible.</w:t>
      </w:r>
      <w:r w:rsidRPr="00B77D53">
        <w:rPr>
          <w:sz w:val="16"/>
        </w:rPr>
        <w:t xml:space="preserve"> </w:t>
      </w:r>
      <w:r w:rsidRPr="00F61728">
        <w:rPr>
          <w:rStyle w:val="StyleUnderline"/>
        </w:rPr>
        <w:t>Mechanization and automation represent another bright spot for some farmers. They are buying picking platforms to increase the speed and efficiency of tree fruit harvests, many dairies have installed robotic milkers that reduce the need for labor, berry and grape growers use mechanical harvesters and researchers continue to work on robotic harvesters for nearly every other crop.</w:t>
      </w:r>
      <w:r w:rsidRPr="00B77D53">
        <w:rPr>
          <w:sz w:val="16"/>
        </w:rPr>
        <w:t xml:space="preserve"> The labor predicament leaves farmers and others with three options: Wait for the economy to slow down so unemployment increases, wait for Congress to get cracking on immigration reform, or the administration and Congress can further streamline the H-2A program so farmers can obtain more guestworkers in a timely and affordable manner. None of the three developments seems particularly likely any time soon.</w:t>
      </w:r>
    </w:p>
    <w:p w:rsidR="00C12070" w:rsidRDefault="00C12070" w:rsidP="00C12070">
      <w:pPr>
        <w:pStyle w:val="Heading4"/>
      </w:pPr>
      <w:r>
        <w:t>Technology Solves the Agriculture Worker Shortage</w:t>
      </w:r>
    </w:p>
    <w:p w:rsidR="00C12070" w:rsidRPr="00065EA7" w:rsidRDefault="00C12070" w:rsidP="00C12070">
      <w:r>
        <w:rPr>
          <w:rStyle w:val="Style13ptBold"/>
        </w:rPr>
        <w:t xml:space="preserve">Weise 17 </w:t>
      </w:r>
      <w:r w:rsidRPr="00065EA7">
        <w:t xml:space="preserve">– </w:t>
      </w:r>
      <w:r>
        <w:t xml:space="preserve">Weise is a reporter coverin computer security, technology and Silicon Valley for the USA Today’s San Francisco Bureau. </w:t>
      </w:r>
      <w:r w:rsidRPr="00065EA7">
        <w:t>(</w:t>
      </w:r>
      <w:r>
        <w:t xml:space="preserve">Elizabeth, “Who Wins From Trump Immigration Policy? Robotic berry pickers, for a start.” USA Today, 2/4/17, accessed on 7/19/17, </w:t>
      </w:r>
      <w:hyperlink r:id="rId54" w:history="1">
        <w:r w:rsidRPr="009A5350">
          <w:rPr>
            <w:rStyle w:val="Hyperlink"/>
          </w:rPr>
          <w:t>https://www.usatoday.com/story/tech/news/2017/02/04/agriculture-farms-farmers-immigration-executive-order-trump-shortage-california/97396066/</w:t>
        </w:r>
      </w:hyperlink>
      <w:r>
        <w:t xml:space="preserve"> ) // MK</w:t>
      </w:r>
    </w:p>
    <w:p w:rsidR="00C12070" w:rsidRPr="00B77D53" w:rsidRDefault="00C12070" w:rsidP="00C12070">
      <w:pPr>
        <w:rPr>
          <w:rStyle w:val="StyleUnderline"/>
          <w:sz w:val="16"/>
        </w:rPr>
      </w:pPr>
      <w:r w:rsidRPr="00065EA7">
        <w:rPr>
          <w:rStyle w:val="StyleUnderline"/>
        </w:rPr>
        <w:t>Like many companies, Taylor Farms in Salinas, Calif., is experimenting with multiple tech solutions — dozens, in fact.  One involves a Ramsay Highlander harvester that cuts lettuce and spinach with a jet of water rather than requiring a worker to bend down and cut the vegetables with a knife</w:t>
      </w:r>
      <w:r w:rsidRPr="00B77D53">
        <w:rPr>
          <w:sz w:val="16"/>
        </w:rPr>
        <w:t xml:space="preserve">. However, that requires lettuce rows that are mathematically precise and lettuce heads that are evenly spaced. That led Taylor to work with Blue River Technology in Sunnyvale, Calif., which makes the Lettuce Bot, a machine that can thin 5,000 plants per minute within in a quarter of an inch spacing while running at four miles per hour. </w:t>
      </w:r>
      <w:r w:rsidRPr="00967DF5">
        <w:rPr>
          <w:rStyle w:val="StyleUnderline"/>
        </w:rPr>
        <w:t>Trump’s immigration policies “are going to force us to solve our labor problems faster</w:t>
      </w:r>
      <w:r w:rsidRPr="00B77D53">
        <w:rPr>
          <w:sz w:val="16"/>
        </w:rPr>
        <w:t xml:space="preserve">,” said Bruce Taylor, CEO of Taylor Farms, one of the nation’s largest fresh-cut fruit and vegetable suppliers. Taylor spoke at the THRIVE AgTech Innovation Forum here Wednesday. In contrast to large commodity crops such as soybeans, fruits and vegetables are mostly still worked and harvested by hand because of their specialty nature California has an estimated 330,000 farmworkers, according to the U.S. Bureau of Labor Statistics. Manuel Cunha, president of the Fresno-based Nisei Farmers League, believes as many as 80% may be undocumented. Should more stringent immigration rules go into effect, those workers will flee, Cunha said. “They’re worried about having their families busted, so they’re going to leave,” he said. Of particular concern is a requirement in an early version of the proposed immigration executive order that would expand E-Verify, an Internet-based system for businesses to verify worker eligibility. Between that and what he sees as onerous regulation, he says farm labor costs could become unsustainable. The labor shortage is especially acute in California, which grows one-third of the nation's vegetables and two-thirds of its fruits and nuts, according to the state's Department of Food and Agriculture. In a state that produces $47 billion in agricultural products a year, farmers say labor is the No. 1 challenge. "I have growers who have had to leave crops in the field to rot because they can't get pickers," said Karen Caplan, president and CEO of Frieda's, a specialty produce company based near Los Angeles. </w:t>
      </w:r>
      <w:r w:rsidRPr="00065EA7">
        <w:rPr>
          <w:rStyle w:val="StyleUnderline"/>
        </w:rPr>
        <w:t>Driscoll's, the nation's largest producer of berries, is working on a robotic strawberry picker with Spain-based AgroBot</w:t>
      </w:r>
      <w:r w:rsidRPr="00B77D53">
        <w:rPr>
          <w:sz w:val="16"/>
        </w:rPr>
        <w:t xml:space="preserve"> but it's several years away from being field-ready. "Our customers want more berries, and we could grow them —  but we can't pick and pack them," said Kevin Murphy, CEO of Driscoll’s in Watsonville, Calif.. </w:t>
      </w:r>
      <w:r w:rsidRPr="00065EA7">
        <w:rPr>
          <w:rStyle w:val="StyleUnderline"/>
        </w:rPr>
        <w:t>Like a human picker, the machine must be able to determine with a single glance whether a strawberry is fully ripe, properly shaped and worth picking. It uses optical recognition, taking</w:t>
      </w:r>
      <w:r w:rsidRPr="00B77D53">
        <w:rPr>
          <w:sz w:val="16"/>
        </w:rPr>
        <w:t xml:space="preserve"> </w:t>
      </w:r>
      <w:r w:rsidRPr="00065EA7">
        <w:rPr>
          <w:rStyle w:val="StyleUnderline"/>
        </w:rPr>
        <w:t>pictures of the berry from multiple angles and crunching the data to determine if it's ripe.</w:t>
      </w:r>
      <w:r>
        <w:rPr>
          <w:u w:val="single"/>
        </w:rPr>
        <w:t xml:space="preserve"> </w:t>
      </w:r>
      <w:r w:rsidRPr="00065EA7">
        <w:rPr>
          <w:rStyle w:val="StyleUnderline"/>
        </w:rPr>
        <w:t>To get the workforce it needs, Driscoll’s Murphy says it's having to rethink everything about how it grows the berries it sells. That includes growing outdoors on raised tables and on trellises to make picking more efficient and easier for a workforce that's not interested in backbreaking labor.</w:t>
      </w:r>
      <w:r>
        <w:rPr>
          <w:u w:val="single"/>
        </w:rPr>
        <w:t xml:space="preserve"> </w:t>
      </w:r>
      <w:r w:rsidRPr="00065EA7">
        <w:rPr>
          <w:rStyle w:val="StyleUnderline"/>
        </w:rPr>
        <w:t>He thinks if suppliers can make farm work more appealing by judiciously using technology they’ll be able to get the workers they need.</w:t>
      </w:r>
      <w:r>
        <w:rPr>
          <w:u w:val="single"/>
        </w:rPr>
        <w:t xml:space="preserve"> </w:t>
      </w:r>
      <w:r w:rsidRPr="00B77D53">
        <w:rPr>
          <w:sz w:val="16"/>
        </w:rPr>
        <w:t>“</w:t>
      </w:r>
      <w:r w:rsidRPr="00065EA7">
        <w:rPr>
          <w:rStyle w:val="StyleUnderline"/>
        </w:rPr>
        <w:t>We've got to get aggressive in how we think about this, so we make the work easier and more efficient. There are people who will want to do it — there are lots of people who like to work outside, who don’t want to sit in an office all day,” he said.</w:t>
      </w:r>
      <w:r>
        <w:rPr>
          <w:u w:val="single"/>
        </w:rPr>
        <w:t xml:space="preserve"> </w:t>
      </w:r>
      <w:r w:rsidRPr="00065EA7">
        <w:rPr>
          <w:rStyle w:val="StyleUnderline"/>
        </w:rPr>
        <w:t>The UFW agrees. "Right now, it’s a job of desperation. We want to see it become more attractive, a viable profession,” said Nicholson.</w:t>
      </w:r>
      <w:r>
        <w:rPr>
          <w:rStyle w:val="StyleUnderline"/>
        </w:rPr>
        <w:t xml:space="preserve"> </w:t>
      </w:r>
      <w:r w:rsidRPr="00B77D53">
        <w:rPr>
          <w:sz w:val="16"/>
        </w:rPr>
        <w:t xml:space="preserve">Western Growers, a consortium of fresh produce growers and packers, opened a Center for Innovation and Technology in Salinas in 2015 specifically to encourage startups to tackle the problems agriculture faces. “We’re in a constant search for new technology because of the pressures on labor,” said Hank Giclas vice president for science and technology at the Center. </w:t>
      </w:r>
      <w:r w:rsidRPr="00065EA7">
        <w:rPr>
          <w:rStyle w:val="StyleUnderline"/>
        </w:rPr>
        <w:t>Many ag-tech companies are based in Europe, where high labor costs have long been a driver of technological solutions for farms.</w:t>
      </w:r>
      <w:r>
        <w:rPr>
          <w:u w:val="single"/>
        </w:rPr>
        <w:t xml:space="preserve"> </w:t>
      </w:r>
      <w:r w:rsidRPr="00B77D53">
        <w:rPr>
          <w:sz w:val="16"/>
        </w:rPr>
        <w:t>S</w:t>
      </w:r>
      <w:r w:rsidRPr="00065EA7">
        <w:rPr>
          <w:rStyle w:val="StyleUnderline"/>
        </w:rPr>
        <w:t>wiss-based Gamaya makes cameras can be mounted on drones or all-terrain vehicles and use algorithms to estimate expected crop yields. That’s crucial for high-value crops like grapes, berries and organics, where a field’s worth of produce is pre-sold  just before harvest.</w:t>
      </w:r>
      <w:r>
        <w:rPr>
          <w:u w:val="single"/>
        </w:rPr>
        <w:t xml:space="preserve">  </w:t>
      </w:r>
      <w:r w:rsidRPr="00B77D53">
        <w:rPr>
          <w:sz w:val="16"/>
        </w:rPr>
        <w:t xml:space="preserve">It’s also labor-intensive when done by humans, who must scout through each field. “You don’t need to send ten tractors out in the field, you just send the drone over,” said co-founder Igor Ivanov. Gamaya plans to begin testing its system in the United States in April. </w:t>
      </w:r>
      <w:r w:rsidRPr="00065EA7">
        <w:rPr>
          <w:rStyle w:val="StyleUnderline"/>
        </w:rPr>
        <w:t>Tech solutions for farms are growing in the United States “and with Trump’s policies I think it’s going to get much worse more quickly than we’d expected,” said Ivanov.</w:t>
      </w:r>
      <w:r>
        <w:rPr>
          <w:u w:val="single"/>
        </w:rPr>
        <w:t xml:space="preserve"> </w:t>
      </w:r>
      <w:r w:rsidRPr="00065EA7">
        <w:rPr>
          <w:rStyle w:val="StyleUnderline"/>
        </w:rPr>
        <w:t>AgroBot, the Spain-based maker of the robotic berry pickers,  sees more potential given the current political climate in the United States</w:t>
      </w:r>
      <w:r>
        <w:rPr>
          <w:rStyle w:val="StyleUnderline"/>
        </w:rPr>
        <w:t xml:space="preserve">. </w:t>
      </w:r>
      <w:r w:rsidRPr="00065EA7">
        <w:rPr>
          <w:rStyle w:val="StyleUnderline"/>
        </w:rPr>
        <w:t>“In the past, the solution was to move the crops to Mexico where labor was cheaper, but with Trump that’s getting more complicated, so now maybe only technology will be the solution,” said Juan Bravo, founder of AgroBot.</w:t>
      </w:r>
    </w:p>
    <w:p w:rsidR="00C12070" w:rsidRPr="00714924" w:rsidRDefault="00C12070" w:rsidP="00C12070"/>
    <w:p w:rsidR="00C12070" w:rsidRDefault="00C12070" w:rsidP="00C12070">
      <w:pPr>
        <w:pStyle w:val="Heading3"/>
      </w:pPr>
      <w:r>
        <w:t>No Food Crisis</w:t>
      </w:r>
    </w:p>
    <w:p w:rsidR="00C12070" w:rsidRDefault="00C12070" w:rsidP="00C12070">
      <w:pPr>
        <w:pStyle w:val="Heading4"/>
      </w:pPr>
      <w:r>
        <w:t>To Many Alt Causes to Food Shortage the Plan Can’t solve – poverty, national disaster, conflicts, disease</w:t>
      </w:r>
    </w:p>
    <w:p w:rsidR="00C12070" w:rsidRPr="007E2780" w:rsidRDefault="00C12070" w:rsidP="00C12070">
      <w:r>
        <w:rPr>
          <w:rStyle w:val="Style13ptBold"/>
        </w:rPr>
        <w:t xml:space="preserve">Thomson Reuters Foundation 14 </w:t>
      </w:r>
      <w:r>
        <w:t xml:space="preserve">-- ( “What Creates Food Crises?,” Thomson Reuters Foundation News, 9/22/14, accessed 7/19/17, </w:t>
      </w:r>
      <w:hyperlink r:id="rId55" w:history="1">
        <w:r w:rsidRPr="009A5350">
          <w:rPr>
            <w:rStyle w:val="Hyperlink"/>
          </w:rPr>
          <w:t>http://news.trust.org//spotlight/what-creates-food-crises/</w:t>
        </w:r>
      </w:hyperlink>
      <w:r>
        <w:t xml:space="preserve"> ) // MK</w:t>
      </w:r>
    </w:p>
    <w:p w:rsidR="00C12070" w:rsidRPr="007E2780" w:rsidRDefault="00C12070" w:rsidP="00C12070">
      <w:pPr>
        <w:rPr>
          <w:rStyle w:val="StyleUnderline"/>
        </w:rPr>
      </w:pPr>
      <w:r w:rsidRPr="007E2780">
        <w:rPr>
          <w:rStyle w:val="StyleUnderline"/>
        </w:rPr>
        <w:t xml:space="preserve">There are many reasons why people cannot grow or buy enough food to feed their families. Most of the reasons are caused by a combination of the issues below. A hunger crisis develops when families experience these stresses for several years and run out of ways to cope, and governments and aid agencies fail to intervene.  </w:t>
      </w:r>
      <w:r>
        <w:rPr>
          <w:u w:val="single"/>
        </w:rPr>
        <w:t xml:space="preserve"> </w:t>
      </w:r>
      <w:r w:rsidRPr="00B77D53">
        <w:rPr>
          <w:sz w:val="16"/>
        </w:rPr>
        <w:t>POVERTY</w:t>
      </w:r>
      <w:r>
        <w:rPr>
          <w:u w:val="single"/>
        </w:rPr>
        <w:t xml:space="preserve"> </w:t>
      </w:r>
      <w:r w:rsidRPr="007E2780">
        <w:rPr>
          <w:rStyle w:val="StyleUnderline"/>
        </w:rPr>
        <w:t xml:space="preserve">Ultimately, the main reason why most people are unable to feed themselves is not that food is unavailable but they cannot afford it. </w:t>
      </w:r>
      <w:r>
        <w:rPr>
          <w:u w:val="single"/>
        </w:rPr>
        <w:t xml:space="preserve"> </w:t>
      </w:r>
      <w:r w:rsidRPr="007E2780">
        <w:rPr>
          <w:rStyle w:val="StyleUnderline"/>
        </w:rPr>
        <w:t xml:space="preserve">But poverty also reduces food output. Many African farmers produce small harvests because they lack irrigation and fertilisers. </w:t>
      </w:r>
      <w:r w:rsidRPr="00B77D53">
        <w:rPr>
          <w:sz w:val="16"/>
        </w:rPr>
        <w:t xml:space="preserve">Africa has the lowest fertiliser usage in the world – a measure of how its farmers are simply unable to afford the inputs used by their developed world counterparts.  </w:t>
      </w:r>
      <w:r>
        <w:rPr>
          <w:u w:val="single"/>
        </w:rPr>
        <w:t xml:space="preserve"> </w:t>
      </w:r>
      <w:r w:rsidRPr="00B77D53">
        <w:rPr>
          <w:sz w:val="16"/>
        </w:rPr>
        <w:t>NATURAL DISASTERS</w:t>
      </w:r>
      <w:r>
        <w:rPr>
          <w:u w:val="single"/>
        </w:rPr>
        <w:t xml:space="preserve"> </w:t>
      </w:r>
      <w:r w:rsidRPr="007E2780">
        <w:rPr>
          <w:rStyle w:val="StyleUnderline"/>
        </w:rPr>
        <w:t xml:space="preserve">The impact of natural disasters such as drought, flooding, hurricanes and earthquakes can vary according to people's levels of poverty. Droughts tend to hit the poorest subsistence farmers much harder than large commercial growers, who have access to better irrigation and more resilient seed types. </w:t>
      </w:r>
      <w:r>
        <w:rPr>
          <w:u w:val="single"/>
        </w:rPr>
        <w:t xml:space="preserve"> </w:t>
      </w:r>
      <w:r w:rsidRPr="00B77D53">
        <w:rPr>
          <w:sz w:val="16"/>
        </w:rPr>
        <w:t xml:space="preserve">Climate change is having an increased impact on food production as droughts and flooding become more frequent and more severe. </w:t>
      </w:r>
      <w:r>
        <w:rPr>
          <w:u w:val="single"/>
        </w:rPr>
        <w:t xml:space="preserve"> </w:t>
      </w:r>
      <w:r w:rsidRPr="007E2780">
        <w:rPr>
          <w:rStyle w:val="StyleUnderline"/>
        </w:rPr>
        <w:t xml:space="preserve">Some experts say global warming may demolish people's ability to cope and push already vulnerable families over the edge. Shrinking access to fertile land and water may trigger refugee crises and conflicts. </w:t>
      </w:r>
      <w:r>
        <w:rPr>
          <w:u w:val="single"/>
        </w:rPr>
        <w:t xml:space="preserve"> </w:t>
      </w:r>
      <w:r w:rsidRPr="00B77D53">
        <w:rPr>
          <w:sz w:val="16"/>
        </w:rPr>
        <w:t xml:space="preserve">Locusts are another problem farmers face. Swarms consisting of millions of locusts can decimate large areas in a day. </w:t>
      </w:r>
      <w:r w:rsidRPr="007E2780">
        <w:rPr>
          <w:rStyle w:val="StyleUnderline"/>
        </w:rPr>
        <w:t xml:space="preserve">Governments control them using chemical sprays, but they can be difficult to contain because of their spread.  </w:t>
      </w:r>
      <w:r>
        <w:rPr>
          <w:u w:val="single"/>
        </w:rPr>
        <w:t xml:space="preserve"> </w:t>
      </w:r>
      <w:r w:rsidRPr="00B77D53">
        <w:rPr>
          <w:sz w:val="16"/>
        </w:rPr>
        <w:t xml:space="preserve">They usually live in the deserts of Africa and Asia and, during a plague, locusts can spread to dozens of countries. West Africa experienced a major infestation in 2004 and, in 1986-1989, a plague began in Sudan and spread as far as India. In 1988, a swarm moved from West Africa to the Caribbean in just ten days. </w:t>
      </w:r>
      <w:r>
        <w:rPr>
          <w:u w:val="single"/>
        </w:rPr>
        <w:t xml:space="preserve"> </w:t>
      </w:r>
      <w:r w:rsidRPr="00B77D53">
        <w:rPr>
          <w:sz w:val="16"/>
        </w:rPr>
        <w:t>CONFLICTS</w:t>
      </w:r>
      <w:r>
        <w:rPr>
          <w:u w:val="single"/>
        </w:rPr>
        <w:t xml:space="preserve"> </w:t>
      </w:r>
      <w:r w:rsidRPr="007E2780">
        <w:rPr>
          <w:rStyle w:val="StyleUnderline"/>
        </w:rPr>
        <w:t>Conflict can drive people from their homes and away from their normal food supply, leave them unable to afford food or simply stop them planting.</w:t>
      </w:r>
      <w:r>
        <w:rPr>
          <w:u w:val="single"/>
        </w:rPr>
        <w:t xml:space="preserve"> </w:t>
      </w:r>
      <w:r w:rsidRPr="00B77D53">
        <w:rPr>
          <w:sz w:val="16"/>
        </w:rPr>
        <w:t>Other people may lose their incomes and therefore be unable to afford food</w:t>
      </w:r>
      <w:r w:rsidRPr="007E2780">
        <w:rPr>
          <w:rStyle w:val="StyleUnderline"/>
        </w:rPr>
        <w:t xml:space="preserve">. Food supplies may be disrupted by fighting or deliberate blockade. </w:t>
      </w:r>
      <w:r>
        <w:rPr>
          <w:u w:val="single"/>
        </w:rPr>
        <w:t xml:space="preserve"> </w:t>
      </w:r>
      <w:r w:rsidRPr="00B77D53">
        <w:rPr>
          <w:sz w:val="16"/>
        </w:rPr>
        <w:t xml:space="preserve">In many conflicts, </w:t>
      </w:r>
      <w:r w:rsidRPr="007E2780">
        <w:rPr>
          <w:rStyle w:val="StyleUnderline"/>
        </w:rPr>
        <w:t>warring parties are accused of blocking aid and commercial food deliveries particularly to areas seen supporting rebels – although this is against international humanitarian law.</w:t>
      </w:r>
      <w:r w:rsidRPr="00B77D53">
        <w:rPr>
          <w:sz w:val="16"/>
        </w:rPr>
        <w:t xml:space="preserve"> </w:t>
      </w:r>
      <w:r>
        <w:rPr>
          <w:u w:val="single"/>
        </w:rPr>
        <w:t xml:space="preserve"> </w:t>
      </w:r>
      <w:r w:rsidRPr="007E2780">
        <w:rPr>
          <w:rStyle w:val="StyleUnderline"/>
        </w:rPr>
        <w:t>In any case, war makes delivery of food much more difficult, particularly if aid workers are attacked and supplies are looted</w:t>
      </w:r>
      <w:r w:rsidRPr="00B77D53">
        <w:rPr>
          <w:sz w:val="16"/>
        </w:rPr>
        <w:t>.</w:t>
      </w:r>
      <w:r>
        <w:rPr>
          <w:u w:val="single"/>
        </w:rPr>
        <w:t xml:space="preserve"> </w:t>
      </w:r>
      <w:r w:rsidRPr="00B77D53">
        <w:rPr>
          <w:sz w:val="16"/>
        </w:rPr>
        <w:t>GLOBAL FOOD PRICES</w:t>
      </w:r>
      <w:r>
        <w:rPr>
          <w:u w:val="single"/>
        </w:rPr>
        <w:t xml:space="preserve"> </w:t>
      </w:r>
      <w:r w:rsidRPr="00B77D53">
        <w:rPr>
          <w:sz w:val="16"/>
        </w:rPr>
        <w:t xml:space="preserve">Rising global food prices affect people's ability to buy enough to feed their families. </w:t>
      </w:r>
      <w:r>
        <w:rPr>
          <w:u w:val="single"/>
        </w:rPr>
        <w:t xml:space="preserve"> </w:t>
      </w:r>
      <w:r w:rsidRPr="00B77D53">
        <w:rPr>
          <w:sz w:val="16"/>
        </w:rPr>
        <w:t xml:space="preserve">Not surprisingly, the hardest hit are the poorest – especially the urban poor, who can spend as much as 80 percent of their income on food. </w:t>
      </w:r>
      <w:r>
        <w:rPr>
          <w:u w:val="single"/>
        </w:rPr>
        <w:t xml:space="preserve"> </w:t>
      </w:r>
      <w:r w:rsidRPr="00B77D53">
        <w:rPr>
          <w:sz w:val="16"/>
        </w:rPr>
        <w:t xml:space="preserve">Countries most affected are those which need to import large amounts of food, often because of failed harvests. </w:t>
      </w:r>
      <w:r w:rsidRPr="007E2780">
        <w:rPr>
          <w:rStyle w:val="StyleUnderline"/>
        </w:rPr>
        <w:t xml:space="preserve">Many governments introduce food subsidies or export restrictions to counter rising costs, but some critics say these only exacerbate price rises on global markets. </w:t>
      </w:r>
      <w:r>
        <w:rPr>
          <w:u w:val="single"/>
        </w:rPr>
        <w:t xml:space="preserve"> </w:t>
      </w:r>
      <w:r w:rsidRPr="00B77D53">
        <w:rPr>
          <w:sz w:val="16"/>
        </w:rPr>
        <w:t xml:space="preserve">In 2007 and 2008, the global price of basics like rice, wheat and maize soared, triggering riots in many countries. </w:t>
      </w:r>
      <w:r>
        <w:rPr>
          <w:u w:val="single"/>
        </w:rPr>
        <w:t xml:space="preserve"> </w:t>
      </w:r>
      <w:r w:rsidRPr="00B77D53">
        <w:rPr>
          <w:sz w:val="16"/>
        </w:rPr>
        <w:t>Prices are likely to become even more volatile in the next 20 years, experts say. Population growth, demand for more varied diets in countries like China and India, and a growing market for biofuels are putting pressure on limited resources like land and water. Climate change is affecting crop yields. And foreign companies are taking over vast swathes of fertile farmland in poor countries to grow food for export, potentially diminishing local farmers' access to land and food.</w:t>
      </w:r>
      <w:r>
        <w:rPr>
          <w:u w:val="single"/>
        </w:rPr>
        <w:t xml:space="preserve"> </w:t>
      </w:r>
      <w:r w:rsidRPr="00B77D53">
        <w:rPr>
          <w:sz w:val="16"/>
        </w:rPr>
        <w:t xml:space="preserve">DISEASE </w:t>
      </w:r>
      <w:r>
        <w:rPr>
          <w:u w:val="single"/>
        </w:rPr>
        <w:t xml:space="preserve"> </w:t>
      </w:r>
      <w:r w:rsidRPr="00B77D53">
        <w:rPr>
          <w:sz w:val="16"/>
        </w:rPr>
        <w:t xml:space="preserve">Disease can drive food shortages in a variety of ways. </w:t>
      </w:r>
      <w:r>
        <w:rPr>
          <w:u w:val="single"/>
        </w:rPr>
        <w:t xml:space="preserve"> </w:t>
      </w:r>
      <w:r w:rsidRPr="007E2780">
        <w:rPr>
          <w:rStyle w:val="StyleUnderline"/>
        </w:rPr>
        <w:t xml:space="preserve">The HIV/AIDS pandemic in southern Africa has contributed to food shortages both through killing farmers, destroying critical local knowledge and pushing families deeper into poverty – thereby often cutting their ability to grow and produce food. </w:t>
      </w:r>
      <w:r>
        <w:rPr>
          <w:u w:val="single"/>
        </w:rPr>
        <w:t xml:space="preserve"> </w:t>
      </w:r>
      <w:r w:rsidRPr="00B77D53">
        <w:rPr>
          <w:sz w:val="16"/>
        </w:rPr>
        <w:t xml:space="preserve">Antiretroviral drugs, which contain the effects of HIV, are less effective if people are malnourished. They also produce much stronger hunger pangs, and some HIV-positive people stop taking the medication during food crises because the hunger pangs became too painful. </w:t>
      </w:r>
      <w:r>
        <w:rPr>
          <w:u w:val="single"/>
        </w:rPr>
        <w:t xml:space="preserve"> </w:t>
      </w:r>
      <w:r w:rsidRPr="007E2780">
        <w:rPr>
          <w:rStyle w:val="StyleUnderline"/>
        </w:rPr>
        <w:t>Some other disease outbreaks, such as the 2014 Ebola outbreak in West Africa, also put pressure on food supplies when people are afraid to deliver to affected areas, or because of travel restrictions.</w:t>
      </w:r>
      <w:r>
        <w:rPr>
          <w:u w:val="single"/>
        </w:rPr>
        <w:t xml:space="preserve"> </w:t>
      </w:r>
      <w:r w:rsidRPr="00B77D53">
        <w:rPr>
          <w:sz w:val="16"/>
        </w:rPr>
        <w:t xml:space="preserve">COMPLEX EMERGENCIES </w:t>
      </w:r>
      <w:r>
        <w:rPr>
          <w:u w:val="single"/>
        </w:rPr>
        <w:t xml:space="preserve"> </w:t>
      </w:r>
      <w:r w:rsidRPr="00B77D53">
        <w:rPr>
          <w:sz w:val="16"/>
        </w:rPr>
        <w:t>Almost all food crises contain a mixture of the above, with the different factors often combining to produce a more powerful and serious emergency.</w:t>
      </w:r>
      <w:r>
        <w:rPr>
          <w:u w:val="single"/>
        </w:rPr>
        <w:t xml:space="preserve"> </w:t>
      </w:r>
      <w:r w:rsidRPr="007E2780">
        <w:rPr>
          <w:rStyle w:val="StyleUnderline"/>
        </w:rPr>
        <w:t xml:space="preserve">In 2010 and 2011, Ethiopia, Kenya and Somalia were almost equally affected by poor rains and crop failure. But in Somalia, the impact of the drought was worsened by the lack of a functioning government and by a conflict which impeded traditional drought coping strategies and made it difficult for aid agencies to reach the most vulnerable. A famine was declared there in 2011, and an estimated 260,000 people died. </w:t>
      </w:r>
      <w:r>
        <w:rPr>
          <w:u w:val="single"/>
        </w:rPr>
        <w:t xml:space="preserve"> </w:t>
      </w:r>
      <w:r w:rsidRPr="00B77D53">
        <w:rPr>
          <w:sz w:val="16"/>
        </w:rPr>
        <w:t xml:space="preserve">The food crises that hit southern Africa in 2003 and 2005 were blamed on what aid workers called a "triple threat" - the combined impact of poor growing weather, high HIV rates and deepening poverty. </w:t>
      </w:r>
      <w:r>
        <w:rPr>
          <w:u w:val="single"/>
        </w:rPr>
        <w:t xml:space="preserve"> </w:t>
      </w:r>
      <w:r w:rsidRPr="00B77D53">
        <w:rPr>
          <w:sz w:val="16"/>
        </w:rPr>
        <w:t xml:space="preserve">Two of the most famous famines of the last 50 years – Biafra in Nigeria in the late 1960s and Ethiopia in the 1980s – were caused as much by politics and war as lack of rain. </w:t>
      </w:r>
      <w:r>
        <w:rPr>
          <w:u w:val="single"/>
        </w:rPr>
        <w:t xml:space="preserve"> </w:t>
      </w:r>
      <w:r w:rsidRPr="00B77D53">
        <w:rPr>
          <w:sz w:val="16"/>
        </w:rPr>
        <w:t xml:space="preserve">Hundreds of thousands of people died in the short-lived breakaway state of Biafra in southeastern Nigeria because food didn't reach them. </w:t>
      </w:r>
      <w:r w:rsidRPr="007E2780">
        <w:rPr>
          <w:rStyle w:val="StyleUnderline"/>
        </w:rPr>
        <w:t>And most observers agree that hundreds of thousands of Ethiopians died when the effects of a two-year drought were drastically compounded by government policies of collectivising farms and resettling ethnic groups seen as sympathetic to insurgents.</w:t>
      </w:r>
    </w:p>
    <w:p w:rsidR="00C12070" w:rsidRDefault="00C12070" w:rsidP="00C12070">
      <w:pPr>
        <w:pStyle w:val="Heading4"/>
      </w:pPr>
      <w:r>
        <w:t>No Food Shortage – just misallocation of current food supply</w:t>
      </w:r>
    </w:p>
    <w:p w:rsidR="00C12070" w:rsidRPr="000C5DAD" w:rsidRDefault="00C12070" w:rsidP="00C12070">
      <w:r>
        <w:rPr>
          <w:rStyle w:val="Style13ptBold"/>
        </w:rPr>
        <w:t xml:space="preserve">Schiller 16 </w:t>
      </w:r>
      <w:r w:rsidRPr="000C5DAD">
        <w:t xml:space="preserve">– </w:t>
      </w:r>
      <w:r>
        <w:t xml:space="preserve">Schiller is a New York staff writer for Fast Company. Previously he edited a European management magazine and was a eaport in San Francisco, Prague, and Brussels. </w:t>
      </w:r>
      <w:r w:rsidRPr="000C5DAD">
        <w:t>(</w:t>
      </w:r>
      <w:r>
        <w:t xml:space="preserve">Ben, Fast Company, “The Real Reason Ther’s World Hunger: Food Waste, Not Food Shortage,” 8/16/16, accessed on 7/19/17, </w:t>
      </w:r>
      <w:hyperlink r:id="rId56" w:history="1">
        <w:r w:rsidRPr="009A5350">
          <w:rPr>
            <w:rStyle w:val="Hyperlink"/>
          </w:rPr>
          <w:t>https://www.fastcompany.com/3062692/the-real-reason-theres-world-hunger-food-waste-not-food-shortages</w:t>
        </w:r>
      </w:hyperlink>
      <w:r>
        <w:t xml:space="preserve"> ) // MK</w:t>
      </w:r>
    </w:p>
    <w:p w:rsidR="00C12070" w:rsidRPr="00697543" w:rsidRDefault="00C12070" w:rsidP="00C12070">
      <w:pPr>
        <w:rPr>
          <w:u w:val="single"/>
        </w:rPr>
      </w:pPr>
      <w:r w:rsidRPr="000C5DAD">
        <w:rPr>
          <w:rStyle w:val="StyleUnderline"/>
        </w:rPr>
        <w:t>Most people assume hunger exists in poor communities because there’s not enough food. But that’s usually the lesser problem. Really, it’s just about getting food to the people who need it.</w:t>
      </w:r>
      <w:r>
        <w:rPr>
          <w:u w:val="single"/>
        </w:rPr>
        <w:t xml:space="preserve"> </w:t>
      </w:r>
      <w:r w:rsidRPr="00B77D53">
        <w:rPr>
          <w:sz w:val="16"/>
        </w:rPr>
        <w:t xml:space="preserve">“The problem of undernourishment and hidden hunger around the globe is a distribution problem rather than a production one,” says an important new paper on global food waste published in Environmental Science &amp; Technology. </w:t>
      </w:r>
      <w:r w:rsidRPr="000C5DAD">
        <w:rPr>
          <w:rStyle w:val="StyleUnderline"/>
        </w:rPr>
        <w:t>A systematic study, from the Potsdam Institute, says we wasted 510 kilocalories per person per day in 2010, up from 310 kilocalories in 1965. Generally, societies are getting much better at producing food: there’s 20% more food available than the global population strictly needs. Most places, even undernourished places, have a raw surplus of food. The problem is, one third of production is either not used productively, or it’s not used to feed the world’s underfed.</w:t>
      </w:r>
      <w:r>
        <w:rPr>
          <w:rStyle w:val="StyleUnderline"/>
        </w:rPr>
        <w:t xml:space="preserve"> </w:t>
      </w:r>
      <w:r w:rsidRPr="00B77D53">
        <w:rPr>
          <w:sz w:val="16"/>
        </w:rPr>
        <w:t>“Undernourishment may prevail in a country with food surplus due to income inequality and poverty, resulting in disparity in food security within the country,” the paper says</w:t>
      </w:r>
      <w:r w:rsidRPr="000C5DAD">
        <w:rPr>
          <w:rStyle w:val="StyleUnderline"/>
        </w:rPr>
        <w:t>. For example, India has a nominal food surplus of 210 kcal/per person/day, yet it has the second highest number of undernourished people in the world.</w:t>
      </w:r>
      <w:r>
        <w:rPr>
          <w:u w:val="single"/>
        </w:rPr>
        <w:t xml:space="preserve"> </w:t>
      </w:r>
      <w:r w:rsidRPr="000C5DAD">
        <w:rPr>
          <w:rStyle w:val="StyleUnderline"/>
        </w:rPr>
        <w:t>“To eliminate hunger, countries with food deficits at first need to increase their food availability, while other countries need to improve their food distribution systems,”</w:t>
      </w:r>
      <w:r w:rsidRPr="00B77D53">
        <w:rPr>
          <w:sz w:val="16"/>
        </w:rPr>
        <w:t xml:space="preserve"> the paper says. Only a few countries have an actual food deficit (both what they grow and import), including Zambia, Haiti, and Tajikistan. </w:t>
      </w:r>
      <w:r w:rsidRPr="000C5DAD">
        <w:rPr>
          <w:rStyle w:val="StyleUnderline"/>
        </w:rPr>
        <w:t>Potsdam defines food waste as the gap between food availability and the average energy requirement (based on body weight) of a person in a particular country. (An American has a higher energy requirement than a Chinese, for instance.) The researchers use this gap to then calculate greenhouse gas emissions associated with that waste. Agriculture accounts for 20% of emissions now. But 14% of these could easily be avoided by better food management and distribution, lead researcher Prajal Pradhan says.</w:t>
      </w:r>
      <w:r>
        <w:rPr>
          <w:u w:val="single"/>
        </w:rPr>
        <w:t xml:space="preserve"> </w:t>
      </w:r>
      <w:r w:rsidRPr="000C5DAD">
        <w:rPr>
          <w:rStyle w:val="StyleUnderline"/>
        </w:rPr>
        <w:t>“Inefficiency in the food supply chain needs to be addressed to reduce agricultural related environmental consequences and climate burdens,” the paper concludes.</w:t>
      </w:r>
      <w:r w:rsidRPr="00B77D53">
        <w:rPr>
          <w:sz w:val="16"/>
        </w:rPr>
        <w:t xml:space="preserve"> It will also help feed people, reducing the amount of land that needs to be set aside for producing food. The biggest question ahead for the researchers? How exactly to make the food supply chain smarter and more efficient. That’s another story.</w:t>
      </w:r>
    </w:p>
    <w:p w:rsidR="00C12070" w:rsidRPr="00F07B7C" w:rsidRDefault="00C12070" w:rsidP="00C12070">
      <w:pPr>
        <w:pStyle w:val="Heading3"/>
      </w:pPr>
      <w:r>
        <w:t>Global Ag Production is R</w:t>
      </w:r>
      <w:r w:rsidRPr="00F07B7C">
        <w:t>esilient</w:t>
      </w:r>
    </w:p>
    <w:p w:rsidR="00C12070" w:rsidRPr="00F07B7C" w:rsidRDefault="00C12070" w:rsidP="00C12070">
      <w:pPr>
        <w:pStyle w:val="Heading4"/>
      </w:pPr>
      <w:r w:rsidRPr="00F07B7C">
        <w:t>Global agriculture production is resilient—increasingly adopted technology maximizes production</w:t>
      </w:r>
    </w:p>
    <w:p w:rsidR="00C12070" w:rsidRPr="00F07B7C" w:rsidRDefault="00C12070" w:rsidP="00C12070">
      <w:pPr>
        <w:pStyle w:val="Small"/>
      </w:pPr>
      <w:r w:rsidRPr="00F07B7C">
        <w:rPr>
          <w:rStyle w:val="Style13ptBold"/>
          <w:rFonts w:eastAsiaTheme="majorEastAsia"/>
        </w:rPr>
        <w:t>BW 16</w:t>
      </w:r>
      <w:r w:rsidRPr="00F07B7C">
        <w:t xml:space="preserve"> - Business Wire, a Berkshire Hathaway subsidiary, is a company that disseminates full-text press releases from thousands of companies and organizations worldwide to news media, financial markets, disclosure systems, investors, information web sites, databases, bloggers, social networks and other audiences. (“Global Precision Agriculture Market Will Boom Following the Need to Maximize Food Production Through 2019, says Technavio,” http://www.businesswire.com/news/home/20160229006011/en/Global-Precision-Agriculture-Market-Boom-Maximize-Food 2/29/2016) STRYKER</w:t>
      </w:r>
    </w:p>
    <w:p w:rsidR="00C12070" w:rsidRPr="00F07B7C" w:rsidRDefault="00C12070" w:rsidP="00C12070">
      <w:pPr>
        <w:pStyle w:val="Small"/>
      </w:pPr>
      <w:r w:rsidRPr="00F07B7C">
        <w:t>LONDON--(BUSINESS WIRE)--</w:t>
      </w:r>
      <w:r w:rsidRPr="00F07B7C">
        <w:rPr>
          <w:rStyle w:val="StyleUnderline"/>
          <w:rFonts w:eastAsiaTheme="majorEastAsia"/>
        </w:rPr>
        <w:t xml:space="preserve">Technavio analysts forecast the global precision </w:t>
      </w:r>
      <w:r w:rsidRPr="00B13EA9">
        <w:rPr>
          <w:rStyle w:val="StyleUnderline"/>
          <w:rFonts w:eastAsiaTheme="majorEastAsia"/>
          <w:highlight w:val="cyan"/>
        </w:rPr>
        <w:t xml:space="preserve">agriculture market to post a </w:t>
      </w:r>
      <w:r w:rsidRPr="00B13EA9">
        <w:rPr>
          <w:rStyle w:val="Emphasis"/>
          <w:rFonts w:eastAsiaTheme="majorEastAsia"/>
          <w:highlight w:val="cyan"/>
        </w:rPr>
        <w:t>CAGR of more than 14</w:t>
      </w:r>
      <w:r w:rsidRPr="00F07B7C">
        <w:rPr>
          <w:rStyle w:val="Emphasis"/>
          <w:rFonts w:eastAsiaTheme="majorEastAsia"/>
        </w:rPr>
        <w:t>%</w:t>
      </w:r>
      <w:r w:rsidRPr="00F07B7C">
        <w:rPr>
          <w:rStyle w:val="StyleUnderline"/>
          <w:rFonts w:eastAsiaTheme="majorEastAsia"/>
        </w:rPr>
        <w:t xml:space="preserve"> by 2019</w:t>
      </w:r>
      <w:r w:rsidRPr="00F07B7C">
        <w:t xml:space="preserve">, according to their latest report. The research study covers the present scenario and growth prospects of the global precision agriculture market for 2015-2019. To calculate the market size, the report considers the revenue generated from sales of the following precision farming products: automation and control systems, sensing and monitoring devices, and farm management systems. </w:t>
      </w:r>
      <w:r w:rsidRPr="00F07B7C">
        <w:rPr>
          <w:rStyle w:val="StyleUnderline"/>
          <w:rFonts w:eastAsiaTheme="majorEastAsia"/>
        </w:rPr>
        <w:t>Technavio analysts highlight the following four factors that are contributing to the growth of the global precision agriculture market</w:t>
      </w:r>
      <w:r w:rsidRPr="00F07B7C">
        <w:t xml:space="preserve">: Growing awareness and acceptance Need to maximize food production Optimization of inputs Control over farm data </w:t>
      </w:r>
      <w:r w:rsidRPr="00B13EA9">
        <w:rPr>
          <w:rStyle w:val="Emphasis"/>
          <w:rFonts w:eastAsiaTheme="majorEastAsia"/>
          <w:highlight w:val="cyan"/>
        </w:rPr>
        <w:t>Growing awareness and acceptance</w:t>
      </w:r>
      <w:r w:rsidRPr="00F07B7C">
        <w:t xml:space="preserve"> According to the report </w:t>
      </w:r>
      <w:r w:rsidRPr="00F07B7C">
        <w:rPr>
          <w:rStyle w:val="StyleUnderline"/>
          <w:rFonts w:eastAsiaTheme="majorEastAsia"/>
        </w:rPr>
        <w:t>the acceptance and adoption of any technology is influenced by return on investment</w:t>
      </w:r>
      <w:r w:rsidRPr="00F07B7C">
        <w:t xml:space="preserve"> (ROI) </w:t>
      </w:r>
      <w:r w:rsidRPr="00F07B7C">
        <w:rPr>
          <w:rStyle w:val="StyleUnderline"/>
          <w:rFonts w:eastAsiaTheme="majorEastAsia"/>
        </w:rPr>
        <w:t>and the farmer's ability to bear risk</w:t>
      </w:r>
      <w:r w:rsidRPr="00F07B7C">
        <w:t xml:space="preserve">. Despite the fact that precision farming technologies have been available commercially since the 1990s, their awareness and uptake has been relatively slow. However, </w:t>
      </w:r>
      <w:r w:rsidRPr="00F07B7C">
        <w:rPr>
          <w:rStyle w:val="StyleUnderline"/>
          <w:rFonts w:eastAsiaTheme="majorEastAsia"/>
        </w:rPr>
        <w:t xml:space="preserve">with advances in socio-demographic factors like improved education and computer literacy among farmers, the </w:t>
      </w:r>
      <w:r w:rsidRPr="00F07B7C">
        <w:rPr>
          <w:rStyle w:val="Emphasis"/>
          <w:rFonts w:eastAsiaTheme="majorEastAsia"/>
        </w:rPr>
        <w:t xml:space="preserve">adoption rate </w:t>
      </w:r>
      <w:r w:rsidRPr="00B13EA9">
        <w:rPr>
          <w:rStyle w:val="Emphasis"/>
          <w:rFonts w:eastAsiaTheme="majorEastAsia"/>
          <w:highlight w:val="cyan"/>
        </w:rPr>
        <w:t>has increased</w:t>
      </w:r>
      <w:r w:rsidRPr="00F07B7C">
        <w:rPr>
          <w:rStyle w:val="StyleUnderline"/>
          <w:rFonts w:eastAsiaTheme="majorEastAsia"/>
        </w:rPr>
        <w:t xml:space="preserve"> in modern times</w:t>
      </w:r>
      <w:r w:rsidRPr="00F07B7C">
        <w:t>. “</w:t>
      </w:r>
      <w:r w:rsidRPr="00F07B7C">
        <w:rPr>
          <w:rStyle w:val="StyleUnderline"/>
          <w:rFonts w:eastAsiaTheme="majorEastAsia"/>
        </w:rPr>
        <w:t>Awareness of the benefits of precision farming technologies, revealed in the form of improved yields and profitability, have provided the biggest incentive for their acceptance and adoption, driving growth in the market</w:t>
      </w:r>
      <w:r w:rsidRPr="00F07B7C">
        <w:t>,” says Faizan Akhtar, a research expert from Technavio’s agricultural equipment research team</w:t>
      </w:r>
      <w:r w:rsidRPr="00B13EA9">
        <w:rPr>
          <w:highlight w:val="cyan"/>
        </w:rPr>
        <w:t xml:space="preserve">. </w:t>
      </w:r>
      <w:r w:rsidRPr="00B13EA9">
        <w:rPr>
          <w:rStyle w:val="Emphasis"/>
          <w:rFonts w:eastAsiaTheme="majorEastAsia"/>
          <w:highlight w:val="cyan"/>
        </w:rPr>
        <w:t>Need to maximize food production</w:t>
      </w:r>
      <w:r w:rsidRPr="00F07B7C">
        <w:t xml:space="preserve"> </w:t>
      </w:r>
      <w:r w:rsidRPr="00F07B7C">
        <w:rPr>
          <w:rStyle w:val="StyleUnderline"/>
          <w:rFonts w:eastAsiaTheme="majorEastAsia"/>
        </w:rPr>
        <w:t>With the growing global population</w:t>
      </w:r>
      <w:r w:rsidRPr="00B13EA9">
        <w:rPr>
          <w:rStyle w:val="StyleUnderline"/>
          <w:rFonts w:eastAsiaTheme="majorEastAsia"/>
          <w:highlight w:val="cyan"/>
        </w:rPr>
        <w:t xml:space="preserve">, </w:t>
      </w:r>
      <w:r w:rsidRPr="00B13EA9">
        <w:rPr>
          <w:rStyle w:val="Emphasis"/>
          <w:rFonts w:eastAsiaTheme="majorEastAsia"/>
          <w:highlight w:val="cyan"/>
        </w:rPr>
        <w:t>demand for food is rising</w:t>
      </w:r>
      <w:r w:rsidRPr="00F07B7C">
        <w:rPr>
          <w:rStyle w:val="StyleUnderline"/>
          <w:rFonts w:eastAsiaTheme="majorEastAsia"/>
        </w:rPr>
        <w:t xml:space="preserve"> but </w:t>
      </w:r>
      <w:r w:rsidRPr="00B13EA9">
        <w:rPr>
          <w:rStyle w:val="StyleUnderline"/>
          <w:rFonts w:eastAsiaTheme="majorEastAsia"/>
          <w:highlight w:val="cyan"/>
        </w:rPr>
        <w:t xml:space="preserve">the </w:t>
      </w:r>
      <w:r w:rsidRPr="00B13EA9">
        <w:rPr>
          <w:rStyle w:val="Emphasis"/>
          <w:rFonts w:eastAsiaTheme="majorEastAsia"/>
          <w:highlight w:val="cyan"/>
        </w:rPr>
        <w:t>size of arable land is decreasing</w:t>
      </w:r>
      <w:r w:rsidRPr="00F07B7C">
        <w:rPr>
          <w:rStyle w:val="StyleUnderline"/>
          <w:rFonts w:eastAsiaTheme="majorEastAsia"/>
        </w:rPr>
        <w:t xml:space="preserve">. Farmers are thus </w:t>
      </w:r>
      <w:r w:rsidRPr="00F07B7C">
        <w:rPr>
          <w:rStyle w:val="Emphasis"/>
          <w:rFonts w:eastAsiaTheme="majorEastAsia"/>
        </w:rPr>
        <w:t xml:space="preserve">facing the </w:t>
      </w:r>
      <w:r w:rsidRPr="00B13EA9">
        <w:rPr>
          <w:rStyle w:val="Emphasis"/>
          <w:rFonts w:eastAsiaTheme="majorEastAsia"/>
          <w:highlight w:val="cyan"/>
        </w:rPr>
        <w:t>pressure</w:t>
      </w:r>
      <w:r w:rsidRPr="00F07B7C">
        <w:rPr>
          <w:rStyle w:val="StyleUnderline"/>
          <w:rFonts w:eastAsiaTheme="majorEastAsia"/>
        </w:rPr>
        <w:t xml:space="preserve"> of maximizing production within these limitations and are seeking out progressive techniques to make their farmlands more efficient. These factors combined are expected to </w:t>
      </w:r>
      <w:r w:rsidRPr="00B13EA9">
        <w:rPr>
          <w:rStyle w:val="Emphasis"/>
          <w:rFonts w:eastAsiaTheme="majorEastAsia"/>
          <w:highlight w:val="cyan"/>
        </w:rPr>
        <w:t>drive the popularity of precision farming technologies</w:t>
      </w:r>
      <w:r w:rsidRPr="00F07B7C">
        <w:rPr>
          <w:rStyle w:val="StyleUnderline"/>
          <w:rFonts w:eastAsiaTheme="majorEastAsia"/>
        </w:rPr>
        <w:t xml:space="preserve"> in the market because they allow more effective management of farmland and thus increase production in a sustainable manner.</w:t>
      </w:r>
      <w:r w:rsidRPr="00F07B7C">
        <w:t xml:space="preserve"> </w:t>
      </w:r>
      <w:r w:rsidRPr="00B13EA9">
        <w:rPr>
          <w:rStyle w:val="Emphasis"/>
          <w:rFonts w:eastAsiaTheme="majorEastAsia"/>
          <w:highlight w:val="cyan"/>
        </w:rPr>
        <w:t>Optimization of inputs</w:t>
      </w:r>
      <w:r w:rsidRPr="00F07B7C">
        <w:t xml:space="preserve"> </w:t>
      </w:r>
      <w:r w:rsidRPr="00F07B7C">
        <w:rPr>
          <w:rStyle w:val="StyleUnderline"/>
          <w:rFonts w:eastAsiaTheme="majorEastAsia"/>
        </w:rPr>
        <w:t>Agricultural inputs like seeds, irrigation, and fertilizers account for a major cost to farmers and are witnessing a rise in prices</w:t>
      </w:r>
      <w:r w:rsidRPr="00F07B7C">
        <w:t xml:space="preserve">. Farmers have strived to mitigate the costs associated with inputs and simultaneously increase yields. </w:t>
      </w:r>
      <w:r w:rsidRPr="00F07B7C">
        <w:rPr>
          <w:rStyle w:val="StyleUnderline"/>
          <w:rFonts w:eastAsiaTheme="majorEastAsia"/>
        </w:rPr>
        <w:t>Precision farming technologies such as variable-rate technology</w:t>
      </w:r>
      <w:r w:rsidRPr="00F07B7C">
        <w:t xml:space="preserve"> (VRT) </w:t>
      </w:r>
      <w:r w:rsidRPr="00F07B7C">
        <w:rPr>
          <w:rStyle w:val="StyleUnderline"/>
          <w:rFonts w:eastAsiaTheme="majorEastAsia"/>
        </w:rPr>
        <w:t>provide this benefit as they facilitate control of the timing, quantity, and placement of inputs for any given area on the farm</w:t>
      </w:r>
      <w:r w:rsidRPr="00F07B7C">
        <w:t xml:space="preserve">. This allows for better efficiency of planting because it allows farmers to optimize and customize inputs and reduce the misapplication of products. “The VRT tools can be used to evaluate the natural soil variability of a field and reduce irrigation in areas where soil is detected to better retain water. Precision farming can thus translate into major cost and energy savings through efficient use of resources. This is expected to drive demand in the market over the next five years,” says Faizan. </w:t>
      </w:r>
      <w:r w:rsidRPr="00F07B7C">
        <w:rPr>
          <w:rStyle w:val="Emphasis"/>
          <w:rFonts w:eastAsiaTheme="majorEastAsia"/>
        </w:rPr>
        <w:t>Control over farm data</w:t>
      </w:r>
      <w:r w:rsidRPr="00F07B7C">
        <w:t xml:space="preserve"> </w:t>
      </w:r>
      <w:r w:rsidRPr="00F07B7C">
        <w:rPr>
          <w:rStyle w:val="StyleUnderline"/>
          <w:rFonts w:eastAsiaTheme="majorEastAsia"/>
        </w:rPr>
        <w:t xml:space="preserve">Farm </w:t>
      </w:r>
      <w:r w:rsidRPr="00B13EA9">
        <w:rPr>
          <w:rStyle w:val="StyleUnderline"/>
          <w:rFonts w:eastAsiaTheme="majorEastAsia"/>
          <w:highlight w:val="cyan"/>
        </w:rPr>
        <w:t>data security and privacy is a major concern of the precision farming market</w:t>
      </w:r>
      <w:r w:rsidRPr="00F07B7C">
        <w:t xml:space="preserve">. This farm data is related to planting, production and harvesting practices and can be sent by farmers to ATPs (agricultural technology providers). Vendors in the market including Deere and Company and Monsanto have developed services that make use of these data, analyze them, and offer field prescriptions and benchmarks to aid farmers in decision-making. While some farmers are open to this, others refrain from allowing ATPs to use them. Certain farm data tools such as FARMServer have facilitated the sharing of data, vesting its privacy and security in the hands of the farmer. </w:t>
      </w:r>
      <w:r w:rsidRPr="00F07B7C">
        <w:rPr>
          <w:rStyle w:val="StyleUnderline"/>
          <w:rFonts w:eastAsiaTheme="majorEastAsia"/>
        </w:rPr>
        <w:t>This could help accelerate the advances in the precision farming field through collaborative efforts between the farmers and agribusinesses</w:t>
      </w:r>
      <w:r w:rsidRPr="00F07B7C">
        <w:t>.</w:t>
      </w:r>
    </w:p>
    <w:p w:rsidR="00C12070" w:rsidRDefault="00C12070" w:rsidP="00C12070"/>
    <w:p w:rsidR="00C12070" w:rsidRDefault="00C12070" w:rsidP="00C12070">
      <w:pPr>
        <w:pStyle w:val="Heading3"/>
      </w:pPr>
      <w:r>
        <w:t>Biotech Solves</w:t>
      </w:r>
    </w:p>
    <w:p w:rsidR="00C12070" w:rsidRDefault="00C12070" w:rsidP="00C12070">
      <w:pPr>
        <w:pStyle w:val="Heading4"/>
      </w:pPr>
      <w:r>
        <w:t>Biotechnology provides the tools for renewable sources of food</w:t>
      </w:r>
    </w:p>
    <w:p w:rsidR="00C12070" w:rsidRPr="007C13BF" w:rsidRDefault="00C12070" w:rsidP="00C12070">
      <w:r>
        <w:rPr>
          <w:rStyle w:val="Style13ptBold"/>
        </w:rPr>
        <w:t>Avni and Bla</w:t>
      </w:r>
      <w:r w:rsidRPr="0098038A">
        <w:rPr>
          <w:rStyle w:val="Style13ptBold"/>
        </w:rPr>
        <w:t>zquez</w:t>
      </w:r>
      <w:r>
        <w:rPr>
          <w:rStyle w:val="Style13ptBold"/>
        </w:rPr>
        <w:t xml:space="preserve"> 11 </w:t>
      </w:r>
      <w:r>
        <w:t>–</w:t>
      </w:r>
      <w:r w:rsidRPr="007C13BF">
        <w:t xml:space="preserve"> Anvi</w:t>
      </w:r>
      <w:r>
        <w:t xml:space="preserve"> is an Associate professor at El Aviv University in Israel and Blazquez has a PhD from Autonomous Univeriity of Madrid. </w:t>
      </w:r>
      <w:r w:rsidRPr="007C13BF">
        <w:t>(Adi and Miguel</w:t>
      </w:r>
      <w:r>
        <w:t>, “Can Plant biotechnology help in solving our food and energy shortage in the future?” ScienceDirect, 2/15/11, accessed on 7/16/17) // MK</w:t>
      </w:r>
    </w:p>
    <w:p w:rsidR="00C12070" w:rsidRPr="00B77D53" w:rsidRDefault="00C12070" w:rsidP="00C12070">
      <w:pPr>
        <w:rPr>
          <w:sz w:val="16"/>
        </w:rPr>
      </w:pPr>
      <w:r w:rsidRPr="00B77D53">
        <w:rPr>
          <w:sz w:val="16"/>
        </w:rPr>
        <w:t xml:space="preserve">World population has grown from 2 billion during the Second World War to 7 billion in the twenty first century. The fast growth of the human race creates new problems. In the future we anticipate shortage in water and food supply. Moreover, the industrial world creates environmental pollution due to heavy usage of fossil based energy. </w:t>
      </w:r>
      <w:r w:rsidRPr="004658D8">
        <w:rPr>
          <w:rStyle w:val="StyleUnderline"/>
        </w:rPr>
        <w:t>An important goal in plant science is to improve the production of food and find new resources for renewable energy. Biotechnology provides new tools for improving food quality, increasing crop yields and finding new resources for energy production.</w:t>
      </w:r>
      <w:r w:rsidRPr="00B77D53">
        <w:rPr>
          <w:rStyle w:val="StyleUnderline"/>
          <w:sz w:val="16"/>
        </w:rPr>
        <w:t xml:space="preserve"> </w:t>
      </w:r>
      <w:r w:rsidRPr="00B77D53">
        <w:rPr>
          <w:sz w:val="16"/>
        </w:rPr>
        <w:t xml:space="preserve">In the past few years, advances in both our understanding of plant genomes and the functional analysis of key regulators of many physiological processes have been profound. In this issue of Current Opinion in Biotechnology, progress in several selected areas of plant biotechnology has been compiled. On the basis of these, </w:t>
      </w:r>
      <w:r w:rsidRPr="00221007">
        <w:rPr>
          <w:rStyle w:val="StyleUnderline"/>
        </w:rPr>
        <w:t>there is no doubt that plant biotechnology will contribute to building a sustainable economy by providing renewable sources of food, feed, energy and so on, all with a minimum impact on the environment.</w:t>
      </w:r>
      <w:r w:rsidRPr="00B77D53">
        <w:rPr>
          <w:rStyle w:val="StyleUnderline"/>
          <w:sz w:val="16"/>
        </w:rPr>
        <w:t xml:space="preserve"> </w:t>
      </w:r>
      <w:r w:rsidRPr="00574B17">
        <w:rPr>
          <w:rStyle w:val="StyleUnderline"/>
        </w:rPr>
        <w:t>Methods for the increase of crop yield have been highly successful in the past years.</w:t>
      </w:r>
      <w:r w:rsidRPr="00B77D53">
        <w:rPr>
          <w:sz w:val="16"/>
        </w:rPr>
        <w:t xml:space="preserve"> However, </w:t>
      </w:r>
      <w:r w:rsidRPr="00221007">
        <w:rPr>
          <w:rStyle w:val="StyleUnderline"/>
        </w:rPr>
        <w:t>an assurance of food availability does not depend only on the quantity of food but also on its nutritional quality. The nutritional quality of food is a major problem in poor countries.</w:t>
      </w:r>
      <w:r w:rsidRPr="00B77D53">
        <w:rPr>
          <w:sz w:val="16"/>
        </w:rPr>
        <w:t xml:space="preserve"> Vitamin A deficiency is estimated to affect approximately one-third of children under the age of five around the world. It is estimated to claim the lives of 670,000 children under five annually. Approximately 500,000 children in developing countries become blind each year owing to vitamin A deficiency. Genetic engineering can tackle the problem of vitamin deficiencies in basic food. In recent years a combinatorial transformation method has been developed which allows the insertion of genes control- ling entire biosynthesis pathways into plants. Such developments enable the production of provitamin A in corn and rice plants. </w:t>
      </w:r>
      <w:r w:rsidRPr="00221007">
        <w:rPr>
          <w:rStyle w:val="StyleUnderline"/>
        </w:rPr>
        <w:t>The uses of genetic engineering together with conventional breeding allowed the develop- ment of crop plants with elevated carotenoid content</w:t>
      </w:r>
      <w:r w:rsidRPr="00B77D53">
        <w:rPr>
          <w:sz w:val="16"/>
        </w:rPr>
        <w:t xml:space="preserve">. However, it is highly unlikely that such crops will be seen in the market due to political issues. The political dimension of genetically modified crops is usually negative. The media, public and politics feed each other with mis-information about the risks of using genetically modified crops. The first review deals with ways to develop plants with improved nutrient content and the environ- mental safety of these genetically modified plants, as well as the political issues that have been arising with the development of such genetically modified plants [1]. </w:t>
      </w:r>
      <w:r w:rsidRPr="00574B17">
        <w:rPr>
          <w:rStyle w:val="StyleUnderline"/>
        </w:rPr>
        <w:t>Modifying the biosynthesis pathway of carotenoids may influence other biosynthetic pathways in plants</w:t>
      </w:r>
      <w:r w:rsidRPr="00B77D53">
        <w:rPr>
          <w:sz w:val="16"/>
        </w:rPr>
        <w:t xml:space="preserve">. The metabolic network in plants is very complex compared to other organisms. Apart from primary metabolism, plants also synthesize a vast range of specialized metab- olites. Primary metabolites include universal building blocks of sugar, amino acids, nucleotides, lipids and energy sources. Secondary metabolites play a key role in maintaining plant fitness. Unlike primary metabolites, absence of secondary metabolites does not result in immediate death, but rather in long-term impairment of the organism’s survivability. Secondary metabolites are often restricted to a narrow set of species and they often play an important role in plant defense. The major secondary metabolite classes produced by plants are: phenolic compounds, terpenoids and alkaloids. In the second paper the regulation between primary metabolism and secondary metabolism in plants is reviewed. </w:t>
      </w:r>
      <w:r w:rsidRPr="00574B17">
        <w:rPr>
          <w:rStyle w:val="StyleUnderline"/>
        </w:rPr>
        <w:t>Regu- lations of the expression of genes encoding various metabolism associated transcription factors has shown that similar transcription factors can simultaneously regulate genes involved in the synthesis of primary and secondary metabolites. Identifying such transcription factors will aid in the improvement of various plant traits</w:t>
      </w:r>
      <w:r w:rsidRPr="00B77D53">
        <w:rPr>
          <w:sz w:val="16"/>
        </w:rPr>
        <w:t xml:space="preserve"> [2] In an industrialized world food allergies are a growing concern. </w:t>
      </w:r>
      <w:r w:rsidRPr="00574B17">
        <w:rPr>
          <w:rStyle w:val="StyleUnderline"/>
        </w:rPr>
        <w:t>The concern of food allergies is not limited to human consumption. There is a growing sensitivity to food allergies in livestock that are being fed with syn- thetic food</w:t>
      </w:r>
      <w:r w:rsidRPr="00B77D53">
        <w:rPr>
          <w:sz w:val="16"/>
        </w:rPr>
        <w:t xml:space="preserve">. Major plant food sources such as wheat and soybean are cited as a major source for food allergies. Additional plants crops such as peanuts, tree nuts, sesame and sunflower are considered as sources for food allergies. </w:t>
      </w:r>
      <w:r w:rsidRPr="00574B17">
        <w:rPr>
          <w:rStyle w:val="StyleUnderline"/>
        </w:rPr>
        <w:t>Preventing possibly life-threatening allergic responses is a significant medical issue and critical issue in the food industry. The review in this issue describes ways to identify allergenic proteins.</w:t>
      </w:r>
      <w:r w:rsidRPr="00B77D53">
        <w:rPr>
          <w:sz w:val="16"/>
        </w:rPr>
        <w:t xml:space="preserve"> It also describes ways to generate transgenic plants producing allergen-reduced or allergen-null food. The complexity of the allergy issue may influence the approval of new transgenic plants that enter the human food chain [3]. </w:t>
      </w:r>
      <w:r w:rsidRPr="00574B17">
        <w:rPr>
          <w:rStyle w:val="StyleUnderline"/>
        </w:rPr>
        <w:t>The rapid increases in fossil energy cost have led to increasing interest in alternative energy resources.</w:t>
      </w:r>
      <w:r w:rsidRPr="00B77D53">
        <w:rPr>
          <w:sz w:val="16"/>
        </w:rPr>
        <w:t xml:space="preserve"> This issue of Current Opinion in Biotechnology contains two reviews dealing with issues related to food and renewable energy. Vegetable oils consist of energy-dense triacylgly- cerols that are composed of three fatty acids bound to a glycerol backbone. Vegetable oils are used in preparation margarines, salad oils and fried foods. </w:t>
      </w:r>
      <w:r w:rsidRPr="00107584">
        <w:rPr>
          <w:rStyle w:val="StyleUnderline"/>
        </w:rPr>
        <w:t>With the need for new energy sources, triacylglycerols are attractive for biodiesel production. Biotechnology offers a number of solutions to meet the growing need for vegetable oils and vegetable oils with modified composition of fatty acids</w:t>
      </w:r>
      <w:r w:rsidRPr="00B77D53">
        <w:rPr>
          <w:sz w:val="16"/>
        </w:rPr>
        <w:t xml:space="preserve">. Once the critical enzymes in the biosynthetic pathway of oilseeds have been discovered, it opens the avenue for biotechnology to change the amount and composition of vegetable oils. Manipulation of seed oil can be achieved by modifying the amount of different enzymes in the biosynthetic pathway. </w:t>
      </w:r>
      <w:r w:rsidRPr="00107584">
        <w:rPr>
          <w:rStyle w:val="StyleUnderline"/>
        </w:rPr>
        <w:t>Metabolic engineering will provide important tools for increasing and modifying fatty acid composition in vegetable oils. Plant biotechnology will provide the tools to generate new crops with modified oil composition in non-food crop plants</w:t>
      </w:r>
      <w:r w:rsidRPr="00B77D53">
        <w:rPr>
          <w:sz w:val="16"/>
        </w:rPr>
        <w:t xml:space="preserve"> [4]. The production of renewable fuels from biomass is an evasive goal. Burned wood was used in the past for heating and as a fuel for transportation. </w:t>
      </w:r>
      <w:r w:rsidRPr="00107584">
        <w:rPr>
          <w:rStyle w:val="StyleUnderline"/>
        </w:rPr>
        <w:t xml:space="preserve">Modern society needs to consume energy in the form of liquid or gas. Therefore, we need to develop new ways to produce fuel form plants. </w:t>
      </w:r>
      <w:r w:rsidRPr="00B77D53">
        <w:rPr>
          <w:sz w:val="16"/>
        </w:rPr>
        <w:t xml:space="preserve">Enzymes are being used to deconstruct and ferment the plant cell wall to produce biofuels. However, this process is still inefficient. </w:t>
      </w:r>
      <w:r w:rsidRPr="00107584">
        <w:rPr>
          <w:rStyle w:val="StyleUnderline"/>
        </w:rPr>
        <w:t xml:space="preserve">Analyzing the enzymes that degrade cellulose will open new avenues to create an efficient enzymatic process that can degrade cellulose to produce biofuels. </w:t>
      </w:r>
      <w:r w:rsidRPr="00B77D53">
        <w:rPr>
          <w:sz w:val="16"/>
        </w:rPr>
        <w:t>The instant review describes deferent approaches to design enzymes and to screen for improved enzymes that decompose the plant cell wall. These enzymes will enable industrial processes for the pro- duction of renewable fuels [5].</w:t>
      </w:r>
    </w:p>
    <w:p w:rsidR="00C12070" w:rsidRDefault="00C12070" w:rsidP="00C12070">
      <w:pPr>
        <w:pStyle w:val="Heading4"/>
      </w:pPr>
      <w:r>
        <w:t>Biotechnology doubles productivity and solves food shortage</w:t>
      </w:r>
    </w:p>
    <w:p w:rsidR="00C12070" w:rsidRPr="00EF68F5" w:rsidRDefault="00C12070" w:rsidP="00C12070">
      <w:r>
        <w:rPr>
          <w:rStyle w:val="Style13ptBold"/>
        </w:rPr>
        <w:t xml:space="preserve">Farmers Guardian 08 </w:t>
      </w:r>
      <w:r w:rsidRPr="00EF68F5">
        <w:t>– (</w:t>
      </w:r>
      <w:r>
        <w:t>“GM crops could prevent a future world food shortage,” Proquest, 6/13/08, accessed on 7/16/17) //  MK</w:t>
      </w:r>
    </w:p>
    <w:p w:rsidR="00C12070" w:rsidRPr="00697543" w:rsidRDefault="00C12070" w:rsidP="00C12070">
      <w:pPr>
        <w:rPr>
          <w:u w:val="single"/>
        </w:rPr>
      </w:pPr>
      <w:r w:rsidRPr="00EF68F5">
        <w:rPr>
          <w:rStyle w:val="StyleUnderline"/>
        </w:rPr>
        <w:t>GENETICALLY modified crops could be the way out of a world shortage of food, according to some of the experts.</w:t>
      </w:r>
      <w:r>
        <w:rPr>
          <w:rStyle w:val="StyleUnderline"/>
        </w:rPr>
        <w:t xml:space="preserve"> </w:t>
      </w:r>
      <w:r w:rsidRPr="00B77D53">
        <w:rPr>
          <w:sz w:val="16"/>
        </w:rPr>
        <w:t>"</w:t>
      </w:r>
      <w:r w:rsidRPr="00EF68F5">
        <w:rPr>
          <w:rStyle w:val="StyleUnderline"/>
        </w:rPr>
        <w:t>If it works as well as expected then GM crops will be a saviour for our situation," said Akio Shibuta, director of Japan's Marubeni Research Institute.</w:t>
      </w:r>
      <w:r>
        <w:rPr>
          <w:u w:val="single"/>
        </w:rPr>
        <w:t xml:space="preserve"> </w:t>
      </w:r>
      <w:r w:rsidRPr="00B77D53">
        <w:rPr>
          <w:sz w:val="16"/>
        </w:rPr>
        <w:t>He did, however, feel the technology was too new to be relied on completely. "This technology was commercialised in 1996 so we don't have enough experience," he said. "We can't fully depend on GM food. That would be a risk."</w:t>
      </w:r>
      <w:r>
        <w:rPr>
          <w:u w:val="single"/>
        </w:rPr>
        <w:t xml:space="preserve"> </w:t>
      </w:r>
      <w:r w:rsidRPr="00B77D53">
        <w:rPr>
          <w:sz w:val="16"/>
        </w:rPr>
        <w:t>Mark Keenum, the US Under Secretary of Agriculture, was another believer in GM crops. "</w:t>
      </w:r>
      <w:r w:rsidRPr="00EF68F5">
        <w:rPr>
          <w:rStyle w:val="StyleUnderline"/>
        </w:rPr>
        <w:t>Biotechnology is one of the most promising tools in increasing productivity," h</w:t>
      </w:r>
      <w:r w:rsidRPr="00B77D53">
        <w:rPr>
          <w:sz w:val="16"/>
        </w:rPr>
        <w:t>e said. "For example in the US in the past 15 years corn yields have increased from 6.2 to 9.7 tonnes a hectare."</w:t>
      </w:r>
      <w:r>
        <w:rPr>
          <w:u w:val="single"/>
        </w:rPr>
        <w:t xml:space="preserve"> </w:t>
      </w:r>
      <w:r w:rsidRPr="00B77D53">
        <w:rPr>
          <w:sz w:val="16"/>
        </w:rPr>
        <w:t>He was concerned that not enough research was going into agriculture. "We have seen a reduction in global agricultural research and development, a trend we should all work to reverse," he said.</w:t>
      </w:r>
      <w:r>
        <w:rPr>
          <w:u w:val="single"/>
        </w:rPr>
        <w:t xml:space="preserve"> </w:t>
      </w:r>
      <w:r w:rsidRPr="00B77D53">
        <w:rPr>
          <w:sz w:val="16"/>
        </w:rPr>
        <w:t>John D. Johnson, president and chief executive officer of US farmers co-operative CHS, agreed on the role of technology. "</w:t>
      </w:r>
      <w:r w:rsidRPr="00EF68F5">
        <w:rPr>
          <w:rStyle w:val="StyleUnderline"/>
        </w:rPr>
        <w:t>We need technology under development both today and tomorrow to maximize yields of traditional crops like corn and soybeans and develop new genetics for higher yields and other traits to support both food and fuel needs,"</w:t>
      </w:r>
      <w:r w:rsidRPr="00B77D53">
        <w:rPr>
          <w:sz w:val="16"/>
        </w:rPr>
        <w:t xml:space="preserve"> he said. "I firmly believe these are achievable."</w:t>
      </w:r>
      <w:r>
        <w:rPr>
          <w:u w:val="single"/>
        </w:rPr>
        <w:t xml:space="preserve"> </w:t>
      </w:r>
      <w:r w:rsidRPr="00EF68F5">
        <w:rPr>
          <w:rStyle w:val="StyleUnderline"/>
        </w:rPr>
        <w:t>He had been impressed by recent meetings with the biotech industry. "We could see 300 bushels (8.16 tonnes) an acre on corn in the US," he said. "That's double what it is today."</w:t>
      </w:r>
      <w:r>
        <w:rPr>
          <w:rStyle w:val="StyleUnderline"/>
        </w:rPr>
        <w:t xml:space="preserve"> </w:t>
      </w:r>
      <w:r w:rsidRPr="00B77D53">
        <w:rPr>
          <w:sz w:val="16"/>
        </w:rPr>
        <w:t xml:space="preserve">Bernhard Dahmen, head of the grain and feed department at German-based bioethanol producer CropEnergies AG also wanted to see more research. </w:t>
      </w:r>
      <w:r w:rsidRPr="00EF68F5">
        <w:rPr>
          <w:rStyle w:val="StyleUnderline"/>
        </w:rPr>
        <w:t xml:space="preserve">"As well as producing crops more efficiently it could mean using them more efficiently." </w:t>
      </w:r>
      <w:r w:rsidRPr="00B77D53">
        <w:rPr>
          <w:sz w:val="16"/>
        </w:rPr>
        <w:t>Brazil's ethanol industry was a good example, having seen a sharp increase in productivity.</w:t>
      </w:r>
    </w:p>
    <w:p w:rsidR="00C12070" w:rsidRDefault="00C12070" w:rsidP="00C12070"/>
    <w:p w:rsidR="00C12070" w:rsidRDefault="00C12070" w:rsidP="00C12070">
      <w:pPr>
        <w:pStyle w:val="Heading4"/>
      </w:pPr>
      <w:r>
        <w:t>Biotechnology sovles food shortage – raises yields, produces crops, developing nations</w:t>
      </w:r>
    </w:p>
    <w:p w:rsidR="00C12070" w:rsidRPr="00160446" w:rsidRDefault="00C12070" w:rsidP="00C12070">
      <w:r>
        <w:rPr>
          <w:rStyle w:val="Style13ptBold"/>
        </w:rPr>
        <w:t xml:space="preserve">Doyle 08 </w:t>
      </w:r>
      <w:r w:rsidRPr="00160446">
        <w:t>–</w:t>
      </w:r>
      <w:r>
        <w:t xml:space="preserve"> Doyle is an environment correspondent at Reuters</w:t>
      </w:r>
      <w:r w:rsidRPr="00160446">
        <w:t xml:space="preserve"> (</w:t>
      </w:r>
      <w:r>
        <w:t xml:space="preserve">Alister, “Biotechnology seen as a key to solving food crisis,” 6/3/08, Reuters, accessed 7/16/17, </w:t>
      </w:r>
      <w:hyperlink r:id="rId57" w:history="1">
        <w:r w:rsidRPr="006854D7">
          <w:rPr>
            <w:rStyle w:val="Hyperlink"/>
          </w:rPr>
          <w:t>http://www.reuters.com/article/us-food-summit-biotech-idUSL0356693120080603</w:t>
        </w:r>
      </w:hyperlink>
      <w:r>
        <w:t xml:space="preserve"> ) // MK</w:t>
      </w:r>
    </w:p>
    <w:p w:rsidR="00C12070" w:rsidRPr="00B77D53" w:rsidRDefault="00C12070" w:rsidP="00C12070">
      <w:pPr>
        <w:rPr>
          <w:sz w:val="16"/>
        </w:rPr>
      </w:pPr>
      <w:r w:rsidRPr="00160446">
        <w:rPr>
          <w:rStyle w:val="StyleUnderline"/>
        </w:rPr>
        <w:t>Biotechnology can help solve the world's food crisis with benefits such as flood-resistant rice in Bangladesh or higher cotton yields in Burkina Faso,</w:t>
      </w:r>
      <w:r w:rsidRPr="00B77D53">
        <w:rPr>
          <w:sz w:val="16"/>
        </w:rPr>
        <w:t xml:space="preserve"> a senior U.S. official said at a U.N. food summit on Tuesday. </w:t>
      </w:r>
      <w:r w:rsidRPr="00160446">
        <w:rPr>
          <w:rStyle w:val="StyleUnderline"/>
        </w:rPr>
        <w:t>"Biotechnology is one of the most promising tools for improving the productivity of agriculture and increasing the incomes of the rural poor,"</w:t>
      </w:r>
      <w:r w:rsidRPr="00B77D53">
        <w:rPr>
          <w:sz w:val="16"/>
        </w:rPr>
        <w:t xml:space="preserve"> U.S. Agriculture Secretary Ed Schafer said. </w:t>
      </w:r>
      <w:r w:rsidRPr="00160446">
        <w:rPr>
          <w:rStyle w:val="StyleUnderline"/>
        </w:rPr>
        <w:t>"We are convinced of the benefits it offers to developing countries and small farmers,</w:t>
      </w:r>
      <w:r w:rsidRPr="00B77D53">
        <w:rPr>
          <w:sz w:val="16"/>
        </w:rPr>
        <w:t xml:space="preserve">" he told a U.S.-led briefing on the sidelines of the June 3-5 summit seeking ways to combat high food prices when climate change may aggravate shortages. Some green groups say genetically-engineered crops threaten biodiversity while many European consumers are wary of eating products dubbed by critics as "Frankenfoods". Schafer said </w:t>
      </w:r>
      <w:r w:rsidRPr="00160446">
        <w:rPr>
          <w:rStyle w:val="StyleUnderline"/>
        </w:rPr>
        <w:t>biotechnology, including genetically-modified organisms (GMOs), could help produce more food by raising yields and producing crops in developing nations that are resistant to disease and pests.</w:t>
      </w:r>
      <w:r w:rsidRPr="00B77D53">
        <w:rPr>
          <w:rStyle w:val="StyleUnderline"/>
          <w:sz w:val="16"/>
        </w:rPr>
        <w:t xml:space="preserve"> </w:t>
      </w:r>
      <w:r w:rsidRPr="00B77D53">
        <w:rPr>
          <w:sz w:val="16"/>
        </w:rPr>
        <w:t>"</w:t>
      </w:r>
      <w:r w:rsidRPr="00160446">
        <w:rPr>
          <w:rStyle w:val="StyleUnderline"/>
        </w:rPr>
        <w:t>Genetic engineering offers long-term solutions to some of our major crop production problems,"</w:t>
      </w:r>
      <w:r w:rsidRPr="00B77D53">
        <w:rPr>
          <w:sz w:val="16"/>
        </w:rPr>
        <w:t xml:space="preserve"> said Philippine Agriculture Minister Arthur Yap. But he said that it was not a panacea for all of his country's agricultural problems. Progress being made in the Philippines included research into rice and coconuts resistant to disease, he said. "We're also working on virus-resistant papaya, papaya hybrids with a longer shelf life that should be ready for market in 2009," he said. </w:t>
      </w:r>
      <w:r w:rsidRPr="00160446">
        <w:rPr>
          <w:rStyle w:val="StyleUnderline"/>
        </w:rPr>
        <w:t>Climate change could aggravate production around the world with more droughts, floods, disruptions to monsoons and rising sea levels, says the U.N. Climate Panel. In Africa alone, 250 million people could face extra stress on water supplies by 2020.</w:t>
      </w:r>
      <w:r w:rsidRPr="00B77D53">
        <w:rPr>
          <w:rStyle w:val="StyleUnderline"/>
          <w:sz w:val="16"/>
        </w:rPr>
        <w:t xml:space="preserve"> </w:t>
      </w:r>
      <w:r w:rsidRPr="00B77D53">
        <w:rPr>
          <w:sz w:val="16"/>
        </w:rPr>
        <w:t>Cotton Burkina Faso Agriculture Minister Laurent Sedogo said the African country had worked with U.S. agriculture group Monsanto to battle pests that blighted the cotton crop.  "</w:t>
      </w:r>
      <w:r w:rsidRPr="00160446">
        <w:rPr>
          <w:rStyle w:val="StyleUnderline"/>
        </w:rPr>
        <w:t>We are about to plant 15,000 hectares" of a new crop that was resistant to pests, he said.</w:t>
      </w:r>
      <w:r w:rsidRPr="00B77D53">
        <w:rPr>
          <w:sz w:val="16"/>
        </w:rPr>
        <w:t xml:space="preserve"> That would also cut down on the use of pesticides that could damage the health of farmers. </w:t>
      </w:r>
      <w:r w:rsidRPr="00160446">
        <w:rPr>
          <w:rStyle w:val="StyleUnderline"/>
        </w:rPr>
        <w:t>The World Bank and aid agencies estimate that soaring food prices could push as many as 100 million more people into hunger. About 850 million are already hungry</w:t>
      </w:r>
      <w:r w:rsidRPr="00B77D53">
        <w:rPr>
          <w:sz w:val="16"/>
        </w:rPr>
        <w:t xml:space="preserve">. </w:t>
      </w:r>
      <w:r w:rsidRPr="00160446">
        <w:rPr>
          <w:rStyle w:val="StyleUnderline"/>
        </w:rPr>
        <w:t>Bangladesh said that it was going ahead with efforts to make crops able to survive floods and more salinity in the soil.</w:t>
      </w:r>
      <w:r w:rsidRPr="00B77D53">
        <w:rPr>
          <w:rStyle w:val="StyleUnderline"/>
          <w:sz w:val="16"/>
        </w:rPr>
        <w:t xml:space="preserve"> </w:t>
      </w:r>
      <w:r w:rsidRPr="00160446">
        <w:rPr>
          <w:rStyle w:val="StyleUnderline"/>
        </w:rPr>
        <w:t>A cyclone last year "is a wake-up call for all of us", said C.S. Karim, an adviser to Bangladesh's agriculture ministry. "It shows the vulnerability of Bangladesh.</w:t>
      </w:r>
      <w:r w:rsidRPr="00B77D53">
        <w:rPr>
          <w:sz w:val="16"/>
        </w:rPr>
        <w:t xml:space="preserve"> "</w:t>
      </w:r>
    </w:p>
    <w:p w:rsidR="00C12070" w:rsidRPr="00714924" w:rsidRDefault="00C12070" w:rsidP="00C12070"/>
    <w:p w:rsidR="00C12070" w:rsidRDefault="00C12070" w:rsidP="00C12070">
      <w:pPr>
        <w:pStyle w:val="Heading3"/>
      </w:pPr>
      <w:r>
        <w:t>Conflict Overblown</w:t>
      </w:r>
    </w:p>
    <w:p w:rsidR="00C12070" w:rsidRDefault="00C12070" w:rsidP="00C12070">
      <w:pPr>
        <w:pStyle w:val="Heading4"/>
      </w:pPr>
      <w:r>
        <w:t>Conflict is Overblown – living conditions, age, ethnic identity</w:t>
      </w:r>
    </w:p>
    <w:p w:rsidR="00C12070" w:rsidRPr="00A81F90" w:rsidRDefault="00C12070" w:rsidP="00C12070">
      <w:r>
        <w:rPr>
          <w:rStyle w:val="Style13ptBold"/>
        </w:rPr>
        <w:t xml:space="preserve">Brinkman and Hendrix 11 </w:t>
      </w:r>
      <w:r w:rsidRPr="006B0F79">
        <w:t xml:space="preserve">– </w:t>
      </w:r>
      <w:r>
        <w:t xml:space="preserve">Brinkman is chief, Policy, Planning and Application in the Peacebuilding Support Office of the United Nations. Hendrix is Assistance Professor at the College of William and Mary and is a fellow for the S. Strauss Center for International Security and Law at the University of Texas, Austin. </w:t>
      </w:r>
      <w:r w:rsidRPr="006B0F79">
        <w:t>(</w:t>
      </w:r>
      <w:r>
        <w:t xml:space="preserve">Henk-Jan and Cullen S, Occasional Paper Number 24, “Food Insecurity and violent conflict: Causes, consequences, and Addressing the Challenges,” July 2011, World Food Programme, accessed 7/19/17 </w:t>
      </w:r>
      <w:hyperlink r:id="rId58" w:history="1">
        <w:r w:rsidRPr="009A5350">
          <w:rPr>
            <w:rStyle w:val="Hyperlink"/>
          </w:rPr>
          <w:t>https://ucanr.edu/blogs/food2025/blogfiles/14415.pdf</w:t>
        </w:r>
      </w:hyperlink>
      <w:r>
        <w:t xml:space="preserve"> ) // MK</w:t>
      </w:r>
    </w:p>
    <w:p w:rsidR="00C12070" w:rsidRPr="00B77D53" w:rsidRDefault="00C12070" w:rsidP="00C12070">
      <w:pPr>
        <w:rPr>
          <w:sz w:val="16"/>
        </w:rPr>
      </w:pPr>
      <w:r w:rsidRPr="00B77D53">
        <w:rPr>
          <w:sz w:val="16"/>
        </w:rPr>
        <w:t xml:space="preserve">Food insecurity is a clear contributor to political instability and conflict. </w:t>
      </w:r>
      <w:r w:rsidRPr="00A81F90">
        <w:rPr>
          <w:rStyle w:val="StyleUnderline"/>
        </w:rPr>
        <w:t>But neither hunger nor conflict exist in a vacuum: other aspects of the political, economic and social environment affect the degree to which food insecurity, and grievances more generally, are expressed</w:t>
      </w:r>
      <w:r w:rsidRPr="00B77D53">
        <w:rPr>
          <w:sz w:val="16"/>
        </w:rPr>
        <w:t xml:space="preserve"> violently (Tilly, 1978). Demographic and Social Factors In general, </w:t>
      </w:r>
      <w:r w:rsidRPr="00A81F90">
        <w:rPr>
          <w:rStyle w:val="StyleUnderline"/>
        </w:rPr>
        <w:t>countries with proportionately larger numbers of 15–24 year olds experience more protest and rioting, civil conflict and terrorist attacks</w:t>
      </w:r>
      <w:r w:rsidRPr="00B77D53">
        <w:rPr>
          <w:sz w:val="16"/>
        </w:rPr>
        <w:t xml:space="preserve"> (Urdal, 2006). </w:t>
      </w:r>
      <w:r w:rsidRPr="00A81F90">
        <w:rPr>
          <w:rStyle w:val="StyleUnderline"/>
        </w:rPr>
        <w:t>Especially in developing countries where job opportunities are few, many youths engage in black- and grey-market activities or participate in gangs, paramilitary groups and insurgent forces.</w:t>
      </w:r>
      <w:r w:rsidRPr="00B77D53">
        <w:rPr>
          <w:sz w:val="16"/>
        </w:rPr>
        <w:t xml:space="preserve"> Kenya’s Mungiki, the Kikuyu street gang/paramilitary organization based in Nairobi’s Mathare slum, has attracted many landless, unemployed Kikuyu youths. Mungiki government violence claimed at least 195 lives from 2007 to 2009 (Salehyan et al., 2011). Ethnic and religious diversity do not necessarily make a society more prone to conflict: the United Republic of Tanzania, one of the world’s most ethnically diverse countries, has been peaceful for decades (see box on Kenya and the United Republic of Tanzania). However, </w:t>
      </w:r>
      <w:r w:rsidRPr="00A81F90">
        <w:rPr>
          <w:rStyle w:val="StyleUnderline"/>
        </w:rPr>
        <w:t>when ethnic groups are made the basis for exclusionary patterns of rule, as in South Africa under apartheid, conflict is more likely</w:t>
      </w:r>
      <w:r w:rsidRPr="00B77D53">
        <w:rPr>
          <w:sz w:val="16"/>
        </w:rPr>
        <w:t xml:space="preserve"> (Langer, 2005; Nafziger et al., 2000; Østby, 2008; Østby, Nordås and Rød, 2009; Cederman, Weidmann and Gleditsch, forthcoming). Finally, </w:t>
      </w:r>
      <w:r w:rsidRPr="00A81F90">
        <w:rPr>
          <w:rStyle w:val="StyleUnderline"/>
        </w:rPr>
        <w:t>urbanization has crosscutting impacts on political violence that interact with food insecurity in complex ways. When rural populations move to the city, they increase the ratio of food consumers to producers and it is more difficult for them to turn to subsistence farming as a coping mechanism for dealing with higher food prices. However, urban populations are more easily served by food distribution networks and safety nets and tend to receive more attention from political actors because of their capacity for collective protest</w:t>
      </w:r>
      <w:r w:rsidRPr="00B77D53">
        <w:rPr>
          <w:sz w:val="16"/>
        </w:rPr>
        <w:t xml:space="preserve"> (Bates, 1981; Stasavage, 2005).</w:t>
      </w:r>
    </w:p>
    <w:p w:rsidR="00C12070" w:rsidRPr="00F07B7C" w:rsidRDefault="00C12070" w:rsidP="00C12070">
      <w:pPr>
        <w:pStyle w:val="Heading4"/>
      </w:pPr>
      <w:r w:rsidRPr="00F07B7C">
        <w:t>No correlation between food shortages and conflict—other factors</w:t>
      </w:r>
    </w:p>
    <w:p w:rsidR="00C12070" w:rsidRPr="00F07B7C" w:rsidRDefault="00C12070" w:rsidP="00C12070">
      <w:r w:rsidRPr="00F07B7C">
        <w:rPr>
          <w:rStyle w:val="Style13ptBold"/>
        </w:rPr>
        <w:t>Buhaug et al 15</w:t>
      </w:r>
      <w:r w:rsidRPr="00F07B7C">
        <w:t xml:space="preserve"> [Halvard Buhaug, Peace Research Institute in Oslo an Norwegian University of Science and Technology. Tor Benjaminsen, Espen Sjaastad, Ole Magnus Theisen.] “Climate variability, food production shocks, and violent conflict in Sub-Saharan Africa” Environmental Research Letters, Volume 10, Number 12 (http://iopscience.iop.org/article/10.1088/1748-9326/10/12/125015) - MZhu</w:t>
      </w:r>
    </w:p>
    <w:p w:rsidR="00C12070" w:rsidRPr="00B77D53" w:rsidRDefault="00C12070" w:rsidP="00C12070">
      <w:pPr>
        <w:rPr>
          <w:sz w:val="16"/>
        </w:rPr>
      </w:pPr>
      <w:r w:rsidRPr="00F07B7C">
        <w:rPr>
          <w:rStyle w:val="StyleUnderline"/>
        </w:rPr>
        <w:t xml:space="preserve">Across all models, </w:t>
      </w:r>
      <w:r w:rsidRPr="00B13EA9">
        <w:rPr>
          <w:rStyle w:val="StyleUnderline"/>
          <w:highlight w:val="cyan"/>
        </w:rPr>
        <w:t xml:space="preserve">we find relatively </w:t>
      </w:r>
      <w:r w:rsidRPr="00B13EA9">
        <w:rPr>
          <w:rStyle w:val="Emphasis"/>
          <w:highlight w:val="cyan"/>
        </w:rPr>
        <w:t>weak</w:t>
      </w:r>
      <w:r w:rsidRPr="00B13EA9">
        <w:rPr>
          <w:rStyle w:val="StyleUnderline"/>
          <w:highlight w:val="cyan"/>
        </w:rPr>
        <w:t xml:space="preserve"> and </w:t>
      </w:r>
      <w:r w:rsidRPr="00B13EA9">
        <w:rPr>
          <w:rStyle w:val="Emphasis"/>
          <w:highlight w:val="cyan"/>
        </w:rPr>
        <w:t>insignificant</w:t>
      </w:r>
      <w:r w:rsidRPr="00B13EA9">
        <w:rPr>
          <w:rStyle w:val="StyleUnderline"/>
          <w:highlight w:val="cyan"/>
        </w:rPr>
        <w:t xml:space="preserve"> effects for domestic food production</w:t>
      </w:r>
      <w:r w:rsidRPr="00B77D53">
        <w:rPr>
          <w:sz w:val="16"/>
        </w:rPr>
        <w:t xml:space="preserve"> and we also note that the sign of the coefficients shifts between outcome types. In this sense, table 1 implicitly contrasts both claims that political violence is more prevalent when basic needs are met (Salehyan and Hendrix 2014) and claims that agricultural income shocks increase civil conflict risk (von Uexkull 2014). </w:t>
      </w:r>
      <w:r w:rsidRPr="00F07B7C">
        <w:rPr>
          <w:rStyle w:val="StyleUnderline"/>
        </w:rPr>
        <w:t>The results are consistent with Koub</w:t>
      </w:r>
      <w:r w:rsidRPr="00B77D53">
        <w:rPr>
          <w:sz w:val="16"/>
        </w:rPr>
        <w:t xml:space="preserve">i et al (2012) </w:t>
      </w:r>
      <w:r w:rsidRPr="00F07B7C">
        <w:rPr>
          <w:rStyle w:val="StyleUnderline"/>
        </w:rPr>
        <w:t>and van Weezel</w:t>
      </w:r>
      <w:r w:rsidRPr="00B77D53">
        <w:rPr>
          <w:sz w:val="16"/>
        </w:rPr>
        <w:t xml:space="preserve"> (2015), however, </w:t>
      </w:r>
      <w:r w:rsidRPr="00F07B7C">
        <w:rPr>
          <w:rStyle w:val="StyleUnderline"/>
        </w:rPr>
        <w:t>who conclude that rainfall</w:t>
      </w:r>
      <w:r w:rsidRPr="00B77D53">
        <w:rPr>
          <w:sz w:val="16"/>
        </w:rPr>
        <w:t>—a significant determinant of yields in SSA—</w:t>
      </w:r>
      <w:r w:rsidRPr="00F07B7C">
        <w:rPr>
          <w:rStyle w:val="StyleUnderline"/>
        </w:rPr>
        <w:t xml:space="preserve">has little impact on conflict </w:t>
      </w:r>
      <w:r w:rsidRPr="00B77D53">
        <w:rPr>
          <w:sz w:val="16"/>
        </w:rPr>
        <w:t xml:space="preserve">either directly or through economic performance. 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(Luttwak 1979). Next, </w:t>
      </w:r>
      <w:r w:rsidRPr="00F07B7C">
        <w:rPr>
          <w:rStyle w:val="StyleUnderline"/>
        </w:rPr>
        <w:t xml:space="preserve">we estimate the same set of models on </w:t>
      </w:r>
      <w:r w:rsidRPr="00B77D53">
        <w:rPr>
          <w:sz w:val="16"/>
        </w:rPr>
        <w:t xml:space="preserve">a subsample of </w:t>
      </w:r>
      <w:r w:rsidRPr="00B77D53">
        <w:rPr>
          <w:sz w:val="16"/>
          <w:highlight w:val="cyan"/>
        </w:rPr>
        <w:t xml:space="preserve">14 </w:t>
      </w:r>
      <w:r w:rsidRPr="00B13EA9">
        <w:rPr>
          <w:rStyle w:val="StyleUnderline"/>
          <w:highlight w:val="cyan"/>
        </w:rPr>
        <w:t>countries in SSA where rainfall has a large and significant positive effect on food production</w:t>
      </w:r>
      <w:r w:rsidRPr="00B77D53">
        <w:rPr>
          <w:sz w:val="16"/>
        </w:rPr>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F07B7C">
        <w:rPr>
          <w:rStyle w:val="StyleUnderline"/>
        </w:rPr>
        <w:t>we fail to uncover a robust signal for agricultural performance</w:t>
      </w:r>
      <w:r w:rsidRPr="00B77D53">
        <w:rPr>
          <w:sz w:val="16"/>
        </w:rPr>
        <w:t xml:space="preserve">, although the sign of the coefficient for food production now remains negative in seven of the eight specifications. 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F07B7C">
        <w:rPr>
          <w:rStyle w:val="StyleUnderline"/>
        </w:rPr>
        <w:t>All models control for</w:t>
      </w:r>
      <w:r w:rsidRPr="00B77D53">
        <w:rPr>
          <w:sz w:val="16"/>
        </w:rPr>
        <w:t xml:space="preserve"> (ln) </w:t>
      </w:r>
      <w:r w:rsidRPr="00F07B7C">
        <w:rPr>
          <w:rStyle w:val="StyleUnderline"/>
        </w:rPr>
        <w:t>population</w:t>
      </w:r>
      <w:r w:rsidRPr="00B77D53">
        <w:rPr>
          <w:sz w:val="16"/>
        </w:rPr>
        <w:t xml:space="preserve"> size, </w:t>
      </w:r>
      <w:r w:rsidRPr="00F07B7C">
        <w:rPr>
          <w:rStyle w:val="StyleUnderline"/>
        </w:rPr>
        <w:t>conflict history</w:t>
      </w:r>
      <w:r w:rsidRPr="00B77D53">
        <w:rPr>
          <w:sz w:val="16"/>
        </w:rPr>
        <w:t xml:space="preserve">, and a </w:t>
      </w:r>
      <w:r w:rsidRPr="00F07B7C">
        <w:rPr>
          <w:rStyle w:val="StyleUnderline"/>
        </w:rPr>
        <w:t>common time trend</w:t>
      </w:r>
      <w:r w:rsidRPr="00B77D53">
        <w:rPr>
          <w:sz w:val="16"/>
        </w:rPr>
        <w:t xml:space="preserve">, </w:t>
      </w:r>
      <w:r w:rsidRPr="00F07B7C">
        <w:rPr>
          <w:rStyle w:val="StyleUnderline"/>
        </w:rPr>
        <w:t>and models without IMR and agricultural dependence additionally control for</w:t>
      </w:r>
      <w:r w:rsidRPr="00B77D53">
        <w:rPr>
          <w:sz w:val="16"/>
        </w:rPr>
        <w:t xml:space="preserve"> (ln) </w:t>
      </w:r>
      <w:r w:rsidRPr="00F07B7C">
        <w:rPr>
          <w:rStyle w:val="StyleUnderline"/>
        </w:rPr>
        <w:t>GDP per capita</w:t>
      </w:r>
      <w:r w:rsidRPr="00B77D53">
        <w:rPr>
          <w:sz w:val="16"/>
        </w:rPr>
        <w:t>. The results are presented in table 3. Again</w:t>
      </w:r>
      <w:r w:rsidRPr="00B77D53">
        <w:rPr>
          <w:sz w:val="16"/>
          <w:highlight w:val="cyan"/>
        </w:rPr>
        <w:t xml:space="preserve">, </w:t>
      </w:r>
      <w:r w:rsidRPr="00B13EA9">
        <w:rPr>
          <w:rStyle w:val="Emphasis"/>
          <w:highlight w:val="cyan"/>
        </w:rPr>
        <w:t>we are unsuccessful in establishing a consistent covariation pattern between agricultural performance and political violence</w:t>
      </w:r>
      <w:r w:rsidRPr="00B77D53">
        <w:rPr>
          <w:sz w:val="16"/>
        </w:rPr>
        <w:t>.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w:t>
      </w:r>
      <w:r w:rsidRPr="00B77D53">
        <w:rPr>
          <w:sz w:val="16"/>
          <w:highlight w:val="cyan"/>
        </w:rPr>
        <w:t xml:space="preserve">. </w:t>
      </w:r>
      <w:r w:rsidRPr="00B13EA9">
        <w:rPr>
          <w:rStyle w:val="Emphasis"/>
          <w:highlight w:val="cyan"/>
        </w:rPr>
        <w:t>This result would seem to contradict the standard scarcity thesis</w:t>
      </w:r>
      <w:r w:rsidRPr="00B77D53">
        <w:rPr>
          <w:sz w:val="16"/>
        </w:rPr>
        <w:t xml:space="preserve"> (Homer-Dixon 1999) although it is consistent with observations that conflict is more prevalent during surplus years (Witsenburg and Adano 2009, Salehyan and Hendrix 2014). 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 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F07B7C">
        <w:rPr>
          <w:rStyle w:val="StyleUnderline"/>
        </w:rPr>
        <w:t xml:space="preserve">For civil conflict and social unrest, the models generate very similar predictions, signaling that agricultural </w:t>
      </w:r>
      <w:r w:rsidRPr="00B13EA9">
        <w:rPr>
          <w:rStyle w:val="StyleUnderline"/>
          <w:highlight w:val="cyan"/>
        </w:rPr>
        <w:t xml:space="preserve">performance adds </w:t>
      </w:r>
      <w:r w:rsidRPr="00B13EA9">
        <w:rPr>
          <w:rStyle w:val="Emphasis"/>
          <w:highlight w:val="cyan"/>
        </w:rPr>
        <w:t>little to the models' predictive power</w:t>
      </w:r>
      <w:r w:rsidRPr="00B77D53">
        <w:rPr>
          <w:sz w:val="16"/>
        </w:rPr>
        <w:t xml:space="preserve">. There is more spread in the predictions for the remaining two outcome categories. </w:t>
      </w:r>
      <w:r w:rsidRPr="00F07B7C">
        <w:rPr>
          <w:rStyle w:val="StyleUnderline"/>
        </w:rPr>
        <w:t>Puzzlingly</w:t>
      </w:r>
      <w:r w:rsidRPr="00B77D53">
        <w:rPr>
          <w:sz w:val="16"/>
        </w:rPr>
        <w:t xml:space="preserve">, </w:t>
      </w:r>
      <w:r w:rsidRPr="00F07B7C">
        <w:rPr>
          <w:rStyle w:val="StyleUnderline"/>
        </w:rPr>
        <w:t xml:space="preserve">the model without food production performs </w:t>
      </w:r>
      <w:r w:rsidRPr="00F07B7C">
        <w:rPr>
          <w:rStyle w:val="Emphasis"/>
        </w:rPr>
        <w:t>better</w:t>
      </w:r>
      <w:r w:rsidRPr="00F07B7C">
        <w:rPr>
          <w:rStyle w:val="StyleUnderline"/>
        </w:rPr>
        <w:t xml:space="preserve"> in both cases</w:t>
      </w:r>
      <w:r w:rsidRPr="00B77D53">
        <w:rPr>
          <w:sz w:val="16"/>
        </w:rPr>
        <w:t xml:space="preserve">—i.e.,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 5. Concluding remarks Emerging </w:t>
      </w:r>
      <w:r w:rsidRPr="00F07B7C">
        <w:rPr>
          <w:rStyle w:val="StyleUnderline"/>
        </w:rPr>
        <w:t>evidence suggests that food price shocks are associated with an increase in social unrest</w:t>
      </w:r>
      <w:r w:rsidRPr="00B77D53">
        <w:rPr>
          <w:sz w:val="16"/>
        </w:rPr>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F07B7C">
        <w:rPr>
          <w:rStyle w:val="StyleUnderline"/>
        </w:rPr>
        <w:t>claims that</w:t>
      </w:r>
      <w:r w:rsidRPr="00B77D53">
        <w:rPr>
          <w:sz w:val="16"/>
        </w:rPr>
        <w:t xml:space="preserve"> adverse weather and </w:t>
      </w:r>
      <w:r w:rsidRPr="00F07B7C">
        <w:rPr>
          <w:rStyle w:val="StyleUnderline"/>
        </w:rPr>
        <w:t>harvest failure drive</w:t>
      </w:r>
      <w:r w:rsidRPr="00B77D53">
        <w:rPr>
          <w:sz w:val="16"/>
        </w:rPr>
        <w:t xml:space="preserve"> contemporary </w:t>
      </w:r>
      <w:r w:rsidRPr="00F07B7C">
        <w:rPr>
          <w:rStyle w:val="StyleUnderline"/>
        </w:rPr>
        <w:t>violence</w:t>
      </w:r>
      <w:r w:rsidRPr="00B77D53">
        <w:rPr>
          <w:sz w:val="16"/>
        </w:rPr>
        <w:t xml:space="preserve"> in Africa (e.g., Hsiang et al 2013, IFPRI 2015) </w:t>
      </w:r>
      <w:r w:rsidRPr="00B13EA9">
        <w:rPr>
          <w:rStyle w:val="Emphasis"/>
          <w:highlight w:val="cyan"/>
        </w:rPr>
        <w:t>are not supported by our analysis</w:t>
      </w:r>
      <w:r w:rsidRPr="00B77D53">
        <w:rPr>
          <w:sz w:val="16"/>
          <w:highlight w:val="cyan"/>
        </w:rPr>
        <w:t xml:space="preserve">. </w:t>
      </w:r>
      <w:r w:rsidRPr="00B13EA9">
        <w:rPr>
          <w:rStyle w:val="Emphasis"/>
          <w:highlight w:val="cyan"/>
        </w:rPr>
        <w:t>Instead</w:t>
      </w:r>
      <w:r w:rsidRPr="00B77D53">
        <w:rPr>
          <w:sz w:val="16"/>
        </w:rPr>
        <w:t xml:space="preserve">, </w:t>
      </w:r>
      <w:r w:rsidRPr="00F07B7C">
        <w:rPr>
          <w:rStyle w:val="StyleUnderline"/>
        </w:rPr>
        <w:t xml:space="preserve">social protest and rebellion during times </w:t>
      </w:r>
      <w:r w:rsidRPr="00B13EA9">
        <w:rPr>
          <w:rStyle w:val="StyleUnderline"/>
          <w:highlight w:val="cyan"/>
        </w:rPr>
        <w:t xml:space="preserve">of </w:t>
      </w:r>
      <w:r w:rsidRPr="00B13EA9">
        <w:rPr>
          <w:rStyle w:val="Emphasis"/>
          <w:highlight w:val="cyan"/>
        </w:rPr>
        <w:t>food price spikes</w:t>
      </w:r>
      <w:r w:rsidRPr="00B77D53">
        <w:rPr>
          <w:sz w:val="16"/>
          <w:highlight w:val="cyan"/>
        </w:rPr>
        <w:t xml:space="preserve"> </w:t>
      </w:r>
      <w:r w:rsidRPr="00B13EA9">
        <w:rPr>
          <w:rStyle w:val="Emphasis"/>
          <w:highlight w:val="cyan"/>
        </w:rPr>
        <w:t>may be better understood as reactions to poor and unjust government policies</w:t>
      </w:r>
      <w:r w:rsidRPr="00B77D53">
        <w:rPr>
          <w:sz w:val="16"/>
        </w:rPr>
        <w:t>, corruption, repression, and market failure (e.g., Bush 2010, Buhaug and Urdal 2013, Sneyd et al 2013, Chenoweth and Ulfelder 2015).</w:t>
      </w:r>
    </w:p>
    <w:p w:rsidR="00C12070" w:rsidRPr="00F07B7C" w:rsidRDefault="00C12070" w:rsidP="00C12070">
      <w:pPr>
        <w:pStyle w:val="Heading4"/>
      </w:pPr>
      <w:r w:rsidRPr="00F07B7C">
        <w:t>No link between food shocks and conflict</w:t>
      </w:r>
    </w:p>
    <w:p w:rsidR="00C12070" w:rsidRPr="00F07B7C" w:rsidRDefault="00C12070" w:rsidP="00C12070">
      <w:r w:rsidRPr="00F07B7C">
        <w:rPr>
          <w:rStyle w:val="Style13ptBold"/>
        </w:rPr>
        <w:t>Weezel 15</w:t>
      </w:r>
      <w:r w:rsidRPr="00F07B7C">
        <w:t xml:space="preserve"> [Stijin Weezel, University of London] “Economic shocks &amp; civil conflict onset in Sub-Saharan Africa, 1981–2010” Published in Defence and Peace Economics Volume 26 (2015) Issue 2 (http://www.tandfonline.com/doi/full/10.1080/10242694.2014.887489) - MZhu</w:t>
      </w:r>
    </w:p>
    <w:p w:rsidR="00C12070" w:rsidRPr="00B77D53" w:rsidRDefault="00C12070" w:rsidP="00C12070">
      <w:pPr>
        <w:rPr>
          <w:sz w:val="16"/>
        </w:rPr>
      </w:pPr>
      <w:r w:rsidRPr="00B77D53">
        <w:rPr>
          <w:sz w:val="16"/>
        </w:rPr>
        <w:t>With regard to the coding of the dependent variable I argue that using a binary incidence indicator does not identify the causal mechanism of interest. Based on the theoretical contribution by Collier and, the assumption that economic shocks affect the continuation of conflict in the same way as the outbreak of a new one is not viable. Costs associated with joining an ongoing rebellion are lower than those associated with initiating a new one and therefore we should expect that conflict onset is less sensitive to economic shocks. In my analysis</w:t>
      </w:r>
      <w:r w:rsidRPr="00B13EA9">
        <w:rPr>
          <w:rStyle w:val="Emphasis"/>
          <w:highlight w:val="cyan"/>
        </w:rPr>
        <w:t>, I find little support for the link between rainfall and conflict</w:t>
      </w:r>
      <w:r w:rsidRPr="00B77D53">
        <w:rPr>
          <w:sz w:val="16"/>
        </w:rPr>
        <w:t xml:space="preserve"> as the statistically significant results that I find are not robust to different model specifications or different measures of shocks. Although the analysis does show that there is some robustness in the direction of the effect. With regard to the different economic sectors, I find that </w:t>
      </w:r>
      <w:r w:rsidRPr="00B13EA9">
        <w:rPr>
          <w:rStyle w:val="StyleUnderline"/>
          <w:highlight w:val="cyan"/>
        </w:rPr>
        <w:t>rainfall has the largest impact on the agricultural sector which is no surprise given</w:t>
      </w:r>
      <w:r w:rsidRPr="00B77D53">
        <w:rPr>
          <w:sz w:val="16"/>
        </w:rPr>
        <w:t xml:space="preserve"> the dependence on rainfall for </w:t>
      </w:r>
      <w:r w:rsidRPr="00F07B7C">
        <w:rPr>
          <w:rStyle w:val="StyleUnderline"/>
        </w:rPr>
        <w:t>irrigation</w:t>
      </w:r>
      <w:r w:rsidRPr="00B77D53">
        <w:rPr>
          <w:sz w:val="16"/>
        </w:rPr>
        <w:t xml:space="preserve">. The results also indicate that rainfall has a statistically significant contribution to productivity in the industrial sector but the magnitude of this effect is relatively small and the data did not seem to support some of the strong claims made in other work  Over the past decades, </w:t>
      </w:r>
      <w:r w:rsidRPr="00F07B7C">
        <w:rPr>
          <w:rStyle w:val="StyleUnderline"/>
        </w:rPr>
        <w:t>the size of the agricultural sector in Africa has decreased</w:t>
      </w:r>
      <w:r w:rsidRPr="00B77D53">
        <w:rPr>
          <w:sz w:val="16"/>
        </w:rPr>
        <w:t xml:space="preserve"> although it still employs a significant amount of the total labour force. </w:t>
      </w:r>
      <w:r w:rsidRPr="00B13EA9">
        <w:rPr>
          <w:rStyle w:val="StyleUnderline"/>
          <w:highlight w:val="cyan"/>
        </w:rPr>
        <w:t>There is however no strong empirical support for the notion that a negative shock to the agricultural sector significantly increases the risk of conflict</w:t>
      </w:r>
      <w:r w:rsidRPr="00B77D53">
        <w:rPr>
          <w:sz w:val="16"/>
          <w:highlight w:val="cyan"/>
        </w:rPr>
        <w:t>.</w:t>
      </w:r>
    </w:p>
    <w:p w:rsidR="00C12070" w:rsidRPr="00F07B7C" w:rsidRDefault="00C12070" w:rsidP="00C12070"/>
    <w:p w:rsidR="00C12070" w:rsidRPr="00F07B7C" w:rsidRDefault="00C12070" w:rsidP="00C12070"/>
    <w:p w:rsidR="00C12070" w:rsidRPr="00F07B7C" w:rsidRDefault="00C12070" w:rsidP="00C12070">
      <w:pPr>
        <w:pStyle w:val="Heading3"/>
      </w:pPr>
      <w:r>
        <w:t>Laundry List of Alt Causes</w:t>
      </w:r>
    </w:p>
    <w:p w:rsidR="00C12070" w:rsidRDefault="00C12070" w:rsidP="00C12070">
      <w:pPr>
        <w:pStyle w:val="Heading4"/>
      </w:pPr>
      <w:r>
        <w:t>Food Security leading to war is only a theory that lacks foundational evidence – to many alt causes</w:t>
      </w:r>
    </w:p>
    <w:p w:rsidR="00C12070" w:rsidRPr="006B0F79" w:rsidRDefault="00C12070" w:rsidP="00C12070">
      <w:r>
        <w:rPr>
          <w:rStyle w:val="Style13ptBold"/>
        </w:rPr>
        <w:t xml:space="preserve">Brinkman and Hendrix 11 </w:t>
      </w:r>
      <w:r w:rsidRPr="006B0F79">
        <w:t xml:space="preserve">– </w:t>
      </w:r>
      <w:r>
        <w:t xml:space="preserve">Brinkman is chief, Policy, Planning and Application in the Peacebuilding Support Office of the United Nations. Hendrix is Assistance Professor at the College of William and Mary and is a fellow for the S. Strauss Center for International Security and Law at the University of Texas, Austin. </w:t>
      </w:r>
      <w:r w:rsidRPr="006B0F79">
        <w:t>(</w:t>
      </w:r>
      <w:r>
        <w:t xml:space="preserve">Henk-Jan and Cullen S, Occasional Paper Number 24, “Food Insecurity and violent conflict: Causes, consequences, and Addressing the Challenges,” July 2011, World Food Programme, accessed 7/19/17 </w:t>
      </w:r>
      <w:hyperlink r:id="rId59" w:history="1">
        <w:r w:rsidRPr="009A5350">
          <w:rPr>
            <w:rStyle w:val="Hyperlink"/>
          </w:rPr>
          <w:t>https://ucanr.edu/blogs/food2025/blogfiles/14415.pdf</w:t>
        </w:r>
      </w:hyperlink>
      <w:r>
        <w:t xml:space="preserve"> ) // MK</w:t>
      </w:r>
    </w:p>
    <w:p w:rsidR="00C12070" w:rsidRPr="00B77D53" w:rsidRDefault="00C12070" w:rsidP="00C12070">
      <w:pPr>
        <w:rPr>
          <w:sz w:val="16"/>
        </w:rPr>
      </w:pPr>
      <w:r w:rsidRPr="00B77D53">
        <w:rPr>
          <w:sz w:val="16"/>
        </w:rPr>
        <w:t xml:space="preserve">The traditional security paradigm focuses on military threats to sovereign states. The absence of war, however, does not equal peace and stability. Between 1990 and 2009, Kenya experienced neither interstate nor intrastate war, yet political and social violence, including election-related rioting, communal conflict and cattle raiding caused over 4,700 deaths (Salehyan et al., 2011). </w:t>
      </w:r>
      <w:r w:rsidRPr="002B24C5">
        <w:rPr>
          <w:rStyle w:val="StyleUnderline"/>
        </w:rPr>
        <w:t xml:space="preserve">Civil conflict and interstate war are merely the most obvious manifestations of political violence; </w:t>
      </w:r>
      <w:r w:rsidRPr="00B77D53">
        <w:rPr>
          <w:sz w:val="16"/>
        </w:rPr>
        <w:t xml:space="preserve">other types of conflict may pose similarly grave threats to human security. </w:t>
      </w:r>
      <w:r w:rsidRPr="002B24C5">
        <w:rPr>
          <w:rStyle w:val="StyleUnderline"/>
        </w:rPr>
        <w:t>The Roman poet Juvenal recognized in 100 CE that the provision of “bread and circuses” was an effective mechanism for garnering public support and preventing the populace from expressing discontent. Contemporary observers note that it is not only the level of insecurity that matters, but also how this insecurity is distributed</w:t>
      </w:r>
      <w:r w:rsidRPr="00B77D53">
        <w:rPr>
          <w:sz w:val="16"/>
        </w:rPr>
        <w:t xml:space="preserve">. Relative deprivation, rather than absolute deprivation, generates grievances that motivate violent behavior. Thus, many of the studies linking economic grievances to conflict look at both the average level of food insecurity and at whether that food insecurity is widely experienced or concentrated in certain groups (Reenock, Bernhard and Sobek, 2007; Østby, 2008). </w:t>
      </w:r>
      <w:r w:rsidRPr="002B24C5">
        <w:rPr>
          <w:rStyle w:val="StyleUnderline"/>
        </w:rPr>
        <w:t>Most of the types of political violence addressed here are more prevalent in societies with higher levels of chronic food insecurity.</w:t>
      </w:r>
      <w:r w:rsidRPr="00B77D53">
        <w:rPr>
          <w:sz w:val="16"/>
        </w:rPr>
        <w:t xml:space="preserve"> There is a correlation between food insecurity and political conflict in part because both are symptoms of low development (Collier et al., 2003). Nevertheless, a growing body of research makes both direct links and indirect links – as proxied by environmental scarcity or access to water resources – between food scarcity and various types of conflict. </w:t>
      </w:r>
      <w:r w:rsidRPr="002B24C5">
        <w:rPr>
          <w:rStyle w:val="StyleUnderline"/>
        </w:rPr>
        <w:t>The causal arguments linking food insecurity to political violence lack microfoundational evidence – evidence based on actions of individuals – to explain how the mechanism works, but there are plenty of theories.</w:t>
      </w:r>
      <w:r w:rsidRPr="00B77D53">
        <w:rPr>
          <w:sz w:val="16"/>
        </w:rPr>
        <w:t xml:space="preserve"> </w:t>
      </w:r>
      <w:r w:rsidRPr="006B0F79">
        <w:rPr>
          <w:rStyle w:val="StyleUnderline"/>
        </w:rPr>
        <w:t>The theories tend to rest either on the perspective of motivation, emphasizing the effect of food insecurity on economic and social grievances</w:t>
      </w:r>
      <w:r w:rsidRPr="00B77D53">
        <w:rPr>
          <w:sz w:val="16"/>
        </w:rPr>
        <w:t xml:space="preserve">; or on the perspective of the opportunity cost, emphasizing the perceived costs and benefits of participating in violence relative to other means of securing income or food (Gurr, 1970; Tilly, 1978; Humphreys and Weinstein, 2008; Blattman and Miguel, 2010). These arguments are most valid with respect to participation in civil war and rebellion, </w:t>
      </w:r>
      <w:r w:rsidRPr="006B0F79">
        <w:rPr>
          <w:rStyle w:val="StyleUnderline"/>
        </w:rPr>
        <w:t>where participation is better explained by a mixture of grievances</w:t>
      </w:r>
      <w:r w:rsidRPr="00B77D53">
        <w:rPr>
          <w:sz w:val="16"/>
        </w:rPr>
        <w:t xml:space="preserve"> – which provide motivation – and selective incentives – protection from violence and opportunities to engage in predation or to receive food, clothing, shelter and other material benefits – rather than grievances alone (Berman, 2009). </w:t>
      </w:r>
      <w:r w:rsidRPr="006B0F79">
        <w:rPr>
          <w:rStyle w:val="StyleUnderline"/>
        </w:rPr>
        <w:t xml:space="preserve">A study of demobilized combatants in Sierra Leone found that poverty, lack of educational access and material rewards were associated with participation in the civil war </w:t>
      </w:r>
      <w:r w:rsidRPr="00B77D53">
        <w:rPr>
          <w:sz w:val="16"/>
        </w:rPr>
        <w:t xml:space="preserve">(Humphreys and Weinstein, 2008). Interestingly, in Liberia, women were more likely than men to fight for material benefits (Hill et al., 2008). Thus, </w:t>
      </w:r>
      <w:r w:rsidRPr="006B0F79">
        <w:rPr>
          <w:rStyle w:val="StyleUnderline"/>
        </w:rPr>
        <w:t>grievances are important,</w:t>
      </w:r>
      <w:r w:rsidRPr="00B77D53">
        <w:rPr>
          <w:sz w:val="16"/>
        </w:rPr>
        <w:t xml:space="preserve"> but so are motivations related to that individual’s economic and opportunistic considerations.</w:t>
      </w:r>
    </w:p>
    <w:p w:rsidR="00C12070" w:rsidRDefault="00C12070" w:rsidP="00C12070"/>
    <w:p w:rsidR="00C12070" w:rsidRPr="00F07B7C" w:rsidRDefault="00C12070" w:rsidP="00C12070">
      <w:pPr>
        <w:pStyle w:val="Heading4"/>
      </w:pPr>
      <w:r w:rsidRPr="00F07B7C">
        <w:t>Multiple alt causes – overpopulation, demand, food prices, climate change, crop diversity</w:t>
      </w:r>
    </w:p>
    <w:p w:rsidR="00C12070" w:rsidRPr="00F07B7C" w:rsidRDefault="00C12070" w:rsidP="00C12070">
      <w:r w:rsidRPr="00F07B7C">
        <w:rPr>
          <w:rStyle w:val="Style13ptBold"/>
        </w:rPr>
        <w:t>Kwasek 12</w:t>
      </w:r>
      <w:r w:rsidRPr="00F07B7C">
        <w:t xml:space="preserve"> (Mariola, Institute of Agricultural and Food Economics – National Research Institute, General Economics Department, “THREATS TO FOOD SECURITY AND COMMON AGRICULTURAL POLICY”, 4/2012, </w:t>
      </w:r>
      <w:hyperlink r:id="rId60" w:history="1">
        <w:r w:rsidRPr="00F07B7C">
          <w:rPr>
            <w:rStyle w:val="Hyperlink"/>
          </w:rPr>
          <w:t>http://ageconsearch.umn.edu/bitstream/143167/2/10%20EP%204%202012-11.pdf)</w:t>
        </w:r>
      </w:hyperlink>
      <w:r w:rsidRPr="00F07B7C">
        <w:t xml:space="preserve"> SS</w:t>
      </w:r>
    </w:p>
    <w:p w:rsidR="00C12070" w:rsidRPr="00F07B7C" w:rsidRDefault="00C12070" w:rsidP="00C12070">
      <w:r w:rsidRPr="00F07B7C">
        <w:rPr>
          <w:sz w:val="14"/>
        </w:rPr>
        <w:t xml:space="preserve">Threats to food security </w:t>
      </w:r>
      <w:r w:rsidRPr="00F07B7C">
        <w:rPr>
          <w:rStyle w:val="StyleUnderline"/>
        </w:rPr>
        <w:t>The food system is bending under the intense pressure of the world population growth</w:t>
      </w:r>
      <w:r w:rsidRPr="00F07B7C">
        <w:rPr>
          <w:sz w:val="14"/>
        </w:rPr>
        <w:t xml:space="preserve">, </w:t>
      </w:r>
      <w:r w:rsidRPr="00F07B7C">
        <w:rPr>
          <w:rStyle w:val="StyleUnderline"/>
        </w:rPr>
        <w:t>increasing demand for food</w:t>
      </w:r>
      <w:r w:rsidRPr="00F07B7C">
        <w:rPr>
          <w:sz w:val="14"/>
        </w:rPr>
        <w:t xml:space="preserve">, in particular meat and meat products as well as milk and dairy products, scarcity water and land resources </w:t>
      </w:r>
      <w:r w:rsidRPr="00F07B7C">
        <w:rPr>
          <w:rStyle w:val="StyleUnderline"/>
        </w:rPr>
        <w:t>and the fight for arable land with the producers of bio-fuels, industry and urbanisation. Climate change, the vanishing of biodiversity of ecosystems and the diversity of agricultural cultivars, new plant and animal diseases, and increasing energy and food prices, the losses food and waste food, as well as speculation on the food market, will have a disadvantageous impact on global food security</w:t>
      </w:r>
      <w:r w:rsidRPr="00F07B7C">
        <w:rPr>
          <w:sz w:val="14"/>
        </w:rPr>
        <w:t xml:space="preserve">. World population growth In the last 50 years, i.e. in the years 1960-2010, the global population has increased from 3.0 to 6.8 bln people. On 11 October 2012 the world was inhabited by 7,000,976,253 people5 . According to demographic forecasts, in 2025 the Earth will be inhabited by 7.4 bln people, and in 2050 – 9.1 bln people. 4 The Codex Alimentarius is the most important international organisation dealing with food safety, consumers’ health and the ensuring of fair practices in food trading. It was founded in 1963 under the Common Programme for Food Standards established by Food and Agriculture Organisation of the United Nations – FAO, and World Health Organization – WHO. 5 www.census.gov/main/www/popclock.html 704 EP 2012 (59) 4 (701-713) Mariola Kwasek Graph 1. Distribution of the world population in 2010 (in %) Source: International Population Reports WP/02. Global Population Profile: 2002 (2004), U.S. Government Printing Office, Washington, DC. In 2025, the number of inhabitants of Asia will reach 4.4 bln (nearly 1.5 bln in China, and 1.4 bln in India), and 1.3 bln in Africa, including over a billion in Sub-Saharan Africa. The population of Europe will increase to 814 mln, Latin America and Caribbean up to 690 mln, North America to 388 mln, the Middle East to 280 mln, North Africa up to 211 mln, and Oceania to 40 mln6 . </w:t>
      </w:r>
      <w:r w:rsidRPr="00F07B7C">
        <w:rPr>
          <w:rStyle w:val="StyleUnderline"/>
        </w:rPr>
        <w:t>The rapid growth of the world’s population resulting mainly from the high birth rate in the developing countries, mostly African as well as in some countries of Asia and South America, means that feeding the population is one of the most important issues in the modern world. There are serious disproportions in the level of nutrition of the world’s inhabitants resulting from the uneven distribution of food production</w:t>
      </w:r>
      <w:r w:rsidRPr="00F07B7C">
        <w:rPr>
          <w:sz w:val="14"/>
        </w:rPr>
        <w:t xml:space="preserve"> (the largest areas of food demand are not the same as the largest areas of food production) and inadequate distribution of food, as well as improper political and institutional solutions. It should be emphasized that climate change causing droughts, floods and other disasters will have a disadvantageous impact on global food production ability7 . </w:t>
      </w:r>
      <w:r w:rsidRPr="00F07B7C">
        <w:rPr>
          <w:rStyle w:val="StyleUnderline"/>
        </w:rPr>
        <w:t>The increase demand for food Forecast increase in the world’s population to over 9 billion in 2050 will result in the further growth in food demand. At present, global food production guarantees the consumption</w:t>
      </w:r>
      <w:r w:rsidRPr="00F07B7C">
        <w:rPr>
          <w:sz w:val="14"/>
        </w:rPr>
        <w:t xml:space="preserve"> of 6 International Population Reports WP/02. Global Population Profile: 2002 (2004), U.S. Government Printing Office, Washington, DC. 7 According to the FAO, 370 million people will be threatened with hunger at the beginning of 2150’s if new land is not immediately implanted with agricultural crops. EP 2012 (59) 4 (701-713) 705 THREATS TO FOOD SECURITY AND COMMON AGRICULTURAL POLICY 2796 kcal daily by each inhabitant of the Earth. </w:t>
      </w:r>
      <w:r w:rsidRPr="00F07B7C">
        <w:rPr>
          <w:rStyle w:val="StyleUnderline"/>
        </w:rPr>
        <w:t>However due to unequal access to food, 25% of the world’s population is undernourished, and 10% is starving. The level of food consumption is strongly related to external environment (the economy)</w:t>
      </w:r>
      <w:r w:rsidRPr="00F07B7C">
        <w:rPr>
          <w:sz w:val="14"/>
        </w:rPr>
        <w:t xml:space="preserve">. </w:t>
      </w:r>
      <w:r w:rsidRPr="00F07B7C">
        <w:rPr>
          <w:rStyle w:val="Emphasis"/>
        </w:rPr>
        <w:t>The higher the level of economic development, the higher the level of food consumption</w:t>
      </w:r>
      <w:r w:rsidRPr="00F07B7C">
        <w:rPr>
          <w:sz w:val="14"/>
        </w:rPr>
        <w:t xml:space="preserve">. </w:t>
      </w:r>
      <w:r w:rsidRPr="00F07B7C">
        <w:rPr>
          <w:rStyle w:val="StyleUnderline"/>
        </w:rPr>
        <w:t>Global economic growth results in: increased wealth of the global population, higher demand of food, and changes in consumption patterns dominated by the consumption of animal product</w:t>
      </w:r>
      <w:r w:rsidRPr="00F07B7C">
        <w:rPr>
          <w:sz w:val="14"/>
        </w:rPr>
        <w:t xml:space="preserve">s, especially meat and meat products. Table 1. Food consumption in China in 1983-2009 – in kg per capita/ year Item 1983 1993 2003 2009 1983=100 cereals 207,9 202,7 158,0 151,4 72,8 rice 95,6 93,2 78,5 76,3 79,8 wheat 73,2 82,4 61,4 66,4 90,7 maize 24,3 20,2 15,3 6,8 28,0 starchy roots 83,9 61,7 74,5 65,2 77,7 vegetables 66,2 128,0 270,5 321,5 485,6 fruits 9,4 24,2 49,7 72,3 769,1 sugar (raw equivalent) 5,7 5,3 7,6 5,9 103,5 meat 16,2 33,5 54,8 58,2 359,3 bovine meat 0,4 1,9 4,9 4,8 1200,0 pig meat 13,3 24,6 35,3 36,7 275,9 poultry meat 1,9 5,5 10,9 12,6 663,2 mutton &amp; goat meat 0,5 1,2 2,8 2,9 580,0 fish, seafood 5,8 15,4 25,4 31,0 534,5 milk – excluding butter 3,8 6,6 16,6 29,8 784,2 eggs 3,0 9,2 18,3 18,5 616,7 fats 4,9 7,6 13,7 11,1 226,5 animal 0,9 1,6 2,4 2,2 244,4 vegetables oils 4,0 6,0 11,3 8,9 222,5 Source: FAOSTAT. The exact functioning of this mechanism is illustrated by an example the Chinese getting rich. In 1983-2009, an increase in the consumption of the majority of food products was observed in China (tab. 1). The consumption of vegetables was the highest (nearly 5 times higher – up to the level of 321,5 kg per capita/year), and fruit (over 7 times higher – up to the level of 72,3 kg per capita/year). In the group of animal products, the highest consumption was related to meat (3.6 higher – up to 58,2 kg per capita/year), fish and seafood (over 5,3 times more – up to the level 31 kg) and milk and diary products (over 7.8 times higher – up to the level 29,8 kg. </w:t>
      </w:r>
      <w:r w:rsidRPr="00F07B7C">
        <w:rPr>
          <w:rStyle w:val="Emphasis"/>
        </w:rPr>
        <w:t>The growth of wealth in developing countries will result in increase demand for food,</w:t>
      </w:r>
      <w:r w:rsidRPr="00F07B7C">
        <w:rPr>
          <w:rStyle w:val="StyleUnderline"/>
        </w:rPr>
        <w:t xml:space="preserve"> including animal products</w:t>
      </w:r>
      <w:r w:rsidRPr="00F07B7C">
        <w:rPr>
          <w:sz w:val="14"/>
        </w:rPr>
        <w:t xml:space="preserve">. The higher demand for animal products is particularly disturbing, because for every ton produced of meat falls to 20 tons of fodder, based mainly on cereals meat. </w:t>
      </w:r>
      <w:r w:rsidRPr="00F07B7C">
        <w:rPr>
          <w:rStyle w:val="StyleUnderline"/>
        </w:rPr>
        <w:t>If global meat consumption is not reduced in the next several decades, we shall be faced with a global food crisis threatening food security8</w:t>
      </w:r>
      <w:r w:rsidRPr="00F07B7C">
        <w:rPr>
          <w:sz w:val="14"/>
        </w:rPr>
        <w:t xml:space="preserve"> . </w:t>
      </w:r>
      <w:r w:rsidRPr="00F07B7C">
        <w:rPr>
          <w:rStyle w:val="StyleUnderline"/>
        </w:rPr>
        <w:t>The World Bank forecasts that global demand for food will rise by 50% and for meat by 85%</w:t>
      </w:r>
      <w:r w:rsidRPr="00F07B7C">
        <w:rPr>
          <w:sz w:val="14"/>
        </w:rPr>
        <w:t xml:space="preserve">, by 20309 . </w:t>
      </w:r>
      <w:r w:rsidRPr="00F07B7C">
        <w:rPr>
          <w:rStyle w:val="StyleUnderline"/>
        </w:rPr>
        <w:t>Food prices</w:t>
      </w:r>
      <w:r w:rsidRPr="00F07B7C">
        <w:rPr>
          <w:sz w:val="14"/>
        </w:rPr>
        <w:t xml:space="preserve"> Global food crisis that began with the sudden increase in food prices all over the world at turn of 2007/ 2008 resulted in an increase in the costs of food product imports (especially in developing countries dependent on import), and had catastrophic effects on the household budgets</w:t>
      </w:r>
      <w:r w:rsidRPr="00F07B7C">
        <w:rPr>
          <w:rStyle w:val="StyleUnderline"/>
        </w:rPr>
        <w:t>. The increase in prices is being felt the most by the millions of the poorest people. It is estimated that global food prices can increase by 70-90% by the year 2030, and that’s without calculating the impact of climate change, which could cause prices to double10</w:t>
      </w:r>
      <w:r w:rsidRPr="00F07B7C">
        <w:rPr>
          <w:sz w:val="14"/>
        </w:rPr>
        <w:t xml:space="preserve">. The food crisis played its part in the increase in the number of undernourished people all over the world. In 2009, the number of undernourished people exceeded 1 billion11. Why is it then that in a world where enough food is produced to feed all its inhabitants, one person out of 7 suffers hunger? Such a large number of undernourished people are blighting the hope of reaching the first of the Millennium Development Goals – eliminating extreme poverty and hunger. Table 2. Number of people undernourished in the world (1990-1992 to 2010-2012) Item Number of people undernourished (millions) Proportion of undernourished in total population (%) 1990- 1992 2004- 2006 2007- 2009 2010- 201 2* 1990- 1992 2004- 2006 2007- 2009 2010- 2012* World 1000 898 867 868 18,6 13,8 12,9 12,5 Developed countries 20 13 15 16 1,9 1,2 1,3 1,4 Developing countries 980 885 852 852 23,2 16,8 15,5 14,9 Asia 739 620 581 563 23,7 16,3 14,8 13,9 Southern Asia 327 323 311 304 26,8 20,4 18,8 17,6 Western Asia 8 16 18 21 6,6 8,8 9,4 10,1 Africa 175 210 220 239 27,3 23,1 22,6 22,9 8 U. Świerczyńska (2008): Przyczyny światowego kryzysu żywnościowego oraz jego wpływ na najbiedniejsze kraje świata [w:] Globalne ocieplenie i kryzys żywnościowy. Fundacja Polskie Centrum Pomocy Międzynarodowej, Warszawa. 9 A. Evans (2009): The Feeding of the Nine Billion. Global Food Security for the 21st Century. Chatham House, London. 10 Growing a Better Future, Food justice in a resource – constrained world (2011), Oxfam International. 11 FAO (2010): The State of Food Insecurity in the World 2010, Addressing food insecurity in protracted crises, Rome. EP 2012 (59) 4 (701-713) 707 THREATS TO FOOD SECURITY AND COMMON AGRICULTURAL POLICY Item Number of people undernourished (millions) Proportion of undernourished in total population (%) 1990- 1992 2004- 2006 2007- 2009 2010- 201 2* 1990- 1992 2004- 2006 2007- 2009 2010- 2012* Sub-Saharan Africa 170 205 216 234 32,8 27,2 26,5 26,8 Northern Africa 5 5 4 4 3,8 3,1 2,7 2,7 Latin America and Caribbean 65 54 50 49 14,6 9,7 8,7 8,3 Oceania 1 1 1 1 13,6 13,7 11,9 12,1 Source: FAO (2012): The State of Food Insecurity in the World. </w:t>
      </w:r>
      <w:r w:rsidRPr="00F07B7C">
        <w:rPr>
          <w:rStyle w:val="Emphasis"/>
        </w:rPr>
        <w:t>Economic growth is necessary but not sufficient to accelerate reduction of hunger and malnutrition</w:t>
      </w:r>
      <w:r w:rsidRPr="00F07B7C">
        <w:rPr>
          <w:sz w:val="14"/>
        </w:rPr>
        <w:t xml:space="preserve">. Rome. * projections On one hand, there is the growing number of undernourished people, while on the other, the obese, whose number is estimated at around a billion. </w:t>
      </w:r>
      <w:r w:rsidRPr="00F07B7C">
        <w:rPr>
          <w:rStyle w:val="StyleUnderline"/>
        </w:rPr>
        <w:t>The worldwide problem of obesity is connected not only with changes in lifestyle (sedentary way of living, improper dietary habits, low physical activity, stress), but also with the increase in food prices and its correlation to nutritive value of food and production costs12</w:t>
      </w:r>
      <w:r w:rsidRPr="00F07B7C">
        <w:rPr>
          <w:sz w:val="14"/>
        </w:rPr>
        <w:t xml:space="preserve">. The disappearance of the variety of agricultural plant species </w:t>
      </w:r>
      <w:r w:rsidRPr="00F07B7C">
        <w:rPr>
          <w:rStyle w:val="StyleUnderline"/>
        </w:rPr>
        <w:t xml:space="preserve">Biodiversity in agriculture includes, in addition to natural habitats and wild species of plants and animals, including genetic resources for agriculture, which consists of local crop varieties and livestock breeds. </w:t>
      </w:r>
      <w:r w:rsidRPr="00F07B7C">
        <w:rPr>
          <w:sz w:val="14"/>
        </w:rPr>
        <w:t xml:space="preserve">Diversification of agriculture is the only and most important method of achieving food security in a changing climate. The greater number of species and varieties in one field or in a single ecosystem, the greater the likelihood that some of them can cope with changes in the environment. The </w:t>
      </w:r>
      <w:r w:rsidRPr="00F07B7C">
        <w:rPr>
          <w:rStyle w:val="StyleUnderline"/>
        </w:rPr>
        <w:t>diversity of species also decreases the probability of occurrence of diseases and pests, reducing the number of organisms-hosts on which they could develop13</w:t>
      </w:r>
      <w:r w:rsidRPr="00F07B7C">
        <w:rPr>
          <w:sz w:val="14"/>
        </w:rPr>
        <w:t xml:space="preserve">. 12 A. Drewnowski (2010): The cost of US foods as related to their nutritive value, Journal of Clinical Nutrition, 92(5). 13 J. Cotter, R. Tirado (2008): Food Security and Climate Change: The answer is biodiversity, Greenpeace, United Kingdom. 708 EP 2012 (59) 4 (701-713) Mariola Kwasek Figure 1. The declining diversity of agriculture varieties Source: Giovannucci D., Scherr S., Nierenberg D., Hebebrand Ch., Shapiro J., Milder J., Wheeler K. (2012): Food and Agriculture: the future of sustainability, A strategic input to the Sustainable Development in the 21st Century (SD21) project, New York. The increase in the area of scarcity water and the limitation of the availability of land Water is one of the most important factors deciding the fate of a human being. Water resources all over the world are estimated to be at around 1 387 mln km3 . Salt water constitutes 97% of water resources all over the world, while fresh water constitutes only 3%. 69% of fresh water is stored in glaciers and icecaps, while 30% is stored underground (ground water). This means that the available drinking water constitutes only 1% of global water resources. Water resources are decreasing in many countries due to climate changes. The amount of water allotted to 1 person is 0.23 km3 . According to the World Water Development Report, during the next 20 years, the average amount of water allotted to 1 person will decrease by 1/3. EP 2012 (59) 4 (701-713) 709 THREATS TO FOOD SECURITY AND COMMON AGRICULTURAL POLICY The demand for water is growing at an alarming rate due to the larger number of people in the world. The increase in the demand for water is also a result of changes in consumption patterns, as well as increases in energy production, especially biofuels. </w:t>
      </w:r>
      <w:r w:rsidRPr="00F07B7C">
        <w:rPr>
          <w:rStyle w:val="StyleUnderline"/>
        </w:rPr>
        <w:t>The most water is used by the inhabitants of Asia, where the population is growing at the quickest rate</w:t>
      </w:r>
      <w:r w:rsidRPr="00F07B7C">
        <w:rPr>
          <w:sz w:val="14"/>
        </w:rPr>
        <w:t xml:space="preserve">. For example, a Chinese inhabitant in 1961 consumed only 4 kg of meat and meat products per capita/year, in 1983 – 16 kg, while in 2009 as much as 58 kg. It is important to note that the production of 1 kg of beef requires 15 500 litres of water, 1 kg of poultry – 3 900 litres, 1 kg of eggs – 3 300 litres, and 1 kg of wheat – 1 300 litres14. According to the FAO, the main factor limiting the increase in the production of food all over the world is water. Agriculture utilises 70% of global resources of fresh water, and climate changes further aggravate this problem. A significant increase in demand for food must be met based on the diminishing resources will not only water but also land. Due to the of soil erosion, depletion of nutrients, infrastructure development and urbanization of agricultural land area is decreasing. </w:t>
      </w:r>
      <w:r w:rsidRPr="00F07B7C">
        <w:rPr>
          <w:rStyle w:val="StyleUnderline"/>
        </w:rPr>
        <w:t>With so much population growth projected to 2050 will need it to feed on smaller and smaller area of agricultural land. The projected level of agricultural land in 2030 will amount to less than 0.22 ha/person (now an inhabitant of 0.27 ha).</w:t>
      </w:r>
      <w:r w:rsidRPr="00F07B7C">
        <w:rPr>
          <w:sz w:val="14"/>
        </w:rPr>
        <w:t xml:space="preserve"> The increase in agricultural production must therefore result from improvements in productivity. The food losses and food waste Food losses and waste of food are two different issues. F</w:t>
      </w:r>
      <w:r w:rsidRPr="00F07B7C">
        <w:rPr>
          <w:rStyle w:val="StyleUnderline"/>
        </w:rPr>
        <w:t>ood losses occur primarily in the low-income countries as a result of the lack of adequate infrastructure. Food losses occur mainly at the production stage, and looses at the stage of consumption are much smaller.</w:t>
      </w:r>
      <w:r w:rsidRPr="00F07B7C">
        <w:rPr>
          <w:sz w:val="14"/>
        </w:rPr>
        <w:t xml:space="preserve"> Production and inadequate storage generates approximately 40% losses of food. Roughly one-third of the edible parts of food produced for human consumption gets lost or wasted globally, which is about 1.3 billion ton per year. Per capita food wasted by consumers in Europe and North-America is 95-115 kg/year, while in Sub-Saharan Africa and South and South-East Asia is only 6-11 kg/year15. In connection with such a huge waste of food you should take any steps to reduce it. </w:t>
      </w:r>
      <w:r w:rsidRPr="00F07B7C">
        <w:rPr>
          <w:rStyle w:val="Emphasis"/>
        </w:rPr>
        <w:t>A good solution is to campaigns, which may contribute to changes in consumer behaviour.</w:t>
      </w:r>
      <w:r w:rsidRPr="00F07B7C">
        <w:rPr>
          <w:sz w:val="14"/>
        </w:rPr>
        <w:t xml:space="preserve"> One of them, under the slogan “Do not waste food. Think organic”, was conducted by the Federation of Polish Food Banks in 2012. Limitation of food waste will increase the efficiency of land use, improved water management, the assurance of benefits for the whole sector of the agriculture in the world on a global scale, and to reduce</w:t>
      </w:r>
    </w:p>
    <w:p w:rsidR="00C12070" w:rsidRPr="00F07B7C" w:rsidRDefault="00C12070" w:rsidP="00C12070">
      <w:pPr>
        <w:pStyle w:val="Heading3"/>
      </w:pPr>
      <w:r>
        <w:t>Climate Change Alt Cause</w:t>
      </w:r>
    </w:p>
    <w:p w:rsidR="00C12070" w:rsidRPr="00F07B7C" w:rsidRDefault="00C12070" w:rsidP="00C12070">
      <w:pPr>
        <w:pStyle w:val="Heading4"/>
      </w:pPr>
      <w:r w:rsidRPr="00F07B7C">
        <w:t>Alt cause – climate change ensures catastrophic food shortages and limits agricultural production</w:t>
      </w:r>
    </w:p>
    <w:p w:rsidR="00C12070" w:rsidRPr="00F07B7C" w:rsidRDefault="00C12070" w:rsidP="00C12070">
      <w:r w:rsidRPr="00F07B7C">
        <w:rPr>
          <w:rStyle w:val="Style13ptBold"/>
        </w:rPr>
        <w:t>Ramsey 15</w:t>
      </w:r>
      <w:r w:rsidRPr="00F07B7C">
        <w:t xml:space="preserve"> [Lydia, BS in journalism and Middle East &amp; North African studies from Northwestern University, “An unstoppable problem is making it increasingly difficult for the world to produce enough food” Business Insider 8/3/15, </w:t>
      </w:r>
      <w:hyperlink r:id="rId61" w:history="1">
        <w:r w:rsidRPr="00F07B7C">
          <w:rPr>
            <w:rStyle w:val="Hyperlink"/>
          </w:rPr>
          <w:t>http://www.businessinsider.com/climate-change-is-causing-food-shortages-2015-8</w:t>
        </w:r>
      </w:hyperlink>
      <w:r w:rsidRPr="00F07B7C">
        <w:t xml:space="preserve"> //GK]</w:t>
      </w:r>
    </w:p>
    <w:p w:rsidR="00C12070" w:rsidRPr="00F07B7C" w:rsidRDefault="00C12070" w:rsidP="00C12070">
      <w:pPr>
        <w:rPr>
          <w:sz w:val="16"/>
        </w:rPr>
      </w:pPr>
      <w:r w:rsidRPr="00F07B7C">
        <w:rPr>
          <w:rStyle w:val="StyleUnderline"/>
        </w:rPr>
        <w:t xml:space="preserve">The possibility of increased food shortages looms in a nearer future than we'd care to believe. </w:t>
      </w:r>
      <w:r w:rsidRPr="00F07B7C">
        <w:rPr>
          <w:sz w:val="16"/>
        </w:rPr>
        <w:t>Citing the UN's Intergovernmental Panel on Climate Change (IPCC), the latest Grantham Mayo van Otterloo (GMO) quarterly report noted, "</w:t>
      </w:r>
      <w:r w:rsidRPr="00F07B7C">
        <w:rPr>
          <w:rStyle w:val="StyleUnderline"/>
        </w:rPr>
        <w:t>humanity is risking ‘a breakdown of food systems linked to warming, drought, flooding, and precipitation variability and extremes.</w:t>
      </w:r>
      <w:r w:rsidRPr="00F07B7C">
        <w:rPr>
          <w:sz w:val="16"/>
        </w:rPr>
        <w:t xml:space="preserve">’” </w:t>
      </w:r>
      <w:r w:rsidRPr="00F07B7C">
        <w:rPr>
          <w:rStyle w:val="StyleUnderline"/>
        </w:rPr>
        <w:t xml:space="preserve">Those changes to the climate threaten the way food gets produced around the world, which can drive up the price of foods and lead to a host of other problems. </w:t>
      </w:r>
      <w:r w:rsidRPr="00F07B7C">
        <w:rPr>
          <w:sz w:val="16"/>
        </w:rPr>
        <w:t>A June report from the Global Sustainability Institute of Anglia Ruskin University found that by 2040, food prices will be four times higher than they were in 2000. Already, they're already twice as high as they were in 2000, the GMO report notes. "</w:t>
      </w:r>
      <w:r w:rsidRPr="00F07B7C">
        <w:rPr>
          <w:rStyle w:val="StyleUnderline"/>
        </w:rPr>
        <w:t xml:space="preserve">The results show that </w:t>
      </w:r>
      <w:r w:rsidRPr="00F07B7C">
        <w:rPr>
          <w:rStyle w:val="Emphasis"/>
        </w:rPr>
        <w:t>based on plausible climate trends, and a total failure to change course, the global food supply system would face catastrophic losses, and an unprecedented epidemic of food riots</w:t>
      </w:r>
      <w:r w:rsidRPr="00F07B7C">
        <w:rPr>
          <w:sz w:val="16"/>
        </w:rPr>
        <w:t>," the institute's director, Aled Jones, told investigative journalism project Insurge Intelligence. "</w:t>
      </w:r>
      <w:r w:rsidRPr="00F07B7C">
        <w:rPr>
          <w:rStyle w:val="StyleUnderline"/>
        </w:rPr>
        <w:t>In this scenario, global society essentially collapses as food production falls permanently short of consumption.</w:t>
      </w:r>
      <w:r w:rsidRPr="00F07B7C">
        <w:rPr>
          <w:sz w:val="16"/>
        </w:rPr>
        <w:t xml:space="preserve">" Here's how the different climate changes listed affect our food: </w:t>
      </w:r>
      <w:r w:rsidRPr="00F07B7C">
        <w:rPr>
          <w:rStyle w:val="StyleUnderline"/>
        </w:rPr>
        <w:t xml:space="preserve">A warming planet leads to less food. Climate changes affect how farmers plan for the upcoming year. </w:t>
      </w:r>
      <w:r w:rsidRPr="00F07B7C">
        <w:rPr>
          <w:sz w:val="16"/>
        </w:rPr>
        <w:t xml:space="preserve">According to the IPCC's report from 2014, every decade of warming that happens decreases the amount of food the world can produce by 2%, or 4.4 million metric tons of food. </w:t>
      </w:r>
      <w:r w:rsidRPr="00F07B7C">
        <w:rPr>
          <w:rStyle w:val="StyleUnderline"/>
        </w:rPr>
        <w:t>Droughts cut back on the food produced.</w:t>
      </w:r>
      <w:r w:rsidRPr="00F07B7C">
        <w:rPr>
          <w:sz w:val="16"/>
        </w:rPr>
        <w:t xml:space="preserve"> The California drought is an example of how the climate affects food and how much access people have to it. The USDA noted in June that "depending on its continued severity, the drought in California has the potential to drive prices for fruit, vegetables, dairy, and eggs up even further." </w:t>
      </w:r>
      <w:r w:rsidRPr="00F07B7C">
        <w:rPr>
          <w:rStyle w:val="StyleUnderline"/>
        </w:rPr>
        <w:t>Flooding decreases the amount of available land for farming.</w:t>
      </w:r>
      <w:r w:rsidRPr="00F07B7C">
        <w:rPr>
          <w:sz w:val="16"/>
        </w:rPr>
        <w:t xml:space="preserve"> If the Mississippi and Missouri rivers flood, the report points out, it would cut corn production in the US by 27%, soybeans by 19%, and wheat by 7%, according to the institute's scenario. That's about 3.8 billion bushels of corn lost, based on the amount of corn produced in the US in 2014. </w:t>
      </w:r>
      <w:r w:rsidRPr="00F07B7C">
        <w:rPr>
          <w:rStyle w:val="StyleUnderline"/>
        </w:rPr>
        <w:t xml:space="preserve">More frequent extreme weather makes it harder to have a reliable crop yield. Tornadoes, torrential downpours, etc. cause damage to lands that otherwise contain crops. </w:t>
      </w:r>
      <w:r w:rsidRPr="00F07B7C">
        <w:rPr>
          <w:rStyle w:val="Emphasis"/>
        </w:rPr>
        <w:t>An increasing amount of these weather events — a result of climate change — makes it harder to rely on a steady supply of food, thus driving up prices on all that remains</w:t>
      </w:r>
      <w:r w:rsidRPr="00F07B7C">
        <w:rPr>
          <w:rStyle w:val="StyleUnderline"/>
        </w:rPr>
        <w:t>. All of these weather crises</w:t>
      </w:r>
      <w:r w:rsidRPr="00F07B7C">
        <w:rPr>
          <w:sz w:val="16"/>
        </w:rPr>
        <w:t xml:space="preserve">, in the GSI's scenario, </w:t>
      </w:r>
      <w:r w:rsidRPr="00F07B7C">
        <w:rPr>
          <w:rStyle w:val="StyleUnderline"/>
        </w:rPr>
        <w:t>could lead to food riots and increased global insecurity</w:t>
      </w:r>
      <w:r w:rsidRPr="00F07B7C">
        <w:rPr>
          <w:sz w:val="16"/>
        </w:rPr>
        <w:t>.</w:t>
      </w:r>
    </w:p>
    <w:p w:rsidR="00C12070" w:rsidRPr="00F07B7C" w:rsidRDefault="00C12070" w:rsidP="00C12070">
      <w:pPr>
        <w:pStyle w:val="Heading3"/>
      </w:pPr>
      <w:r>
        <w:t>Status Quo S</w:t>
      </w:r>
      <w:r w:rsidRPr="00F07B7C">
        <w:t>olves</w:t>
      </w:r>
    </w:p>
    <w:p w:rsidR="00C12070" w:rsidRPr="00F07B7C" w:rsidRDefault="00C12070" w:rsidP="00C12070">
      <w:pPr>
        <w:pStyle w:val="Heading4"/>
      </w:pPr>
      <w:r w:rsidRPr="00F07B7C">
        <w:t>The key educational focus they indict is already under study – their ev is too outdated</w:t>
      </w:r>
    </w:p>
    <w:p w:rsidR="00C12070" w:rsidRPr="00F07B7C" w:rsidRDefault="00C12070" w:rsidP="00C12070">
      <w:r w:rsidRPr="00F07B7C">
        <w:rPr>
          <w:rStyle w:val="Style13ptBold"/>
        </w:rPr>
        <w:t>Hunt 15</w:t>
      </w:r>
      <w:r w:rsidRPr="00F07B7C">
        <w:t xml:space="preserve"> (Nigel, senior Reuters correspondent based in London., “Threat of food crisis seen fading as grain stocks climb”, June 8, 2015, </w:t>
      </w:r>
      <w:hyperlink r:id="rId62" w:history="1">
        <w:r w:rsidRPr="00F07B7C">
          <w:rPr>
            <w:rStyle w:val="Hyperlink"/>
          </w:rPr>
          <w:t>https://www.fostersagriworld.com/threat-of-food-crisis-seen-fading-as-grain-stocks-climb/)</w:t>
        </w:r>
      </w:hyperlink>
      <w:r w:rsidRPr="00F07B7C">
        <w:t xml:space="preserve">  SS</w:t>
      </w:r>
    </w:p>
    <w:p w:rsidR="00C12070" w:rsidRPr="00F07B7C" w:rsidRDefault="00C12070" w:rsidP="00C12070">
      <w:r w:rsidRPr="00F07B7C">
        <w:rPr>
          <w:sz w:val="16"/>
        </w:rPr>
        <w:t xml:space="preserve"> </w:t>
      </w:r>
      <w:r w:rsidRPr="00F07B7C">
        <w:rPr>
          <w:rStyle w:val="StyleUnderline"/>
        </w:rPr>
        <w:t>A sudden change in the weather no longer raises the spectre of a food price crisis, with grain stocks rebuilt and governments now paying much closer attention to agriculture</w:t>
      </w:r>
      <w:r w:rsidRPr="00F07B7C">
        <w:rPr>
          <w:sz w:val="16"/>
        </w:rPr>
        <w:t>, a senior United Nations economist said in an interview Monday. “</w:t>
      </w:r>
      <w:r w:rsidRPr="00F07B7C">
        <w:rPr>
          <w:rStyle w:val="StyleUnderline"/>
        </w:rPr>
        <w:t>The buffer is big and unexpected shortfalls can be met by (grain) reserve</w:t>
      </w:r>
      <w:r w:rsidRPr="00F07B7C">
        <w:rPr>
          <w:sz w:val="16"/>
        </w:rPr>
        <w:t xml:space="preserve">s,” said Abdolreza Abbassian, senior economist with the United Nations’ Food and Agriculture Organization (FAO). Drought </w:t>
      </w:r>
      <w:r w:rsidRPr="00F07B7C">
        <w:rPr>
          <w:rStyle w:val="StyleUnderline"/>
        </w:rPr>
        <w:t>in major grain-producing countries in both 2007-08 and 2010-11 led to a sharp rise in prices, plunging millions more people into poverty, sparking riots and playing a role in the overthrow of some governments. “We’ve gone from a tight situation to super ample conditions…</w:t>
      </w:r>
      <w:r w:rsidRPr="00F07B7C">
        <w:rPr>
          <w:sz w:val="16"/>
        </w:rPr>
        <w:t xml:space="preserve"> it looks like you have a good buffer even for (supply) shocks here and there. We could have El Nino this year, for example,” said Abbassian, who is in London for the International Grains Council’s annual conference. </w:t>
      </w:r>
      <w:r w:rsidRPr="00F07B7C">
        <w:rPr>
          <w:rStyle w:val="StyleUnderline"/>
        </w:rPr>
        <w:t xml:space="preserve">An El Nino weather pattern poses a threat to yields of maize, wheat and rice. “A strengthening El Nino a few years ago the whole world would have been talking about it but </w:t>
      </w:r>
      <w:r w:rsidRPr="00F07B7C">
        <w:rPr>
          <w:rStyle w:val="Emphasis"/>
        </w:rPr>
        <w:t>this is not the same situation</w:t>
      </w:r>
      <w:r w:rsidRPr="00F07B7C">
        <w:rPr>
          <w:rStyle w:val="StyleUnderline"/>
        </w:rPr>
        <w:t>,” he</w:t>
      </w:r>
      <w:r w:rsidRPr="00F07B7C">
        <w:rPr>
          <w:sz w:val="16"/>
        </w:rPr>
        <w:t xml:space="preserve"> said. The FAO forecast last week that stocks-to-use ratio, a key measure for how long reserves could last, would stand at 25.6 per cent for the 2014-15 season, well above a very tight 18.5 per cent registered in 2007-08. Abbassian said grain prices this year may be more heavily influenced by outside factors, such as trends in the U.S. dollar or Middle East politics, than the traditional drivers of supply and demand. </w:t>
      </w:r>
      <w:r w:rsidRPr="00F07B7C">
        <w:rPr>
          <w:rStyle w:val="StyleUnderline"/>
        </w:rPr>
        <w:t>Governments are also much better prepared than they were in the past, he said. “I think we’ve learnt a lot from what happened. I think there is a lot of learning going on because of so many years of neglect</w:t>
      </w:r>
      <w:r w:rsidRPr="00F07B7C">
        <w:rPr>
          <w:sz w:val="16"/>
        </w:rPr>
        <w:t>,” he said. “</w:t>
      </w:r>
      <w:r w:rsidRPr="00F07B7C">
        <w:rPr>
          <w:rStyle w:val="StyleUnderline"/>
        </w:rPr>
        <w:t>They (governments) have all been changed (by the crises). I think it is on the radars</w:t>
      </w:r>
      <w:r w:rsidRPr="00F07B7C">
        <w:rPr>
          <w:sz w:val="16"/>
        </w:rPr>
        <w:t xml:space="preserve">,” he said, adding that countries were more conscious of the need to have more of their own reserves. Abbassian said </w:t>
      </w:r>
      <w:r w:rsidRPr="00F07B7C">
        <w:rPr>
          <w:rStyle w:val="StyleUnderline"/>
        </w:rPr>
        <w:t xml:space="preserve">governments had begun to pay more attention to issues other than prices, with increased focus on problems such as food waste. “A lot of new areas have come up and that attracted the new generation to go and work on them.” He said agricultural economics was </w:t>
      </w:r>
      <w:r w:rsidRPr="00F07B7C">
        <w:rPr>
          <w:rStyle w:val="Emphasis"/>
        </w:rPr>
        <w:t>no longer an unfashionable area of study.</w:t>
      </w:r>
    </w:p>
    <w:p w:rsidR="00C12070" w:rsidRPr="00F07B7C" w:rsidRDefault="00C12070" w:rsidP="00C12070">
      <w:pPr>
        <w:pStyle w:val="Heading4"/>
      </w:pPr>
      <w:r w:rsidRPr="00F07B7C">
        <w:t>Non-inherent – automated farming is reducing the need for human agriculture workers</w:t>
      </w:r>
    </w:p>
    <w:p w:rsidR="00C12070" w:rsidRPr="00F07B7C" w:rsidRDefault="00C12070" w:rsidP="00C12070">
      <w:r w:rsidRPr="00F07B7C">
        <w:rPr>
          <w:rStyle w:val="Style13ptBold"/>
        </w:rPr>
        <w:t>Fraser and Charlebois 16</w:t>
      </w:r>
      <w:r w:rsidRPr="00F07B7C">
        <w:t xml:space="preserve"> [Evan, director of the Arrell Food Institute, and Sylvain, adjunct professor at the University of Guelph, “Automated farming: good news for food security, bad news for job security?” The Guardian 2/18/16, </w:t>
      </w:r>
      <w:hyperlink r:id="rId63" w:history="1">
        <w:r w:rsidRPr="00F07B7C">
          <w:rPr>
            <w:rStyle w:val="Hyperlink"/>
          </w:rPr>
          <w:t>https://www.theguardian.com/sustainable-business/2016/feb/18/automated-farming-food-security-rural-jobs-unemployment-technology</w:t>
        </w:r>
      </w:hyperlink>
      <w:r w:rsidRPr="00F07B7C">
        <w:t xml:space="preserve"> //GK]</w:t>
      </w:r>
    </w:p>
    <w:p w:rsidR="00C12070" w:rsidRPr="00F07B7C" w:rsidRDefault="00C12070" w:rsidP="00C12070">
      <w:pPr>
        <w:rPr>
          <w:sz w:val="16"/>
        </w:rPr>
      </w:pPr>
      <w:r w:rsidRPr="00F07B7C">
        <w:rPr>
          <w:sz w:val="16"/>
        </w:rPr>
        <w:t xml:space="preserve">Around the world, but especially in the developing world, food and farming systems continue to rely on 20th century technology. But this is changing. </w:t>
      </w:r>
      <w:r w:rsidRPr="00F07B7C">
        <w:rPr>
          <w:rStyle w:val="Emphasis"/>
        </w:rPr>
        <w:t>The same information technologies that brought us the internet and transformations in medicine are now revolutionising farming</w:t>
      </w:r>
      <w:r w:rsidRPr="00F07B7C">
        <w:rPr>
          <w:sz w:val="16"/>
        </w:rPr>
        <w:t xml:space="preserve">. It’s a new era for agriculture and it’s taking off in at least two distinct areas. </w:t>
      </w:r>
      <w:r w:rsidRPr="00F07B7C">
        <w:rPr>
          <w:rStyle w:val="StyleUnderline"/>
        </w:rPr>
        <w:t xml:space="preserve">On the farm, technology is changing the way farmers manage farmland and farm animals – such as the use of satellite driven geo-positioning systems and sensors that detect nutrients and water in soil. This technology is enabling tractors, harvesters and planters to make decisions about what to plant, when to fertilise, and how much to irrigate. As this technology progresses, equipment will ultimately be able to tailor decisions on a metre-by-metre basis. </w:t>
      </w:r>
      <w:r w:rsidRPr="00F07B7C">
        <w:rPr>
          <w:sz w:val="16"/>
        </w:rPr>
        <w:t xml:space="preserve">Robots already do much of the harvesting of lettuce and tomatoes in our greenhouses. And it’s even becoming feasible to place fitness trackers on farm animals to monitor their health and welfare. The dairy industry has been at the vanguard of this where robotic milking and computer controlled feeding equipment allow for the careful management of individual animals within a herd. </w:t>
      </w:r>
      <w:r w:rsidRPr="00F07B7C">
        <w:rPr>
          <w:rStyle w:val="StyleUnderline"/>
        </w:rPr>
        <w:t xml:space="preserve">A similar tech revolution is happening with the genetics of the plants we grow and the animals we raise. Genomic tools are on the cusp of allowing scientists to rapidly and inexpensively evaluate the genetic code of individual plants and animals. This makes it much easier to identify individual plants and animals that are particularly robust or productive. </w:t>
      </w:r>
      <w:r w:rsidRPr="00F07B7C">
        <w:rPr>
          <w:sz w:val="16"/>
        </w:rPr>
        <w:t xml:space="preserve">This knowledge, in combination with traditional breeding, can accelerate how quickly we improve the genetic potential of our crops and livestock. Scientists at UK research institute the John Innes Centre, for example, are attempting to create a strain of barley that would make its own ammonium fertiliser from nitrogen in the soil, something which could save farmers the cost of artificial fertilisers. Taken together, both farm and genome-scale technologies are boosting the efficiency of modern farming, which is increasingly important to feed a growing population set to reach almost 10 billion by 2050. But this is just the beginning. </w:t>
      </w:r>
      <w:r w:rsidRPr="00F07B7C">
        <w:rPr>
          <w:rStyle w:val="Emphasis"/>
        </w:rPr>
        <w:t>Many experts are looking forward to a future where the Internet of Things</w:t>
      </w:r>
      <w:r w:rsidRPr="00F07B7C">
        <w:rPr>
          <w:rStyle w:val="StyleUnderline"/>
        </w:rPr>
        <w:t xml:space="preserve"> (where physical objects such as vehicles, buildings and devices are connected to collect and exchange data) </w:t>
      </w:r>
      <w:r w:rsidRPr="00F07B7C">
        <w:rPr>
          <w:rStyle w:val="Emphasis"/>
        </w:rPr>
        <w:t>is applied to food and farming to create an Internet of Living Things</w:t>
      </w:r>
      <w:r w:rsidRPr="00F07B7C">
        <w:rPr>
          <w:rStyle w:val="StyleUnderline"/>
        </w:rPr>
        <w:t xml:space="preserve">. In this future, advanced sensors embedded in fields, waterways, irrigation systems and tractors will combine with machine-learning systems, genome-identifying devices and data dashboards to give rise to a generation of smart farming technology that will have the capacity to sense and respond to its environment in a way that maximises production while minimising negative impact. </w:t>
      </w:r>
      <w:r w:rsidRPr="00F07B7C">
        <w:rPr>
          <w:sz w:val="16"/>
        </w:rPr>
        <w:t xml:space="preserve">However, there are problems. In many of the poorer parts of the world, sophisticated agricultural technologies are much less important than education, healthcare, access to capital, sound governance and basic infrastructure. For the HIV positive farmer supporting her family on just one hectare in rural Malawi, satellite driven tractors and high productivity beef germplasm are about as useful as a moondust. Furthermore, </w:t>
      </w:r>
      <w:r w:rsidRPr="00F07B7C">
        <w:rPr>
          <w:rStyle w:val="Emphasis"/>
        </w:rPr>
        <w:t>many of these technologies require very little human labour</w:t>
      </w:r>
      <w:r w:rsidRPr="00F07B7C">
        <w:rPr>
          <w:rStyle w:val="StyleUnderline"/>
        </w:rPr>
        <w:t xml:space="preserve">. For example, Japanese company Spread has recently announced that robots will carry out all but one of the tasks required to grow tens of thousands of lettuces each day in its indoor automated farm. For countries in the industrial world, this growing automation probably means the continued decline of rural life. </w:t>
      </w:r>
      <w:r w:rsidRPr="00F07B7C">
        <w:rPr>
          <w:sz w:val="16"/>
        </w:rPr>
        <w:t xml:space="preserve">The issue of labour is even more important for the economies of the global south, where there are fewer urban job opportunities. In those countries, technologies that take labour out of the fields may undermine efforts to reduce poverty and enhance development. </w:t>
      </w:r>
      <w:r w:rsidRPr="00F07B7C">
        <w:rPr>
          <w:rStyle w:val="StyleUnderline"/>
        </w:rPr>
        <w:t>Similar to the fear that Uber and Google cars will make taxi and lorry drivers obsolete, will the same thing happen to farmers?</w:t>
      </w:r>
      <w:r w:rsidRPr="00F07B7C">
        <w:rPr>
          <w:sz w:val="16"/>
        </w:rPr>
        <w:t xml:space="preserve"> In the brave new world of satellite driven tractors and robotic milking parlours, where will rural communities and cultures fit? And for countries still dependent on agricultural labour, what will people do to survive? The answers to these questions are not simple but the outcome of them will help define global society over the next hundred years. </w:t>
      </w:r>
    </w:p>
    <w:p w:rsidR="00C12070" w:rsidRPr="00F07B7C" w:rsidRDefault="00C12070" w:rsidP="00C12070"/>
    <w:p w:rsidR="00C12070" w:rsidRPr="00F07B7C" w:rsidRDefault="00C12070" w:rsidP="00C12070"/>
    <w:p w:rsidR="00C12070" w:rsidRPr="00F07B7C" w:rsidRDefault="00C12070" w:rsidP="00C12070"/>
    <w:p w:rsidR="00C12070" w:rsidRPr="00F07B7C" w:rsidRDefault="00C12070" w:rsidP="00C12070"/>
    <w:p w:rsidR="00C12070" w:rsidRPr="00714924" w:rsidRDefault="00C12070" w:rsidP="00C12070"/>
    <w:p w:rsidR="00C12070" w:rsidRDefault="00C12070" w:rsidP="00C12070"/>
    <w:p w:rsidR="00C12070" w:rsidRDefault="00C12070" w:rsidP="00C12070">
      <w:pPr>
        <w:pStyle w:val="Heading3"/>
      </w:pPr>
      <w:r>
        <w:t>1NC Automation CP</w:t>
      </w:r>
    </w:p>
    <w:p w:rsidR="00C12070" w:rsidRDefault="00C12070" w:rsidP="00C12070">
      <w:pPr>
        <w:pStyle w:val="Heading4"/>
      </w:pPr>
      <w:r>
        <w:t>****PLAN TEXT****The United States Federal Government should invest in automating the farming industry.</w:t>
      </w:r>
    </w:p>
    <w:p w:rsidR="00C12070" w:rsidRPr="00921467" w:rsidRDefault="00C12070" w:rsidP="00C12070"/>
    <w:p w:rsidR="00C12070" w:rsidRDefault="00C12070" w:rsidP="00C12070">
      <w:pPr>
        <w:pStyle w:val="Heading4"/>
      </w:pPr>
      <w:r>
        <w:t>Automating the farming industry solves for food scarcity</w:t>
      </w:r>
    </w:p>
    <w:p w:rsidR="00C12070" w:rsidRPr="00D014D2" w:rsidRDefault="00C12070" w:rsidP="00C12070">
      <w:r>
        <w:rPr>
          <w:rStyle w:val="Style13ptBold"/>
        </w:rPr>
        <w:t>Fraser and Charlebois 16</w:t>
      </w:r>
      <w:r w:rsidRPr="00D014D2">
        <w:t xml:space="preserve">– </w:t>
      </w:r>
      <w:r>
        <w:t xml:space="preserve">Fraser is Canada research chair and professor of geography. Charlebois is professor of food distribution and policy. They both work atht he University of Guelph. </w:t>
      </w:r>
      <w:r w:rsidRPr="00D014D2">
        <w:t>(</w:t>
      </w:r>
      <w:r>
        <w:t xml:space="preserve">Evan and Sylvain, “Automated farming: Good news for food security, bad news for job security?” 2/18/16, accessed 7/19/17, </w:t>
      </w:r>
      <w:hyperlink r:id="rId64" w:history="1">
        <w:r w:rsidRPr="009A5350">
          <w:rPr>
            <w:rStyle w:val="Hyperlink"/>
          </w:rPr>
          <w:t>https://www.theguardian.com/sustainable-business/2016/feb/18/automated-farming-food-security-rural-jobs-unemployment-technology</w:t>
        </w:r>
      </w:hyperlink>
      <w:r>
        <w:t xml:space="preserve"> ) // MK</w:t>
      </w:r>
    </w:p>
    <w:p w:rsidR="00C12070" w:rsidRPr="00B77D53" w:rsidRDefault="00C12070" w:rsidP="00C12070">
      <w:pPr>
        <w:rPr>
          <w:sz w:val="16"/>
        </w:rPr>
      </w:pPr>
      <w:r w:rsidRPr="00B77D53">
        <w:rPr>
          <w:sz w:val="16"/>
        </w:rPr>
        <w:t xml:space="preserve">Around the world, but especially in the developing world, </w:t>
      </w:r>
      <w:r w:rsidRPr="00D014D2">
        <w:rPr>
          <w:rStyle w:val="StyleUnderline"/>
        </w:rPr>
        <w:t>food and farming systems continue to rely on 20th century technology. But this is changing. The same information technologies that brought us the internet and transformations in medicine are now revolutionising farming.</w:t>
      </w:r>
      <w:r w:rsidRPr="00B77D53">
        <w:rPr>
          <w:sz w:val="16"/>
        </w:rPr>
        <w:t xml:space="preserve"> It’s a new era for agriculture and it’s taking off in at least two distinct areas. On the farm, </w:t>
      </w:r>
      <w:r w:rsidRPr="00D014D2">
        <w:rPr>
          <w:rStyle w:val="StyleUnderline"/>
        </w:rPr>
        <w:t xml:space="preserve">technology is changing the way farmers manage farmland and farm animals – such as the use of satellite driven geo-positioning systems and sensors that detect nutrients and water in soil. This technology is enabling tractors, harvesters and planters to make decisions about what to plant, when to fertilise, and how much to irrigate. As this technology progresses, equipment will ultimately be able to tailor decisions on a metre-by-metre basis. </w:t>
      </w:r>
      <w:r w:rsidRPr="00B77D53">
        <w:rPr>
          <w:sz w:val="16"/>
        </w:rPr>
        <w:t xml:space="preserve"> Gene editing could create medicines and self-fertilising crops. But are we facing another GM food-style furore?  Read more </w:t>
      </w:r>
      <w:r w:rsidRPr="00D014D2">
        <w:rPr>
          <w:rStyle w:val="StyleUnderline"/>
        </w:rPr>
        <w:t>Robots already do much of the harvesting of lettuce and tomatoes in our greenhouses</w:t>
      </w:r>
      <w:r w:rsidRPr="00B77D53">
        <w:rPr>
          <w:sz w:val="16"/>
        </w:rPr>
        <w:t xml:space="preserve">. And it’s even becoming feasible to place fitness trackers on farm animals to monitor their health and welfare. </w:t>
      </w:r>
      <w:r w:rsidRPr="00D014D2">
        <w:rPr>
          <w:rStyle w:val="StyleUnderline"/>
        </w:rPr>
        <w:t>The dairy industry has been at the vanguard of this where robotic milking and computer controlled feeding equipment allow for the careful management of individual animals within a herd.</w:t>
      </w:r>
      <w:r w:rsidRPr="00B77D53">
        <w:rPr>
          <w:sz w:val="16"/>
        </w:rPr>
        <w:t xml:space="preserve"> </w:t>
      </w:r>
      <w:r w:rsidRPr="00D014D2">
        <w:rPr>
          <w:rStyle w:val="StyleUnderline"/>
        </w:rPr>
        <w:t>A similar tech revolution is happening with the genetics of the plants we grow and the animals we raise. Genomic tools are on the cusp of allowing scientists to rapidly and inexpensively evaluate the genetic code of individual plants and animals.</w:t>
      </w:r>
      <w:r w:rsidRPr="00B77D53">
        <w:rPr>
          <w:sz w:val="16"/>
        </w:rPr>
        <w:t xml:space="preserve"> This makes it much easier to identify individual plants and animals that are particularly robust or productive. This knowledge, in combination with traditional breeding, can accelerate how quickly we improve the genetic potential of our crops and livestock. Scientists at UK research institute the John Innes Centre, for example, are attempting to create a strain of barley that would make its own ammonium fertiliser from nitrogen in the soil, something which could save farmers the cost of artificial fertilisers. </w:t>
      </w:r>
      <w:r w:rsidRPr="00D014D2">
        <w:rPr>
          <w:rStyle w:val="StyleUnderline"/>
        </w:rPr>
        <w:t>Taken together, both farm and genome-scale technologies are boosting the efficiency of modern farming, which is increasingly important to feed a growing population set to reach almost 10 billion by 2050. But this is just the beginning</w:t>
      </w:r>
      <w:r w:rsidRPr="00B77D53">
        <w:rPr>
          <w:sz w:val="16"/>
        </w:rPr>
        <w:t xml:space="preserve">.  </w:t>
      </w:r>
      <w:r w:rsidRPr="00D014D2">
        <w:rPr>
          <w:rStyle w:val="StyleUnderline"/>
        </w:rPr>
        <w:t>Many experts are looking forward to a future where the Internet of Things</w:t>
      </w:r>
      <w:r w:rsidRPr="00B77D53">
        <w:rPr>
          <w:sz w:val="16"/>
        </w:rPr>
        <w:t xml:space="preserve"> (where physical objects such as vehicles, buildings and devices are connected to collect and exchange data) </w:t>
      </w:r>
      <w:r w:rsidRPr="00D014D2">
        <w:rPr>
          <w:rStyle w:val="StyleUnderline"/>
        </w:rPr>
        <w:t>is applied to food and farming to create an Internet of Living Things. In this future, advanced sensors embedded in fields, waterways, irrigation systems and tractors will combine with machine-learning systems, genome-identifying devices and data dashboards to give rise to a generation of smart farming technology that will have the capacity to sense and respond to its environment in a way that maximises production while minimising negative impact.</w:t>
      </w:r>
      <w:r w:rsidRPr="00B77D53">
        <w:rPr>
          <w:sz w:val="16"/>
        </w:rPr>
        <w:t xml:space="preserve"> However, there are problems. In many of the poorer parts of the world, sophisticated agricultural technologies are much less important than education, healthcare, access to capital, sound governance and basic infrastructure. For the HIV positive farmer supporting her family on just one hectare in rural Malawi, satellite driven tractors and high productivity beef germplasm are about as useful as a moondust. Furthermore, many of these technologies require very little human labour. For example, Japanese company Spread has recently announced that robots will carry out all but one of the tasks required to grow tens of thousands of lettuces each day in its indoor automated farm. For countries in the industrial world, this growing automation probably means the continued decline of rural life. The issue of labour is even more important for the economies of the global south, where there are fewer urban job opportunities. </w:t>
      </w:r>
      <w:r w:rsidRPr="00D014D2">
        <w:rPr>
          <w:rStyle w:val="StyleUnderline"/>
        </w:rPr>
        <w:t>In those countries, technologies that take labour out of the fields may undermine efforts to reduce poverty and enhance development.</w:t>
      </w:r>
      <w:r w:rsidRPr="00B77D53">
        <w:rPr>
          <w:sz w:val="16"/>
        </w:rPr>
        <w:t xml:space="preserve"> Similar to the fear that Uber and Google cars will make taxi and lorry drivers obsolete, will the same thing happen to farmers? In the brave new world of satellite driven tractors and robotic milking parlours, where will rural communities and cultures fit? And for countries still dependent on agricultural labour, what will people do to survive? </w:t>
      </w:r>
      <w:r w:rsidRPr="00D014D2">
        <w:rPr>
          <w:rStyle w:val="StyleUnderline"/>
        </w:rPr>
        <w:t xml:space="preserve">The answers to these questions are not simple but the outcome of them will help define global society over the next hundred years. </w:t>
      </w:r>
    </w:p>
    <w:p w:rsidR="00C12070" w:rsidRDefault="00C12070" w:rsidP="00C12070"/>
    <w:p w:rsidR="00C12070" w:rsidRDefault="00C12070" w:rsidP="00C12070">
      <w:pPr>
        <w:pStyle w:val="Heading4"/>
      </w:pPr>
      <w:r>
        <w:t>Automation farming serves as the only way to solve food scarcity</w:t>
      </w:r>
    </w:p>
    <w:p w:rsidR="00C12070" w:rsidRPr="00921467" w:rsidRDefault="00C12070" w:rsidP="00C12070">
      <w:r>
        <w:rPr>
          <w:rStyle w:val="Style13ptBold"/>
        </w:rPr>
        <w:t xml:space="preserve">Benson 16 </w:t>
      </w:r>
      <w:r w:rsidRPr="00921467">
        <w:t xml:space="preserve">– </w:t>
      </w:r>
      <w:r>
        <w:t xml:space="preserve">Benson is an English biographer, journalist, and critic for Wired. </w:t>
      </w:r>
      <w:r w:rsidRPr="00921467">
        <w:t>(</w:t>
      </w:r>
      <w:r>
        <w:t xml:space="preserve">Richard, “The Robotic farmers that could finally solve the planet’s food crisis” 11/7/16, Wired, accessed 7/19/17, </w:t>
      </w:r>
      <w:hyperlink r:id="rId65" w:history="1">
        <w:r w:rsidRPr="009A5350">
          <w:rPr>
            <w:rStyle w:val="Hyperlink"/>
          </w:rPr>
          <w:t>http://www.wired.co.uk/article/spread-technology-farming</w:t>
        </w:r>
      </w:hyperlink>
      <w:r>
        <w:t xml:space="preserve"> ) // MK</w:t>
      </w:r>
    </w:p>
    <w:p w:rsidR="00C12070" w:rsidRPr="00B77D53" w:rsidRDefault="00C12070" w:rsidP="00C12070">
      <w:pPr>
        <w:rPr>
          <w:rStyle w:val="StyleUnderline"/>
          <w:sz w:val="16"/>
        </w:rPr>
      </w:pPr>
      <w:r w:rsidRPr="00B77D53">
        <w:rPr>
          <w:sz w:val="16"/>
        </w:rPr>
        <w:t xml:space="preserve">The SPREAD vegetable farm, currently under construction on a science park about 25km outside Kyoto, Japan, will occupy 4,400m2 - all enclosed in a vast, warehouse-like building. Inside, under LED lights, shelves will rise to the ceiling, each one a soil bed full of lettuces. The workforce will move seedlings, feed plants and pick 30,000 lettuce heads every day. </w:t>
      </w:r>
      <w:r w:rsidRPr="00921467">
        <w:rPr>
          <w:rStyle w:val="StyleUnderline"/>
        </w:rPr>
        <w:t>The striking thing, besides the scale of the operation, is that none of those workers will be human: people will plant the seeds, but after that, robots will tend the crops, control the temperature, humidity, light and CO2, and sterilise the water supply.</w:t>
      </w:r>
      <w:r w:rsidRPr="00B77D53">
        <w:rPr>
          <w:sz w:val="16"/>
        </w:rPr>
        <w:t xml:space="preserve"> This is not a vision of agriculture in the distant future: SPREAD's "controlled-environment farm" will begin shipping lettuce in 2017. </w:t>
      </w:r>
      <w:r w:rsidRPr="00921467">
        <w:rPr>
          <w:rStyle w:val="StyleUnderline"/>
        </w:rPr>
        <w:t xml:space="preserve">To feed a world population forecast to hit 9.6 billion by 2050, global food production must increase by 70 per cent. Our planet's finite nature of land is the most obvious barrier to that, but there's also a serious rural labour shortage; </w:t>
      </w:r>
      <w:r w:rsidRPr="00B77D53">
        <w:rPr>
          <w:sz w:val="16"/>
        </w:rPr>
        <w:t xml:space="preserve">across the world, people are moving from the countryside to towns and cities. By 2017, it's estimated that even less-developed countries will have majority urban populations. In the UK, a 2013 government report put the average age of farmer at 59. Much land is already "precision farmed" - monitored by sensors, data-analysis and satellite mapping, and cultivated with machines that use that data and GPS technology to plant, spray and harvest more efficiently. Driverless tractors are already in use in Europe and the US, but at John Deere - the agricultural machinery manufacturer - the talk is of sensors and the internet of things enabling whole farms to run almost entirely unmanned. </w:t>
      </w:r>
      <w:r w:rsidRPr="00921467">
        <w:rPr>
          <w:rStyle w:val="StyleUnderline"/>
        </w:rPr>
        <w:t>The application of fertiliser, for example, will be carried out not by large tractor-like machines whose weight increases soil compaction, but by fleets of drones. And forget broad use of dangerous herbicides - weed-recognition software could enable robotic devices to travel fields applying a laser, or single dots of chemicals directly to the offending plant. A prototype robo-weeder is currently being built at Harper Adams University, a specialist provider of agricultural education, in Shropshire.</w:t>
      </w:r>
      <w:r w:rsidRPr="00B77D53">
        <w:rPr>
          <w:sz w:val="16"/>
        </w:rPr>
        <w:t xml:space="preserve"> Livestock handling is also being automated. Robotic milkers - the first robots to make inroads on farms - are now affordable to even small-scale producers, and are able to imitate the milking action of a human. Dairymaster's MooMonitor sensors detect when a cow is in heat and ready for insemination, and alerts the farmer via text message. Irish shepherd Paul Brennan, of Carlow, uses a drone to replace sheepdogs for round-ups. Of course, some of this farming technology will be redundant if lab-grown meat becomes a more affordable and appealing option. With Tel Aviv's Modern Agriculture Foundation currently developing a process for growing chicken breast from stem cells that's indistinguishable from the real thing, that "if" may soon become a "when". Does all this mean that our countryside will become depopulated and tended only by droids, much like the Lars' family farm on Tatooine? </w:t>
      </w:r>
      <w:r w:rsidRPr="00921467">
        <w:rPr>
          <w:rStyle w:val="StyleUnderline"/>
        </w:rPr>
        <w:t>Simon Blackstone, head of engineering at Harper Adams, believes there will still be plenty of employment for humans as "Agricultural robots will replace semi-skilled drivers, but many new, highly skilled robot engineers will be needed."</w:t>
      </w:r>
      <w:r w:rsidRPr="00B77D53">
        <w:rPr>
          <w:sz w:val="16"/>
        </w:rPr>
        <w:t xml:space="preserve"> And according to Ian Bell, chief executive of the Addington Fund, which supports farming families struggling to adapt to changing conditions, there could even be new opportunities for those with old-fashioned and traditional skills.  </w:t>
      </w:r>
      <w:r w:rsidRPr="00921467">
        <w:rPr>
          <w:rStyle w:val="StyleUnderline"/>
        </w:rPr>
        <w:t>"The more mechanised farming becomes, the more urbanites fetishise traditional farming and country living," Bell says. "We're already seeing a growing market of wealthy rural incomers willing to pay a premium for craftsmanship and artisanally produced foods. If you can work out how to use tech to minimise overheads while providing services in that area, you can make a lot more money than you will growing lettuce."</w:t>
      </w:r>
    </w:p>
    <w:p w:rsidR="00C12070" w:rsidRDefault="00C12070" w:rsidP="00C12070"/>
    <w:p w:rsidR="00C12070" w:rsidRDefault="00C12070" w:rsidP="00C12070">
      <w:pPr>
        <w:pStyle w:val="Heading4"/>
      </w:pPr>
      <w:r>
        <w:t>Automated farming solves food shortages and labor shortages</w:t>
      </w:r>
    </w:p>
    <w:p w:rsidR="00C12070" w:rsidRPr="00D965B6" w:rsidRDefault="00C12070" w:rsidP="00C12070">
      <w:r>
        <w:rPr>
          <w:rStyle w:val="Style13ptBold"/>
        </w:rPr>
        <w:t xml:space="preserve">Geller 16 </w:t>
      </w:r>
      <w:r w:rsidRPr="00D965B6">
        <w:t xml:space="preserve">– </w:t>
      </w:r>
      <w:r>
        <w:t xml:space="preserve">Geller is an Oberlin, Ohio-based writer and documentary producer. </w:t>
      </w:r>
      <w:r w:rsidRPr="00D965B6">
        <w:t>(</w:t>
      </w:r>
      <w:r>
        <w:t xml:space="preserve">Tom, “Farm Automation Gets Smarter,” Communications of the ACM Vol 59 No. 11, pages 18-19, 2016, accessed 7/19/17, </w:t>
      </w:r>
      <w:hyperlink r:id="rId66" w:history="1">
        <w:r w:rsidRPr="009A5350">
          <w:rPr>
            <w:rStyle w:val="Hyperlink"/>
          </w:rPr>
          <w:t>https://cacm.acm.org/magazines/2016/11/209134-farm-automation-gets-smarter/fulltext</w:t>
        </w:r>
      </w:hyperlink>
      <w:r>
        <w:t xml:space="preserve"> ) // MK</w:t>
      </w:r>
    </w:p>
    <w:p w:rsidR="00C12070" w:rsidRDefault="00C12070" w:rsidP="00C12070">
      <w:pPr>
        <w:rPr>
          <w:sz w:val="16"/>
        </w:rPr>
      </w:pPr>
      <w:r w:rsidRPr="00B77D53">
        <w:rPr>
          <w:sz w:val="16"/>
        </w:rPr>
        <w:t xml:space="preserve">Field farming is "the world's oldest profession," and not just because food plants have been cultivated for over 10,000 years. Its individual practitioners are old as well, the median age rising rapidly as young people abandon the farming lifestyle (the U.S. Department of Agriculture reports a median age of 58 in 2012, up from 55 in 2002, with other countries showing similar data). </w:t>
      </w:r>
      <w:r w:rsidRPr="00AD6D1E">
        <w:rPr>
          <w:rStyle w:val="StyleUnderline"/>
        </w:rPr>
        <w:t>Those who remain face the same repetitive work of seeding, weeding, feeding, and harvesting, the tedium of each task increasing as farms grow ever larger.</w:t>
      </w:r>
      <w:r w:rsidRPr="00B77D53">
        <w:rPr>
          <w:sz w:val="16"/>
        </w:rPr>
        <w:t xml:space="preserve"> </w:t>
      </w:r>
      <w:r w:rsidRPr="00AD6D1E">
        <w:rPr>
          <w:rStyle w:val="StyleUnderline"/>
        </w:rPr>
        <w:t>However, today's agricultural robots excel at repetitive tasks, letting farmers tend to more strategic matters.</w:t>
      </w:r>
      <w:r w:rsidRPr="00B77D53">
        <w:rPr>
          <w:rStyle w:val="StyleUnderline"/>
          <w:sz w:val="16"/>
        </w:rPr>
        <w:t xml:space="preserve"> </w:t>
      </w:r>
      <w:r w:rsidRPr="00AD6D1E">
        <w:rPr>
          <w:rStyle w:val="StyleUnderline"/>
        </w:rPr>
        <w:t>"When we develop robots, people always say they should increase yields or lower costs, but that's not always the case," says Eldert van Henten, a professor in Wageningen University's Farm Technology Group. "Robots that offer the farmer time to devote attention to business and management also have economic value."</w:t>
      </w:r>
      <w:r w:rsidRPr="00B77D53">
        <w:rPr>
          <w:sz w:val="16"/>
        </w:rPr>
        <w:t xml:space="preserve"> </w:t>
      </w:r>
      <w:r w:rsidRPr="00AD6D1E">
        <w:rPr>
          <w:rStyle w:val="StyleUnderline"/>
        </w:rPr>
        <w:t>Allen Lash, CEO of the farm management company Family Farms Group, sees agricultural robots filling in for the shrinking agricultural workforce. "In a lot of our small, rural communities, we just don't have adequate labor to run big, sophisticated equipment anymore," he says. "With autonomous equipment, you'll need less labor, although the people you have will need more computer technology skills. They'll control equipment remotely to a great extent, from a control room, scanning at least three cameras all the time. So we'll get more acres covered in a more efficient way; maybe several thousand acres per employee, instead of today's 1,000."</w:t>
      </w:r>
      <w:r w:rsidRPr="00B77D53">
        <w:rPr>
          <w:sz w:val="16"/>
        </w:rPr>
        <w:t xml:space="preserve"> </w:t>
      </w:r>
      <w:r w:rsidRPr="00D965B6">
        <w:rPr>
          <w:rStyle w:val="StyleUnderline"/>
        </w:rPr>
        <w:t>Proponents believe robotic agriculture also will help ensure food is available for everyone, everywhere, from local sources</w:t>
      </w:r>
      <w:r w:rsidRPr="00B77D53">
        <w:rPr>
          <w:sz w:val="16"/>
        </w:rPr>
        <w:t>. "Every country is now worried about food security, and the country next door has cheaper labor" said Salah Sukkarieh, director of Research and Innovation at the Australian Centre for Field Robotics (ACFR) at the University of Sydney. Food security is one of the driving forces behind "The Vegetable Factory," an indoor farm that the Japan-based company SPREAD Co. Inc. plans to open in Kyoto next year. In addition to computer-controlled lighting, temperature, and humidity, virtually every aspect of a plant's development from seedling to harvest will be automated. "</w:t>
      </w:r>
      <w:r w:rsidRPr="00D965B6">
        <w:rPr>
          <w:rStyle w:val="StyleUnderline"/>
        </w:rPr>
        <w:t>We expect automation to reduce human error, therefore stabilizing the quality and quantity of production,"</w:t>
      </w:r>
      <w:r w:rsidRPr="00B77D53">
        <w:rPr>
          <w:sz w:val="16"/>
        </w:rPr>
        <w:t xml:space="preserve"> says SPREAD global marketing manager J.J. Price. "Such 'plant factories' will increase in the future to cover agricultural issues, food shortages, and environmental problems."</w:t>
      </w:r>
    </w:p>
    <w:p w:rsidR="00C12070" w:rsidRDefault="00C12070" w:rsidP="00C12070">
      <w:pPr>
        <w:rPr>
          <w:sz w:val="16"/>
        </w:rPr>
      </w:pPr>
    </w:p>
    <w:p w:rsidR="00C12070" w:rsidRDefault="00C12070" w:rsidP="00C12070">
      <w:pPr>
        <w:rPr>
          <w:sz w:val="16"/>
        </w:rPr>
      </w:pPr>
    </w:p>
    <w:p w:rsidR="00C12070" w:rsidRDefault="00C12070" w:rsidP="00C12070">
      <w:pPr>
        <w:pStyle w:val="Heading4"/>
      </w:pPr>
      <w:r>
        <w:t>Robots are key to increasing productivity, decreasing waster, and no labor lost</w:t>
      </w:r>
    </w:p>
    <w:p w:rsidR="00C12070" w:rsidRPr="005E7C47" w:rsidRDefault="00C12070" w:rsidP="00C12070">
      <w:r>
        <w:rPr>
          <w:rStyle w:val="Style13ptBold"/>
        </w:rPr>
        <w:t xml:space="preserve">Schiller 16 </w:t>
      </w:r>
      <w:r w:rsidRPr="005E7C47">
        <w:t xml:space="preserve">– </w:t>
      </w:r>
      <w:r>
        <w:t xml:space="preserve">Schiller is a New York staff writer for Fast Company. Previously he edited for a European management magazine and was a reporter in San Francisco, Prague, and Brussels. </w:t>
      </w:r>
      <w:r w:rsidRPr="005E7C47">
        <w:t>(</w:t>
      </w:r>
      <w:r>
        <w:t xml:space="preserve">Ben, “Why Agriculture Could be Automated Before Other Industries,” Fast Company, 12/10/16, </w:t>
      </w:r>
      <w:hyperlink r:id="rId67" w:history="1">
        <w:r w:rsidRPr="00E6768D">
          <w:rPr>
            <w:rStyle w:val="Hyperlink"/>
          </w:rPr>
          <w:t>https://www.fastcompany.com/3065212/why-agriculture-could-be-automated-before-other-industries</w:t>
        </w:r>
      </w:hyperlink>
      <w:r>
        <w:t xml:space="preserve"> ) // MK</w:t>
      </w:r>
    </w:p>
    <w:p w:rsidR="00C12070" w:rsidRPr="005E7C47" w:rsidRDefault="00C12070" w:rsidP="00C12070">
      <w:pPr>
        <w:rPr>
          <w:rStyle w:val="StyleUnderline"/>
        </w:rPr>
      </w:pPr>
      <w:r w:rsidRPr="005E7C47">
        <w:rPr>
          <w:sz w:val="16"/>
        </w:rPr>
        <w:t xml:space="preserve">In 1870, agriculture was a source of employment for about half the U.S. workforce; now just 2% of the population produces food for a living, according to government figures. As large machines have increasingly done the work of ploughing and harvesting crops and tending to livestock, farms have become ever more human-free. And what of the future? They may provide barely any jobs at all. The new age of farm machines include weeding robots, self-driving tractors, and crop-spraying drones. </w:t>
      </w:r>
      <w:r w:rsidRPr="005E7C47">
        <w:rPr>
          <w:rStyle w:val="StyleUnderline"/>
        </w:rPr>
        <w:t>The drivers: higher productivity, an aging human workforce (principal farmers are 58 years old on average), and the cost of employing humans (California’s minimum wage increases could lead to an automation wave, according to some reports).</w:t>
      </w:r>
      <w:r>
        <w:rPr>
          <w:rStyle w:val="StyleUnderline"/>
        </w:rPr>
        <w:t xml:space="preserve"> </w:t>
      </w:r>
      <w:r w:rsidRPr="005E7C47">
        <w:rPr>
          <w:sz w:val="16"/>
        </w:rPr>
        <w:t xml:space="preserve">“If you take a very long view [of] the world of agriculture, </w:t>
      </w:r>
      <w:r w:rsidRPr="005E7C47">
        <w:rPr>
          <w:rStyle w:val="StyleUnderline"/>
        </w:rPr>
        <w:t>you can see that employment has come down as a total share of the world population, while the amount of food produced has gone up. Productivity has dramatically increased and we see robots as the next step in enabling that,”</w:t>
      </w:r>
      <w:r w:rsidRPr="005E7C47">
        <w:rPr>
          <w:sz w:val="16"/>
        </w:rPr>
        <w:t xml:space="preserve"> says Khasha Ghaffarzadeh, lead author of a new report about agricultural automation. Dairy milking bots are by far the most common forms of ag-automation so far. And, according to projections in “Agricultural Robots and Drones 2016-2026: Technologies, Markets, and Players” from U.K. research firm IDTechEx, they will still make up a lion’s share of the market in a decade’s time. Other technologies will increasingly come on stream, though, including “scouts” that check on the health of plants, auto-steer tractors, and data-mapping drones. </w:t>
      </w:r>
      <w:r w:rsidRPr="005E7C47">
        <w:rPr>
          <w:rStyle w:val="StyleUnderline"/>
        </w:rPr>
        <w:t>Ghaffarzadeh sees drones and robots hastening a move to precision farming, where crops are managed in small batches, or even individually, instead of as whole fields. That, in turn, could reduce indiscriminate spraying with herbicides and pesticides, and the waste of costly inputs, like artificial fertilizers</w:t>
      </w:r>
      <w:r w:rsidRPr="005E7C47">
        <w:rPr>
          <w:sz w:val="16"/>
        </w:rPr>
        <w:t xml:space="preserve">. Within a decade, automated combine harvesters could run pre-set routes, allowing farmers to get on with less repetitive activities (assuming these machines can be made safe for any humans who might still be in the way). But some parts of the farm may be beyond the capacity even of computer vision and algorithmic techniques. Soft fruits may still need human-plucking, for instance. “If you think about the canopy of a tree, there are many fruits hidden away and the robot cannot see them. The process of taking an image, identifying the fruits, and planning the path of the robotic arm then gently but quickly picking the fruit is slow, expensive, complicated and hard to repeat,” Ghaffarzadeh says. </w:t>
      </w:r>
      <w:r w:rsidRPr="005E7C47">
        <w:rPr>
          <w:rStyle w:val="StyleUnderline"/>
        </w:rPr>
        <w:t>He adds: “It may be that machines are designed to aid the human and reduce some of their time-wasting activities, like moving the [collection] bins and ladders around. That’s easier to mechanize than the actual act of picking.”</w:t>
      </w:r>
      <w:r>
        <w:rPr>
          <w:rStyle w:val="StyleUnderline"/>
        </w:rPr>
        <w:t xml:space="preserve"> </w:t>
      </w:r>
      <w:r w:rsidRPr="005E7C47">
        <w:rPr>
          <w:sz w:val="16"/>
        </w:rPr>
        <w:t>As with other industries</w:t>
      </w:r>
      <w:r w:rsidRPr="005E7C47">
        <w:rPr>
          <w:rStyle w:val="StyleUnderline"/>
        </w:rPr>
        <w:t>, automation in agriculture is likely to be a mixed bag socially-speaking. On the one hand, we may get more and cheaper food, delivered more safely, with fewer nasty chemicals attached. On the other, farms might become increasingly industrialized, mono-cultured, and devoid of humans and human values.</w:t>
      </w:r>
    </w:p>
    <w:p w:rsidR="00C12070" w:rsidRDefault="00C12070" w:rsidP="00C12070"/>
    <w:p w:rsidR="00C12070" w:rsidRPr="005A0DF5" w:rsidRDefault="00C12070" w:rsidP="00C12070"/>
    <w:p w:rsidR="00C12070" w:rsidRPr="005A0DF5" w:rsidRDefault="00C12070" w:rsidP="00C12070"/>
    <w:p w:rsidR="00C12070" w:rsidRDefault="00C12070" w:rsidP="00C12070">
      <w:pPr>
        <w:pStyle w:val="Heading3"/>
      </w:pPr>
      <w:r>
        <w:t>Hydroponics CP</w:t>
      </w:r>
    </w:p>
    <w:p w:rsidR="00C12070" w:rsidRDefault="00C12070" w:rsidP="00C12070"/>
    <w:p w:rsidR="00C12070" w:rsidRDefault="00C12070" w:rsidP="00C12070">
      <w:pPr>
        <w:pStyle w:val="Heading4"/>
      </w:pPr>
      <w:r>
        <w:t>Hydroponics Technology Solves the global food crisis – produces 24/7, healthy, enivironmentaly friendly</w:t>
      </w:r>
    </w:p>
    <w:p w:rsidR="00C12070" w:rsidRPr="005A64E6" w:rsidRDefault="00C12070" w:rsidP="00C12070">
      <w:r>
        <w:rPr>
          <w:rStyle w:val="Style13ptBold"/>
        </w:rPr>
        <w:t xml:space="preserve">May 15 </w:t>
      </w:r>
      <w:r w:rsidRPr="005A64E6">
        <w:t xml:space="preserve">– </w:t>
      </w:r>
      <w:r>
        <w:t xml:space="preserve">May is a reporter and journalist for Muchies. </w:t>
      </w:r>
      <w:r w:rsidRPr="005A64E6">
        <w:t>(</w:t>
      </w:r>
      <w:r>
        <w:t xml:space="preserve">Gareth, Munchies, “A Farm That Floats on Water Could Help Solve Global Food Shortage,” 12/28/15, accessed 7/19/17, </w:t>
      </w:r>
      <w:hyperlink r:id="rId68" w:history="1">
        <w:r w:rsidRPr="009A5350">
          <w:rPr>
            <w:rStyle w:val="Hyperlink"/>
          </w:rPr>
          <w:t>https://munchies.vice.com/en_us/article/aeyqy8/a-farm-that-floats-on-water-could-help-solve-global-food-shortage</w:t>
        </w:r>
      </w:hyperlink>
      <w:r>
        <w:t xml:space="preserve"> ) // MK</w:t>
      </w:r>
    </w:p>
    <w:p w:rsidR="00C12070" w:rsidRPr="00B77D53" w:rsidRDefault="00C12070" w:rsidP="00C12070">
      <w:pPr>
        <w:rPr>
          <w:sz w:val="16"/>
        </w:rPr>
      </w:pPr>
      <w:r w:rsidRPr="005A64E6">
        <w:rPr>
          <w:rStyle w:val="StyleUnderline"/>
        </w:rPr>
        <w:t>With its aquaculture, hydroponics, and photovoltaics mash up, the "floating farm" could produce food 365 days a year, regardless of water scarcity, drought, and even natural disasters</w:t>
      </w:r>
      <w:r w:rsidRPr="00B77D53">
        <w:rPr>
          <w:sz w:val="16"/>
        </w:rPr>
        <w:t xml:space="preserve">. The global population looks likely to hit 9.6 billion by 2050. </w:t>
      </w:r>
      <w:r w:rsidRPr="005A64E6">
        <w:rPr>
          <w:rStyle w:val="StyleUnderline"/>
        </w:rPr>
        <w:t>To meet the hungry demands of so many, food production will have to increase by a 70 percent.</w:t>
      </w:r>
      <w:r w:rsidRPr="00B77D53">
        <w:rPr>
          <w:sz w:val="16"/>
        </w:rPr>
        <w:t xml:space="preserve"> To make matters worse, water scarcity is becoming a real problem. According to the World Resources Institute, one third of our current food production takes place where water is running out. Happy days, eh? Right now, we're open to any ideas—the crazier the better—and architect Javier F. Ponce of Forward Thinking Architecture (in collaboration with Jakub Dycha) might have come up with the maddest of the lot. A floating farm</w:t>
      </w:r>
      <w:r w:rsidRPr="005A64E6">
        <w:rPr>
          <w:rStyle w:val="StyleUnderline"/>
        </w:rPr>
        <w:t>. Smart Floating Farms (SFF) are "automated offshore multi-layer food and energy production platforms," or to put it in simpler terms, these buoyant beauts could make it possible to deliver food to countries with food and water import and production issues, or even scarcity.</w:t>
      </w:r>
      <w:r w:rsidRPr="00B77D53">
        <w:rPr>
          <w:sz w:val="16"/>
        </w:rPr>
        <w:t xml:space="preserve"> "After doing some research and watching documentaries about humanity's future, I became interested in using my architectural knowledge and design in order to help improve the world," Ponce says. "</w:t>
      </w:r>
      <w:r w:rsidRPr="005A64E6">
        <w:rPr>
          <w:rStyle w:val="StyleUnderline"/>
        </w:rPr>
        <w:t>One subject which caught my attention was food risk and the current trend of importing massive amounts of food from one place to another, causing huge environmental problems."</w:t>
      </w:r>
      <w:r w:rsidRPr="00B77D53">
        <w:rPr>
          <w:sz w:val="16"/>
        </w:rPr>
        <w:t xml:space="preserve"> Far from being a gimmick for the future, Ponce was inspired by the past. He tells me that </w:t>
      </w:r>
      <w:r w:rsidRPr="005A64E6">
        <w:rPr>
          <w:rStyle w:val="StyleUnderline"/>
        </w:rPr>
        <w:t>"floating farms as such have existed historically" giving the example of the Mayan agriculture of Chinampas</w:t>
      </w:r>
      <w:r w:rsidRPr="00B77D53">
        <w:rPr>
          <w:sz w:val="16"/>
        </w:rPr>
        <w:t>. Also called "floating gardens,"</w:t>
      </w:r>
      <w:r w:rsidRPr="005A64E6">
        <w:rPr>
          <w:rStyle w:val="StyleUnderline"/>
        </w:rPr>
        <w:t xml:space="preserve"> these artificial islands are built on freshwater lakes using layers of vegetation and mud. The wet environment allows for a cycle of decomposition and irrigation which fertilises the soil, creating a productive area for agriculture.</w:t>
      </w:r>
      <w:r w:rsidRPr="00B77D53">
        <w:rPr>
          <w:rStyle w:val="StyleUnderline"/>
          <w:sz w:val="16"/>
        </w:rPr>
        <w:t xml:space="preserve"> </w:t>
      </w:r>
      <w:r w:rsidRPr="00B77D53">
        <w:rPr>
          <w:sz w:val="16"/>
        </w:rPr>
        <w:t>Developed in ancient times by the 14th century, Aztecs had turned most of the Lake of Xochimilco into one big floating garden, which allowed them to support up to 230,000 people. Some Chinampas still exist today. "This is not science fiction. It is a serious and viable solution," Ponce says. "</w:t>
      </w:r>
      <w:r w:rsidRPr="005A64E6">
        <w:rPr>
          <w:rStyle w:val="StyleUnderline"/>
        </w:rPr>
        <w:t>It is not meant to 'solve' all of humanity's hunger problems or to replace existing traditional agriculture; this is not the idea at all. The driver behind the project is to open a new initiative which can be complementary and compatible with other existing production methods in order to help reduce food risk associated problems in different areas of the globe."</w:t>
      </w:r>
      <w:r w:rsidRPr="00B77D53">
        <w:rPr>
          <w:rStyle w:val="StyleUnderline"/>
          <w:sz w:val="16"/>
        </w:rPr>
        <w:t xml:space="preserve"> </w:t>
      </w:r>
      <w:r w:rsidRPr="00B77D53">
        <w:rPr>
          <w:sz w:val="16"/>
        </w:rPr>
        <w:t xml:space="preserve">So how does this floaty farmy thingy actually work? The three-story system is made up of a range of farming facilities. </w:t>
      </w:r>
      <w:r w:rsidRPr="005A64E6">
        <w:rPr>
          <w:rStyle w:val="StyleUnderline"/>
        </w:rPr>
        <w:t>The lower level, or basement level, is closed off from the outside environment and primarily used for fishing operations. There are also boat docks, shipping and storage areas, and a processing plant</w:t>
      </w:r>
      <w:r w:rsidRPr="00B77D53">
        <w:rPr>
          <w:sz w:val="16"/>
        </w:rPr>
        <w:t xml:space="preserve">. </w:t>
      </w:r>
      <w:r w:rsidRPr="005A64E6">
        <w:rPr>
          <w:rStyle w:val="StyleUnderline"/>
        </w:rPr>
        <w:t>On the second floor is the automated hydroponics, which uses nutrient-rich water and a soil-like base of rock wool, coconut wool, or clay (instead of soil) to feed plants and crops. No rain is required, nor fertile land—just treated water.</w:t>
      </w:r>
      <w:r w:rsidRPr="00B77D53">
        <w:rPr>
          <w:rStyle w:val="StyleUnderline"/>
          <w:sz w:val="16"/>
        </w:rPr>
        <w:t xml:space="preserve"> </w:t>
      </w:r>
      <w:r w:rsidRPr="00B77D53">
        <w:rPr>
          <w:sz w:val="16"/>
        </w:rPr>
        <w:t xml:space="preserve">And finally, on </w:t>
      </w:r>
      <w:r w:rsidRPr="005A64E6">
        <w:rPr>
          <w:rStyle w:val="StyleUnderline"/>
        </w:rPr>
        <w:t>the top floor is the solar plant, a hub of fans, microclimate controls, and irrigation tools. This is where the nitty gritty business of waste and energy management takes place, including bio-digesters, water recycling, and organic energy creation.</w:t>
      </w:r>
      <w:r w:rsidRPr="00B77D53">
        <w:rPr>
          <w:rStyle w:val="StyleUnderline"/>
          <w:sz w:val="16"/>
        </w:rPr>
        <w:t xml:space="preserve"> </w:t>
      </w:r>
      <w:r w:rsidRPr="00B77D53">
        <w:rPr>
          <w:sz w:val="16"/>
        </w:rPr>
        <w:t xml:space="preserve">With its aquaculture (fish), hydroponics (crops), and photovoltaics (solar power) mash up, the </w:t>
      </w:r>
      <w:r w:rsidRPr="005A64E6">
        <w:rPr>
          <w:rStyle w:val="StyleUnderline"/>
        </w:rPr>
        <w:t>SFF could produce food 365 days a year regardless of water scarcity, drought, and even natural disasters. Ponce's design offers a continuous food supply and an estimated annual yield of 8152 tons of v</w:t>
      </w:r>
      <w:r>
        <w:rPr>
          <w:rStyle w:val="StyleUnderline"/>
        </w:rPr>
        <w:t xml:space="preserve">egetables and 1703 tons of fish </w:t>
      </w:r>
      <w:r w:rsidRPr="00B77D53">
        <w:rPr>
          <w:sz w:val="16"/>
        </w:rPr>
        <w:t>They would be readily available for mega cities of the future with access to water or inland lakes or rivers, which includes pretty much everywhere: Chicago, Tokyo, Singapore, Jakarta, Cairo, Doha, Osaka, Bahrain, Istanbul... The list is endless. But is the floating farm solely a concept or could it one day actually be built as a commercially viable agribusiness? Founder and editor-in-chief at Indie Farmer, Nigel Akehurst thinks so. "In terms of feasibility, I'd say the project looks quite ambitious," he says. "</w:t>
      </w:r>
      <w:r w:rsidRPr="005A64E6">
        <w:rPr>
          <w:rStyle w:val="StyleUnderline"/>
        </w:rPr>
        <w:t>But if you look at a successful hydroponic salad and fresh produce growing enterprise like Thanet Earth all the technology and expertise that exists to make it a commercial reality, floating farms could potentially offer a sustainable way of growing more local, healthy food."</w:t>
      </w:r>
    </w:p>
    <w:p w:rsidR="00C12070" w:rsidRDefault="00C12070" w:rsidP="00C12070"/>
    <w:p w:rsidR="00C12070" w:rsidRDefault="00C12070" w:rsidP="00C12070">
      <w:pPr>
        <w:pStyle w:val="Heading4"/>
      </w:pPr>
      <w:r>
        <w:t>Hydroponics Help the Environment and help solve global warming</w:t>
      </w:r>
    </w:p>
    <w:p w:rsidR="00C12070" w:rsidRPr="00AD53DD" w:rsidRDefault="00C12070" w:rsidP="00C12070">
      <w:r>
        <w:rPr>
          <w:rStyle w:val="Style13ptBold"/>
        </w:rPr>
        <w:t xml:space="preserve">MIT Mission 15 </w:t>
      </w:r>
      <w:r w:rsidRPr="00AD53DD">
        <w:t>– (</w:t>
      </w:r>
      <w:r>
        <w:t xml:space="preserve">Massachusetts Institue of Technology Mission 2015: Biodiversity,  “Hydroponics,” 2015, accessed on 7/19/17, </w:t>
      </w:r>
      <w:hyperlink r:id="rId69" w:history="1">
        <w:r w:rsidRPr="009A5350">
          <w:rPr>
            <w:rStyle w:val="Hyperlink"/>
          </w:rPr>
          <w:t>http://web.mit.edu/12.000/www/m2015/2015/hydro_agriculture.html</w:t>
        </w:r>
      </w:hyperlink>
      <w:r>
        <w:t xml:space="preserve"> ) // MK</w:t>
      </w:r>
    </w:p>
    <w:p w:rsidR="00C12070" w:rsidRPr="00B77D53" w:rsidRDefault="00C12070" w:rsidP="00C12070">
      <w:pPr>
        <w:rPr>
          <w:rStyle w:val="StyleUnderline"/>
          <w:sz w:val="16"/>
        </w:rPr>
      </w:pPr>
      <w:r w:rsidRPr="00B77D53">
        <w:rPr>
          <w:sz w:val="16"/>
        </w:rPr>
        <w:t xml:space="preserve">Humans require food, water, and living space in order to survive. </w:t>
      </w:r>
      <w:r w:rsidRPr="003507D6">
        <w:rPr>
          <w:rStyle w:val="StyleUnderline"/>
        </w:rPr>
        <w:t>These things do not exist in endless abundance and are derived both from abiotic and biotic sources, making humans inherently dependent upon the optimization of land area and the preservation of biodiversity.</w:t>
      </w:r>
      <w:r w:rsidRPr="00B77D53">
        <w:rPr>
          <w:sz w:val="16"/>
        </w:rPr>
        <w:t xml:space="preserve"> The human population is increasing, and is predicted to expand from 7.0 billion to 9.5 billion people within the next 40 years (Sahara Forest Project, 2009</w:t>
      </w:r>
      <w:r w:rsidRPr="003507D6">
        <w:rPr>
          <w:rStyle w:val="StyleUnderline"/>
        </w:rPr>
        <w:t>). A parallel increase in the demand for food species is implied, and estimates claim that food production will need to be doubled in order to compensate</w:t>
      </w:r>
      <w:r w:rsidRPr="00B77D53">
        <w:rPr>
          <w:sz w:val="16"/>
        </w:rPr>
        <w:t xml:space="preserve"> (Sahara Forest Project, 2009). The trouble with this becomes evident upon the consideration of the productivity of current systems of agriculture and fresh water harvesting: despite our efforts, 1.0 billion people suffer from hunger modernly, and 1.2 billion live in areas with water scarcity (Sahara Forest Project, 2009). To make matters worse</w:t>
      </w:r>
      <w:r w:rsidRPr="003507D6">
        <w:rPr>
          <w:rStyle w:val="StyleUnderline"/>
        </w:rPr>
        <w:t xml:space="preserve">, the affluence of the world is increasing, meaning that more of the future's consumers will demand higher—quality resources </w:t>
      </w:r>
      <w:r w:rsidRPr="00B77D53">
        <w:rPr>
          <w:sz w:val="16"/>
        </w:rPr>
        <w:t xml:space="preserve">(Charles and Godfray, 2011). </w:t>
      </w:r>
      <w:r w:rsidRPr="003507D6">
        <w:rPr>
          <w:rStyle w:val="StyleUnderline"/>
        </w:rPr>
        <w:t>The intensified harvesting of resources from the environment affects biodiversity negatively, as it contributes to climate change (through the burning of fossil fuels) and habitat fragmentation, degradation, and reduction (as natural terrestrial environments are converted into farmlands). Habitat loss is the leading cause of biodiversity loss, and today, about 38 percent of global land is devoted to agriculture</w:t>
      </w:r>
      <w:r w:rsidRPr="00B77D53">
        <w:rPr>
          <w:sz w:val="16"/>
        </w:rPr>
        <w:t xml:space="preserve"> (Brudvig et al., 2009; FAO, 2011). Without altering our current systems of development, this percentage will only increase, as open-air soil-reliant crops cannot be stacked into storied facilities. In what follows, </w:t>
      </w:r>
      <w:r w:rsidRPr="003507D6">
        <w:rPr>
          <w:rStyle w:val="StyleUnderline"/>
        </w:rPr>
        <w:t>the construction of a series of hydroponic agriculture and algaculture (multi-level) facilities and power plant/greenhouse desalination facilities is proposed in an effort to:</w:t>
      </w:r>
      <w:r w:rsidRPr="00B77D53">
        <w:rPr>
          <w:sz w:val="16"/>
        </w:rPr>
        <w:t xml:space="preserve"> </w:t>
      </w:r>
      <w:r w:rsidRPr="003507D6">
        <w:rPr>
          <w:rStyle w:val="StyleUnderline"/>
        </w:rPr>
        <w:t>limit terrestrial biodiversity loss</w:t>
      </w:r>
      <w:r w:rsidRPr="00B77D53">
        <w:rPr>
          <w:sz w:val="16"/>
        </w:rPr>
        <w:t xml:space="preserve"> through the reversion of large tracts of current farmland into sustainable and fundamentally natural environments; </w:t>
      </w:r>
      <w:r w:rsidRPr="003507D6">
        <w:rPr>
          <w:rStyle w:val="StyleUnderline"/>
        </w:rPr>
        <w:t>limit aquatic biodiversity loss through the development of more cost-effective distillation processes;</w:t>
      </w:r>
      <w:r>
        <w:rPr>
          <w:rStyle w:val="StyleUnderline"/>
        </w:rPr>
        <w:t xml:space="preserve"> </w:t>
      </w:r>
      <w:r w:rsidRPr="00B77D53">
        <w:rPr>
          <w:sz w:val="16"/>
        </w:rPr>
        <w:t xml:space="preserve">produce algae for biofuels, limiting abrasive, environmentally damaging fuel harvesting; expand our capacity to supply fresh water, foods, and economic stability to arid communities; AND optimize space in current agricultural settings. It is true that other technologies exist in order to address these problems independently. </w:t>
      </w:r>
      <w:r w:rsidRPr="001E5F3F">
        <w:rPr>
          <w:rStyle w:val="StyleUnderline"/>
        </w:rPr>
        <w:t>More sustainable forms of irrigation, for example, reduce strains on freshwater habitats, but also allow for the development of arid regions with entirely different forms of biodiversity: modern agriculture occupies far more than the 10.6 percent of global land that is arable</w:t>
      </w:r>
      <w:r w:rsidRPr="00B77D53">
        <w:rPr>
          <w:sz w:val="16"/>
        </w:rPr>
        <w:t xml:space="preserve"> (FAO, 2011). The above technologies are favored in this report because they seek to mitigate a broad array of anthropogenic environmental problems simultaneously. Traditional Agriculture Traditional agriculture, in this report, refers to systems which are characterized by expansive plots of extensively-tilled land. In many countries, the crops of such systems are monocultures selectively bred for high fruit, grain, or biomass yields: agricultural development promotes biological uniformity in food species and in environments. </w:t>
      </w:r>
      <w:r w:rsidRPr="001E5F3F">
        <w:rPr>
          <w:rStyle w:val="StyleUnderline"/>
        </w:rPr>
        <w:t>Traditional systems use large quantities of fresh water (for the purpose of irrigation) and fossil fuels (to power machinery and for transportation purposes), with relatively marginal returns (Pfeiffer, 2003). In the United States, approximately 10 kilocalories of fossil fuel-derived energy are needed to produce 1 kilocalorie of food energy, agriculture accounts for 17 percent of total energy expenditures, and 13 percent of agricultural energy consumption is attributable to irrigation</w:t>
      </w:r>
      <w:r w:rsidRPr="00B77D53">
        <w:rPr>
          <w:sz w:val="16"/>
        </w:rPr>
        <w:t xml:space="preserve"> (Pfeiffer, 2003). What is more, it is believed that current energy expenditures must be increased in coming years in order to maintain current crop yields (Pfeiffer, 2003). In short, massive portions of the world's land area and substantial quantities of fresh water and fossil fuels are being devoted to the production of food which fails to meet humanity's basic dietary needs. </w:t>
      </w:r>
      <w:r w:rsidRPr="001E5F3F">
        <w:rPr>
          <w:rStyle w:val="StyleUnderline"/>
        </w:rPr>
        <w:t>The continuation of the current system of agriculture would mean the continuation of the degradation and destruction of the habitats of innumerable species, both aquatic and terrestrial, with insufficient returns</w:t>
      </w:r>
      <w:r w:rsidRPr="00B77D53">
        <w:rPr>
          <w:sz w:val="16"/>
        </w:rPr>
        <w:t xml:space="preserve">. New procedures which limit the further development of habitats (and provide the opportunity for the reversion of already degraded farmlands) while still meeting humanity's food and freshwater needs are needed II. Hydroponics Overview </w:t>
      </w:r>
      <w:r w:rsidRPr="001E5F3F">
        <w:rPr>
          <w:rStyle w:val="StyleUnderline"/>
        </w:rPr>
        <w:t>Hydroponics is a system of agriculture that utilizes nutrient-laden water rather than soil for plant nourishment (Bridgewood, 2003). Because it does not require natural precipitation or fertile land in order to be effective, it presents people who are living in arid regions with a means to grow food for themselves and for profit. The re-use of nutrient water supplies makes process-induced eutrophication (excessive plant growth due to overabundant nutrients) and general pollution of land and water unlikely, since runoff in weather-independent facilities is not a concern. Aeroponic and hydroponic systems do not require pesticides, require less water and space than traditional agricultural systems, and may be stacked (if outfitted with led lighting) in order to limit space use (vertical farming) (Growing Power, 2011; Marginson, 2010). This makes them optimal for use in cities, where space is particularly limited and populations are high-self-sustaining city-based food systems mean a reduced strain on distant farms, the reduction of habitat intrusions, fewer food miles, and fewer carbon emissions.</w:t>
      </w:r>
    </w:p>
    <w:p w:rsidR="00C12070" w:rsidRDefault="00C12070" w:rsidP="00C12070"/>
    <w:p w:rsidR="00C12070" w:rsidRDefault="00C12070" w:rsidP="00C12070">
      <w:pPr>
        <w:pStyle w:val="Heading3"/>
      </w:pPr>
      <w:r>
        <w:t>AFF AT: Automation CP</w:t>
      </w:r>
    </w:p>
    <w:p w:rsidR="00C12070" w:rsidRDefault="00C12070" w:rsidP="00C12070">
      <w:pPr>
        <w:pStyle w:val="Heading4"/>
      </w:pPr>
      <w:r>
        <w:t>Robots Rob Workers of their jobs in the long-term</w:t>
      </w:r>
    </w:p>
    <w:p w:rsidR="00C12070" w:rsidRPr="00DD0BF8" w:rsidRDefault="00C12070" w:rsidP="00C12070">
      <w:r>
        <w:rPr>
          <w:rStyle w:val="Style13ptBold"/>
        </w:rPr>
        <w:t xml:space="preserve">Coren 16 </w:t>
      </w:r>
      <w:r w:rsidRPr="00DD0BF8">
        <w:t>–</w:t>
      </w:r>
      <w:r>
        <w:t xml:space="preserve"> Coren is a reporter who covers technology, science, startups, and VC in Silicon Vallley. He founded Publet, served as an editor in Cambodia and has also written for Foreign Policy and the Economist. </w:t>
      </w:r>
      <w:r w:rsidRPr="00DD0BF8">
        <w:t xml:space="preserve"> (</w:t>
      </w:r>
      <w:r>
        <w:t xml:space="preserve">Michael J, Quartz Media, “Cheap Robots are Coming for our Farm Jobs by Taking the Most Brutal Tasks First,” 7/10/16, accessed 7/19/17, </w:t>
      </w:r>
      <w:hyperlink r:id="rId70" w:history="1">
        <w:r w:rsidRPr="009A5350">
          <w:rPr>
            <w:rStyle w:val="Hyperlink"/>
          </w:rPr>
          <w:t>https://qz.com/726667/cheap-robots-are-coming-for-our-farm-jobs-by-taking-the-most-brutal-tasks-first/)</w:t>
        </w:r>
      </w:hyperlink>
      <w:r>
        <w:t xml:space="preserve"> // MK</w:t>
      </w:r>
    </w:p>
    <w:p w:rsidR="00C12070" w:rsidRPr="00B77D53" w:rsidRDefault="00C12070" w:rsidP="00C12070">
      <w:pPr>
        <w:rPr>
          <w:rStyle w:val="StyleUnderline"/>
          <w:sz w:val="16"/>
        </w:rPr>
      </w:pPr>
      <w:r w:rsidRPr="00B77D53">
        <w:rPr>
          <w:sz w:val="16"/>
        </w:rPr>
        <w:t xml:space="preserve">More than a million people working in America’s fields, and far more globally, are about to face competition from workers who never sleep, get tired or ask for a living wage. </w:t>
      </w:r>
      <w:r w:rsidRPr="00DD0BF8">
        <w:rPr>
          <w:rStyle w:val="StyleUnderline"/>
        </w:rPr>
        <w:t>As field robots have gotten cheaper, a steady stream of farm jobs are being automated. Lettuce weeding is one of the first where the cost of robots now matches human labor, reports Lux Research in a new analysis. Although costs remain too high for robots to replace most farm work for low-value crops, it’s a taste of what’s to come</w:t>
      </w:r>
      <w:r w:rsidRPr="00B77D53">
        <w:rPr>
          <w:sz w:val="16"/>
        </w:rPr>
        <w:t xml:space="preserve">. Weeding lettuce is slow, expensive, and potentially dangerous due to chemical exposure. Farm workers must spray individual weeds from a pesticide-filled backpack. </w:t>
      </w:r>
      <w:r w:rsidRPr="00DD0BF8">
        <w:rPr>
          <w:rStyle w:val="StyleUnderline"/>
        </w:rPr>
        <w:t xml:space="preserve">Automated systems like the one designed by Danish firm F. Poulsen Engineering replace this with mechanical weeding and computer vision to distinguish between crops and pests. The company says it can do the job much faster and at no extra cost. That hits the sweet spot for inexpensive machinery to replace high-cost labor. </w:t>
      </w:r>
      <w:r w:rsidRPr="00B77D53">
        <w:rPr>
          <w:sz w:val="16"/>
        </w:rPr>
        <w:t>“Agriculture for hundreds of years has been an intuition business,” says Lux’s lead agricultural analyst Sara Olson in an interview. That will end as “precision agriculture” brings data and automation to traditional tasks, making farming more productive and profitable, she predicts</w:t>
      </w:r>
      <w:r w:rsidRPr="00DD0BF8">
        <w:rPr>
          <w:rStyle w:val="StyleUnderline"/>
        </w:rPr>
        <w:t>. At first, robots will make existing jobs more productive. But jobs will ultimately be lost as robots assume more and more of the work.</w:t>
      </w:r>
      <w:r w:rsidRPr="00B77D53">
        <w:rPr>
          <w:sz w:val="16"/>
        </w:rPr>
        <w:t xml:space="preserve"> “</w:t>
      </w:r>
      <w:r w:rsidRPr="00DD0BF8">
        <w:rPr>
          <w:rStyle w:val="StyleUnderline"/>
        </w:rPr>
        <w:t>Over time, there would have to be a shift,” says Olson. “It will happen slowly enough that I see an opportunity for people who want to be in the industry to learn how to operate machinery, manufacture the equipment, and service and support these new systems.”</w:t>
      </w:r>
      <w:r>
        <w:rPr>
          <w:rStyle w:val="StyleUnderline"/>
        </w:rPr>
        <w:t xml:space="preserve"> </w:t>
      </w:r>
      <w:r w:rsidRPr="00B77D53">
        <w:rPr>
          <w:sz w:val="16"/>
        </w:rPr>
        <w:t xml:space="preserve">Robots will likely make inroads fastest in areas where the labor is backbreaking, and peak harvest times create a short supply of workers. Most robots have been built for specialized tasks: grapevine pruners, lettuce thinners, strawberry picking and cow-milking robots. But corn and other commodity crops are already taking advantage of economies of scale to get ahead of the cost curve. </w:t>
      </w:r>
      <w:r w:rsidRPr="00DD0BF8">
        <w:rPr>
          <w:rStyle w:val="StyleUnderline"/>
        </w:rPr>
        <w:t>Large corn farmers in the US are buying features like self-steering tractors to save money. Even though the technology isn’t expected to reach price parity with human labor until 2020 for most farmers, about 10% of US farmer have adopted the technology because of their scale, reports Lux.</w:t>
      </w:r>
    </w:p>
    <w:p w:rsidR="00C12070" w:rsidRDefault="00C12070" w:rsidP="00C12070"/>
    <w:p w:rsidR="00C12070" w:rsidRDefault="00C12070" w:rsidP="00C12070">
      <w:pPr>
        <w:pStyle w:val="Heading4"/>
      </w:pPr>
      <w:r>
        <w:t>Young Farmers won’t use the new technology – can’t afford, to down to earth</w:t>
      </w:r>
    </w:p>
    <w:p w:rsidR="00C12070" w:rsidRPr="00AA2364" w:rsidRDefault="00C12070" w:rsidP="00C12070">
      <w:r w:rsidRPr="00AA2364">
        <w:rPr>
          <w:rStyle w:val="Style13ptBold"/>
        </w:rPr>
        <w:t>Lawrence 12</w:t>
      </w:r>
      <w:r w:rsidRPr="00AA2364">
        <w:t xml:space="preserve"> – </w:t>
      </w:r>
      <w:r>
        <w:t xml:space="preserve">Lawrence is a program associate at the New America Foundation. </w:t>
      </w:r>
      <w:r w:rsidRPr="00AA2364">
        <w:t>(Marie, “Big Bots in Little Agriculture,” Slate, 6/1/12, accessed on 7/23/17, http://www.slate.com/articles/technology/future_tense/2012/06/automated_farm_equipment_and_small_scale_farmers_.html) // MK</w:t>
      </w:r>
    </w:p>
    <w:p w:rsidR="00C12070" w:rsidRPr="00B77D53" w:rsidRDefault="00C12070" w:rsidP="00C12070">
      <w:pPr>
        <w:rPr>
          <w:sz w:val="16"/>
        </w:rPr>
      </w:pPr>
      <w:r w:rsidRPr="00B77D53">
        <w:rPr>
          <w:sz w:val="16"/>
        </w:rPr>
        <w:t>As of the USDA’s 2007 census of agriculture, the average American grower is 57 years old. For every farmer under 35, there are nearly six who are 65 or older</w:t>
      </w:r>
      <w:r w:rsidRPr="00AA2364">
        <w:rPr>
          <w:rStyle w:val="StyleUnderline"/>
        </w:rPr>
        <w:t>. The agriculture industry is poised for sudden, widespread employee turnover from the last generation to the next. These incoming growers, far more than the outgoing ones, will decide the fate of robotic farming. A</w:t>
      </w:r>
      <w:r w:rsidRPr="00B77D53">
        <w:rPr>
          <w:sz w:val="16"/>
        </w:rPr>
        <w:t xml:space="preserve">nd from what we know of new farmers, two very different futures are possible. </w:t>
      </w:r>
      <w:r w:rsidRPr="00AA2364">
        <w:rPr>
          <w:rStyle w:val="StyleUnderline"/>
        </w:rPr>
        <w:t>The first future is that of the hip, “back-to-the-earth” young farmer glamorized by media reports. These new producers are in agriculture not because their fathers implored them to take the reins of the family business, but because they genuinely enjoy food and the task of making it</w:t>
      </w:r>
      <w:r w:rsidRPr="00B77D53">
        <w:rPr>
          <w:sz w:val="16"/>
        </w:rPr>
        <w:t xml:space="preserve">, including the dirty work. Jeff Moyer, farm director at the Rodale Institute in Pennsylvania, says young people want to “produce something with their hands, form new kinds of relationships with customers, and have a meaningful experience in nature every day. </w:t>
      </w:r>
      <w:r w:rsidRPr="00AA2364">
        <w:rPr>
          <w:rStyle w:val="StyleUnderline"/>
        </w:rPr>
        <w:t>My son is a dairy farmer, and he actually likes to touch his cows.” Young farmers may not be excited about the weeding, exactly, but they’d prefer it to toiling full-time in a fluorescent-lit cubicle.</w:t>
      </w:r>
      <w:r>
        <w:rPr>
          <w:u w:val="single"/>
        </w:rPr>
        <w:t xml:space="preserve"> </w:t>
      </w:r>
      <w:r w:rsidRPr="00AA2364">
        <w:rPr>
          <w:rStyle w:val="StyleUnderline"/>
        </w:rPr>
        <w:t>Even if they want to try a few autonomous technologies, these new farmers can’t afford them</w:t>
      </w:r>
      <w:r w:rsidRPr="00B77D53">
        <w:rPr>
          <w:sz w:val="16"/>
        </w:rPr>
        <w:t xml:space="preserve">. Young growers are best understood as startup CEOs with serious cash flow problems. </w:t>
      </w:r>
      <w:r w:rsidRPr="00AA2364">
        <w:rPr>
          <w:rStyle w:val="StyleUnderline"/>
        </w:rPr>
        <w:t>A survey by the National Young Farmers’ Coalition found that lack of access to capital, credit, and land are the top obstacles for aspiring operators. Farm values have doubled since 2000</w:t>
      </w:r>
      <w:r w:rsidRPr="00B77D53">
        <w:rPr>
          <w:sz w:val="16"/>
        </w:rPr>
        <w:t xml:space="preserve">—great for those with established properties, but not for those trying to break into the industry. </w:t>
      </w:r>
      <w:r w:rsidRPr="00AA2364">
        <w:rPr>
          <w:rStyle w:val="StyleUnderline"/>
        </w:rPr>
        <w:t>Young farmers find themselves denied for commercial loans and ineligible for government funding</w:t>
      </w:r>
      <w:r w:rsidRPr="00B77D53">
        <w:rPr>
          <w:sz w:val="16"/>
        </w:rPr>
        <w:t xml:space="preserve">. It seems unlikely they’ll use their precious seed money to spring for a robot. They won’t benefit as much from high-tech help, either. </w:t>
      </w:r>
      <w:r w:rsidRPr="00AA2364">
        <w:rPr>
          <w:rStyle w:val="StyleUnderline"/>
        </w:rPr>
        <w:t>On average, farms operated by people 35 and older are nearly 40 percent larger than farms operated by people under 35. These smaller plots require fewer man-hours</w:t>
      </w:r>
      <w:r w:rsidRPr="00B77D53">
        <w:rPr>
          <w:sz w:val="16"/>
        </w:rPr>
        <w:t xml:space="preserve"> (indeed, young farmers spend 40 percent less on contract labor), so adding a robotic worker might not result in much payroll savings. </w:t>
      </w:r>
      <w:r w:rsidRPr="00AA2364">
        <w:rPr>
          <w:rStyle w:val="StyleUnderline"/>
        </w:rPr>
        <w:t>Young farmers also fork out less for chemicals and fertilizer each year. Machines that promise more efficient application won’t save them that much money.</w:t>
      </w:r>
      <w:r>
        <w:rPr>
          <w:rStyle w:val="StyleUnderline"/>
        </w:rPr>
        <w:t xml:space="preserve"> </w:t>
      </w:r>
      <w:r w:rsidRPr="00B77D53">
        <w:rPr>
          <w:sz w:val="16"/>
        </w:rPr>
        <w:t xml:space="preserve">And though data on crop diversity by farm is hard to come by, smaller, organic operations that sell directly to customers tend to grow lots of different fruits and vegetables, each with its own production challenge. A one-bot-fits-all solution is exciting but unlikely. We must also admit that, </w:t>
      </w:r>
      <w:r w:rsidRPr="00AA2364">
        <w:rPr>
          <w:rStyle w:val="StyleUnderline"/>
        </w:rPr>
        <w:t>cute as they are, most ag bots designed for small-scale operations simply don’t work that well yet,</w:t>
      </w:r>
      <w:r w:rsidRPr="00B77D53">
        <w:rPr>
          <w:sz w:val="16"/>
        </w:rPr>
        <w:t xml:space="preserve"> as demonstrated by YouTube videos of weeding machines struggling to turn corners or metallic critters painstakingly planting a field seed by seed. </w:t>
      </w:r>
    </w:p>
    <w:p w:rsidR="00C12070" w:rsidRDefault="00C12070" w:rsidP="00C12070"/>
    <w:p w:rsidR="00C12070" w:rsidRDefault="00C12070" w:rsidP="00C12070">
      <w:pPr>
        <w:pStyle w:val="Heading4"/>
      </w:pPr>
      <w:r>
        <w:t>It’s Naïve to think automation alone can solve the food shortage</w:t>
      </w:r>
    </w:p>
    <w:p w:rsidR="00C12070" w:rsidRPr="00F750C3" w:rsidRDefault="00C12070" w:rsidP="00C12070">
      <w:r w:rsidRPr="00F750C3">
        <w:rPr>
          <w:rStyle w:val="Style13ptBold"/>
        </w:rPr>
        <w:t>Nicol</w:t>
      </w:r>
      <w:r>
        <w:rPr>
          <w:rStyle w:val="Style13ptBold"/>
        </w:rPr>
        <w:t xml:space="preserve"> 17 </w:t>
      </w:r>
      <w:r w:rsidRPr="00F750C3">
        <w:t xml:space="preserve">– </w:t>
      </w:r>
      <w:r>
        <w:t xml:space="preserve">Nicol is a staff writer for Digital Trends. </w:t>
      </w:r>
      <w:r w:rsidRPr="00F750C3">
        <w:t>(</w:t>
      </w:r>
      <w:r>
        <w:t xml:space="preserve">Will, “Automated Agriculture: Can Robots, Drones, and AI save us from Starvation,” Digital Trends, 6/2/17, </w:t>
      </w:r>
      <w:hyperlink r:id="rId71" w:history="1">
        <w:r w:rsidRPr="00E6768D">
          <w:rPr>
            <w:rStyle w:val="Hyperlink"/>
          </w:rPr>
          <w:t>https://www.digitaltrends.com/cool-tech/automated-agriculture-can-robots-drones-ai-save-us-from-starvation/</w:t>
        </w:r>
      </w:hyperlink>
      <w:r>
        <w:t xml:space="preserve"> ) // MK</w:t>
      </w:r>
    </w:p>
    <w:p w:rsidR="00C12070" w:rsidRPr="00F56FE6" w:rsidRDefault="00C12070" w:rsidP="00C12070">
      <w:pPr>
        <w:rPr>
          <w:sz w:val="16"/>
        </w:rPr>
      </w:pPr>
      <w:r w:rsidRPr="00F750C3">
        <w:rPr>
          <w:rStyle w:val="StyleUnderline"/>
        </w:rPr>
        <w:t>All these new technologies are dazzling, but the question remains: Will they be enough to sustain the growing maw of consumption</w:t>
      </w:r>
      <w:r w:rsidRPr="00F56FE6">
        <w:rPr>
          <w:sz w:val="16"/>
        </w:rPr>
        <w:t>? The Food and Agriculture Organization of the UN estimates that, in order to feed a growing and increasingly urban world population, annual grain production will need to increase to 3 billion metric tons; meat production will need to increase to 470 million metric tons. That’s a lot of food</w:t>
      </w:r>
      <w:r w:rsidRPr="00F750C3">
        <w:rPr>
          <w:rStyle w:val="StyleUnderline"/>
        </w:rPr>
        <w:t>. Complicating matters is the fact that technology alone does not decide how much food the world eats. In the wake of globalization, trade carries food across borders and oceans.</w:t>
      </w:r>
      <w:r w:rsidRPr="00F56FE6">
        <w:rPr>
          <w:sz w:val="16"/>
        </w:rPr>
        <w:t xml:space="preserve"> Wheat from Oregon ends up at mills in Asia, beef from Japan may end up on a plate in New York. </w:t>
      </w:r>
      <w:r w:rsidRPr="00F750C3">
        <w:rPr>
          <w:rStyle w:val="StyleUnderline"/>
        </w:rPr>
        <w:t>Even if individual countries can increase food production through the use of automation, the state of international trade deals will determine where it goes. In a world in which nationalist competition seems ascendant, and trade deals stand on shakier ground, the global food trade network may change dramatically.</w:t>
      </w:r>
      <w:r w:rsidRPr="00F56FE6">
        <w:rPr>
          <w:sz w:val="16"/>
        </w:rPr>
        <w:t xml:space="preserve"> For these reasons</w:t>
      </w:r>
      <w:r w:rsidRPr="00F750C3">
        <w:rPr>
          <w:rStyle w:val="StyleUnderline"/>
        </w:rPr>
        <w:t xml:space="preserve">, it would be naïve to conclude that agricultural automation alone will be enough to save us. The problem we face is complex and multifaceted, and no individual technological innovation is likely to change our fate by itself. </w:t>
      </w:r>
      <w:r w:rsidRPr="00F56FE6">
        <w:rPr>
          <w:sz w:val="16"/>
        </w:rPr>
        <w:t>But despite the fact that there will be no silver bullets in this struggle, we should take solace in the fact that automation is just one arrow in our technological quiver. One breakthrough idea or creative solution won’t be enough, but a hundred of them might do the trick — and if there’s one thing we have in abundance as a species, it’s creative ideas. Ultimately, the past may be the greatest source of relief. History shows that technology can help feed the world, so we have every reason to believe it can continue to do so in the future.</w:t>
      </w:r>
    </w:p>
    <w:p w:rsidR="00C12070" w:rsidRDefault="00C12070" w:rsidP="00C12070"/>
    <w:p w:rsidR="00C12070" w:rsidRDefault="00C12070" w:rsidP="00C12070"/>
    <w:p w:rsidR="00C12070" w:rsidRDefault="00C12070" w:rsidP="00C12070"/>
    <w:p w:rsidR="00C12070" w:rsidRDefault="00C12070" w:rsidP="00C12070"/>
    <w:p w:rsidR="00C12070" w:rsidRDefault="00C12070" w:rsidP="00C12070"/>
    <w:p w:rsidR="00C12070" w:rsidRPr="00994B9F" w:rsidRDefault="00C12070" w:rsidP="00C12070"/>
    <w:p w:rsidR="00C12070" w:rsidRPr="00945E49" w:rsidRDefault="00C12070" w:rsidP="00C12070">
      <w:pPr>
        <w:pStyle w:val="NormalWeb"/>
        <w:spacing w:line="276" w:lineRule="auto"/>
        <w:rPr>
          <w:rFonts w:ascii="Calibri" w:hAnsi="Calibri"/>
          <w:sz w:val="16"/>
        </w:rPr>
      </w:pPr>
    </w:p>
    <w:p w:rsidR="00C12070" w:rsidRDefault="00C12070" w:rsidP="00C12070">
      <w:pPr>
        <w:pStyle w:val="Heading2"/>
      </w:pPr>
      <w:r>
        <w:t xml:space="preserve">Social Innovation PIC </w:t>
      </w:r>
    </w:p>
    <w:p w:rsidR="00C12070" w:rsidRDefault="00C12070" w:rsidP="00C12070"/>
    <w:p w:rsidR="00C12070" w:rsidRPr="00C12070" w:rsidRDefault="00C12070" w:rsidP="00C12070">
      <w:pPr>
        <w:pStyle w:val="Heading3"/>
      </w:pPr>
      <w:r>
        <w:t xml:space="preserve">NB / Turns Case – SIF Bad </w:t>
      </w:r>
    </w:p>
    <w:p w:rsidR="00C12070" w:rsidRPr="0007672D" w:rsidRDefault="00C12070" w:rsidP="00C12070">
      <w:pPr>
        <w:pStyle w:val="Heading4"/>
      </w:pPr>
      <w:r w:rsidRPr="0007672D">
        <w:t>Social innovation financing has not delivered any results and investors are reluctant</w:t>
      </w:r>
    </w:p>
    <w:p w:rsidR="00C12070" w:rsidRPr="00097AD9" w:rsidRDefault="00C12070" w:rsidP="00C12070">
      <w:r w:rsidRPr="00097AD9">
        <w:rPr>
          <w:rStyle w:val="Style13ptBold"/>
        </w:rPr>
        <w:t xml:space="preserve">Farmer 15 </w:t>
      </w:r>
      <w:r w:rsidRPr="00097AD9">
        <w:t>(Liz, Public Financing reporter, “Are Governments 'Paying for Failure' With Social Impact Bonds?,” August, http://www.governing.com/topics/finance/gov-social-impact-bonds.html)//amh</w:t>
      </w:r>
    </w:p>
    <w:p w:rsidR="00C12070" w:rsidRDefault="00C12070" w:rsidP="00C12070">
      <w:pPr>
        <w:rPr>
          <w:rStyle w:val="StyleUnderline"/>
        </w:rPr>
      </w:pPr>
      <w:r w:rsidRPr="00C169B5">
        <w:rPr>
          <w:rStyle w:val="StyleUnderline"/>
        </w:rPr>
        <w:t xml:space="preserve">Three years ago, New York City launched an ambitious and unprecedented social policy experiment at its jail on Rikers Island. Thousands of teenage inmates began receiving group therapy aimed at improving their moral reasoning by addressing their beliefs and thought processes in a step-by-step treatment. The goal was to reduce the number of repeat offenses once the inmates were released. </w:t>
      </w:r>
      <w:r w:rsidRPr="0007672D">
        <w:rPr>
          <w:sz w:val="16"/>
        </w:rPr>
        <w:t xml:space="preserve">Academic studies using the method, known as moral reconation therapy, had reported success in reducing recidivism. Still, no one had ever scaled up these studies to accommodate anything like the 9,240 inmates the four-year Rikers Island program aimed to serve. This month, </w:t>
      </w:r>
      <w:r w:rsidRPr="00C169B5">
        <w:rPr>
          <w:rStyle w:val="StyleUnderline"/>
        </w:rPr>
        <w:t>the program is coming to an abrupt end. The reason for the progam’s demise has to do with another feature of the experiment: It was financed entirely with a $9.6 million loan from Goldman Sachs</w:t>
      </w:r>
      <w:r w:rsidRPr="0007672D">
        <w:rPr>
          <w:sz w:val="16"/>
        </w:rPr>
        <w:t xml:space="preserve">. </w:t>
      </w:r>
      <w:r w:rsidRPr="00C169B5">
        <w:rPr>
          <w:rStyle w:val="StyleUnderline"/>
        </w:rPr>
        <w:t>New York City was to pay the investment firm back if the repeat offense rate went down by at least 10 percent over four years. In June, a preliminary report showed the program not only was missing its recidivism target, it had no impact on the rate altogether. Goldman Sachs moved swiftly and took a contract option to cancel the program one year early. The first social impact bond program in the United States has officially failed</w:t>
      </w:r>
      <w:r w:rsidRPr="0007672D">
        <w:rPr>
          <w:sz w:val="16"/>
        </w:rPr>
        <w:t>. “</w:t>
      </w:r>
      <w:r w:rsidRPr="00255E65">
        <w:rPr>
          <w:rStyle w:val="StyleUnderline"/>
        </w:rPr>
        <w:t>Everyone went into this understanding what they were getting into,”</w:t>
      </w:r>
      <w:r w:rsidRPr="0007672D">
        <w:rPr>
          <w:sz w:val="16"/>
        </w:rPr>
        <w:t xml:space="preserve"> says David Butler, a senior adviser at MDRC, a nonprofit social policy research organization that managed the treatment program at Rikers. “</w:t>
      </w:r>
      <w:r w:rsidRPr="00255E65">
        <w:rPr>
          <w:rStyle w:val="StyleUnderline"/>
        </w:rPr>
        <w:t>These things are risks. Just because something works in one environment doesn’t mean it will work somewhere else</w:t>
      </w:r>
      <w:r w:rsidRPr="0007672D">
        <w:rPr>
          <w:sz w:val="16"/>
        </w:rPr>
        <w:t xml:space="preserve">.” </w:t>
      </w:r>
      <w:r w:rsidRPr="00255E65">
        <w:rPr>
          <w:rStyle w:val="StyleUnderline"/>
        </w:rPr>
        <w:t>Unpredictable as they are, programs like the one at Rikers are not going away.</w:t>
      </w:r>
      <w:r w:rsidRPr="0007672D">
        <w:rPr>
          <w:sz w:val="16"/>
        </w:rPr>
        <w:t xml:space="preserve"> </w:t>
      </w:r>
      <w:r w:rsidRPr="00255E65">
        <w:rPr>
          <w:rStyle w:val="StyleUnderline"/>
        </w:rPr>
        <w:t>In fact, these attempts to link altruistic policy goals with the pursuit of private profit have been gaining steam as the latest promising innovation in public finance</w:t>
      </w:r>
      <w:r w:rsidRPr="0007672D">
        <w:rPr>
          <w:sz w:val="16"/>
        </w:rPr>
        <w:t xml:space="preserve">. The mere announcement of the Rikers project back in 2012 was a catalyst for action in dozens of other jurisdictions. Cash-strapped governments quickly became sold on the concept that they can use private money from investors for preventive social programs -- money the government will have to pay back only if the programs produce the desired measurable outcomes. In 2013 alone, 28 state and local governments applied to the Rockefeller Foundation and Harvard’s Social Impact Bond Technical Assistance Lab to receive help in developing such programs. Media outlets have often touted the innovative financing tool with few notes about the complicated nature of the projects. Last </w:t>
      </w:r>
      <w:r w:rsidRPr="00932A6E">
        <w:rPr>
          <w:rStyle w:val="StyleUnderline"/>
        </w:rPr>
        <w:t xml:space="preserve">year on Capitol Hill, where bipartisan support is famously elusive these days, a $300 million proposal pushed by President Obama to allocate federal funds for social impact bond projects in the states managed to attract proponents on both sides of the aisle. But as the enthusiasm for social impact bonds has grown, so has skepticism about the concept of partnering with the private sector to accomplish social goals. Last spring, a congressional hearing on the subject ended on a negative note as critics questioned the complicated structure of progr am contracts between governments, investors and the various private operators involved. “I don’t get this at all,” </w:t>
      </w:r>
      <w:r w:rsidRPr="0007672D">
        <w:rPr>
          <w:sz w:val="16"/>
        </w:rPr>
        <w:t xml:space="preserve">said Maine independent Sen. Angus King, squinting with disbelief. “I </w:t>
      </w:r>
      <w:r w:rsidRPr="00932A6E">
        <w:rPr>
          <w:rStyle w:val="StyleUnderline"/>
        </w:rPr>
        <w:t>think this is an admission that government isn’t doing what it’s supposed to do. This strikes me as a fancy way of contracting out.” That hearing was followed by a report last summer that the world’s first social impact program, located in the United Kingdom, had not reached its target goal required to trigger early payments to investors</w:t>
      </w:r>
      <w:r w:rsidRPr="00BF61BB">
        <w:rPr>
          <w:rStyle w:val="StyleUnderline"/>
        </w:rPr>
        <w:t>. That development and the news from the Rikers project underscore the fact that the merits of social impact bond programs are entirely unproven. The programs are so new, in fact, that people are still arguing about what to call them</w:t>
      </w:r>
      <w:r w:rsidRPr="0007672D">
        <w:rPr>
          <w:sz w:val="16"/>
        </w:rPr>
        <w:t xml:space="preserve">. Some say that referring to them as bond investments is misleading because they are not like actual government bonds that are bought and sold on a public market. That’s why </w:t>
      </w:r>
      <w:r w:rsidRPr="00BF61BB">
        <w:rPr>
          <w:rStyle w:val="StyleUnderline"/>
        </w:rPr>
        <w:t>many proponents prefer to call them “pay for success” programs. But what does “pay for success” imply</w:t>
      </w:r>
      <w:r w:rsidRPr="0007672D">
        <w:rPr>
          <w:sz w:val="16"/>
        </w:rPr>
        <w:t xml:space="preserve">, asks Indiana University Public Affairs professor Craig L. Johnson. </w:t>
      </w:r>
      <w:r w:rsidRPr="00BF61BB">
        <w:rPr>
          <w:rStyle w:val="StyleUnderline"/>
        </w:rPr>
        <w:t>“That right now we’re paying for failure?” The bond programs may or may not save governments money in the long run. E</w:t>
      </w:r>
      <w:r w:rsidRPr="0007672D">
        <w:rPr>
          <w:sz w:val="16"/>
        </w:rPr>
        <w:t xml:space="preserve">ven though the Rikers project didn’t work, Goldman Sachs said last month that its three other social impact bond investments had shown “encouraging progress.” Still, </w:t>
      </w:r>
      <w:r w:rsidRPr="00BF61BB">
        <w:rPr>
          <w:rStyle w:val="StyleUnderline"/>
        </w:rPr>
        <w:t>it’s much too early to tell if any of these endeavors will actually bring about the kind of change that social scientists and governments are hoping for.</w:t>
      </w:r>
      <w:r w:rsidRPr="0007672D">
        <w:rPr>
          <w:sz w:val="16"/>
        </w:rPr>
        <w:t xml:space="preserve"> Social impact bonds got their start five years ago in the U.K., at a prison in Peterborough, a city of about 190,000 people situated 100 miles north of London. Investors and social services professionals formed a group called Social Finance and made Peterborough their first investment. For a cost of about $8 million over six years, the provider, One Service, is giving comprehensive assistance to offenders who have served short sentences, in an effort to help them become self-supporting when they are released. Caseworkers help get ex-cons ID cards, set them up with doctors, encourage them to take classes and help them find counseling. The argument for doing something at Peterborough was compelling. In Britain, 60 percent of those who serve short-term sentences land back in jail within a year. The Peterborough program, which will conclude next year, aims to reduce recidivism by 7.5 percent. The buzz about it and its new financing method via private investors led to the flurry of experiments at the state and local level in the United States. In December 2013, New York became the first state to try social impact bonds, launching a program aimed at reducing recidivism and increasing employment among 2,000 ex-offenders.</w:t>
      </w:r>
      <w:r w:rsidRPr="00BF61BB">
        <w:rPr>
          <w:rStyle w:val="StyleUnderline"/>
        </w:rPr>
        <w:t xml:space="preserve"> All told, more than two dozen states and localities have now taken up or considered a social impact bond project. These bond deals are being used to address all sorts of social problems, including early childhood education, homelessness, health and criminal justice. No two projects are the same. Each must draw up its own contract with service providers and with the project evaluators who track the outcomes. None of the new projects can be modeled after an existing one; each is its own social experiment and must be built from the ground up.</w:t>
      </w:r>
      <w:r w:rsidRPr="0007672D">
        <w:rPr>
          <w:sz w:val="16"/>
        </w:rPr>
        <w:t xml:space="preserve"> For example, the Massachusetts juvenile justice bond program is financed with $18 million from six organizations, including nonprofits. </w:t>
      </w:r>
      <w:r w:rsidRPr="00F740E8">
        <w:rPr>
          <w:rStyle w:val="StyleUnderline"/>
        </w:rPr>
        <w:t>The state is setting aside money every year for a separate fund to pay back investors if the seven-year project meets its goals. The Rikers Island project, on the other hand, was financed entirely by Goldman Sachs, with Bloomberg Philanthropies insuring three-quarters of the money. The stated goals vary considerably</w:t>
      </w:r>
      <w:r w:rsidRPr="0007672D">
        <w:rPr>
          <w:sz w:val="16"/>
        </w:rPr>
        <w:t>. While the goal at Rikers was to reduce recidivism by at least 10 percent, Massachusetts is targeting a 40 percent reduction in jail days over seven years for the nearly 1,000 offenders in the study. The state estimates this reduction would result in a $22 million savings, and that is the amount it will pay back investors if the goal is reached. If the program exceeds that goal, Massachusetts estimates it could save as much as $45 million; however, it would only have to pay out a maximum of $27 million. Other programs have similarly structured payouts. Goldman Sachs stood to receive as much as $11.7 million if the Rikers program significantly exceeded its goal, while New York City estimates it would have recouped a net savings of up to $20.5 million. These are complicated agreements -- the Massachusetts bond contract is more than 200 pages long -- and their very complexity is often cited by their critics as a weakness</w:t>
      </w:r>
      <w:r w:rsidRPr="00F740E8">
        <w:rPr>
          <w:rStyle w:val="StyleUnderline"/>
        </w:rPr>
        <w:t>. Maryland investigated the possibility of using social impact bonds, but the state’s Department of Legislative Services concluded in 2013 that the startup cost of designing a program and negotiating a contract would likely exceed the projected savings of a pilot serving several hundred people. That report essentially killed the issue of social impact bonds</w:t>
      </w:r>
      <w:r w:rsidRPr="0007672D">
        <w:rPr>
          <w:sz w:val="16"/>
        </w:rPr>
        <w:t xml:space="preserve"> in Maryland, at least for now. Indeed, the Rikers experience seems to illustrate that concern. A report on lessons learned prepared last year by MDRC lamented the jail program’s “high transaction costs” that weren’t covered in the Goldman Sachs loan. And for all the effort, the city’s greatest potential for cost savings would have amounted to less than half of a percent of the $1 billion it costs annually to run the jail. [click_to_tweet]"</w:t>
      </w:r>
      <w:r w:rsidRPr="00F740E8">
        <w:rPr>
          <w:rStyle w:val="StyleUnderline"/>
        </w:rPr>
        <w:t>Until people have put up [collectively] hundreds of millions of dollars, we’re not going to know if this works."[/</w:t>
      </w:r>
      <w:r w:rsidRPr="0007672D">
        <w:rPr>
          <w:sz w:val="16"/>
        </w:rPr>
        <w:t xml:space="preserve">click_to_tweet] But </w:t>
      </w:r>
      <w:r w:rsidRPr="00F740E8">
        <w:rPr>
          <w:rStyle w:val="StyleUnderline"/>
        </w:rPr>
        <w:t>whatever the critics may say, it seems likely that governments will be increasingly attracted to these experiments</w:t>
      </w:r>
      <w:r w:rsidRPr="0007672D">
        <w:rPr>
          <w:sz w:val="16"/>
        </w:rPr>
        <w:t xml:space="preserve">. At a minimum, practitioners argue, they will get the benefits of knowing more about what doesn’t work, and can cut their losses. In that sense, says MDRC’s Butler, the Rikers program was a success. </w:t>
      </w:r>
      <w:r w:rsidRPr="00F740E8">
        <w:rPr>
          <w:rStyle w:val="StyleUnderline"/>
        </w:rPr>
        <w:t>“This is not the recipe for reducing recidivism for these kids at Rikers,” he says. “Learning that was really important.” Still, the task of attracting investors is tricky. Even the philanthropically minded investors drawn to social impact bond projects aren’t going to put up money for a program that looks like it was constructed on a wing and a prayer</w:t>
      </w:r>
      <w:r w:rsidRPr="0007672D">
        <w:rPr>
          <w:sz w:val="16"/>
        </w:rPr>
        <w:t xml:space="preserve">. </w:t>
      </w:r>
      <w:r w:rsidRPr="00F740E8">
        <w:rPr>
          <w:rStyle w:val="StyleUnderline"/>
        </w:rPr>
        <w:t>Goldman Sachs was reticent to enter the Rikers deal in 2012 until it saw results from previous academic studies that showed moral reconation therapy could reduce recidivism by up to 25 percent in those participating. And even then, it took insurance from Bloomberg Philanthropies to seal the deal.</w:t>
      </w:r>
      <w:r w:rsidRPr="0007672D">
        <w:rPr>
          <w:sz w:val="16"/>
        </w:rPr>
        <w:t xml:space="preserve"> (</w:t>
      </w:r>
      <w:r w:rsidRPr="00F740E8">
        <w:rPr>
          <w:rStyle w:val="StyleUnderline"/>
        </w:rPr>
        <w:t>As a result, the firm lost $1.2 million instead of its full investment</w:t>
      </w:r>
      <w:r w:rsidRPr="0007672D">
        <w:rPr>
          <w:sz w:val="16"/>
        </w:rPr>
        <w:t xml:space="preserve">.) “We’re trying to find that sweet spot of allowing every stakeholder to win,” says Tracy Palandjian, CEO of Social Finance US, which is a sister company to the U.K. group and is managing the New York state, as well as developing ones in Connecticut, Massachusetts, Michigan and South Carolina. “So even when the state pays back the investors with returns, that still should be smaller than what you gain overall as a state.” But that’s where the argument ends, at least for now. </w:t>
      </w:r>
      <w:r w:rsidRPr="001E38BF">
        <w:rPr>
          <w:rStyle w:val="StyleUnderline"/>
        </w:rPr>
        <w:t>Until the social impact projects currently running hit their end dates, no one will know how the numbers play out. And on the social services side, some question whether designing projects focused on short-term behavioral change is the best way to intervene. “It is hard to recreate the kind of concrete turnaround you get in pay for success across a whole lifespan,”</w:t>
      </w:r>
      <w:r w:rsidRPr="0007672D">
        <w:rPr>
          <w:sz w:val="16"/>
        </w:rPr>
        <w:t xml:space="preserve"> says Anne Stone, who runs a child development program in Washington state. “I’m not in any way suggesting it’s not worthy to move those dials, but is there a way we can be thinking about this in a two-generation approach?” The fact is, social impact bonds may have started out life as an innovative financing tool. But many who are now taking part in them are finding that the real experiment is in developing a new model for delivering government services. In that sense, supporters hope the projects’ immediate impact will be in encouraging more social policy geared toward preventive measures, even if the intangible savings are impossible to quantify. They are hopeful that when a project ends and appears to be working, the government will be willing to pay the full cost of its extension, without any private backers. Sometimes even the hint of private investment can spur a commitment from government. The Utah Legislature recently agreed to assume some of the costs of a Salt Lake County social impact bond program after Goldman Sachs committed to financing for one. Harvard’s Jeffrey Liebman had a similar experience working with a state budget director to find a social impact project for that state. Among the ideas Liebman proposed was a health-care program that would place caseworkers in senior centers to save on Medicaid costs. Instead of going for the financing project, the budget director just opted to include the cost for the caseworkers in the state’s budget. “If social impact bonds cause that to happen, that’s just as good,” Liebman said at last year’s Senate hearing. Still, for Indiana University’s Johnson, any kind of mass social impact brought about by these kinds of projects is decades away. “</w:t>
      </w:r>
      <w:r w:rsidRPr="00ED4A81">
        <w:rPr>
          <w:rStyle w:val="StyleUnderline"/>
        </w:rPr>
        <w:t>We need a lot more cases to see what works and what doesn’t,” he says. “The problem I see now is, if you just have a few experiments going, that’s not going to tell us how to change. Until people have put up [collectively] hundreds of millions of dollars, we’re not going to know if this works.”</w:t>
      </w:r>
    </w:p>
    <w:p w:rsidR="00C12070" w:rsidRDefault="00C12070" w:rsidP="00C12070">
      <w:pPr>
        <w:rPr>
          <w:rStyle w:val="StyleUnderline"/>
        </w:rPr>
      </w:pPr>
    </w:p>
    <w:p w:rsidR="00C12070" w:rsidRPr="0007672D" w:rsidRDefault="00C12070" w:rsidP="00C12070">
      <w:pPr>
        <w:pStyle w:val="Heading4"/>
      </w:pPr>
      <w:r w:rsidRPr="0007672D">
        <w:t>Impact investing for a return on investment is the worst way to create real change</w:t>
      </w:r>
    </w:p>
    <w:p w:rsidR="00C12070" w:rsidRPr="00BB5506" w:rsidRDefault="00C12070" w:rsidP="00C12070">
      <w:r w:rsidRPr="00BB5506">
        <w:rPr>
          <w:rStyle w:val="Style13ptBold"/>
        </w:rPr>
        <w:t>Starr 12</w:t>
      </w:r>
      <w:r w:rsidRPr="00BB5506">
        <w:t xml:space="preserve"> (Kevin, director of the Mulago Foundation and the Rainer Arnhold Fellows Program, “The Trouble With Impact Investing,” </w:t>
      </w:r>
      <w:hyperlink r:id="rId72" w:history="1">
        <w:r w:rsidRPr="00BB5506">
          <w:t>https://ssir.org/articles/entry/the_trouble_with_impact_investing_part_1</w:t>
        </w:r>
      </w:hyperlink>
      <w:r w:rsidRPr="00BB5506">
        <w:t>)//amh</w:t>
      </w:r>
    </w:p>
    <w:p w:rsidR="00C12070" w:rsidRDefault="00C12070" w:rsidP="00C12070">
      <w:pPr>
        <w:rPr>
          <w:rStyle w:val="StyleUnderline"/>
        </w:rPr>
      </w:pPr>
      <w:r w:rsidRPr="00DB26F0">
        <w:rPr>
          <w:sz w:val="16"/>
        </w:rPr>
        <w:t xml:space="preserve">For all the hoopla, </w:t>
      </w:r>
      <w:r w:rsidRPr="008329D6">
        <w:rPr>
          <w:rStyle w:val="StyleUnderline"/>
        </w:rPr>
        <w:t>the definition of impact investing is still a dog’s breakfast</w:t>
      </w:r>
      <w:r w:rsidRPr="00DB26F0">
        <w:rPr>
          <w:sz w:val="16"/>
        </w:rPr>
        <w:t xml:space="preserve">. </w:t>
      </w:r>
      <w:r w:rsidRPr="008329D6">
        <w:rPr>
          <w:rStyle w:val="StyleUnderline"/>
        </w:rPr>
        <w:t>Inclusive definitions throw in everything from small donations (huh?) to investments that provide a market rate of return or above (which sounds a lot like plain vanilla investing</w:t>
      </w:r>
      <w:r w:rsidRPr="00DB26F0">
        <w:rPr>
          <w:sz w:val="16"/>
        </w:rPr>
        <w:t xml:space="preserve">). Here’s our—the Mulago Foundation’s—working definition: </w:t>
      </w:r>
      <w:r w:rsidRPr="008329D6">
        <w:rPr>
          <w:rStyle w:val="StyleUnderline"/>
        </w:rPr>
        <w:t>impact investing is the practice of putting money—loans or equity—into impact-focused organizations, while expecting less than a market rate of return</w:t>
      </w:r>
      <w:r w:rsidRPr="00DB26F0">
        <w:rPr>
          <w:sz w:val="16"/>
        </w:rPr>
        <w:t>. wadDwaaaaw</w:t>
      </w:r>
      <w:r w:rsidRPr="008329D6">
        <w:rPr>
          <w:rStyle w:val="StyleUnderline"/>
        </w:rPr>
        <w:t>Investments that provide a big return don’t count: the market will take care of those</w:t>
      </w:r>
      <w:r w:rsidRPr="00DB26F0">
        <w:rPr>
          <w:sz w:val="16"/>
        </w:rPr>
        <w:t xml:space="preserve">, and </w:t>
      </w:r>
      <w:r w:rsidRPr="008329D6">
        <w:rPr>
          <w:rStyle w:val="StyleUnderline"/>
        </w:rPr>
        <w:t xml:space="preserve">we don’t need conferences to get people to put money into them. On its face, impact investing seems like a great deal—organizations get cheap money (er, “patient capital”) and investors get real impact. It’s great when it works that way, but the case for impact is often dubious, and there is a lot of confusion about when impact investing works and when it doesn’t. </w:t>
      </w:r>
      <w:r w:rsidRPr="00DB26F0">
        <w:rPr>
          <w:sz w:val="16"/>
        </w:rPr>
        <w:t xml:space="preserve">What worries us in that </w:t>
      </w:r>
      <w:r w:rsidRPr="008329D6">
        <w:rPr>
          <w:rStyle w:val="StyleUnderline"/>
        </w:rPr>
        <w:t>not-for-profit organizations in our portfolio are under increasing pressure to take loans, and some have even lost donors to the impact investing camp</w:t>
      </w:r>
      <w:r w:rsidRPr="00DB26F0">
        <w:rPr>
          <w:sz w:val="16"/>
        </w:rPr>
        <w:t>. B</w:t>
      </w:r>
      <w:r w:rsidRPr="008329D6">
        <w:rPr>
          <w:rStyle w:val="StyleUnderline"/>
        </w:rPr>
        <w:t>oth philanthropy and impact investing are valid ways of doing good, but applied in the wrong way, either can do harm</w:t>
      </w:r>
      <w:r w:rsidRPr="00DB26F0">
        <w:rPr>
          <w:sz w:val="16"/>
        </w:rPr>
        <w:t xml:space="preserve">. For us, the right funding structure is the one that provides maximum impact for the target population. Mulago works to meet the basic needs of people in some of the poorest countries on Earth, and we’ve ended up with a portfolio that is 95 percent philanthropy. Here’s why: 1) </w:t>
      </w:r>
      <w:r w:rsidRPr="008329D6">
        <w:rPr>
          <w:rStyle w:val="StyleUnderline"/>
        </w:rPr>
        <w:t>Few solutions that meet the fundamental needs of the poor will get you your money back</w:t>
      </w:r>
      <w:r w:rsidRPr="00DB26F0">
        <w:rPr>
          <w:sz w:val="16"/>
        </w:rPr>
        <w:t xml:space="preserve">. Scalable rural livelihoods, basic health care, basic education solutions, clean water—with very few exceptions, you don’t make money off this stuff, sorry. For example, the one education organization in our portfolio is Bridge International Academies, a remarkable for-profit company that provides a high-quality education to Kenyan kids for $4 a month. While they hope for market rate of return, it’s going to be a long time at best, and there are multiple levels of uncertainty. Investors are piling on, though, and why? Because there are very few deals like this out there! </w:t>
      </w:r>
      <w:r w:rsidRPr="008329D6">
        <w:rPr>
          <w:rStyle w:val="StyleUnderline"/>
        </w:rPr>
        <w:t>Fully unsubsidized clean water for really poor people? Essential services to millions of one-acre farmers? Saving lives from the most common diseases? Forging new distribution channels? Forget it—you’re not going to make any money. These represent profound market and government failures. 2) Overcoming market failure requires subsidy</w:t>
      </w:r>
      <w:r w:rsidRPr="00DB26F0">
        <w:rPr>
          <w:sz w:val="16"/>
        </w:rPr>
        <w:t xml:space="preserve">. A businessman in Africa told me that Coca-Cola lost money there for 12 years. In other words, </w:t>
      </w:r>
      <w:r w:rsidRPr="00BB5506">
        <w:rPr>
          <w:rStyle w:val="StyleUnderline"/>
        </w:rPr>
        <w:t>it required over a decade for one of the most competent companies on Earth to break even on the sale of a mildly addictive sugary drink that is absurdly cheap to make. Imagine what it takes when you’re focused on impact</w:t>
      </w:r>
      <w:r w:rsidRPr="00DB26F0">
        <w:rPr>
          <w:sz w:val="16"/>
        </w:rPr>
        <w:t xml:space="preserve">. Microcredit, the iconic impact investment of the last decade, required more than $100 million in subsidies before it became a profitable business—and the impact has been disappointing at best. When overcoming market failure to reach the poor, it takes subsidy to do the R&amp;D, launch the business, build the market, and sometimes even to deliver the product or service over time. Delivering at a price point the poor can afford almost always translates into very small margins. A good example is D-Rev, a small organization designing products that improve the health and incomes of poor people. They use donor subsidies to design products to the point where they are ready for manufacture and distribution at scale by for-profit companies (and sometimes not-for-profits). Because D-Rev can receive royalties via licensing agreements, funders they approach for grants often want them to take loans. Bad idea. To reach the target population, the margins—and hence the royalties—must be small. D-Rev is designing products that would never be designed otherwise: saddling them with loans simply means that they a) have to jack up prices and/or b) produce fewer designs more slowly. 3) </w:t>
      </w:r>
      <w:r w:rsidRPr="00BB5506">
        <w:rPr>
          <w:rStyle w:val="StyleUnderline"/>
        </w:rPr>
        <w:t>Revenue does not equal profit</w:t>
      </w:r>
      <w:r w:rsidRPr="00DB26F0">
        <w:rPr>
          <w:sz w:val="16"/>
        </w:rPr>
        <w:t xml:space="preserve">. Organizations in our portfolio that make crop loans to smallholder farmers, sell essential medicines, or market tools to improve rural incomes are often badgered to take loans and/or structure as for-profits. There seems to be this idea that if a revenue stream exists, it could be turbocharged to make a profit. That’s simply not so: the best organizations out there—the ones under the most pressure from impact investors—are already operating efficiently, squeezing out as much revenue as possible while serving the target population well. Think of them as businesses generating the most impact, while losing the least amount of money possible. Just give them the money. 4) Impact investing can drive organizations off mission. All talk of double- and triple-bottom lines aside, there really is only one bottom line. It’s either impact or profit—and the demands of investors can pull an organization away from the target population toward those able to pay more. We’ve seen it happen, and we’ve seen more than a few organizations start in more affluent markets with the intention to move down-market to the real target population when the numbers are right (they almost never do). One thing we’ve </w:t>
      </w:r>
      <w:r w:rsidRPr="00BB5506">
        <w:rPr>
          <w:rStyle w:val="StyleUnderline"/>
        </w:rPr>
        <w:t>never seen is an investor pulling a loan, because of a lack of impact or failure to reach the target population</w:t>
      </w:r>
      <w:r w:rsidRPr="00DB26F0">
        <w:rPr>
          <w:sz w:val="16"/>
        </w:rPr>
        <w:t xml:space="preserve">. There’s more and more talk of blended capital, of a host of investors out there awaiting the emergence of profitable enterprises that will improve the lives of the poor in fundamental ways. The thing is that they’re mostly waiting, and waiting longer than anyone thought. In the real world of the poor, </w:t>
      </w:r>
      <w:r w:rsidRPr="00BB5506">
        <w:rPr>
          <w:rStyle w:val="StyleUnderline"/>
        </w:rPr>
        <w:t>real change still means stepping up with money that you don’t expect to get back, while demanding maximum returns in the form of impact. When you find someone who can do that, just give them the money.</w:t>
      </w:r>
    </w:p>
    <w:p w:rsidR="00C12070" w:rsidRDefault="00C12070" w:rsidP="00C12070">
      <w:pPr>
        <w:rPr>
          <w:rStyle w:val="StyleUnderline"/>
        </w:rPr>
      </w:pPr>
    </w:p>
    <w:p w:rsidR="00C12070" w:rsidRPr="0007672D" w:rsidRDefault="00C12070" w:rsidP="00C12070">
      <w:pPr>
        <w:pStyle w:val="Heading4"/>
      </w:pPr>
      <w:r w:rsidRPr="0007672D">
        <w:t>Social innovation funding is short lived and ineffective</w:t>
      </w:r>
    </w:p>
    <w:p w:rsidR="00C12070" w:rsidRPr="00952F80" w:rsidRDefault="00C12070" w:rsidP="00C12070">
      <w:r w:rsidRPr="00952F80">
        <w:rPr>
          <w:rStyle w:val="Style13ptBold"/>
        </w:rPr>
        <w:t>Brandsen et. Al 16</w:t>
      </w:r>
      <w:r w:rsidRPr="00952F80">
        <w:t xml:space="preserve"> (Taco, A. Evers, S. Cattacin, A. Zimmer, Professor of Political Science &amp; Public Administration, Institute of Management Research, “The Good, the Bad and the Ugly in Social Innovation,” https://link.springer.com/chapter/10.1007/978-3-319-21551-8_25)//amh</w:t>
      </w:r>
    </w:p>
    <w:p w:rsidR="00C12070" w:rsidRDefault="00C12070" w:rsidP="00C12070">
      <w:pPr>
        <w:rPr>
          <w:rStyle w:val="StyleUnderline"/>
        </w:rPr>
      </w:pPr>
      <w:r w:rsidRPr="00952F80">
        <w:rPr>
          <w:rStyle w:val="StyleUnderline"/>
        </w:rPr>
        <w:t>What is the “bad” side of social innovations in the sense of short-lived and limited impact</w:t>
      </w:r>
      <w:r w:rsidRPr="00C12070">
        <w:rPr>
          <w:sz w:val="16"/>
        </w:rPr>
        <w:t xml:space="preserve">? In local welfare, </w:t>
      </w:r>
      <w:r w:rsidRPr="00952F80">
        <w:rPr>
          <w:rStyle w:val="StyleUnderline"/>
        </w:rPr>
        <w:t>we identified several negative aspects, of which we stress three: the short lifespan of most social innovations, the limited interest in transfer- ring them and the aspects of social innovation where the social dimensions appear more threatening than promising</w:t>
      </w:r>
      <w:r w:rsidRPr="00C12070">
        <w:rPr>
          <w:sz w:val="16"/>
        </w:rPr>
        <w:t xml:space="preserve">. To begin with, </w:t>
      </w:r>
      <w:r w:rsidRPr="00952F80">
        <w:rPr>
          <w:rStyle w:val="StyleUnderline"/>
        </w:rPr>
        <w:t>most local social innovations are precarious. Like butterflies, they are pretty, but they lead a short life</w:t>
      </w:r>
      <w:r w:rsidRPr="00C12070">
        <w:rPr>
          <w:sz w:val="16"/>
        </w:rPr>
        <w:t xml:space="preserve">. There is a tendency in publicity on so- cial innovation to discuss successful cases that become part of standard practice. Based on our evidence, </w:t>
      </w:r>
      <w:r w:rsidRPr="00952F80">
        <w:rPr>
          <w:rStyle w:val="StyleUnderline"/>
        </w:rPr>
        <w:t>we conclude that the reality of local social innovations is a different one. The majority remain local and last only a limited number of years. The emphasis on success stories and scaling up is an important one</w:t>
      </w:r>
      <w:r w:rsidRPr="00C12070">
        <w:rPr>
          <w:sz w:val="16"/>
        </w:rPr>
        <w:t xml:space="preserve">, with implica- tions for the direction of future funding; </w:t>
      </w:r>
      <w:r w:rsidRPr="00952F80">
        <w:rPr>
          <w:rStyle w:val="StyleUnderline"/>
        </w:rPr>
        <w:t>but it is equally important to realise that the majority of local innovations (especially those not originating in professional organisations) do not fit such a pattern of growth and one should not disregard the cumulative effect of the many small, temporary initiatives that are of high value within their local context</w:t>
      </w:r>
      <w:r w:rsidRPr="00C12070">
        <w:rPr>
          <w:sz w:val="16"/>
        </w:rPr>
        <w:t>. Of the innovations we studied</w:t>
      </w:r>
      <w:r w:rsidRPr="00952F80">
        <w:rPr>
          <w:rStyle w:val="StyleUnderline"/>
        </w:rPr>
        <w:t>, many were either discontinued after a few years or faced an uncertain future in the short term. Cutbacks in public sector funding no doubt play a part in this, but the underlying structural dynamics (such as project- based funding, dependence on charismatic initiators, high mobility in cities that disengages people and shifting political fashions) suggest that the underlying condi- tions are of a structural nature. A second “bad” aspect of social innovations is that the innovators themselves of- ten give little attention for diffusing them</w:t>
      </w:r>
      <w:r w:rsidRPr="00C12070">
        <w:rPr>
          <w:sz w:val="16"/>
        </w:rPr>
        <w:t xml:space="preserve">. In a market context, diffusion comes with profits and is the point of the initiative. The social innovation literature stresses the entrepreneurial and leadership side of the phenomena, and it goes without saying that innovators aim at popularizing widely what they are doing. This </w:t>
      </w:r>
      <w:r w:rsidRPr="00952F80">
        <w:rPr>
          <w:rStyle w:val="StyleUnderline"/>
        </w:rPr>
        <w:t>perspective suggests that social innovation comes with the inherent desire to spread the message and change the world. Looking at the usual examples of scaled social innovations, one could almost believe it. Our findings show, however, that this assumption can- not be maintained for a considerable part of social innovations in local welfare.</w:t>
      </w:r>
      <w:r w:rsidRPr="00C12070">
        <w:rPr>
          <w:sz w:val="16"/>
        </w:rPr>
        <w:t xml:space="preserve"> </w:t>
      </w:r>
      <w:r w:rsidRPr="00952F80">
        <w:rPr>
          <w:rStyle w:val="StyleUnderline"/>
        </w:rPr>
        <w:t>Many tend to be generated by projects, initiatives and actors from the third sector, who have no direct interest beyond their local context</w:t>
      </w:r>
      <w:r w:rsidRPr="00C12070">
        <w:rPr>
          <w:sz w:val="16"/>
        </w:rPr>
        <w:t xml:space="preserve">. A detailed look at the cases shows that often groups of people or organisation took action in the face of a pressing local need: children went hungry, women were abused and young men wandered the streets aimlessly. They devoted great energy to get their initiative off the ground, scraping together resources and building on local knowledge. </w:t>
      </w:r>
      <w:r w:rsidRPr="00952F80">
        <w:rPr>
          <w:rStyle w:val="StyleUnderline"/>
        </w:rPr>
        <w:t>Their original interest was not selling their innovation in another city, let alone another country. This can be interpreted both as admirable commitment to local needs or as a lack of interest in problems beyond the borders of the commu- nity. Either way, it limits the impact of social innovation to a far greater degree than its advocates usually admit. A third element that we consider as “bad” is related to the fact that a significant part of social innovations represent cultural, economic and social aims and prac- tices that are highly controversial or even seen by many as threatening rather than promising</w:t>
      </w:r>
      <w:r w:rsidRPr="00C12070">
        <w:rPr>
          <w:sz w:val="16"/>
        </w:rPr>
        <w:t xml:space="preserve">. For instance, there are consumer goods such as new technological de- vices that generate personal information through apps and social media. They allow more (self-)control of health and performance, </w:t>
      </w:r>
      <w:r w:rsidRPr="00952F80">
        <w:rPr>
          <w:rStyle w:val="StyleUnderline"/>
        </w:rPr>
        <w:t xml:space="preserve">progress going hand in hand with the risk that businesses or the state abuse data for their own purposes. </w:t>
      </w:r>
      <w:r w:rsidRPr="00C12070">
        <w:rPr>
          <w:sz w:val="16"/>
        </w:rPr>
        <w:t>Yet, such risks have not stopped such devices from spreading like wildfire. Likewise, businesses in the sharing economy like Uber are very ambivalent in their effects. Furthermore, new innovative instruments for the diagnosis of genetics, aiming at new forms of preventing health risks (including for the unborn), raise complicated ethical and social questions. Socially threatening innovations like the ones mentioned tend to be ignored by the mainstream academic debate on “social” innovation, which prefers to focus on innovations with social dimensions largely considered as “good”. However, they have both a technical and a social dimension. T</w:t>
      </w:r>
      <w:r w:rsidRPr="00952F80">
        <w:rPr>
          <w:rStyle w:val="StyleUnderline"/>
        </w:rPr>
        <w:t xml:space="preserve">heir social impact is high and their implicit aim is to encourage a certain style of living, working and consuming. Due to their controversial social impacts and aims, they neither fit in the pool of social innovations seen as basically good nor do they count as clearly unsocial innova- tions. </w:t>
      </w:r>
      <w:r w:rsidRPr="00C12070">
        <w:rPr>
          <w:sz w:val="16"/>
        </w:rPr>
        <w:t xml:space="preserve">Working with a broad notion of social innovations calls for research that system- atically studies how to deal with controversies on social innovations with varying balance sheets of possibly good and bad social goals and impacts, depending on context and nature, and how this influences their development. 25.3 </w:t>
      </w:r>
      <w:r w:rsidRPr="00952F80">
        <w:rPr>
          <w:rStyle w:val="StyleUnderline"/>
        </w:rPr>
        <w:t xml:space="preserve">The Ugly The “ugliness” in social innovation is to misrepresent them as something they are not. Probably the most common misrepresentation of social innovation is to im- plicitly treat them as similar to business innovation and, as a result, ignore many of the special conditions needed to make them flourish. </w:t>
      </w:r>
      <w:r w:rsidRPr="00C12070">
        <w:rPr>
          <w:sz w:val="16"/>
        </w:rPr>
        <w:t xml:space="preserve">Sure enough, many so- cial innovations originate from businesses, yet </w:t>
      </w:r>
      <w:r w:rsidRPr="00952F80">
        <w:rPr>
          <w:rStyle w:val="StyleUnderline"/>
        </w:rPr>
        <w:t>those in local welfare mostly origi- nate in nonmarket contexts like the third sector or social movements (according to some definitions of social innovations, exclusively so). More importantly, there are fundamental differences compared to other types of innovations. For a start, they usually relate to services not products. This makes a difference in that it relates to ongoing relationships rather than discrete transactions and to outcomes rather than outputs. Furthermore, they are usually embedded in specific social relations</w:t>
      </w:r>
      <w:r w:rsidRPr="00C12070">
        <w:rPr>
          <w:sz w:val="16"/>
        </w:rPr>
        <w:t xml:space="preserve">. This, in turn, means that they are more contextually bound than their technological counterparts. An iPad will continue to function in the same way whether it is used in Stockholm, Dover or Belgrade. This is not the case for approaches or schemes working with people that rely on specific regulations and cultures to be effective. Finally, they tend to address social needs not sufficiently addressed by government programmes and markets. Indeed, local governments can even use such initiatives to justify their own inactivity or, through a symbolic financial gesture, construct political legitimacy by appearing to respond to social challenges. As discussed in Chap. 3, all these have consequences for the emergence and development of social innovations. </w:t>
      </w:r>
      <w:r w:rsidRPr="00952F80">
        <w:rPr>
          <w:rStyle w:val="StyleUnderline"/>
        </w:rPr>
        <w:t>The implicit use of business models as a bench- mark strengthens the already strong tendency to emphasise successful and scaled examples. Though scaling is important , it concerns only a relatively small propor- tion of social innovations and one that appears to be based primarily on a selective use of case studies</w:t>
      </w:r>
      <w:r w:rsidRPr="00C12070">
        <w:rPr>
          <w:sz w:val="16"/>
        </w:rPr>
        <w:t xml:space="preserve">. It also strongly underplays the significance of the vast majority of social innovations that are not or only partially diffused, remain restricted to a local area and last only for a relatively short period of time. Arguably, the cumula- tive effect of such small initiatives is of far greater importance to society than the few star examples that achieve a wider impact. The emphasis on widely dispersed social innovations also tends to highlight the role of professional organisations and networks, given the importance of intermediaries for diffusing social innovations. By implication, it downplays the role of third sector organisations and citizens’ ini- tiatives, whose roles are often confined to a local setting. </w:t>
      </w:r>
      <w:r w:rsidRPr="00952F80">
        <w:rPr>
          <w:rStyle w:val="StyleUnderline"/>
        </w:rPr>
        <w:t>A second misrepresentation concerns the relationship between economic and so- cial innovation. The underlying assumption of several studies and public statements is that prevailing politics of economic and urban growth and social innovation in cities go easily together and that they are complementary and part of a single strat- egy to make cities more attractive, competitive and liveable. Even supporting this perspective, one would concede that the diffusion of innovations that challenge routines is problematic due to procedural and managerial difficulties, calling for effective strategies that strengthen acceptance. H</w:t>
      </w:r>
      <w:r w:rsidRPr="00C12070">
        <w:rPr>
          <w:sz w:val="16"/>
        </w:rPr>
        <w:t xml:space="preserve">owever, </w:t>
      </w:r>
      <w:r w:rsidRPr="00952F80">
        <w:rPr>
          <w:rStyle w:val="StyleUnderline"/>
        </w:rPr>
        <w:t>disregarding innovative attempts or picking up only certain parts and aspects points to a kind of selectivity of contexts related to controversial interests, priorities and strategies</w:t>
      </w:r>
      <w:r w:rsidRPr="00C12070">
        <w:rPr>
          <w:sz w:val="16"/>
        </w:rPr>
        <w:t xml:space="preserve">. Generally, local authorities tend to favour innovations complementary to their urban growth strategy, aimed at making the city more dynamic and attractive according to their terms. The fact that the most sustainable innovations in our sample were those either fully integrated into the local welfare administration or even initiated by the local authorities deserves closer examination. The case studies on Milan and Münster of- fer good examples of the selective nature of such strategies, favouring innovations that were complementary to their growth strategy. Local social innovations fit to different degrees with the strategies of cities to become globally competitive places, attractive for urban elites. Urban gardening is one such example. However, innova- tions focussing on people at the fringes of urban society are of minor relevance for such strategies. Such types of innovations have proven especially vulnerable to cut- backs and shifts in political mood. The </w:t>
      </w:r>
      <w:r w:rsidRPr="00952F80">
        <w:rPr>
          <w:rStyle w:val="StyleUnderline"/>
        </w:rPr>
        <w:t>British</w:t>
      </w:r>
      <w:r w:rsidRPr="00C12070">
        <w:rPr>
          <w:sz w:val="16"/>
        </w:rPr>
        <w:t xml:space="preserve"> examples of local social innovations are good illustrations of this. </w:t>
      </w:r>
      <w:r w:rsidRPr="00952F80">
        <w:rPr>
          <w:rStyle w:val="StyleUnderline"/>
        </w:rPr>
        <w:t>The third “ugly” trait that makes it difficult to find appropriate ways of dealing with social innovations in public policies is the one-sided presentation of welfare state reform as a primarily top–down process, giving priority to regulating and standardising over securing open spaces for social innovation. This state-centred concept of change and reform is historically untrue</w:t>
      </w:r>
      <w:r w:rsidRPr="00C12070">
        <w:rPr>
          <w:sz w:val="16"/>
        </w:rPr>
        <w:t xml:space="preserve">, as many social innovations avant la lettre were incorporated into state-sponsored schemes and reality is more hybrid than often acknowledged. The focus on welfare regimes in academic debate has all but written bottom–up innovation out of a welfare state and presents the history of social reform history as top–down process of large-scale institutions and regulations. </w:t>
      </w:r>
      <w:r w:rsidRPr="00952F80">
        <w:rPr>
          <w:rStyle w:val="StyleUnderline"/>
        </w:rPr>
        <w:t>It ignores the basic role of experimentation and bottom–up innovation in nudging and realising successful reforms.</w:t>
      </w:r>
    </w:p>
    <w:p w:rsidR="00C12070" w:rsidRDefault="00C12070" w:rsidP="00C12070">
      <w:pPr>
        <w:rPr>
          <w:rStyle w:val="StyleUnderline"/>
        </w:rPr>
      </w:pPr>
    </w:p>
    <w:p w:rsidR="00C12070" w:rsidRDefault="00C12070" w:rsidP="00C12070"/>
    <w:p w:rsidR="00C12070" w:rsidRPr="0007672D" w:rsidRDefault="00C12070" w:rsidP="00C12070">
      <w:pPr>
        <w:pStyle w:val="Heading4"/>
      </w:pPr>
      <w:r w:rsidRPr="0007672D">
        <w:t>Social Impact Bonds are nothing but a way to make people feel good about themselves and provide next to no actual success</w:t>
      </w:r>
    </w:p>
    <w:p w:rsidR="00C12070" w:rsidRPr="009F7449" w:rsidRDefault="00C12070" w:rsidP="00C12070">
      <w:r w:rsidRPr="003173A0">
        <w:rPr>
          <w:rStyle w:val="Style13ptBold"/>
        </w:rPr>
        <w:t>Cohen 14</w:t>
      </w:r>
      <w:r w:rsidRPr="009F7449">
        <w:t xml:space="preserve"> (Rick, National correspondent for Nonprofit Quarterly and former executive director of the National Committee for Responsive Philanthropy. He also played various roles as a community worker and advisor to others doing community work as well as working in government, “Does “Pay for Success” Actually Pay Off? The ROI of Social Impact Bonds,” October 17, https://nonprofitquarterly.org/2014/10/17/does-pay-for-success-actually-pay-off-the-roi-of-social-impact-bonds/)//amh</w:t>
      </w:r>
    </w:p>
    <w:p w:rsidR="00C12070" w:rsidRDefault="00C12070" w:rsidP="00C12070">
      <w:pPr>
        <w:rPr>
          <w:rStyle w:val="StyleUnderline"/>
        </w:rPr>
      </w:pPr>
      <w:r w:rsidRPr="004C15BD">
        <w:rPr>
          <w:rStyle w:val="StyleUnderline"/>
        </w:rPr>
        <w:t>The concept of Social Impact Bonds is so popular in many circles that politicians believe that they can score points when they make SIBs part of their campaign platforms</w:t>
      </w:r>
      <w:r w:rsidRPr="00CF3735">
        <w:rPr>
          <w:rStyle w:val="StyleUnderline"/>
        </w:rPr>
        <w:t xml:space="preserve">. Winnipeg mayoral candidate Paula Havixbeck pitched SIBs as “a new tool that other countries have had tremendous success with.” </w:t>
      </w:r>
      <w:r w:rsidRPr="004C15BD">
        <w:rPr>
          <w:rStyle w:val="StyleUnderline"/>
        </w:rPr>
        <w:t>The press report didn’t identify which SIBs Havixbeck might have cited as tremendous successes, given that none of the handful of SIB demonstrations has reached any point of financial or program success</w:t>
      </w:r>
      <w:r w:rsidRPr="00CF3735">
        <w:rPr>
          <w:rStyle w:val="StyleUnderline"/>
        </w:rPr>
        <w:t>, though some may in the end do so.</w:t>
      </w:r>
      <w:r>
        <w:rPr>
          <w:rStyle w:val="StyleUnderline"/>
        </w:rPr>
        <w:t xml:space="preserve"> </w:t>
      </w:r>
      <w:r w:rsidRPr="00CF3735">
        <w:rPr>
          <w:rStyle w:val="StyleUnderline"/>
        </w:rPr>
        <w:t>Established politicians have latched on to the concept, too. In Chicago, Mayor Rahm Emanuel announced an ambitious program of social impact bond financing to enroll more children in pre-K classes. The program, to be launched next month, would get 2,600 children into half-day preschool classes over four years. The SIB targets would be met with payments for each pupil who, after pre-K, does not get placed in a special education program ($9,100 per pupil), is deemed ready for kindergarten after pre-K ($2,900), and scores above the national average for third-grade reading ($750).</w:t>
      </w:r>
      <w:r>
        <w:rPr>
          <w:rStyle w:val="StyleUnderline"/>
        </w:rPr>
        <w:t xml:space="preserve"> </w:t>
      </w:r>
      <w:r w:rsidRPr="003173A0">
        <w:rPr>
          <w:rStyle w:val="StyleUnderline"/>
        </w:rPr>
        <w:t>SIBs are also the cloak of respectability sought by some wealthy investors, or so some SIB pitchers believe. In the Huffington Post’s “Impact” page of contributed articles, Sharon Foulston, who describes herself as “founding a Social Impact Bond to finance a home for single mothers,” a “Business Angel for many years mentoring and investing in entrepreneurs,” and interested in “the mystical world of Tarot,” offers a creative pitch to moneyed people. Pitching her SIB idea to “the second generation of wealth owners, the inheritors of a period of industry and sustained economic growth,” Foulston describes those inheritors of wealth as having reached “a higher level of social conscience, seeking rewards far beyond that which mere money can bring.” In a way, it’s easy to see the attraction of Social Impact Bonds</w:t>
      </w:r>
      <w:r w:rsidRPr="00CF3735">
        <w:rPr>
          <w:rStyle w:val="StyleUnderline"/>
        </w:rPr>
        <w:t xml:space="preserve">. </w:t>
      </w:r>
      <w:r w:rsidRPr="003173A0">
        <w:rPr>
          <w:rStyle w:val="StyleUnderline"/>
        </w:rPr>
        <w:t>At a time when government seems to be doing many things ineptly, from the Department of Veterans Affairs’ management of VA hospitals to the Centers for Disease Control’s mercurially unreliable protocols and actions against a stateside outbreak of Ebola, SIBs radiate the glow of a public/private panacea that might cure the dysfunction of government—</w:t>
      </w:r>
      <w:r w:rsidRPr="003173A0">
        <w:rPr>
          <w:rStyle w:val="Emphasis"/>
        </w:rPr>
        <w:t>even without evidence that they can do so.</w:t>
      </w:r>
      <w:r w:rsidRPr="00CF3735">
        <w:rPr>
          <w:rStyle w:val="StyleUnderline"/>
        </w:rPr>
        <w:t xml:space="preserve"> Preferring the nomenclature of “pay for success” over the “boring” language of Social Impact Bond, the respected McClatchy-Tribune op-ed columnist Jay Ambrose exudes that these products of “our high-energy, imaginative, entrepreneurial, can-do spirit and charitable impulses” could materially contribute to the possibility that “we will help people out of desperate circumstances, that we will become a society with less disadvantage, less crime, less unemployment.”</w:t>
      </w:r>
      <w:r>
        <w:rPr>
          <w:rStyle w:val="StyleUnderline"/>
        </w:rPr>
        <w:t xml:space="preserve"> </w:t>
      </w:r>
      <w:r w:rsidRPr="003173A0">
        <w:rPr>
          <w:rStyle w:val="StyleUnderline"/>
        </w:rPr>
        <w:t>Why are Social Impact Bonds so popular when their track record is next to nonexistent? The combination of Ambrose, Foulston, and multiple politicians gives the answer. The American populace sees government and politicians as stymied by party divides, but the SIB/PFS concept has garnered the support of politicians across the ideological spectrum, including endorsement from think tanks of the left (the Center for American Progress) and the right (the American Enterprise Institute), with the appearance that these projects risk the moneys of investors rather than taxpayers</w:t>
      </w:r>
      <w:r w:rsidRPr="00CF3735">
        <w:rPr>
          <w:rStyle w:val="StyleUnderline"/>
        </w:rPr>
        <w:t xml:space="preserve">, </w:t>
      </w:r>
      <w:r w:rsidRPr="004E450E">
        <w:rPr>
          <w:rStyle w:val="StyleUnderline"/>
        </w:rPr>
        <w:t>and if successful, will save money in virtually any area of public endeavor</w:t>
      </w:r>
      <w:r w:rsidRPr="00CF3735">
        <w:rPr>
          <w:rStyle w:val="StyleUnderline"/>
        </w:rPr>
        <w:t>.</w:t>
      </w:r>
      <w:r>
        <w:rPr>
          <w:rStyle w:val="StyleUnderline"/>
        </w:rPr>
        <w:t xml:space="preserve"> </w:t>
      </w:r>
      <w:r w:rsidRPr="00CF3735">
        <w:rPr>
          <w:rStyle w:val="StyleUnderline"/>
        </w:rPr>
        <w:t>As Ambrose explained the protean potential applicability of SIBs, “A government agency identifies some social dread it wants fixed and then strikes a deal with a non-governmental organization to fix it…[which] will then find investors to fund managers who put together ways to tackle the problem.” As an example, the G8 Social Impact Investment Task Force report, released just last month, suggested that social impact bonds, renamed “development impact bonds” for their application in developing nations, could be, if properly structured and targeted, “an innovative way of tackling the social and environmental issues that constrain private sector development and economic growth: tackling issues in education such as literacy and drop-out rates; in health such as sleeping sickness, malaria and other chronic debilitating diseases; and in employment such as training unemployed youth for available jobs.”</w:t>
      </w:r>
      <w:r>
        <w:rPr>
          <w:rStyle w:val="StyleUnderline"/>
        </w:rPr>
        <w:t xml:space="preserve"> </w:t>
      </w:r>
      <w:r w:rsidRPr="00CF3735">
        <w:rPr>
          <w:rStyle w:val="StyleUnderline"/>
        </w:rPr>
        <w:t>Looking at Costs</w:t>
      </w:r>
      <w:r>
        <w:rPr>
          <w:rStyle w:val="StyleUnderline"/>
        </w:rPr>
        <w:t xml:space="preserve"> </w:t>
      </w:r>
      <w:r w:rsidRPr="00CF3735">
        <w:rPr>
          <w:rStyle w:val="StyleUnderline"/>
        </w:rPr>
        <w:t>The investors behind the highly touted but still unproven Peterborough Prison social impact bond, aimed at reducing recidivism of short-term male prisoners released from incarceration, were not profit-minded investors, but 17 foundations and charitable trusts that committed £5 million</w:t>
      </w:r>
      <w:r w:rsidRPr="004E450E">
        <w:rPr>
          <w:rStyle w:val="StyleUnderline"/>
        </w:rPr>
        <w:t>. In the U.S., the investors behind the Rikers Island project to reduce recidivism are not the “second generation of wealth owners” who had stumbled into “a higher level of social conscience” that Foulston described, but Goldman Sachs and Bank of America Merrill Lynch, banks that most Americans might not characterize in Foulston’s words, and in the case of Goldman Sachs, would receive a financial reward from the project if it worked as planned of over 20 percent, but with a guarantee from Bloomberg Philanthropies, boosted to well north of 80 percent</w:t>
      </w:r>
      <w:r w:rsidRPr="00CF3735">
        <w:rPr>
          <w:rStyle w:val="StyleUnderline"/>
        </w:rPr>
        <w:t>.</w:t>
      </w:r>
      <w:r>
        <w:rPr>
          <w:rStyle w:val="StyleUnderline"/>
        </w:rPr>
        <w:t xml:space="preserve"> </w:t>
      </w:r>
      <w:r w:rsidRPr="00CF3735">
        <w:rPr>
          <w:rStyle w:val="StyleUnderline"/>
        </w:rPr>
        <w:t xml:space="preserve">The role of philanthropy is critical in the U.S. SIB experiments, and not only with Bloomberg’s unusual risk guarantee. Even in Chicago’s new pre-K SIB, philanthropy plays a important investment and financing role, with the J.B. and M.K. </w:t>
      </w:r>
      <w:r w:rsidRPr="004E450E">
        <w:rPr>
          <w:rStyle w:val="StyleUnderline"/>
        </w:rPr>
        <w:t>Pritzker Family Foundation taking a subordinate position behind the Goldman Sachs Social Impact Fund and the Northern Trust taking senior roles—meaning that</w:t>
      </w:r>
      <w:r w:rsidRPr="00CF3735">
        <w:rPr>
          <w:rStyle w:val="StyleUnderline"/>
        </w:rPr>
        <w:t xml:space="preserve"> </w:t>
      </w:r>
      <w:r w:rsidRPr="004E450E">
        <w:rPr>
          <w:rStyle w:val="StyleUnderline"/>
        </w:rPr>
        <w:t>if the project were not to fully pay out, Goldman and Northern get paid first</w:t>
      </w:r>
      <w:r w:rsidRPr="00CF3735">
        <w:rPr>
          <w:rStyle w:val="StyleUnderline"/>
        </w:rPr>
        <w:t xml:space="preserve">, and if there were anything left, Pritzer might get it. </w:t>
      </w:r>
      <w:r w:rsidRPr="004E450E">
        <w:rPr>
          <w:rStyle w:val="StyleUnderline"/>
        </w:rPr>
        <w:t>If the project does succeed, it’s probably true that the senior loans get paid at a higher interest rate than the subordinate ones</w:t>
      </w:r>
      <w:r w:rsidRPr="00CF3735">
        <w:rPr>
          <w:rStyle w:val="StyleUnderline"/>
        </w:rPr>
        <w:t>. That is similar to the financial structure that Goldman and Pritzker used for a pre-K SIB in Utah.</w:t>
      </w:r>
      <w:r>
        <w:rPr>
          <w:rStyle w:val="StyleUnderline"/>
        </w:rPr>
        <w:t xml:space="preserve"> </w:t>
      </w:r>
      <w:r w:rsidRPr="00CF3735">
        <w:rPr>
          <w:rStyle w:val="StyleUnderline"/>
        </w:rPr>
        <w:t>Free Download on Nonprofit Governance:</w:t>
      </w:r>
      <w:r>
        <w:rPr>
          <w:rStyle w:val="StyleUnderline"/>
        </w:rPr>
        <w:t xml:space="preserve"> </w:t>
      </w:r>
      <w:r w:rsidRPr="00CF3735">
        <w:rPr>
          <w:rStyle w:val="StyleUnderline"/>
        </w:rPr>
        <w:t>Problem Board or Board Problem?</w:t>
      </w:r>
      <w:r>
        <w:rPr>
          <w:rStyle w:val="StyleUnderline"/>
        </w:rPr>
        <w:t xml:space="preserve"> </w:t>
      </w:r>
      <w:r w:rsidRPr="00CF3735">
        <w:rPr>
          <w:rStyle w:val="StyleUnderline"/>
        </w:rPr>
        <w:t>One gets the sense of foundations in SIBs playing roles that they have long performed through their program-related investments, providing guarantees for private investors such as banks that “risked” construction or permanent financing for various kinds of projects, though those loan guarantees typically supported capital projects such as affordable housing and facility development as opposed to the costs of social programs.</w:t>
      </w:r>
      <w:r>
        <w:rPr>
          <w:rStyle w:val="StyleUnderline"/>
        </w:rPr>
        <w:t xml:space="preserve"> </w:t>
      </w:r>
      <w:r w:rsidRPr="00CF3735">
        <w:rPr>
          <w:rStyle w:val="StyleUnderline"/>
        </w:rPr>
        <w:t>Examples of foundations that have made loan guarantees through program-related investments in recent years include the Rasmuson Foundation, which in 2010 provided credit enhancement through a first loss guarantee for new facility and housing development loans originated in Alaska by nonprofits; the John R. Oishei Foundation’s loan guarantee for Buffalo River Fest Park; and the Meyer Memorial Trust’s combined grant and loan guarantee for the Freshwater Trust’s stream and river restoration efforts in Oregon. In a more recent guarantee, the Kresge Foundation in 2013 gave the Calvert Foundation a $1.25 million loan guarantee toward Calvert’s participation in the Woodward Corridor Investment Fund in Detroit, a $30 million effort to finance mixed-income, mixed-use projects in walking distance of the city’s downtown core.</w:t>
      </w:r>
      <w:r>
        <w:rPr>
          <w:rStyle w:val="StyleUnderline"/>
        </w:rPr>
        <w:t xml:space="preserve"> </w:t>
      </w:r>
      <w:r w:rsidRPr="00CF3735">
        <w:rPr>
          <w:rStyle w:val="StyleUnderline"/>
        </w:rPr>
        <w:t>Loan guarantees like these PRI investments or Bloomberg’s for the Rikers project don’t usually involve a cash outlay, but they do put that amount of the foundation’s balance sheet at risk should the deal go sour. Somehow, the notion of Meyer Memorial risking tax-exempt foundation resources on the Freshwater Trust or even the Kresge Foundation for the Calvert Foundation’s investment in Detroit feels a little more philanthropically authentic than providing guarantees for Wall Street investment banks that have more capital than these philanthropic institutions might ever hope to see.</w:t>
      </w:r>
      <w:r>
        <w:rPr>
          <w:rStyle w:val="StyleUnderline"/>
        </w:rPr>
        <w:t xml:space="preserve"> </w:t>
      </w:r>
      <w:r w:rsidRPr="00CF3735">
        <w:rPr>
          <w:rStyle w:val="StyleUnderline"/>
        </w:rPr>
        <w:t xml:space="preserve">There may well be types of investments in which social impact bond-like structures might be significant boosts toward testing and financing high-risk solutions to social problems. </w:t>
      </w:r>
      <w:r w:rsidRPr="006B3F23">
        <w:rPr>
          <w:rStyle w:val="StyleUnderline"/>
        </w:rPr>
        <w:t>If the likes of Wall Street were to invest really high-risk money in nonprofit projects like planning money and predevelopment financing, much as many community development intermediaries and some foundations do in the form of “recoverable grants,” that would significantly propel nonprofits to do things that they otherwise cannot, given limitations in governmental funding. However, at least at the outset of the SIB social experiment, the projects in the first wave of SIBs seem to be occurring in areas where the techniques for success have been well demonstrated without SIBs.</w:t>
      </w:r>
      <w:r w:rsidRPr="00CF3735">
        <w:rPr>
          <w:rStyle w:val="StyleUnderline"/>
        </w:rPr>
        <w:t xml:space="preserve"> In reading the information on sites such as the Federal Reserve Bank of San Francisco’s “What Works for America’s Communities,” the U.S. Department of Education’s What Works Clearinghouse, and the Urban Institute’s What Works Collaborative, as well as Lisbeth Schorr’s groundbreaking 1988 book Within Our Reach, much of what is needed in our society is known and available—the obstacle is the lack of sufficient political will to put public capital behind these strategies and projects that really can make breakthrough changes in social conditions. </w:t>
      </w:r>
      <w:r w:rsidRPr="006B3F23">
        <w:rPr>
          <w:rStyle w:val="StyleUnderline"/>
        </w:rPr>
        <w:t>The evidence that paying private investors such as Goldman Sachs a premium in the form of a SIB will lead to that missing public will is not yet visible. The prospect of private sector pump-priming capital investment plus the promise of governmental savings add up to a strategy that SIB supporters hope might break the logjam of public sector inaction. However, the pump-priming process at this stage of the nation’s understanding of social impact bonds is a bit topsy-turvy. Rather than having Goldman Sachs and other private investors take high-risk positions to demonstrate the concept, the private investors and various SIB financial packagers are looking for government to put money behind incipient SIB efforts to demonstrate “proof of concept.</w:t>
      </w:r>
      <w:r w:rsidRPr="00CF3735">
        <w:rPr>
          <w:rStyle w:val="StyleUnderline"/>
        </w:rPr>
        <w:t>”</w:t>
      </w:r>
      <w:r>
        <w:rPr>
          <w:rStyle w:val="StyleUnderline"/>
        </w:rPr>
        <w:t xml:space="preserve"> </w:t>
      </w:r>
      <w:r w:rsidRPr="00CF3735">
        <w:rPr>
          <w:rStyle w:val="StyleUnderline"/>
        </w:rPr>
        <w:t>The various recent public investments geared to pay for consultants and other costs associated with structuring SIB/PFS show multiple funding sources. For example, the Salt Lake County Council just voted to give Third Sector Capital Partners $150,000 from its regional development budget to figure out its next pay-for-success project. In this instance, however, it isn’t that Salt Lake knows what it wants to do as its next SIB following its experience with its first, a pre-K project, but it is taking the money for Third Sector from its regional development budget to figure out what social problem to take on next.</w:t>
      </w:r>
      <w:r>
        <w:rPr>
          <w:rStyle w:val="StyleUnderline"/>
        </w:rPr>
        <w:t xml:space="preserve"> </w:t>
      </w:r>
      <w:r w:rsidRPr="00CF3735">
        <w:rPr>
          <w:rStyle w:val="StyleUnderline"/>
        </w:rPr>
        <w:t>Social Impact Bonds ae not actual bonds, but a financing mechanism in which private capital finances the implementation of a program, repaid if the program reaches predetermined achievement goals. In Richmond, California, to finance housing rehabilitation efforts, the city is issuing actual long-term municipal bonds paying low interest rates (in contrast to the return on investment anticipated by SIB investors such as Goldman Sachs). The bond will be underwritten by RBC Capital Markets, the Canadian investment bank, and will probably be issued at the city’s AA- credit rating. Wells Fargo and Bank of America have been identified as potentially interested investors in the bond. It isn’t quite clear how a municipality’s decision to issue housing bonds is all that new, given the long history of states and cities issuing mortgage revenue bonds and multifamily housing bonds.</w:t>
      </w:r>
      <w:r>
        <w:rPr>
          <w:rStyle w:val="StyleUnderline"/>
        </w:rPr>
        <w:t xml:space="preserve"> </w:t>
      </w:r>
      <w:r w:rsidRPr="00CF3735">
        <w:rPr>
          <w:rStyle w:val="StyleUnderline"/>
        </w:rPr>
        <w:t>Legislation in front of Congress right now, H.R. 4885, the Social Impact Bond Act co-sponsored by Indiana Republican congressman Todd Young and Maryland Democrat John Delaney, would provide $10 million for states toward the cost of Social Impact Bond feasibility studies and additional federal moneys toward the costs of third-party SIB evaluations. With an array of other federal legislators who have subsequently endorsed the bill, ranging from Jared Polis (D-CO) and Joseph Kennedy (D-MA) to Dennis Ross (R-FL) and Aaron Schock (R-IL), the Social Impact Bond Act exemplifies the bipartisan nature of support that SIBs attract, even with calls for increased funding. But when it comes to the technical assistance and evaluation costs that would typically be wrapped into the overall PFS/SIB financing structure, this legislation puts government into the position of paying for and subsidizing the costs that the SIB structure should in theory cover.</w:t>
      </w:r>
      <w:r>
        <w:rPr>
          <w:rStyle w:val="StyleUnderline"/>
        </w:rPr>
        <w:t xml:space="preserve"> </w:t>
      </w:r>
      <w:r w:rsidRPr="00CF3735">
        <w:rPr>
          <w:rStyle w:val="StyleUnderline"/>
        </w:rPr>
        <w:t>Although conservatives have been highly critical of many of President Obama’s social program initiatives, there was no noticeable Republican criticism when, on October 1st, the Social Innovation Fund in the Corporation for National and Community Service announced eight grants for a total of $12 million to launch pay for success initiatives. Each of the grantees will receive between $200,000 and $1.8 million a year over three years, with a dollar-for-dollar match. Grant recipients include entities that will structure and provide technical assistance to SIB/PFS projects, such as the Nonprofit Finance Fund ($3.6 million), the Harvard Kennedy School Social Impact Bond Lab ($1.93 million), and the aforementioned Third Sector Capital Partners ($1.9 million). It is striking that the SIF program theory is that federal front-end predevelopment financing is needed for programs with strong evidence-based track records, such as the projects often selected for SIB/PFS efforts in the U.S., and for major investment groups with substantial histories of project financing. This kind of front-end planning and development money is much less available to smaller, community-based nonprofits testing unproven program models rather than large, powerful nonprofits with major private financial partners along the lines of the typical SIF/SIB/PFS grantee.</w:t>
      </w:r>
      <w:r>
        <w:rPr>
          <w:rStyle w:val="StyleUnderline"/>
        </w:rPr>
        <w:t xml:space="preserve"> </w:t>
      </w:r>
      <w:r w:rsidRPr="00AB31D0">
        <w:rPr>
          <w:rStyle w:val="StyleUnderline"/>
        </w:rPr>
        <w:t>Whatever the specific SIB structure, government is always on the hook to pay for “successful” SIBs, in that the government take-out for the project having reached predetermined goals is key—except that it involves government take-out plus a solid return on investment. It means that government has to appropriate in advance the funds that will pay the investors the costs of their working capital plus their anticipated rate of return, else investors might wonder whether a future legislative body might actually appropriate the funds promised by a previous legislature</w:t>
      </w:r>
      <w:r w:rsidRPr="00CF3735">
        <w:rPr>
          <w:rStyle w:val="StyleUnderline"/>
        </w:rPr>
        <w:t xml:space="preserve">. For example, </w:t>
      </w:r>
      <w:r w:rsidRPr="00AB31D0">
        <w:rPr>
          <w:rStyle w:val="StyleUnderline"/>
        </w:rPr>
        <w:t xml:space="preserve">Massachusetts has had to allocate up to $27 million for its anti-recidivism SIB. Private investors (banks and foundations) have put $18 million into the project, but anticipate payments of five percent for senior loans and two percent for junior loans if the project is successful. </w:t>
      </w:r>
      <w:r w:rsidRPr="00CF3735">
        <w:rPr>
          <w:rStyle w:val="StyleUnderline"/>
        </w:rPr>
        <w:t>Ostensibly, long-term costs to government are reduced by the savings from avoiding re-incarceration, but government does have to pay at some point. Programs that could and perhaps should be paid for by government without the necessity of a SIB to attract private investors, such as Utah’s pre-K SIB, defy logic. Why should government appropriate funds up front to pay investors’ costs when the concept of pre-K is proven, desirable, and broadly supported by voters and legislators?</w:t>
      </w:r>
      <w:r>
        <w:rPr>
          <w:rStyle w:val="StyleUnderline"/>
        </w:rPr>
        <w:t xml:space="preserve"> </w:t>
      </w:r>
      <w:r w:rsidRPr="00AB31D0">
        <w:rPr>
          <w:rStyle w:val="StyleUnderline"/>
        </w:rPr>
        <w:t>These social programs are rarely so discrete that they can be separately financed by private investors without government playing a role at the very beginning as well as at the end. For example, the Chicago pre-K SIB requires not only upfront private investment, but $4.5 million in state grants and $10 million in city capital funds. The capital expenditure is necessary, we would guess, because there currently aren’t enough pre-K spaces in Chicago for the desired SIB pre-K population.</w:t>
      </w:r>
      <w:r w:rsidRPr="00CF3735">
        <w:rPr>
          <w:rStyle w:val="StyleUnderline"/>
        </w:rPr>
        <w:t xml:space="preserve"> A Goldman Sachs representative, Andrea Phillips, said, “Innovative models like social impact bonds and Pay for Success programs allow the private sector to provide the capital needed to expand successful initiatives in our cities and communities, shifting the risk of achieving targeted outcomes away from the taxpayer and enabling governments to pay only for what works,” but </w:t>
      </w:r>
      <w:r w:rsidRPr="00AB31D0">
        <w:rPr>
          <w:rStyle w:val="StyleUnderline"/>
        </w:rPr>
        <w:t>the reality is that the success of SIBs depends on government investment prior to the SIB project, during the SIB to pay for costs that the investors can’t or won’t, and after the SIB project once government has to ante up a payment for program costs plus a return on investment.</w:t>
      </w:r>
      <w:r>
        <w:rPr>
          <w:rStyle w:val="StyleUnderline"/>
        </w:rPr>
        <w:t xml:space="preserve"> </w:t>
      </w:r>
      <w:r w:rsidRPr="00AB31D0">
        <w:rPr>
          <w:rStyle w:val="StyleUnderline"/>
        </w:rPr>
        <w:t>The public hears about private capital investment, senses governmental dysfunction as of late, and quickly finds the Social Impact Bond concept alluring even while few people know what it really is or whether it will truly save money</w:t>
      </w:r>
      <w:r w:rsidRPr="00CF3735">
        <w:rPr>
          <w:rStyle w:val="StyleUnderline"/>
        </w:rPr>
        <w:t xml:space="preserve">. Voters might be surprised to learn that government has to be prepared to pay—and pay handsomely in some cases—for having allowed private investors to invest money in projects and concepts that are already well known to work. Why wouldn’t the public invest in pre-K, supportive housing, and anti-recidivism projects on their own merits? Do </w:t>
      </w:r>
      <w:r w:rsidRPr="00AB31D0">
        <w:rPr>
          <w:rStyle w:val="StyleUnderline"/>
        </w:rPr>
        <w:t>voters need the validation that comes from having Wall Street bankers bless the projects? We suspect that few people understand the levels of government appropriations that might be needed to support PFS/SIB projects both during their implementation and after they are completed and deemed successful—or that government might be needed to provide some up-front SIB project costs. The queue of potential intermediaries offering their services in structuring and assisting SIBs is out there, is increasing, their motivations probably a mix of commitment to the social issues to be addressed by SIBs—at least we hope so—plus a large dollop of financial expectations for their own bottom lines</w:t>
      </w:r>
      <w:r w:rsidRPr="00CF3735">
        <w:rPr>
          <w:rStyle w:val="StyleUnderline"/>
        </w:rPr>
        <w:t>. For some SIB adherents, their interest in PFS/SIBs is embellished by a strong sentiment that government is unaccountable, uninterested in results, allergic to evaluation and feedback, and largely unproductive. Their ideological predisposition against government seeps out in various settings when they declare, perhaps with unintentional honesty, that half of government programs have never succeeded with measurable results in any soc</w:t>
      </w:r>
      <w:r>
        <w:rPr>
          <w:rStyle w:val="StyleUnderline"/>
        </w:rPr>
        <w:t>hot</w:t>
      </w:r>
      <w:r w:rsidRPr="00CF3735">
        <w:rPr>
          <w:rStyle w:val="StyleUnderline"/>
        </w:rPr>
        <w:t>ial program endeavor—ever. Some people may even imagine that social investors are somehow more enlightened human beings than the public servants who do the public’s work in city, state, and federal agencies. Among a segment of social entrepreneurs of late, there is a growing antipathy toward government—even as they seek out government subsidy.</w:t>
      </w:r>
      <w:r>
        <w:rPr>
          <w:rStyle w:val="StyleUnderline"/>
        </w:rPr>
        <w:t xml:space="preserve"> </w:t>
      </w:r>
      <w:r w:rsidRPr="00CF3735">
        <w:rPr>
          <w:rStyle w:val="StyleUnderline"/>
        </w:rPr>
        <w:t>There are, however, people who truly believe in the efficacy of social impact bonds, even while they acknowledge that there is much to be done to hone the concept to make it practical. Representative Joseph Kennedy III, a co-sponsor of the Young/Delaney legislation, wrote what seems a heartfelt plea for support for the legislation and for SIB models such as the Massachusetts anti-recidivism project being carried out by the Chelsea-based nonprofit Roca. But even Kennedy falls prey to the idea of barriers between the public and private sectors that SIBs can overcome. A team of Brookings Institution researchers recently concluded, “While there is still much to learn in designing and implementing social and development impact bonds, early experiences are somewhat promising in that, at the very least, they have gotten the bureaucrats, the investors and the providers of services to the same table and with aligned interests at that.” It is sort of an imaginary world view, in which these observers imagine government as somehow immune from doing the bidding of private sector interests, as opposed to the typical role of politicians feeding tax subsidy upon tax subsidy to private corporations and succumbing to the political process dominated by direct and indirect corporate campaign contributions.</w:t>
      </w:r>
      <w:r>
        <w:rPr>
          <w:rStyle w:val="StyleUnderline"/>
        </w:rPr>
        <w:t xml:space="preserve"> </w:t>
      </w:r>
      <w:r w:rsidRPr="00CF3735">
        <w:rPr>
          <w:rStyle w:val="StyleUnderline"/>
        </w:rPr>
        <w:t xml:space="preserve">There are important roles for private capital to leverage—or be leveraged by—public funding, especially if the corporate funding boosts the capacity and access to working capital of nonprofits tackling issues that don’t come with ready-made, proven solutions and truly need high-risk capital. But if the programs are known to work, as many have been demonstrated to do before the concepts of “pay for success” or “social impact bonds” ever entered the public policy lexicon, it seems so much more logical for government simply to pay for the programs to get them done and not add returns of 7, 10, 20, or 80 percent to attract Wall Street investors. And </w:t>
      </w:r>
      <w:r w:rsidRPr="00AB31D0">
        <w:rPr>
          <w:rStyle w:val="StyleUnderline"/>
        </w:rPr>
        <w:t>if the challenge now is to devote government money to the front-end costs of putting together investor-financed SIBs, as Salt Lake County, state governments, and the Social Innovation Fund are now doing, the process is headed in the wrong direction. The nonprofit sector needs feasibility, planning, and predevelopment financing, not big Wall Street investors or the financial intermediaries that anticipate solid paydays from the PFS/SIB concept.</w:t>
      </w:r>
    </w:p>
    <w:p w:rsidR="00C12070" w:rsidRDefault="00C12070" w:rsidP="00C12070">
      <w:pPr>
        <w:rPr>
          <w:rStyle w:val="StyleUnderline"/>
        </w:rPr>
      </w:pPr>
    </w:p>
    <w:p w:rsidR="00C12070" w:rsidRPr="0007672D" w:rsidRDefault="00C12070" w:rsidP="00C12070">
      <w:pPr>
        <w:pStyle w:val="Heading4"/>
      </w:pPr>
      <w:r w:rsidRPr="0007672D">
        <w:t>Pay for Success incentivizes the falsification of results and is ineffective in reality</w:t>
      </w:r>
    </w:p>
    <w:p w:rsidR="00C12070" w:rsidRDefault="00C12070" w:rsidP="00C12070">
      <w:pPr>
        <w:rPr>
          <w:rStyle w:val="StyleUnderline"/>
        </w:rPr>
      </w:pPr>
      <w:r w:rsidRPr="00C47F33">
        <w:rPr>
          <w:rStyle w:val="Style13ptBold"/>
        </w:rPr>
        <w:t>Cohen 17</w:t>
      </w:r>
      <w:r w:rsidRPr="00C47F33">
        <w:t xml:space="preserve"> (Rachel M., journalist based in Washington D.C., “Why “Pay for Success” Financing Could Cost Taxpayers More Than They Bargained For,” March 30, http://inthesetimes.com/article/20174/pay-for-success-private-investment-education)//amh</w:t>
      </w:r>
    </w:p>
    <w:p w:rsidR="00C12070" w:rsidRPr="00C12070" w:rsidRDefault="00C12070" w:rsidP="00C12070">
      <w:pPr>
        <w:rPr>
          <w:sz w:val="16"/>
        </w:rPr>
      </w:pPr>
      <w:r w:rsidRPr="00C47F33">
        <w:rPr>
          <w:rStyle w:val="StyleUnderline"/>
        </w:rPr>
        <w:t>With looming pension payments and a budget deficit of $129 milllion, the Chicago Public Schools (CPS) is in financial turmoil</w:t>
      </w:r>
      <w:r w:rsidRPr="00C12070">
        <w:rPr>
          <w:sz w:val="16"/>
        </w:rPr>
        <w:t xml:space="preserve">. Earlier this spring, Mayor Rahm Emanuel even hinted that CPS might be forced to end the school year three weeks early to save money. Yet </w:t>
      </w:r>
      <w:r w:rsidRPr="00C47F33">
        <w:rPr>
          <w:rStyle w:val="StyleUnderline"/>
        </w:rPr>
        <w:t xml:space="preserve">despite these financial woes, Chicago’s school district recently agreed to pay more than a million dollars to Goldman Sachs and other investors that fronted funds for an early childhood education program, part of a social experiment known as “Pay for Success.” Under Pay for Success, described as an “innovative financing structure,” private investors such as banks and foundations put up money for social programs with measurable outcomes—for example, reducing chronic homelessness by 200 individuals per year. If the predetermined goals are met, the government will pay the investors back with interest. </w:t>
      </w:r>
      <w:r w:rsidRPr="00C12070">
        <w:rPr>
          <w:sz w:val="16"/>
        </w:rPr>
        <w:t xml:space="preserve">Chicago’s Pay for Success project launched in 2014, and aims to improve students’ kindergarten readiness, boost third grade literacy and reduce special education services. Goldman Sachs, Northern Trust and the Pritzker Family Foundation invested $16.9 million into the program, with the potential to roughly double their investment over the next 18 years. The bulk of those returns would come from reducing special education services for the 2,600 program participants—about $9,100 per child. Undergirded by narratives of wasteful government spending and market-driven accountability, a small group of philanthropists, financiers, and policy leaders have helped elevate the Pay for Success model quickly over the past few years. State and local governments have launched 16 such projects across the U.S since 2012, tackling a range of issues from foster care and education, to criminal justice and public health. Dozens more wait in the pipeline. At its best, advocates say that Pay for Success could foster greater government accountability, fund needed programs in cash-strapped political climates and potentially save the public money down the line. “Innovative models like Pay for Success … shift the risk of achieving targeted outcomes away from the taxpayer and enabl[e] governments to pay only for what works,” said Andrea Phillips, the Vice President of Goldman Sachs’ Urban Investment Group. But at its worst, Pay for Success can leave taxpayers paying substantially more than if their governments had just funded programs directly, cement narratives of fiscal austerity and incentivize misguided social outcomes. The Trump administration has yet to embrace Pay for Success by name, and cut funding for a significant Obama-era program that promoted the model. Yet the underlying goals of Pay for Success—expanding public-private partnerships to tackle societal ills—fit comfortably with the new administration’s stated priorities. Though some supporters have expressed concerns about Pay for Success’s future under Donald Trump, </w:t>
      </w:r>
      <w:r w:rsidRPr="00C47F33">
        <w:rPr>
          <w:rStyle w:val="StyleUnderline"/>
        </w:rPr>
        <w:t xml:space="preserve">there’s strong evidence to suggest it will continue to grow over the next four years, </w:t>
      </w:r>
      <w:r w:rsidRPr="00C47F33">
        <w:rPr>
          <w:rStyle w:val="Emphasis"/>
        </w:rPr>
        <w:t>especially in the realm of education</w:t>
      </w:r>
      <w:r w:rsidRPr="00C12070">
        <w:rPr>
          <w:sz w:val="16"/>
        </w:rPr>
        <w:t xml:space="preserve">. The roots of a new model In 2010, the first Pay for Success project launched in the United Kingdom, a six-year pilot aimed to reduce recidivism from a prison in Peterborough. It was funded by “social impact bonds” and promoted by Social Finance UK, a group that had formed three years prior by Ronald Cohen, a man dubbed “the father of British venture capital.” Social Finance UK helped raise the upfront £5 million, mostly from the philanthropic sector. (The Rockefeller Foundation was the only U.S. institution to invest.) Enthusiasm for and deep faith in Pay for Success’s innovative potential spread quickly across the Atlantic Ocean, long before the results of the Peterborough pilot were in. Some U.S. groups were already organizing. New Profit—a “venture philanthropy fund” with a board that boasts Bain Capital executives and other investment leaders—launched an advocacy arm in 2007, innocuously named America Forward. When Barack Obama was elected president in 2008, the group recommended that his transition team establish a “social innovation fund.” The Obama administration ran with the idea, and in early 2009 established the first-ever Social Innovation Fund, administered by the Corporation for National and Community Service, and the first-ever White House Office of Social Innovation—both of which mobilize private-sector partnerships and Pay for Success projects. Sonal Shah, an alum of both Goldman Sachs and Google, came on board to lead the new executive office. “We’re very lucky that this [Pay for Success] concept really resonated with the White House, and Sonal Shah, she quickly saw that this tool combined many things that the Office of Social Innovation was trying to do,” says Tracy Palandjian, the CEO and founder of Social Finance, the U.S. sister organization to Social Finance UK. Shah, who left Obama’s administration in 2011, is now an emeritus board member of Social Finance. In its short existence, Pay for Success has been championed by a small, interlocking group of actors within the Obama administration, financial institutions, advocacy groups and research institutes. Meanwhile, three foundations have played particularly significant roles: the Rockefeller Foundation, Bloomberg Philanthropies, and the Laura and John Arnold Foundation. In 2015, the Laura and John Arnold Foundation gave $8.4 million to the Urban Institute to launch an effort dedicated to advancing Pay for Success projects across the country. By 2014, the Rockefeller Foundation had spent nearly $10 million getting Pay For Success off the ground, from facilitating meetings with PFS supporters and the White House, to funding Center for American Progress promotional materials. And all three foundations have funded the Government Performance Lab at Harvard, established in 2011, that helps implement and expand Pay for Success initiatives. Jeffrey Liebman, who served in the Obama administration as the deputy director for policy at the OMB, runs the Harvard center. Federal support for Pay for Success continued to mount steadily under the Obama administration. In 2015, Congress passed the Every Students Succeeds Act (ESSA)—the successor to No Child Left Behind—and changed the law to allow states and school districts to use federal dollars to fund Pay for Success projects. The move was applauded by groups excited about leveraging public money with private partners, and criticized by others for the same reason. Senator Orrin Hatch, (R-UT), largely responsible for the inclusion of Pay for Success in ESSA, said “rather than being limited by what federal bureaucrats at the Department of Education think best, funding should be more connected to local innovation and successful outcomes.” Lexi Barrett, a former policy advisor in Obama’s DOE who also served on his Domestic Policy Council, left the executive branch in 2014 to work as the policy director for America Forward, where she pushed for Pay for Success’s inclusion in ESSA. Now she works as the director of National Education Policy at Jobs for the Future, which was recently awarded $2 million in Department of Education grants to spearhead Pay for Success projects in career and technical education. “The fact is you have very senior level officials leave the federal government and then turn around to lobby and influence their former agencies,” says Craig Holman, the government affairs lobbyist at Public Citizen, which advocates for tougher restrictions on former federal employees. The Obama administration laid the groundwork for Pay for Success, paving the way for its potential expansion under Trump—who has declared his intent to expand public-private partnerships across all sectors of government. A bipartisan commission established last March by Speaker Paul Ryan (R-WI) and Senator Patty Murray (D-WA) will be issuing formal recommendations later this fall on how to grow the evidence-based policy movement. America Forward lobbied for this federal commission, and Jeffrey Liebman serves on it. And a bipartisan bill—the Social Impact Partnership to Pay for Results Act—was reintroduced this past January, which would direct at least $100 million to states and local communities to expand Pay for Success projects. Meanwhile, in March, Trump announced the creation of the White House Office of American Innovation, charged with improving government and society in collaboration with the “private sector and other thought leaders.” With its stated plans to tackle areas like workforce development and the opioid crisis, PFS supporters have been eyeing the Office of American Innovation as a potential new base of federal support. Senior White House advisers, including Goldman Sachs alumni Gary Cohn and Dina Powell, were even tapped to help guide the new agency. Before joining the Trump administration Powell herself had led Goldman’s “impact investing” initiatives, a portfolio that includes Pay for Success. Differing definitions of “success” With its inclusion in ESSA and its relatively strong DOE support, investors, nonprofits, and policymakers have identified real potential for using Pay for Success in education. Last September, Senators Hatch and Michael Bennet (D-CO) introduced legislation that would encourage schools to use Pay for Success to expand career and technical education. The two legislators introduced another bill this month to include Pay for Success initiatives within the Higher Education Act, so that PFS could fund interventions around things like increasing college completion for low-income students. Moreover, this past December, the federal education department awarded more than $3 million to eight government organizations to launch Pay for Success feasibility studies in early childhood education. The winners include the state of Minnesota, a charter school in South Carolina, a school district in California, and five local government agencies. The goal, the DOE said, will be to assess each program’s design with a “cost-benefit analysis showing the return on investment to the community.” Yet </w:t>
      </w:r>
      <w:r w:rsidRPr="00C47F33">
        <w:rPr>
          <w:rStyle w:val="StyleUnderline"/>
        </w:rPr>
        <w:t>despite the enthusiasm, there are reasons for wary. So far, just two Pay for Success preschool programs have launched, neither of which could yet credibly be called successful. One was an early childhood education program in Utah, which was initially reported to help 99 percent of students in its first cohort avoid special education services. Goldman Sachs fronted $4.6 million for the project, and took home its first payment of $267,000 in 2015 for supposedly reducing the number of children who would have otherwise needed special education.</w:t>
      </w:r>
      <w:r w:rsidRPr="00C12070">
        <w:rPr>
          <w:sz w:val="16"/>
        </w:rPr>
        <w:t xml:space="preserve"> But </w:t>
      </w:r>
      <w:r w:rsidRPr="00C47F33">
        <w:rPr>
          <w:rStyle w:val="StyleUnderline"/>
        </w:rPr>
        <w:t>experts later questioned the program’s high success rate, and criticized its evaluation metrics for being designed in a way that could dramatically overstate the program’s impacts. Specifically, a number of early education experts noted in The New York Times that the Utah program had far less funding than that of other high-quality programs, and those better-funded models generally see success rates of around 10 to 20 percent—not 99. Utah’s high rate was premised on an unfounded assumption that every child would need special education without the preschool intervention, yet there was little evidence to suggest that was true</w:t>
      </w:r>
      <w:r w:rsidRPr="00C12070">
        <w:rPr>
          <w:sz w:val="16"/>
        </w:rPr>
        <w:t xml:space="preserve">. Nevertheless, Pay for Success advocates—including Obama White House officials and DOE leaders—continued to point to Utah as evidence that the PFS model “works” and should be replicated. </w:t>
      </w:r>
      <w:r w:rsidRPr="00C47F33">
        <w:rPr>
          <w:rStyle w:val="StyleUnderline"/>
        </w:rPr>
        <w:t>The other ongoing PFS education project is Chicago’s, which has sparked opposition for using such an expensive financing tool—particularly amidst a local fiscal crisis—for such a non-risky investment. Critics note that Chicago’s PFS preschool model, Child Parent Centers, has boasted positive results for decades, and is well known to deliver improvements in student performance.</w:t>
      </w:r>
      <w:r w:rsidRPr="00C12070">
        <w:rPr>
          <w:sz w:val="16"/>
        </w:rPr>
        <w:t xml:space="preserve"> The mayor’s office justified the Pay for Success investment by saying today’s students are Hispanic, whereas much of the earlier research was done with black students. “It’s not a high-risk program for the investors because they have all these metrics and studies that show these programs have a positive impact on the measures they’re going to use to measure success,” Pavlyn Jankov, a researcher with the Chicago Teachers Union, told The Chicago Reporter in 2016. “They wanted to declare success a year from now and propel [social impact bonds] across other education endeavors. </w:t>
      </w:r>
      <w:r w:rsidRPr="00C47F33">
        <w:rPr>
          <w:rStyle w:val="StyleUnderline"/>
        </w:rPr>
        <w:t>It’s very prescient, as investors know public education is struggling for funding.” In 2016, Chicago’s program yielded an initial kindergarten readiness “success payment” of $500,000, and last month evaluators reported another $500,000 payment for the second cohort. Evaluators also recently reported an initial $17,597 payout for reduced special education services</w:t>
      </w:r>
      <w:r w:rsidRPr="00C12070">
        <w:rPr>
          <w:sz w:val="16"/>
        </w:rPr>
        <w:t xml:space="preserve">—a figure lower than investors anticipated. But </w:t>
      </w:r>
      <w:r w:rsidRPr="00C47F33">
        <w:rPr>
          <w:rStyle w:val="StyleUnderline"/>
        </w:rPr>
        <w:t>is reducing special education services a success? “I’ve spent my entire career working on improving special education services, and school districts continually look for ways to not have to provide them because it’s expensive,</w:t>
      </w:r>
      <w:r w:rsidRPr="00C12070">
        <w:rPr>
          <w:sz w:val="16"/>
        </w:rPr>
        <w:t xml:space="preserve">” says Bev Johns, president of the Learning Disabilities Association of Illinois, who has been a vocal Pay for Success critic. Denise Marshall, executive director of the Council of Parent Attorneys and Advocates, which fights to protect students with disabilities, says their members first started raising alarm when they heard Pay for Success was to be included in ESSA. They worry </w:t>
      </w:r>
      <w:r w:rsidRPr="00C47F33">
        <w:rPr>
          <w:rStyle w:val="StyleUnderline"/>
        </w:rPr>
        <w:t>such projects can run afoul, or compete with federal special education law and civil rights law—specifically the “Child Find” under the Individuals with Disabilities Education Act, which obligates schools to identify and evaluate students who lag behind, and provide them with needed services</w:t>
      </w:r>
      <w:r w:rsidRPr="00C12070">
        <w:rPr>
          <w:sz w:val="16"/>
        </w:rPr>
        <w:t>. “</w:t>
      </w:r>
      <w:r w:rsidRPr="00C47F33">
        <w:rPr>
          <w:rStyle w:val="StyleUnderline"/>
        </w:rPr>
        <w:t>Incentivizing reduced referrals flies in the face of that [federal] obligation</w:t>
      </w:r>
      <w:r w:rsidRPr="00C12070">
        <w:rPr>
          <w:sz w:val="16"/>
        </w:rPr>
        <w:t xml:space="preserve">,” says Marshall. “Being placed in, or becoming eligible for special education services is not something that should be frowned upon, or looked at as a social problem.” Their concerns were exacerbated by Donald Trump’s appointment of Betsy DeVos as education secretary, who demonstrated shocking unfamiliarity with the Individuals with Disabilities Education Act during her Senate confirmation hearing. Nicole Truhe of America Forward defends using Pay for Success in education, and says they’re working on establishing “appropriate guardrails” to protect students with disabilities. The Department of Education also says they will require “proper safeguards” for the projects. Of the eight early childhood education pilots recently awarded federal grants, three included reductions in special education services as a rewardable outcome measure. Some in the Pay for Success orbit are optimistic that the field will continually improve with more evidence and rigorous evaluation—ideally experimental models known as ‘randomized control trials’—but others, like those at Social Finance, put less stock on research evaluations, and urge leaders to focus primarily on results. While Obama’s administration catapulted Pay for Success onto the national stage, the public-private model is likely to grow under Republican control. Supporters are quick to say that PFS is just “one tool in the toolbox” to advance social programs—yet </w:t>
      </w:r>
      <w:r w:rsidRPr="00C47F33">
        <w:rPr>
          <w:rStyle w:val="StyleUnderline"/>
        </w:rPr>
        <w:t>there’s good reason to think it could become an awfully popular tool in the coming years.</w:t>
      </w:r>
      <w:r w:rsidRPr="00C12070">
        <w:rPr>
          <w:sz w:val="16"/>
        </w:rPr>
        <w:t xml:space="preserve"> After all, with conservative themes of using the private sector to hold governments accountable, and with its invitation to enrich the rich further if they can advance some sort of social good—well, banks are likely to deem that deal quite a success. </w:t>
      </w:r>
    </w:p>
    <w:p w:rsidR="00A95652" w:rsidRDefault="00A95652" w:rsidP="00B55AD5"/>
    <w:p w:rsidR="00C12070" w:rsidRDefault="00C12070" w:rsidP="00B55AD5"/>
    <w:p w:rsidR="00C12070" w:rsidRDefault="00C12070" w:rsidP="00C12070">
      <w:pPr>
        <w:pStyle w:val="Heading2"/>
      </w:pPr>
      <w:r>
        <w:t xml:space="preserve">Kritiks </w:t>
      </w:r>
    </w:p>
    <w:p w:rsidR="00C12070" w:rsidRDefault="00C12070" w:rsidP="00C12070"/>
    <w:p w:rsidR="00C12070" w:rsidRDefault="00C12070" w:rsidP="00C12070">
      <w:pPr>
        <w:pStyle w:val="Heading3"/>
      </w:pPr>
      <w:r>
        <w:t xml:space="preserve">Link—Gender </w:t>
      </w:r>
    </w:p>
    <w:p w:rsidR="00C12070" w:rsidRPr="00B62D52" w:rsidRDefault="00C12070" w:rsidP="00C12070">
      <w:pPr>
        <w:pStyle w:val="Heading4"/>
        <w:rPr>
          <w:rStyle w:val="Style13ptBold"/>
          <w:b/>
        </w:rPr>
      </w:pPr>
      <w:r>
        <w:rPr>
          <w:rStyle w:val="Style13ptBold"/>
          <w:b/>
        </w:rPr>
        <w:t>The career and technical workforce suffers from a gender imbalance – CTE doesn’t solve for this – means even after the plan is passed women suffer from lower level career and tech jobs and don’t contribute as much to the economy</w:t>
      </w:r>
    </w:p>
    <w:p w:rsidR="00C12070" w:rsidRDefault="00C12070" w:rsidP="00C12070">
      <w:pPr>
        <w:rPr>
          <w:rStyle w:val="Style13ptBold"/>
        </w:rPr>
      </w:pPr>
      <w:r>
        <w:rPr>
          <w:rStyle w:val="Style13ptBold"/>
        </w:rPr>
        <w:t xml:space="preserve">Fain, 2017 </w:t>
      </w:r>
      <w:r w:rsidRPr="008A0108">
        <w:rPr>
          <w:rStyle w:val="Style13ptBold"/>
          <w:sz w:val="16"/>
        </w:rPr>
        <w:t xml:space="preserve">[Paul- worked with Widmeyer Communications, a former staff writer for C-VILLE Weekly, a newspaper in Charlottesville, Va., Paul has written for The New York Times, Washington City Paper and Mother Jones. He's won a few journalism awards, including one for best reporting from the Education Writers Association and the Dick Schaap Excellence in Sports Journalism Award, “Spotlight on Vocational Training”, Inside Higher Ed, </w:t>
      </w:r>
      <w:hyperlink r:id="rId73" w:history="1">
        <w:r w:rsidRPr="005F70E2">
          <w:rPr>
            <w:rStyle w:val="Hyperlink"/>
            <w:sz w:val="16"/>
          </w:rPr>
          <w:t>https://www.insidehighered.com/news/2017/04/25/vocational-education-surges-continues-struggle-image-and-gender-imbalance</w:t>
        </w:r>
      </w:hyperlink>
      <w:r w:rsidRPr="008A0108">
        <w:rPr>
          <w:rStyle w:val="Style13ptBold"/>
          <w:sz w:val="16"/>
        </w:rPr>
        <w:t>]</w:t>
      </w:r>
    </w:p>
    <w:p w:rsidR="00C12070" w:rsidRPr="00B62D52" w:rsidRDefault="00C12070" w:rsidP="00C12070">
      <w:pPr>
        <w:rPr>
          <w:b/>
          <w:sz w:val="26"/>
          <w:u w:val="single"/>
        </w:rPr>
      </w:pPr>
      <w:r w:rsidRPr="008F3A6B">
        <w:rPr>
          <w:sz w:val="14"/>
        </w:rPr>
        <w:t xml:space="preserve">In addition, </w:t>
      </w:r>
      <w:r w:rsidRPr="000B1224">
        <w:rPr>
          <w:u w:val="single"/>
        </w:rPr>
        <w:t xml:space="preserve">career and technical training has a severe gender imbalance. Most of the decent-paying vocational jobs go to men, who dominate middle-skill </w:t>
      </w:r>
      <w:r w:rsidRPr="008F3A6B">
        <w:rPr>
          <w:sz w:val="14"/>
        </w:rPr>
        <w:t xml:space="preserve">(less than a four-year degree required) </w:t>
      </w:r>
      <w:r w:rsidRPr="000B1224">
        <w:rPr>
          <w:u w:val="single"/>
        </w:rPr>
        <w:t>fields such as information tech</w:t>
      </w:r>
      <w:r w:rsidRPr="008F3A6B">
        <w:rPr>
          <w:sz w:val="14"/>
        </w:rPr>
        <w:t xml:space="preserve">nology, welding and advanced manufacturing. </w:t>
      </w:r>
      <w:r w:rsidRPr="000B1224">
        <w:rPr>
          <w:u w:val="single"/>
        </w:rPr>
        <w:t>Women, however, are overrepresented in in lower-paying, middle-skill health professions, such as jobs as nursing aides</w:t>
      </w:r>
      <w:r w:rsidRPr="008F3A6B">
        <w:rPr>
          <w:sz w:val="14"/>
        </w:rPr>
        <w:t xml:space="preserve">. Just 36 percent of middle-skill jobs that pay at least $35,000 are held by women, Ariane Hegewisch, program director of employment at earnings at the Institute for Women’s Policy Research, said during a session here. Women also hold only 29 percent of IT jobs above that pay level, she said, with just 7 percent of those in advanced manufacturing jobs and 3 percent in construction. </w:t>
      </w:r>
      <w:r w:rsidRPr="008F3A6B">
        <w:rPr>
          <w:u w:val="single"/>
        </w:rPr>
        <w:t>While there are substantial gender imbalances in vocational training programs at community colleges, they aren’t typically as large as the gaps among jobholders,</w:t>
      </w:r>
      <w:r w:rsidRPr="008F3A6B">
        <w:rPr>
          <w:sz w:val="14"/>
        </w:rPr>
        <w:t xml:space="preserve"> said Lynn Shaw, an electrical technology professor at Long Beach City College. For example, at California community colleges, women account for 45 percent of student enrollments in IT programs. “</w:t>
      </w:r>
      <w:r w:rsidRPr="008F3A6B">
        <w:rPr>
          <w:u w:val="single"/>
        </w:rPr>
        <w:t>In the work force, there’s a huge drop-off,</w:t>
      </w:r>
      <w:r w:rsidRPr="008F3A6B">
        <w:rPr>
          <w:sz w:val="14"/>
        </w:rPr>
        <w:t>” said Shaw, a former miner, steelworker, longshore worker and electrician, who is a visiting faculty fellow at the California community college system chancellor’s office, where she is helping lead the implementation of a work force program. “Somewhere between women showing interest in nontraditional careers and getting into the work force, something happens</w:t>
      </w:r>
      <w:r w:rsidRPr="008F3A6B">
        <w:rPr>
          <w:u w:val="single"/>
        </w:rPr>
        <w:t>.” In recent decades, little progress has been made in breaking the extreme gender segregation in technical jobs</w:t>
      </w:r>
      <w:r w:rsidRPr="008F3A6B">
        <w:rPr>
          <w:sz w:val="14"/>
        </w:rPr>
        <w:t xml:space="preserve">, said Hegewisch. And </w:t>
      </w:r>
      <w:r w:rsidRPr="008F3A6B">
        <w:rPr>
          <w:u w:val="single"/>
        </w:rPr>
        <w:t>the lack of female role models in these professions contributes to the logjam</w:t>
      </w:r>
      <w:r w:rsidRPr="008F3A6B">
        <w:rPr>
          <w:sz w:val="14"/>
        </w:rPr>
        <w:t>. “My sense is that we’ve all kind of given up,” she said. “We’re still very uncomfortable with crossing gender roles.”</w:t>
      </w:r>
    </w:p>
    <w:p w:rsidR="00C12070" w:rsidRDefault="002B46F4" w:rsidP="002B46F4">
      <w:pPr>
        <w:pStyle w:val="Heading3"/>
      </w:pPr>
      <w:r>
        <w:t xml:space="preserve">Link—Neolib </w:t>
      </w:r>
    </w:p>
    <w:p w:rsidR="002B46F4" w:rsidRDefault="002B46F4" w:rsidP="002B46F4">
      <w:pPr>
        <w:pStyle w:val="Heading4"/>
      </w:pPr>
      <w:r>
        <w:t xml:space="preserve">CTE causes </w:t>
      </w:r>
      <w:r w:rsidRPr="00A15A0A">
        <w:rPr>
          <w:u w:val="single"/>
        </w:rPr>
        <w:t>tracking</w:t>
      </w:r>
      <w:r>
        <w:t xml:space="preserve"> – reinforces segregation and inequality </w:t>
      </w:r>
    </w:p>
    <w:p w:rsidR="002B46F4" w:rsidRDefault="002B46F4" w:rsidP="002B46F4">
      <w:r w:rsidRPr="00903C8A">
        <w:rPr>
          <w:rStyle w:val="Style13ptBold"/>
        </w:rPr>
        <w:t>Wunderlich 16</w:t>
      </w:r>
      <w:r>
        <w:t xml:space="preserve"> (Annelise, is a documentary filmmaker, educator, and Youth Participation Manager at KQED, “Should More High Schools Offer Workforce Training?,” Jan 28, </w:t>
      </w:r>
      <w:hyperlink r:id="rId74" w:history="1">
        <w:r w:rsidRPr="00E62C40">
          <w:rPr>
            <w:rStyle w:val="Hyperlink"/>
          </w:rPr>
          <w:t>http://webcache.googleusercontent.com/search?q=cache:https://ww2.kqed.org/learning/2016/01/28/should-more-high-schools-offer-workforce-training/</w:t>
        </w:r>
      </w:hyperlink>
      <w:r>
        <w:t xml:space="preserve"> )//cmr </w:t>
      </w:r>
    </w:p>
    <w:p w:rsidR="002B46F4" w:rsidRPr="00903C8A" w:rsidRDefault="002B46F4" w:rsidP="002B46F4">
      <w:pPr>
        <w:rPr>
          <w:rStyle w:val="StyleUnderline"/>
        </w:rPr>
      </w:pPr>
      <w:r w:rsidRPr="00903C8A">
        <w:rPr>
          <w:sz w:val="16"/>
        </w:rPr>
        <w:t xml:space="preserve">Critics of this approach warn that </w:t>
      </w:r>
      <w:r w:rsidRPr="00903C8A">
        <w:rPr>
          <w:rStyle w:val="StyleUnderline"/>
        </w:rPr>
        <w:t>a narrow focus on workforce training can reinforce the idea that not everyone is cut out for college</w:t>
      </w:r>
      <w:r w:rsidRPr="00903C8A">
        <w:rPr>
          <w:sz w:val="16"/>
        </w:rPr>
        <w:t xml:space="preserve">. </w:t>
      </w:r>
      <w:r w:rsidRPr="00903C8A">
        <w:rPr>
          <w:rStyle w:val="StyleUnderline"/>
        </w:rPr>
        <w:t xml:space="preserve">They worry about </w:t>
      </w:r>
      <w:r w:rsidRPr="00903C8A">
        <w:rPr>
          <w:sz w:val="16"/>
        </w:rPr>
        <w:t>repeating the history of “</w:t>
      </w:r>
      <w:r w:rsidRPr="00903C8A">
        <w:rPr>
          <w:rStyle w:val="StyleUnderline"/>
        </w:rPr>
        <w:t>tracking</w:t>
      </w:r>
      <w:r w:rsidRPr="00903C8A">
        <w:rPr>
          <w:sz w:val="16"/>
        </w:rPr>
        <w:t xml:space="preserve">”—the common practice in the early 20th century through the 1970s of </w:t>
      </w:r>
      <w:r w:rsidRPr="00903C8A">
        <w:rPr>
          <w:rStyle w:val="StyleUnderline"/>
        </w:rPr>
        <w:t>separating students into</w:t>
      </w:r>
      <w:r w:rsidRPr="00903C8A">
        <w:rPr>
          <w:sz w:val="16"/>
        </w:rPr>
        <w:t xml:space="preserve"> two different tracks: </w:t>
      </w:r>
      <w:r w:rsidRPr="00903C8A">
        <w:rPr>
          <w:rStyle w:val="StyleUnderline"/>
        </w:rPr>
        <w:t>college-bound or vocational</w:t>
      </w:r>
      <w:r w:rsidRPr="00903C8A">
        <w:rPr>
          <w:sz w:val="16"/>
        </w:rPr>
        <w:t xml:space="preserve">. Traditionally, </w:t>
      </w:r>
      <w:r w:rsidRPr="00903C8A">
        <w:rPr>
          <w:rStyle w:val="StyleUnderline"/>
        </w:rPr>
        <w:t>the students most often sorted into vocational tracks were immigrants or minorities from low-income households</w:t>
      </w:r>
      <w:r w:rsidRPr="00903C8A">
        <w:rPr>
          <w:sz w:val="16"/>
        </w:rPr>
        <w:t xml:space="preserve">. </w:t>
      </w:r>
      <w:r w:rsidRPr="00903C8A">
        <w:rPr>
          <w:rStyle w:val="StyleUnderline"/>
        </w:rPr>
        <w:t>These students’ fates were decided at a young age by school administrators, rather than</w:t>
      </w:r>
      <w:r w:rsidRPr="00903C8A">
        <w:rPr>
          <w:sz w:val="16"/>
        </w:rPr>
        <w:t xml:space="preserve"> by the parents or the </w:t>
      </w:r>
      <w:r w:rsidRPr="00903C8A">
        <w:rPr>
          <w:rStyle w:val="StyleUnderline"/>
        </w:rPr>
        <w:t>students themselves, leading to deep inequalities in the educational system.</w:t>
      </w:r>
    </w:p>
    <w:p w:rsidR="002B46F4" w:rsidRPr="002B46F4" w:rsidRDefault="002B46F4" w:rsidP="002B46F4"/>
    <w:sectPr w:rsidR="002B46F4" w:rsidRPr="002B46F4" w:rsidSect="00C1207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TimesNewRomanPSMT">
    <w:charset w:val="00"/>
    <w:family w:val="auto"/>
    <w:pitch w:val="variable"/>
    <w:sig w:usb0="E0002AEF" w:usb1="C0007841"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523FD4"/>
    <w:multiLevelType w:val="hybridMultilevel"/>
    <w:tmpl w:val="777C33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414699"/>
    <w:multiLevelType w:val="hybridMultilevel"/>
    <w:tmpl w:val="FAC03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5724F"/>
    <w:multiLevelType w:val="hybridMultilevel"/>
    <w:tmpl w:val="3C668E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9D2AA7"/>
    <w:multiLevelType w:val="hybridMultilevel"/>
    <w:tmpl w:val="1EAE7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A402CE"/>
    <w:multiLevelType w:val="hybridMultilevel"/>
    <w:tmpl w:val="3C668E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D779B2"/>
    <w:multiLevelType w:val="hybridMultilevel"/>
    <w:tmpl w:val="08DE9974"/>
    <w:lvl w:ilvl="0" w:tplc="C2D6FE94">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EB25D6"/>
    <w:multiLevelType w:val="hybridMultilevel"/>
    <w:tmpl w:val="6F20A6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6"/>
  </w:num>
  <w:num w:numId="12">
    <w:abstractNumId w:val="0"/>
  </w:num>
  <w:num w:numId="13">
    <w:abstractNumId w:val="14"/>
  </w:num>
  <w:num w:numId="14">
    <w:abstractNumId w:val="12"/>
  </w:num>
  <w:num w:numId="15">
    <w:abstractNumId w:val="11"/>
  </w:num>
  <w:num w:numId="16">
    <w:abstractNumId w:val="17"/>
  </w:num>
  <w:num w:numId="17">
    <w:abstractNumId w:val="13"/>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12070"/>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46F4"/>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C56D5"/>
    <w:rsid w:val="007F5B66"/>
    <w:rsid w:val="00823A1C"/>
    <w:rsid w:val="00845B9D"/>
    <w:rsid w:val="00860984"/>
    <w:rsid w:val="008B3ECB"/>
    <w:rsid w:val="008B4E85"/>
    <w:rsid w:val="008C1B2E"/>
    <w:rsid w:val="0091627E"/>
    <w:rsid w:val="0097032B"/>
    <w:rsid w:val="009849B7"/>
    <w:rsid w:val="009D2EAD"/>
    <w:rsid w:val="009D54B2"/>
    <w:rsid w:val="009E1922"/>
    <w:rsid w:val="009F7ED2"/>
    <w:rsid w:val="00A93661"/>
    <w:rsid w:val="00A95652"/>
    <w:rsid w:val="00AC0AB8"/>
    <w:rsid w:val="00B33C6D"/>
    <w:rsid w:val="00B4508F"/>
    <w:rsid w:val="00B55AD5"/>
    <w:rsid w:val="00B56BF6"/>
    <w:rsid w:val="00B8057C"/>
    <w:rsid w:val="00BD6238"/>
    <w:rsid w:val="00BF593B"/>
    <w:rsid w:val="00BF773A"/>
    <w:rsid w:val="00BF7E81"/>
    <w:rsid w:val="00C12070"/>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4E15"/>
  <w15:chartTrackingRefBased/>
  <w15:docId w15:val="{E88E1CA9-62A9-4451-BD11-6BC0A6322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12070"/>
    <w:pPr>
      <w:spacing w:after="0" w:line="240" w:lineRule="auto"/>
    </w:pPr>
    <w:rPr>
      <w:rFonts w:ascii="Georgia" w:hAnsi="Georgia"/>
    </w:rPr>
  </w:style>
  <w:style w:type="paragraph" w:styleId="Heading1">
    <w:name w:val="heading 1"/>
    <w:aliases w:val="Pocket"/>
    <w:basedOn w:val="Normal"/>
    <w:next w:val="Normal"/>
    <w:link w:val="Heading1Char"/>
    <w:qFormat/>
    <w:rsid w:val="00C1207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1207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1207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12070"/>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C120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2070"/>
  </w:style>
  <w:style w:type="character" w:customStyle="1" w:styleId="Heading1Char">
    <w:name w:val="Heading 1 Char"/>
    <w:aliases w:val="Pocket Char"/>
    <w:basedOn w:val="DefaultParagraphFont"/>
    <w:link w:val="Heading1"/>
    <w:rsid w:val="00C1207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1207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12070"/>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C12070"/>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C12070"/>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12070"/>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C12070"/>
    <w:rPr>
      <w:b w:val="0"/>
      <w:sz w:val="22"/>
      <w:u w:val="single"/>
    </w:rPr>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unhideWhenUsed/>
    <w:rsid w:val="00C12070"/>
    <w:rPr>
      <w:color w:val="auto"/>
      <w:u w:val="none"/>
    </w:rPr>
  </w:style>
  <w:style w:type="character" w:styleId="FollowedHyperlink">
    <w:name w:val="FollowedHyperlink"/>
    <w:basedOn w:val="DefaultParagraphFont"/>
    <w:uiPriority w:val="99"/>
    <w:semiHidden/>
    <w:unhideWhenUsed/>
    <w:rsid w:val="00C12070"/>
    <w:rPr>
      <w:color w:val="auto"/>
      <w:u w:val="none"/>
    </w:rPr>
  </w:style>
  <w:style w:type="paragraph" w:styleId="NormalWeb">
    <w:name w:val="Normal (Web)"/>
    <w:basedOn w:val="Normal"/>
    <w:uiPriority w:val="99"/>
    <w:unhideWhenUsed/>
    <w:rsid w:val="00C12070"/>
    <w:pPr>
      <w:spacing w:before="100" w:beforeAutospacing="1" w:after="100" w:afterAutospacing="1"/>
    </w:pPr>
    <w:rPr>
      <w:rFonts w:ascii="Times New Roman" w:hAnsi="Times New Roman" w:cs="Times New Roman"/>
      <w:sz w:val="24"/>
    </w:rPr>
  </w:style>
  <w:style w:type="character" w:styleId="Strong">
    <w:name w:val="Strong"/>
    <w:basedOn w:val="DefaultParagraphFont"/>
    <w:uiPriority w:val="22"/>
    <w:qFormat/>
    <w:rsid w:val="00C12070"/>
    <w:rPr>
      <w:b/>
      <w:bCs/>
    </w:rPr>
  </w:style>
  <w:style w:type="paragraph" w:customStyle="1" w:styleId="story-body-text">
    <w:name w:val="story-body-text"/>
    <w:basedOn w:val="Normal"/>
    <w:rsid w:val="00C12070"/>
    <w:pPr>
      <w:spacing w:before="100" w:beforeAutospacing="1" w:after="100" w:afterAutospacing="1"/>
    </w:pPr>
    <w:rPr>
      <w:rFonts w:ascii="Times New Roman" w:hAnsi="Times New Roman" w:cs="Times New Roman"/>
      <w:sz w:val="24"/>
    </w:rPr>
  </w:style>
  <w:style w:type="paragraph" w:styleId="ListParagraph">
    <w:name w:val="List Paragraph"/>
    <w:basedOn w:val="Normal"/>
    <w:uiPriority w:val="34"/>
    <w:qFormat/>
    <w:rsid w:val="00C12070"/>
    <w:pPr>
      <w:ind w:left="720"/>
      <w:contextualSpacing/>
    </w:pPr>
  </w:style>
  <w:style w:type="paragraph" w:styleId="DocumentMap">
    <w:name w:val="Document Map"/>
    <w:basedOn w:val="Normal"/>
    <w:link w:val="DocumentMapChar"/>
    <w:uiPriority w:val="99"/>
    <w:semiHidden/>
    <w:unhideWhenUsed/>
    <w:rsid w:val="00C1207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12070"/>
    <w:rPr>
      <w:rFonts w:ascii="Lucida Grande" w:hAnsi="Lucida Grande" w:cs="Lucida Grande"/>
      <w:sz w:val="24"/>
    </w:rPr>
  </w:style>
  <w:style w:type="paragraph" w:customStyle="1" w:styleId="textbold">
    <w:name w:val="text bold"/>
    <w:basedOn w:val="Normal"/>
    <w:link w:val="Emphasis"/>
    <w:uiPriority w:val="7"/>
    <w:qFormat/>
    <w:rsid w:val="00C12070"/>
    <w:pPr>
      <w:widowControl w:val="0"/>
      <w:ind w:left="720"/>
      <w:jc w:val="both"/>
    </w:pPr>
    <w:rPr>
      <w:b/>
      <w:iCs/>
      <w:u w:val="single"/>
      <w:bdr w:val="single" w:sz="8" w:space="0" w:color="auto"/>
    </w:rPr>
  </w:style>
  <w:style w:type="character" w:customStyle="1" w:styleId="cwcot">
    <w:name w:val="cwcot"/>
    <w:basedOn w:val="DefaultParagraphFont"/>
    <w:rsid w:val="00C12070"/>
  </w:style>
  <w:style w:type="paragraph" w:customStyle="1" w:styleId="cardtext">
    <w:name w:val="card text"/>
    <w:basedOn w:val="Normal"/>
    <w:link w:val="cardtextChar"/>
    <w:qFormat/>
    <w:rsid w:val="00C12070"/>
    <w:pPr>
      <w:widowControl w:val="0"/>
      <w:ind w:left="288" w:right="288"/>
    </w:pPr>
    <w:rPr>
      <w:rFonts w:cs="Calibri"/>
    </w:rPr>
  </w:style>
  <w:style w:type="character" w:customStyle="1" w:styleId="cardtextChar">
    <w:name w:val="card text Char"/>
    <w:link w:val="cardtext"/>
    <w:rsid w:val="00C12070"/>
    <w:rPr>
      <w:rFonts w:ascii="Georgia" w:hAnsi="Georgia" w:cs="Calibri"/>
    </w:rPr>
  </w:style>
  <w:style w:type="character" w:customStyle="1" w:styleId="TitleChar">
    <w:name w:val="Title Char"/>
    <w:aliases w:val="Cites and Cards Char,UNDERLINE Char,Bold Underlined Char"/>
    <w:link w:val="Title"/>
    <w:uiPriority w:val="5"/>
    <w:qFormat/>
    <w:rsid w:val="00C12070"/>
    <w:rPr>
      <w:bCs/>
      <w:u w:val="single"/>
    </w:rPr>
  </w:style>
  <w:style w:type="paragraph" w:styleId="Title">
    <w:name w:val="Title"/>
    <w:aliases w:val="Cites and Cards,UNDERLINE,Bold Underlined"/>
    <w:basedOn w:val="Normal"/>
    <w:next w:val="Normal"/>
    <w:link w:val="TitleChar"/>
    <w:uiPriority w:val="5"/>
    <w:qFormat/>
    <w:rsid w:val="00C12070"/>
    <w:pPr>
      <w:widowControl w:val="0"/>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10"/>
    <w:rsid w:val="00C12070"/>
    <w:rPr>
      <w:rFonts w:asciiTheme="majorHAnsi" w:eastAsiaTheme="majorEastAsia" w:hAnsiTheme="majorHAnsi" w:cstheme="majorBidi"/>
      <w:spacing w:val="-10"/>
      <w:kern w:val="28"/>
      <w:sz w:val="56"/>
      <w:szCs w:val="56"/>
    </w:rPr>
  </w:style>
  <w:style w:type="paragraph" w:customStyle="1" w:styleId="Small">
    <w:name w:val="Small"/>
    <w:basedOn w:val="Normal"/>
    <w:link w:val="SmallChar"/>
    <w:qFormat/>
    <w:rsid w:val="00C12070"/>
    <w:rPr>
      <w:rFonts w:eastAsia="Times New Roman" w:cs="Times New Roman"/>
      <w:sz w:val="14"/>
    </w:rPr>
  </w:style>
  <w:style w:type="character" w:customStyle="1" w:styleId="SmallChar">
    <w:name w:val="Small Char"/>
    <w:aliases w:val="Read stuff Char,ClearFormatting Char,No Spacing3 Char,No Spacing Char,Very Small Text Char,Small Text Char,No Spacing1 Char1,CD - Cite Char,Dont use Char,Tag and Cite Char,Debate Text Char1,No Spacing2 Char1,No Spacing11 Char1"/>
    <w:basedOn w:val="DefaultParagraphFont"/>
    <w:link w:val="Small"/>
    <w:qFormat/>
    <w:locked/>
    <w:rsid w:val="00C12070"/>
    <w:rPr>
      <w:rFonts w:ascii="Georgia" w:eastAsia="Times New Roman" w:hAnsi="Georgia" w:cs="Times New Roman"/>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16/10/28/upshot/will-the-next-president-face-a-recession-dont-assume-so.html%20//" TargetMode="External"/><Relationship Id="rId18" Type="http://schemas.openxmlformats.org/officeDocument/2006/relationships/hyperlink" Target="https://protectpensions.org/2017/07/13/pension-crisis-myth-part-one/)" TargetMode="External"/><Relationship Id="rId26" Type="http://schemas.openxmlformats.org/officeDocument/2006/relationships/hyperlink" Target="http://www.pewtrusts.org/~/media/assets/2017/05/statesfiscalhealth_creditratingsreport.pdf)" TargetMode="External"/><Relationship Id="rId39" Type="http://schemas.openxmlformats.org/officeDocument/2006/relationships/hyperlink" Target="https://www.brookings.edu/wp-content/uploads/2016/06/Pension-Politics_FINAL_225.pdf)" TargetMode="External"/><Relationship Id="rId21" Type="http://schemas.openxmlformats.org/officeDocument/2006/relationships/hyperlink" Target="https://www.bloomberg.com/view/articles/2017-05-09/the-trump-trade-arrived-several-years-too-soon//)MBA" TargetMode="External"/><Relationship Id="rId34" Type="http://schemas.openxmlformats.org/officeDocument/2006/relationships/hyperlink" Target="http://online.wsj.com/article/SB10001424052748703481004574646551469288292.html?mod=WSJ_latestheadlines" TargetMode="External"/><Relationship Id="rId42" Type="http://schemas.openxmlformats.org/officeDocument/2006/relationships/hyperlink" Target="https://www.brookings.edu/wp-content/uploads/2016/06/Pension-Politics_FINAL_225.pdf)" TargetMode="External"/><Relationship Id="rId47" Type="http://schemas.openxmlformats.org/officeDocument/2006/relationships/hyperlink" Target="http://proxy.lib.umich.edu/login?url=https://search-proquest-com.proxy.lib.umich.edu/docview/1756281987?accountid=14667" TargetMode="External"/><Relationship Id="rId50" Type="http://schemas.openxmlformats.org/officeDocument/2006/relationships/hyperlink" Target="http://www.nytimes.com/2011/07/30/science/earth/30radiation.html" TargetMode="External"/><Relationship Id="rId55" Type="http://schemas.openxmlformats.org/officeDocument/2006/relationships/hyperlink" Target="http://news.trust.org//spotlight/what-creates-food-crises/" TargetMode="External"/><Relationship Id="rId63" Type="http://schemas.openxmlformats.org/officeDocument/2006/relationships/hyperlink" Target="https://www.theguardian.com/sustainable-business/2016/feb/18/automated-farming-food-security-rural-jobs-unemployment-technology" TargetMode="External"/><Relationship Id="rId68" Type="http://schemas.openxmlformats.org/officeDocument/2006/relationships/hyperlink" Target="https://munchies.vice.com/en_us/article/aeyqy8/a-farm-that-floats-on-water-could-help-solve-global-food-shortage" TargetMode="External"/><Relationship Id="rId76" Type="http://schemas.openxmlformats.org/officeDocument/2006/relationships/theme" Target="theme/theme1.xml"/><Relationship Id="rId7" Type="http://schemas.openxmlformats.org/officeDocument/2006/relationships/hyperlink" Target="http://webcache.googleusercontent.com/search?q=cache:https://ww2.kqed.org/learning/2016/01/28/should-more-high-schools-offer-workforce-training/" TargetMode="External"/><Relationship Id="rId71" Type="http://schemas.openxmlformats.org/officeDocument/2006/relationships/hyperlink" Target="https://www.digitaltrends.com/cool-tech/automated-agriculture-can-robots-drones-ai-save-us-from-starvation/" TargetMode="External"/><Relationship Id="rId2" Type="http://schemas.openxmlformats.org/officeDocument/2006/relationships/numbering" Target="numbering.xml"/><Relationship Id="rId16" Type="http://schemas.openxmlformats.org/officeDocument/2006/relationships/hyperlink" Target="https://www.nytimes.com/2017/06/29/us/illinois-state-budget-impasse.html?mcubz=0//)MBA" TargetMode="External"/><Relationship Id="rId29" Type="http://schemas.openxmlformats.org/officeDocument/2006/relationships/hyperlink" Target="http://www.marketwatch.com/story/us-economy-keeps-up-fast-pace-in-may-ism-finds-2017-06-05//)MBA" TargetMode="External"/><Relationship Id="rId11" Type="http://schemas.openxmlformats.org/officeDocument/2006/relationships/hyperlink" Target="https://www.reuters.com/article/us-usa-recession-deutsche-bank-idUSKBN1931X5%20//" TargetMode="External"/><Relationship Id="rId24" Type="http://schemas.openxmlformats.org/officeDocument/2006/relationships/hyperlink" Target="http://www.reuters.com/article/us-usa-economy-idUSKBN16Z1MX//)MBA" TargetMode="External"/><Relationship Id="rId32" Type="http://schemas.openxmlformats.org/officeDocument/2006/relationships/hyperlink" Target="http://online.wsj.com/article/SB10001424052748703481004574646551469288292.html?mod=WSJ_latestheadlines" TargetMode="External"/><Relationship Id="rId37" Type="http://schemas.openxmlformats.org/officeDocument/2006/relationships/hyperlink" Target="https://www.imf.org/en/News/Articles/2015/09/28/04/53/sp012705)" TargetMode="External"/><Relationship Id="rId40" Type="http://schemas.openxmlformats.org/officeDocument/2006/relationships/hyperlink" Target="https://www.brookings.edu/wp-content/uploads/2016/06/Pension-Politics_FINAL_225.pdf)" TargetMode="External"/><Relationship Id="rId45" Type="http://schemas.openxmlformats.org/officeDocument/2006/relationships/hyperlink" Target="http://web.stanford.edu/~rauh/EVFinal.pdf)" TargetMode="External"/><Relationship Id="rId53" Type="http://schemas.openxmlformats.org/officeDocument/2006/relationships/hyperlink" Target="http://www.capitalpress.com/Opinion/Editorials/20170601/agriculture-copes-with-a-growing-labor-shortage" TargetMode="External"/><Relationship Id="rId58" Type="http://schemas.openxmlformats.org/officeDocument/2006/relationships/hyperlink" Target="https://ucanr.edu/blogs/food2025/blogfiles/14415.pdf" TargetMode="External"/><Relationship Id="rId66" Type="http://schemas.openxmlformats.org/officeDocument/2006/relationships/hyperlink" Target="https://cacm.acm.org/magazines/2016/11/209134-farm-automation-gets-smarter/fulltext" TargetMode="External"/><Relationship Id="rId74" Type="http://schemas.openxmlformats.org/officeDocument/2006/relationships/hyperlink" Target="http://webcache.googleusercontent.com/search?q=cache:https://ww2.kqed.org/learning/2016/01/28/should-more-high-schools-offer-workforce-training/" TargetMode="External"/><Relationship Id="rId5" Type="http://schemas.openxmlformats.org/officeDocument/2006/relationships/webSettings" Target="webSettings.xml"/><Relationship Id="rId15" Type="http://schemas.openxmlformats.org/officeDocument/2006/relationships/hyperlink" Target="http://abc7chicago.com/politics/illinois-lawmakers-must-pass-budget-by-midnight/2167095///)MBA" TargetMode="External"/><Relationship Id="rId23" Type="http://schemas.openxmlformats.org/officeDocument/2006/relationships/hyperlink" Target="https://www.theatlantic.com/business/archive/2017/04/trump-infrastructure-keynes/522204///)MBA" TargetMode="External"/><Relationship Id="rId28" Type="http://schemas.openxmlformats.org/officeDocument/2006/relationships/hyperlink" Target="http://www.njspotlight.com/stories/17/02/27/if-feds-step-in-to-address-pension-crisis-public-workers-won-t-be-winners/)" TargetMode="External"/><Relationship Id="rId36" Type="http://schemas.openxmlformats.org/officeDocument/2006/relationships/hyperlink" Target="https://www.brookings.edu/wp-content/uploads/2016/06/Pension-Politics_FINAL_225.pdf)" TargetMode="External"/><Relationship Id="rId49" Type="http://schemas.openxmlformats.org/officeDocument/2006/relationships/hyperlink" Target="http://www.world-nuclear.org/info/inf06.html" TargetMode="External"/><Relationship Id="rId57" Type="http://schemas.openxmlformats.org/officeDocument/2006/relationships/hyperlink" Target="http://www.reuters.com/article/us-food-summit-biotech-idUSL0356693120080603" TargetMode="External"/><Relationship Id="rId61" Type="http://schemas.openxmlformats.org/officeDocument/2006/relationships/hyperlink" Target="http://www.businessinsider.com/climate-change-is-causing-food-shortages-2015-8" TargetMode="External"/><Relationship Id="rId10" Type="http://schemas.openxmlformats.org/officeDocument/2006/relationships/hyperlink" Target="https://www.bloomberg.com/news/articles/2017-06-01/gorman-says-dirty-little-secret-is-u-s-economy-doing-just-fine//)MBA" TargetMode="External"/><Relationship Id="rId19" Type="http://schemas.openxmlformats.org/officeDocument/2006/relationships/hyperlink" Target="https://protectpensions.org/2017/07/17/pension-crisis-myth-part-two/)" TargetMode="External"/><Relationship Id="rId31" Type="http://schemas.openxmlformats.org/officeDocument/2006/relationships/hyperlink" Target="http://www.cnbc.com/2017/06/06/business-ceo-confidence-hits-highest-level-in-three-years.html//)MBA" TargetMode="External"/><Relationship Id="rId44" Type="http://schemas.openxmlformats.org/officeDocument/2006/relationships/hyperlink" Target="http://web.stanford.edu/~rauh/EVFinal.pdf)" TargetMode="External"/><Relationship Id="rId52" Type="http://schemas.openxmlformats.org/officeDocument/2006/relationships/hyperlink" Target="https://www.researchgate.net/profile/Richard_Cook3/publication/228797158_How_complex_systems_fail/links/0c96053410db96a89c000000.pdf|" TargetMode="External"/><Relationship Id="rId60" Type="http://schemas.openxmlformats.org/officeDocument/2006/relationships/hyperlink" Target="http://ageconsearch.umn.edu/bitstream/143167/2/10%20EP%204%202012-11.pdf)" TargetMode="External"/><Relationship Id="rId65" Type="http://schemas.openxmlformats.org/officeDocument/2006/relationships/hyperlink" Target="http://www.wired.co.uk/article/spread-technology-farming" TargetMode="External"/><Relationship Id="rId73" Type="http://schemas.openxmlformats.org/officeDocument/2006/relationships/hyperlink" Target="https://www.insidehighered.com/news/2017/04/25/vocational-education-surges-continues-struggle-image-and-gender-imbalance" TargetMode="External"/><Relationship Id="rId4" Type="http://schemas.openxmlformats.org/officeDocument/2006/relationships/settings" Target="settings.xml"/><Relationship Id="rId9" Type="http://schemas.openxmlformats.org/officeDocument/2006/relationships/hyperlink" Target="https://www.wsj.com/articles/state-budget-battles-show-few-signs-of-letting-up-1498769391//)MBA" TargetMode="External"/><Relationship Id="rId14" Type="http://schemas.openxmlformats.org/officeDocument/2006/relationships/hyperlink" Target="http://www.cnbc.com/2017/06/30/the-associated-press-the-latest-illinois-budget-deal-passes-critical-test.html//)MBA" TargetMode="External"/><Relationship Id="rId22" Type="http://schemas.openxmlformats.org/officeDocument/2006/relationships/hyperlink" Target="http://www.dailywire.com/news/14880/8-reasons-spending-infrastructure-wont-fix-economy-aaron-bandler//)MBA" TargetMode="External"/><Relationship Id="rId27" Type="http://schemas.openxmlformats.org/officeDocument/2006/relationships/hyperlink" Target="https://search-proquest-com.ezp3.lib.umn.edu/docview/1807643485?OpenUrlRefId=info:xri/sid:primo&amp;accountid=14586)" TargetMode="External"/><Relationship Id="rId30" Type="http://schemas.openxmlformats.org/officeDocument/2006/relationships/hyperlink" Target="https://www.nytimes.com/2017/03/12/business/dealbook/small-business-confidence-trump.html//)MBA" TargetMode="External"/><Relationship Id="rId35" Type="http://schemas.openxmlformats.org/officeDocument/2006/relationships/hyperlink" Target="https://www.brookings.edu/wp-content/uploads/2016/06/Pension-Politics_FINAL_225.pdf)" TargetMode="External"/><Relationship Id="rId43" Type="http://schemas.openxmlformats.org/officeDocument/2006/relationships/hyperlink" Target="http://www.epi.org/publication/states-education-productivity-growth-foundations/)" TargetMode="External"/><Relationship Id="rId48" Type="http://schemas.openxmlformats.org/officeDocument/2006/relationships/hyperlink" Target="http://proxy.lib.umich.edu/login?url=https://search-proquest-com.proxy.lib.umich.edu/docview/1756281987?accountid=14667" TargetMode="External"/><Relationship Id="rId56" Type="http://schemas.openxmlformats.org/officeDocument/2006/relationships/hyperlink" Target="https://www.fastcompany.com/3062692/the-real-reason-theres-world-hunger-food-waste-not-food-shortages" TargetMode="External"/><Relationship Id="rId64" Type="http://schemas.openxmlformats.org/officeDocument/2006/relationships/hyperlink" Target="https://www.theguardian.com/sustainable-business/2016/feb/18/automated-farming-food-security-rural-jobs-unemployment-technology" TargetMode="External"/><Relationship Id="rId69" Type="http://schemas.openxmlformats.org/officeDocument/2006/relationships/hyperlink" Target="http://web.mit.edu/12.000/www/m2015/2015/hydro_agriculture.html" TargetMode="External"/><Relationship Id="rId8" Type="http://schemas.openxmlformats.org/officeDocument/2006/relationships/hyperlink" Target="http://www.barrons.com/articles/theres-a-hole-in-state-pensions-1486794298" TargetMode="External"/><Relationship Id="rId51" Type="http://schemas.openxmlformats.org/officeDocument/2006/relationships/hyperlink" Target="http://www.world-nuclear.org/info/inf06.html" TargetMode="External"/><Relationship Id="rId72" Type="http://schemas.openxmlformats.org/officeDocument/2006/relationships/hyperlink" Target="https://ssir.org/articles/entry/the_trouble_with_impact_investing_part_1" TargetMode="External"/><Relationship Id="rId3" Type="http://schemas.openxmlformats.org/officeDocument/2006/relationships/styles" Target="styles.xml"/><Relationship Id="rId12" Type="http://schemas.openxmlformats.org/officeDocument/2006/relationships/hyperlink" Target="http://www.cnbc.com/2016/01/25/no-were-not-in-a-recession-corporate-america.html%20//" TargetMode="External"/><Relationship Id="rId17" Type="http://schemas.openxmlformats.org/officeDocument/2006/relationships/hyperlink" Target="https://www.theatlantic.com/education/archive/2017/05/trumps-education-budget-takes-aim-at-the-working-class/527718/)" TargetMode="External"/><Relationship Id="rId25" Type="http://schemas.openxmlformats.org/officeDocument/2006/relationships/hyperlink" Target="http://online.wsj.com/article/SB10001424052748703481004574646551469288292.html?mod=WSJ_latestheadlines" TargetMode="External"/><Relationship Id="rId33" Type="http://schemas.openxmlformats.org/officeDocument/2006/relationships/hyperlink" Target="http://mises.org/daily/4158" TargetMode="External"/><Relationship Id="rId38" Type="http://schemas.openxmlformats.org/officeDocument/2006/relationships/hyperlink" Target="https://www.economist.com/news/finance-and-economics/21704796-report-american-pension-funds-controversially-shelved-no-love-actuary)" TargetMode="External"/><Relationship Id="rId46" Type="http://schemas.openxmlformats.org/officeDocument/2006/relationships/hyperlink" Target="http://web.stanford.edu/~rauh/EVFinal.pdf)" TargetMode="External"/><Relationship Id="rId59" Type="http://schemas.openxmlformats.org/officeDocument/2006/relationships/hyperlink" Target="https://ucanr.edu/blogs/food2025/blogfiles/14415.pdf" TargetMode="External"/><Relationship Id="rId67" Type="http://schemas.openxmlformats.org/officeDocument/2006/relationships/hyperlink" Target="https://www.fastcompany.com/3065212/why-agriculture-could-be-automated-before-other-industries" TargetMode="External"/><Relationship Id="rId20" Type="http://schemas.openxmlformats.org/officeDocument/2006/relationships/hyperlink" Target="https://www.forbes.com/sites/nextavenue/2017/02/15/could-the-retirement-crisis-be-overblown/" TargetMode="External"/><Relationship Id="rId41" Type="http://schemas.openxmlformats.org/officeDocument/2006/relationships/hyperlink" Target="https://www.imf.org/en/News/Articles/2015/09/28/04/53/sp012705)" TargetMode="External"/><Relationship Id="rId54" Type="http://schemas.openxmlformats.org/officeDocument/2006/relationships/hyperlink" Target="https://www.usatoday.com/story/tech/news/2017/02/04/agriculture-farms-farmers-immigration-executive-order-trump-shortage-california/97396066/" TargetMode="External"/><Relationship Id="rId62" Type="http://schemas.openxmlformats.org/officeDocument/2006/relationships/hyperlink" Target="https://www.fostersagriworld.com/threat-of-food-crisis-seen-fading-as-grain-stocks-climb/)" TargetMode="External"/><Relationship Id="rId70" Type="http://schemas.openxmlformats.org/officeDocument/2006/relationships/hyperlink" Target="https://qz.com/726667/cheap-robots-are-coming-for-our-farm-jobs-by-taking-the-most-brutal-tasks-first/)"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businessroundtable.org/sites/default/files/reports/BRT%20Policies%20for%20CTE.pdf)//cm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lin%20Roar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6D734A-037F-4A72-B98A-014CADE12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79887</Words>
  <Characters>455358</Characters>
  <Application>Microsoft Office Word</Application>
  <DocSecurity>0</DocSecurity>
  <Lines>3794</Lines>
  <Paragraphs>1068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 Roark</dc:creator>
  <cp:keywords>5.1.1</cp:keywords>
  <dc:description/>
  <cp:lastModifiedBy>Collin Roark</cp:lastModifiedBy>
  <cp:revision>1</cp:revision>
  <dcterms:created xsi:type="dcterms:W3CDTF">2017-07-24T04:53:00Z</dcterms:created>
  <dcterms:modified xsi:type="dcterms:W3CDTF">2017-07-24T05:15:00Z</dcterms:modified>
</cp:coreProperties>
</file>