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2A5800" w:rsidP="002A5800">
      <w:pPr>
        <w:pStyle w:val="Heading1"/>
      </w:pPr>
      <w:r>
        <w:t>COMPETITIVE GRANTS CP</w:t>
      </w:r>
    </w:p>
    <w:p w:rsidR="002A5800" w:rsidRDefault="007A4C05" w:rsidP="002A5800">
      <w:pPr>
        <w:pStyle w:val="Heading1"/>
        <w:rPr>
          <w:sz w:val="52"/>
        </w:rPr>
      </w:pPr>
      <w:bookmarkStart w:id="0" w:name="_Hlk487900994"/>
      <w:r>
        <w:t>VS FUNDING</w:t>
      </w:r>
    </w:p>
    <w:p w:rsidR="002A5800" w:rsidRDefault="002A5800" w:rsidP="002A5800">
      <w:pPr>
        <w:pStyle w:val="Heading2"/>
      </w:pPr>
      <w:r>
        <w:t>Top shelf</w:t>
      </w:r>
    </w:p>
    <w:p w:rsidR="002A5800" w:rsidRDefault="002A5800" w:rsidP="002A5800">
      <w:pPr>
        <w:pStyle w:val="Heading3"/>
      </w:pPr>
      <w:r>
        <w:t>1NC</w:t>
      </w:r>
    </w:p>
    <w:p w:rsidR="002A5800" w:rsidRDefault="002A5800" w:rsidP="002A5800">
      <w:pPr>
        <w:pStyle w:val="Heading4"/>
      </w:pPr>
      <w:r>
        <w:t>Competitive grants are comparatively better than formula funding streams --- facilitate implementation and compliance</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 xml:space="preserve">(Julie Kirsten Meredith, “State policy diffusion and Race to the Top: The impact of federal competitive grants on state policymaking”, Accessed on ProQuest. </w:t>
      </w:r>
      <w:hyperlink r:id="rId6" w:history="1">
        <w:r>
          <w:rPr>
            <w:rStyle w:val="Hyperlink"/>
          </w:rPr>
          <w:t>https://search.proquest.com/openview/88381ffcebc95268f7c955f994497a5e/1?pq-origsite=gscholar&amp;cbl=18750&amp;diss=y)//ET</w:t>
        </w:r>
      </w:hyperlink>
    </w:p>
    <w:p w:rsidR="002A5800" w:rsidRDefault="002A5800" w:rsidP="002A5800"/>
    <w:p w:rsidR="002A5800" w:rsidRDefault="002A5800" w:rsidP="002A5800">
      <w:r>
        <w:rPr>
          <w:rStyle w:val="StyleUnderline"/>
        </w:rPr>
        <w:t>While federal programs have historically relied on mandates and categorical funding streams to influence state policy, this analysis suggests that competitive grant programs</w:t>
      </w:r>
      <w:r>
        <w:t xml:space="preserve"> like Race to the Top </w:t>
      </w:r>
      <w:r>
        <w:rPr>
          <w:rStyle w:val="StyleUnderline"/>
        </w:rPr>
        <w:t>may be useful in moving state policies to be in line with federal preference</w:t>
      </w:r>
      <w:r>
        <w:t xml:space="preserve">s. The model building process, the </w:t>
      </w:r>
      <w:r>
        <w:rPr>
          <w:rStyle w:val="Emphasis"/>
        </w:rPr>
        <w:t>results</w:t>
      </w:r>
      <w:r>
        <w:t xml:space="preserve"> for the final model (in particular the significant effects and directions of the intercepts of the slopes of Time 1 and Time 2 and the indicator for Round 1 winner), </w:t>
      </w:r>
      <w:r>
        <w:rPr>
          <w:rStyle w:val="StyleUnderline"/>
        </w:rPr>
        <w:t>and</w:t>
      </w:r>
      <w:r>
        <w:t xml:space="preserve"> the </w:t>
      </w:r>
      <w:r>
        <w:rPr>
          <w:rStyle w:val="Emphasis"/>
        </w:rPr>
        <w:t>media reports</w:t>
      </w:r>
      <w:r>
        <w:t xml:space="preserve"> from states </w:t>
      </w:r>
      <w:r>
        <w:rPr>
          <w:rStyle w:val="StyleUnderline"/>
        </w:rPr>
        <w:t xml:space="preserve">provide evidence that </w:t>
      </w:r>
      <w:r>
        <w:rPr>
          <w:rStyle w:val="Emphasis"/>
        </w:rPr>
        <w:t>states responded to implicit and explicit information about federal preferences.</w:t>
      </w:r>
      <w:r>
        <w:t xml:space="preserve"> In pursuit of the grant money, </w:t>
      </w:r>
      <w:r>
        <w:rPr>
          <w:rStyle w:val="StyleUnderline"/>
        </w:rPr>
        <w:t xml:space="preserve">states were willing to make significant policy changes </w:t>
      </w:r>
      <w:r>
        <w:rPr>
          <w:rStyle w:val="Emphasis"/>
        </w:rPr>
        <w:t xml:space="preserve">to even the most politically contentious </w:t>
      </w:r>
      <w:r>
        <w:rPr>
          <w:rStyle w:val="StyleUnderline"/>
        </w:rPr>
        <w:t>of their education policies, specifically to teacher evaluation, compensation, and tenure systems, in order to make their RTTT applications more competitive</w:t>
      </w:r>
      <w:r>
        <w:t xml:space="preserve">. </w:t>
      </w:r>
      <w:r>
        <w:rPr>
          <w:rStyle w:val="StyleUnderline"/>
        </w:rPr>
        <w:t>Though the amount of the awards to states was relatively small</w:t>
      </w:r>
      <w:r>
        <w:t xml:space="preserve">—the largest awards were $700 million over the course of four years to Florida and New York—and there was no guarantee that states would receive funding regardless of the policy changes they made, </w:t>
      </w:r>
      <w:r>
        <w:rPr>
          <w:rStyle w:val="StyleUnderline"/>
        </w:rPr>
        <w:t xml:space="preserve">states made policy changes with </w:t>
      </w:r>
      <w:r>
        <w:rPr>
          <w:rStyle w:val="Emphasis"/>
        </w:rPr>
        <w:t xml:space="preserve">tremendous speed. </w:t>
      </w:r>
      <w:r>
        <w:rPr>
          <w:rStyle w:val="StyleUnderline"/>
        </w:rPr>
        <w:t xml:space="preserve">Competitive grants have </w:t>
      </w:r>
      <w:r>
        <w:rPr>
          <w:rStyle w:val="Emphasis"/>
        </w:rPr>
        <w:t>advantages over</w:t>
      </w:r>
      <w:r>
        <w:rPr>
          <w:rStyle w:val="StyleUnderline"/>
        </w:rPr>
        <w:t xml:space="preserve"> mandates and </w:t>
      </w:r>
      <w:r>
        <w:rPr>
          <w:rStyle w:val="Emphasis"/>
        </w:rPr>
        <w:t>categorical funding</w:t>
      </w:r>
      <w:r>
        <w:t xml:space="preserve">, </w:t>
      </w:r>
      <w:r>
        <w:rPr>
          <w:rStyle w:val="StyleUnderline"/>
        </w:rPr>
        <w:t>both for states and for the federal government.</w:t>
      </w:r>
      <w:r>
        <w:t xml:space="preserve"> Though states are not guaranteed funding, </w:t>
      </w:r>
      <w:r>
        <w:rPr>
          <w:rStyle w:val="StyleUnderline"/>
        </w:rPr>
        <w:t>competitive programs designed in the manner of RTTT</w:t>
      </w:r>
      <w:r>
        <w:t>, with clear goals but no strict requirements for implementation of those goals</w:t>
      </w:r>
      <w:r>
        <w:rPr>
          <w:rStyle w:val="StyleUnderline"/>
        </w:rPr>
        <w:t xml:space="preserve">, could allow states to design their proposals in keeping with their contexts and capacities. </w:t>
      </w:r>
      <w:r>
        <w:t xml:space="preserve">Whether or not states did this for their RTTT applications is somewhat debatable, but that </w:t>
      </w:r>
      <w:r>
        <w:rPr>
          <w:rStyle w:val="StyleUnderline"/>
        </w:rPr>
        <w:t>core principal of goals without implementation mandates remains</w:t>
      </w:r>
      <w:r>
        <w:t xml:space="preserve">. </w:t>
      </w:r>
      <w:r>
        <w:rPr>
          <w:rStyle w:val="StyleUnderline"/>
        </w:rPr>
        <w:t xml:space="preserve">This approach to federal policy </w:t>
      </w:r>
      <w:r>
        <w:rPr>
          <w:rStyle w:val="Emphasis"/>
        </w:rPr>
        <w:t>may be more suitable then mandates for deterring states from establishing low standards</w:t>
      </w:r>
      <w:r>
        <w:rPr>
          <w:rStyle w:val="StyleUnderline"/>
        </w:rPr>
        <w:t xml:space="preserve"> in order to ensure that they do not suffer the consequences of failure</w:t>
      </w:r>
      <w:r>
        <w:t xml:space="preserve">, </w:t>
      </w:r>
      <w:r>
        <w:rPr>
          <w:rStyle w:val="StyleUnderline"/>
        </w:rPr>
        <w:t>as was the case for many states’ responses to NCLB. It is reasonable to counter this argument by noting</w:t>
      </w:r>
      <w:r>
        <w:t xml:space="preserve"> that </w:t>
      </w:r>
      <w:r>
        <w:rPr>
          <w:rStyle w:val="StyleUnderline"/>
        </w:rPr>
        <w:t>states</w:t>
      </w:r>
      <w:r>
        <w:t xml:space="preserve"> appear to </w:t>
      </w:r>
      <w:r>
        <w:rPr>
          <w:rStyle w:val="StyleUnderline"/>
        </w:rPr>
        <w:t xml:space="preserve">have passed policies and written their proposals with the intent of appealing to RTTT reviewers, regardless of </w:t>
      </w:r>
      <w:r>
        <w:t xml:space="preserve">their </w:t>
      </w:r>
      <w:r>
        <w:rPr>
          <w:rStyle w:val="StyleUnderline"/>
        </w:rPr>
        <w:t>capacity</w:t>
      </w:r>
      <w:r>
        <w:t xml:space="preserve"> to implement the reforms. The findings of this study suggest that, for teacher policy, states reacted to the federal preferences without significant consideration of their implementation capacities. The effects of this apparent lack of consideration of their capacity and the context for implementation can be seen in the progress reports released by the USDOE (“Race to the Top annual performance report,” n.d.; McNeil, 2013). </w:t>
      </w:r>
      <w:r>
        <w:rPr>
          <w:rStyle w:val="Emphasis"/>
        </w:rPr>
        <w:t>However</w:t>
      </w:r>
      <w:r>
        <w:t xml:space="preserve">, </w:t>
      </w:r>
      <w:r>
        <w:rPr>
          <w:rStyle w:val="StyleUnderline"/>
        </w:rPr>
        <w:t>it may be</w:t>
      </w:r>
      <w:r>
        <w:t xml:space="preserve"> </w:t>
      </w:r>
      <w:r>
        <w:rPr>
          <w:rStyle w:val="StyleUnderline"/>
        </w:rPr>
        <w:t xml:space="preserve">important to remember that state implementation of NCLB was also </w:t>
      </w:r>
      <w:r>
        <w:rPr>
          <w:rStyle w:val="Emphasis"/>
        </w:rPr>
        <w:t>inconsistent, though implementation was much more clearly delineated</w:t>
      </w:r>
      <w:r>
        <w:rPr>
          <w:rStyle w:val="StyleUnderline"/>
        </w:rPr>
        <w:t xml:space="preserve"> in NCLB regulations</w:t>
      </w:r>
      <w:r>
        <w:t xml:space="preserve">. The difficulties that states have had in implementing their RTTT proposals are, perhaps, a reflection of their inability to articulate internal capacity. As other researchers have noted (Brown, Hess, Lautzenheiser, and Owen, 2011), this may be an unintended consequence of the categorical funding streams, like ESEA/NCLB, through which money flows through state departments of education to local districts. While RTTT may not be the solution to state and district capacity issues, one can make a plausible argument that the competitive grant aspect of the program was not the cause of states’ difficulties. </w:t>
      </w:r>
      <w:r>
        <w:rPr>
          <w:rStyle w:val="StyleUnderline"/>
        </w:rPr>
        <w:t>For the federal government, the advantages of competitive grant making over mandates or categorical funding are clearer than for states</w:t>
      </w:r>
      <w:r>
        <w:t xml:space="preserve">. </w:t>
      </w:r>
      <w:r>
        <w:rPr>
          <w:rStyle w:val="StyleUnderline"/>
        </w:rPr>
        <w:t>Without the guarantee of funding, states made significant policy changes seemingly in response to this federal program and, in teacher policy, at least, largely in line with federal preferences.</w:t>
      </w:r>
      <w:r>
        <w:t xml:space="preserve"> That the effects of the program were somewhat muted in states with an elected Chief State School Officer may also hint that </w:t>
      </w:r>
      <w:r>
        <w:rPr>
          <w:rStyle w:val="StyleUnderline"/>
        </w:rPr>
        <w:t>appealing to the competitive nature of statewide politicians</w:t>
      </w:r>
      <w:r>
        <w:t xml:space="preserve"> whose election prospects are not solely influenced by state education policy</w:t>
      </w:r>
      <w:r>
        <w:rPr>
          <w:rStyle w:val="StyleUnderline"/>
        </w:rPr>
        <w:t>, like governors</w:t>
      </w:r>
      <w:r>
        <w:t xml:space="preserve">, </w:t>
      </w:r>
      <w:r>
        <w:rPr>
          <w:rStyle w:val="StyleUnderline"/>
        </w:rPr>
        <w:t xml:space="preserve">may be an advantage of the competitive aspect of RTTT. </w:t>
      </w:r>
      <w:r>
        <w:t xml:space="preserve">Further, </w:t>
      </w:r>
      <w:r>
        <w:rPr>
          <w:rStyle w:val="StyleUnderline"/>
        </w:rPr>
        <w:t xml:space="preserve">states made these changes </w:t>
      </w:r>
      <w:r>
        <w:rPr>
          <w:rStyle w:val="Emphasis"/>
        </w:rPr>
        <w:t xml:space="preserve">willingly and across political and ideological lines. </w:t>
      </w:r>
      <w:r>
        <w:rPr>
          <w:rStyle w:val="StyleUnderline"/>
        </w:rPr>
        <w:t xml:space="preserve">Georgia was the most ideologically conservative state in this analysis, and, yet, the state’s Republican governor heaped praise on RTTT and worked fervently to pass policies he and legislative sponsors believed would make the state more competitive. </w:t>
      </w:r>
      <w:r>
        <w:t xml:space="preserve">Similarly, </w:t>
      </w:r>
      <w:r>
        <w:rPr>
          <w:rStyle w:val="StyleUnderline"/>
        </w:rPr>
        <w:t>Governor Pawlenty, in Minnesota, who ran for the Republican nomination for President in 2012 and actively supported President Obama’s opponents in 2008 and 2012, put forth significant effort to pass policies that would put the state in a better position to receive funding</w:t>
      </w:r>
      <w:r>
        <w:t xml:space="preserve">. And yet, of the states 179 discussed in Chapter 4, only the Democratic governors managed to pass significant teacher reforms (and neither of these states won RTTT funding). </w:t>
      </w:r>
      <w:r>
        <w:rPr>
          <w:rStyle w:val="StyleUnderline"/>
        </w:rPr>
        <w:t xml:space="preserve">These cases are illustrative of the crosspartisan state policymaking that RTTT inspired. </w:t>
      </w:r>
      <w:r>
        <w:t xml:space="preserve">While categorical grants and mandates have, historically, been the means through which the federal government moves state education policy, </w:t>
      </w:r>
      <w:r>
        <w:rPr>
          <w:rStyle w:val="Emphasis"/>
        </w:rPr>
        <w:t>the success of RTTT in spurring state policy change suggests competitive grants as a viable mechanism through which the federal government can influence state policy.</w:t>
      </w:r>
      <w:r>
        <w:t xml:space="preserve"> Whether RTTT or future as-yet-not-conceived grant competitions can impact long-term state capacity for reform remains an unanswered question. </w:t>
      </w:r>
    </w:p>
    <w:p w:rsidR="002A5800" w:rsidRDefault="002A5800" w:rsidP="002A5800"/>
    <w:p w:rsidR="002A5800" w:rsidRDefault="002A5800" w:rsidP="002A5800">
      <w:pPr>
        <w:pStyle w:val="Heading3"/>
        <w:rPr>
          <w:sz w:val="32"/>
        </w:rPr>
      </w:pPr>
      <w:r>
        <w:t>--1NC text vs. CTE</w:t>
      </w:r>
    </w:p>
    <w:p w:rsidR="002A5800" w:rsidRDefault="002A5800" w:rsidP="002A5800">
      <w:pPr>
        <w:pStyle w:val="Heading4"/>
      </w:pPr>
      <w:r>
        <w:t xml:space="preserve">The United States federal government should create a competition that incentivizes secondary career and technical education programs that model the CTE Pathways Trust Fund and Social Innovation Financing. </w:t>
      </w:r>
    </w:p>
    <w:p w:rsidR="002A5800" w:rsidRDefault="002A5800" w:rsidP="002A5800">
      <w:pPr>
        <w:pStyle w:val="Heading3"/>
        <w:rPr>
          <w:lang w:val="es-ES"/>
        </w:rPr>
      </w:pPr>
      <w:r>
        <w:rPr>
          <w:lang w:val="es-ES"/>
        </w:rPr>
        <w:t>--1NC text vs. IDEA</w:t>
      </w:r>
    </w:p>
    <w:p w:rsidR="002A5800" w:rsidRDefault="002A5800" w:rsidP="002A5800">
      <w:pPr>
        <w:pStyle w:val="Heading4"/>
      </w:pPr>
      <w:r>
        <w:t>The United States federal government should establish a competitive grant program that substantially increases funding for school districts that establish an adequate test of the Individuals with Disabilities in Education Act’s “least restrictive environment” standard to 1) determine if a students can be educated in classrooms with supplemental aids, and, if not 2) evaluate whether the school district has mainstreamed the student to the maximum extent possible.</w:t>
      </w:r>
    </w:p>
    <w:p w:rsidR="002A5800" w:rsidRDefault="002A5800" w:rsidP="002A5800">
      <w:pPr>
        <w:pStyle w:val="Heading4"/>
      </w:pPr>
      <w:r>
        <w:t xml:space="preserve">The United States federal government should reward states and school districts that successfully establish this test with the resources required to provide the physical environment deemed necessary for an inclusive learning environment. </w:t>
      </w:r>
    </w:p>
    <w:p w:rsidR="002A5800" w:rsidRDefault="002A5800" w:rsidP="002A5800">
      <w:pPr>
        <w:pStyle w:val="Heading3"/>
      </w:pPr>
      <w:r>
        <w:t>--1NC text vs. Natives</w:t>
      </w:r>
    </w:p>
    <w:p w:rsidR="002A5800" w:rsidRDefault="002A5800" w:rsidP="002A5800">
      <w:pPr>
        <w:pStyle w:val="Heading4"/>
      </w:pPr>
      <w:r>
        <w:t xml:space="preserve">The United States federal government should create a competition that incentivizes </w:t>
      </w:r>
    </w:p>
    <w:p w:rsidR="002A5800" w:rsidRDefault="002A5800" w:rsidP="002A5800">
      <w:pPr>
        <w:pStyle w:val="Heading4"/>
        <w:numPr>
          <w:ilvl w:val="0"/>
          <w:numId w:val="12"/>
        </w:numPr>
        <w:spacing w:before="40" w:line="256" w:lineRule="auto"/>
      </w:pPr>
      <w:r>
        <w:t xml:space="preserve">engaging students, parents, extended family members, and communities in the educational process and in the discussion surrounding educational inequalities. </w:t>
      </w:r>
    </w:p>
    <w:p w:rsidR="002A5800" w:rsidRDefault="002A5800" w:rsidP="002A5800">
      <w:pPr>
        <w:pStyle w:val="Heading4"/>
        <w:numPr>
          <w:ilvl w:val="0"/>
          <w:numId w:val="12"/>
        </w:numPr>
        <w:spacing w:before="40" w:line="256" w:lineRule="auto"/>
      </w:pPr>
      <w:r>
        <w:t xml:space="preserve">identifying additional community services to support minority or at-risk students and their parents in order to overcome barriers to equal education. </w:t>
      </w:r>
    </w:p>
    <w:p w:rsidR="002A5800" w:rsidRDefault="002A5800" w:rsidP="002A5800">
      <w:pPr>
        <w:pStyle w:val="Heading4"/>
        <w:numPr>
          <w:ilvl w:val="0"/>
          <w:numId w:val="12"/>
        </w:numPr>
        <w:spacing w:before="40" w:line="256" w:lineRule="auto"/>
      </w:pPr>
      <w:r>
        <w:t xml:space="preserve">taking into account local social and cultural conditions and customs for discipline, teacher training, curriculum, and testing. </w:t>
      </w:r>
    </w:p>
    <w:p w:rsidR="002A5800" w:rsidRDefault="002A5800" w:rsidP="002A5800">
      <w:pPr>
        <w:pStyle w:val="Heading4"/>
        <w:numPr>
          <w:ilvl w:val="0"/>
          <w:numId w:val="12"/>
        </w:numPr>
        <w:spacing w:before="40" w:line="256" w:lineRule="auto"/>
      </w:pPr>
      <w:r>
        <w:t xml:space="preserve">requesting assistance from local social and cultural leaders during curriculum planning. </w:t>
      </w:r>
    </w:p>
    <w:p w:rsidR="002A5800" w:rsidRDefault="002A5800" w:rsidP="002A5800">
      <w:pPr>
        <w:pStyle w:val="Heading4"/>
        <w:numPr>
          <w:ilvl w:val="0"/>
          <w:numId w:val="12"/>
        </w:numPr>
        <w:spacing w:before="40" w:line="256" w:lineRule="auto"/>
      </w:pPr>
      <w:r>
        <w:t xml:space="preserve">completing a comprehensive assessment of the circumstances of local students with a focus on how these circumstances impact the student’s ability to learn and participate in the classroom. </w:t>
      </w:r>
    </w:p>
    <w:p w:rsidR="002A5800" w:rsidRDefault="002A5800" w:rsidP="002A5800">
      <w:pPr>
        <w:pStyle w:val="Heading4"/>
        <w:numPr>
          <w:ilvl w:val="0"/>
          <w:numId w:val="12"/>
        </w:numPr>
        <w:spacing w:before="40" w:line="256" w:lineRule="auto"/>
      </w:pPr>
      <w:r>
        <w:t xml:space="preserve">notifying and coordinating with family and community members to provide family structure and support in eradicating explicit and implicit racial biases resulting in intentional discrimination and/or the disparate impacts. </w:t>
      </w:r>
    </w:p>
    <w:p w:rsidR="002A5800" w:rsidRDefault="002A5800" w:rsidP="002A5800">
      <w:pPr>
        <w:pStyle w:val="Heading4"/>
        <w:numPr>
          <w:ilvl w:val="0"/>
          <w:numId w:val="12"/>
        </w:numPr>
        <w:spacing w:before="40" w:line="256" w:lineRule="auto"/>
      </w:pPr>
      <w:r>
        <w:t>supporting regular administrator, teacher, and family visits across district cohorts to compare efforts within the cohort.</w:t>
      </w:r>
    </w:p>
    <w:p w:rsidR="002A5800" w:rsidRDefault="002A5800" w:rsidP="002A5800"/>
    <w:p w:rsidR="002A5800" w:rsidRDefault="002A5800" w:rsidP="002A5800">
      <w:pPr>
        <w:pStyle w:val="Heading4"/>
      </w:pPr>
      <w:r>
        <w:t xml:space="preserve">The United States federal government should substantially increase its funding of elementary and secondary public and Bureau of Indian Education schools that propose solutions to provide comprehensive and equitable resources to honor constitutionally based funding obligations. </w:t>
      </w:r>
    </w:p>
    <w:p w:rsidR="002A5800" w:rsidRDefault="002A5800" w:rsidP="002A5800">
      <w:pPr>
        <w:pStyle w:val="Heading3"/>
      </w:pPr>
      <w:r>
        <w:t>--1NC text vs. Title I</w:t>
      </w:r>
    </w:p>
    <w:p w:rsidR="002A5800" w:rsidRDefault="002A5800" w:rsidP="002A5800">
      <w:pPr>
        <w:pStyle w:val="Heading4"/>
      </w:pPr>
      <w:r>
        <w:t>The United States federal government should substantially increase its funding of elementary and secondary education in the United States through a competitive grant program that rewards modeling the standards established in Title I, Part A, of the Elementary and Secondary Education Act, and targeting of concentrated poverty, progressive state funding, and state fiscal effort.</w:t>
      </w:r>
    </w:p>
    <w:p w:rsidR="002A5800" w:rsidRDefault="002A5800" w:rsidP="002A5800">
      <w:pPr>
        <w:pStyle w:val="Heading3"/>
      </w:pPr>
      <w:r>
        <w:t>2NC General solvency</w:t>
      </w:r>
    </w:p>
    <w:p w:rsidR="002A5800" w:rsidRDefault="002A5800" w:rsidP="002A5800">
      <w:pPr>
        <w:pStyle w:val="Heading4"/>
      </w:pPr>
      <w:r>
        <w:t xml:space="preserve">Competitive grants are </w:t>
      </w:r>
      <w:r>
        <w:rPr>
          <w:u w:val="single"/>
        </w:rPr>
        <w:t xml:space="preserve">comparatively </w:t>
      </w:r>
      <w:r>
        <w:t xml:space="preserve">the best policy option – incentivizes innovation where best practices proven </w:t>
      </w:r>
      <w:r>
        <w:rPr>
          <w:u w:val="single"/>
        </w:rPr>
        <w:t>effective</w:t>
      </w:r>
      <w:r>
        <w:t xml:space="preserve"> and </w:t>
      </w:r>
      <w:r>
        <w:rPr>
          <w:u w:val="single"/>
        </w:rPr>
        <w:t>replicable</w:t>
      </w:r>
      <w:r>
        <w:t xml:space="preserve"> are modeled</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7" w:history="1">
        <w:r>
          <w:rPr>
            <w:rStyle w:val="Hyperlink"/>
          </w:rPr>
          <w:t>http://educationdidactique.revues.org/334</w:t>
        </w:r>
      </w:hyperlink>
      <w:r>
        <w:t>) AAB</w:t>
      </w:r>
    </w:p>
    <w:p w:rsidR="002A5800" w:rsidRDefault="002A5800" w:rsidP="002A5800"/>
    <w:p w:rsidR="002A5800" w:rsidRDefault="002A5800" w:rsidP="002A5800">
      <w:pPr>
        <w:rPr>
          <w:rStyle w:val="StyleUnderline"/>
        </w:rPr>
      </w:pPr>
      <w:r>
        <w:t xml:space="preserve">20Perhaps </w:t>
      </w:r>
      <w:r>
        <w:rPr>
          <w:rStyle w:val="StyleUnderline"/>
        </w:rPr>
        <w:t>the most important requirement for</w:t>
      </w:r>
      <w:r>
        <w:t xml:space="preserve"> evidence-based </w:t>
      </w:r>
      <w:r>
        <w:rPr>
          <w:rStyle w:val="StyleUnderline"/>
        </w:rPr>
        <w:t>reform is the development of a substantial set of replicable programs and practices with strong evidence of effectiveness</w:t>
      </w:r>
      <w:r>
        <w:t xml:space="preserve">. Educators and policymakers must have a variety of programs they can choose among with confidence. This means that </w:t>
      </w:r>
      <w:r>
        <w:rPr>
          <w:rStyle w:val="StyleUnderline"/>
        </w:rPr>
        <w:t>governments must fund a wide range of research and development projects designed to create innovations capable of significantly improving the outcomes of education at all levels and in all subjects.</w:t>
      </w:r>
    </w:p>
    <w:p w:rsidR="002A5800" w:rsidRDefault="002A5800" w:rsidP="002A5800">
      <w:r>
        <w:t>21Th</w:t>
      </w:r>
      <w:r>
        <w:rPr>
          <w:rStyle w:val="StyleUnderline"/>
        </w:rPr>
        <w:t>e development process might use</w:t>
      </w:r>
      <w:r>
        <w:t xml:space="preserve"> a series of “design </w:t>
      </w:r>
      <w:r>
        <w:rPr>
          <w:rStyle w:val="Emphasis"/>
        </w:rPr>
        <w:t>competitions</w:t>
      </w:r>
      <w:r>
        <w:rPr>
          <w:rStyle w:val="StyleUnderline"/>
        </w:rPr>
        <w:t xml:space="preserve">,” in which government sets out what it wants and then funds a variety of entities to develop and evaluate competing alternatives </w:t>
      </w:r>
      <w:r>
        <w:t xml:space="preserve">(Slavin, 1997). For example, a funding agency might ask Research &amp; Developpment organizations to develop an approach to teaching algebra to pupils aged 14-16 capable of increasing their performance on national or international measures by at least 25 % of a standard deviation. </w:t>
      </w:r>
      <w:r>
        <w:rPr>
          <w:rStyle w:val="StyleUnderline"/>
        </w:rPr>
        <w:t>The most promising applicants could be chosen in a competition, and this number might be winnowed down over time if some designs turn out not to be effective or practical</w:t>
      </w:r>
      <w:r>
        <w:t xml:space="preserve">. The </w:t>
      </w:r>
      <w:r>
        <w:rPr>
          <w:rStyle w:val="StyleUnderline"/>
        </w:rPr>
        <w:t>New American Schools Development Corporation</w:t>
      </w:r>
      <w:r>
        <w:t xml:space="preserve"> (NASDC), </w:t>
      </w:r>
      <w:r>
        <w:rPr>
          <w:rStyle w:val="StyleUnderline"/>
        </w:rPr>
        <w:t>funded by</w:t>
      </w:r>
      <w:r>
        <w:t xml:space="preserve"> large </w:t>
      </w:r>
      <w:r>
        <w:rPr>
          <w:rStyle w:val="StyleUnderline"/>
        </w:rPr>
        <w:t xml:space="preserve">corporations rather than government, did exactly this to create comprehensive school reform models in the 1990’s </w:t>
      </w:r>
      <w:r>
        <w:t>(Kearns &amp; Anderson, 1996). Initially, 11 design teams were chosen from almost 700 applications. Over time, four of the teams were dropped. Some of the remaining seven, plus a handful of similar programs funded in other ways, ultimately developed strong research bases (CSRQ, 2006a, b). As noted earlier, CSR models were used at their peak in more than 6000 schools in the U.S. (see Slavin, in press ; Aladjem &amp; Borman, 2006 ; Stringfield, Ross &amp; Smith, 1996). Comprehensive school reform models such as Success for All (Slavin &amp; Madden, 2001), America’s Choice (Supovitz, Poglinco, &amp; Snyder, 2001), Direct Instruction (Adams &amp; Engelmann, 1996), Modern Red Schoolhouse (Kilgore et al., 1996), and the School Development Program (Comer, Haynes, Joyner, &amp; Ben-Arie, 1996) have been extensively evaluated and found to be effective, and continue to be used in thousands of U.S. schools, even in the absence of government support.</w:t>
      </w:r>
    </w:p>
    <w:p w:rsidR="002A5800" w:rsidRDefault="002A5800" w:rsidP="002A5800">
      <w:pPr>
        <w:rPr>
          <w:rStyle w:val="StyleUnderline"/>
        </w:rPr>
      </w:pPr>
      <w:r>
        <w:t>22</w:t>
      </w:r>
      <w:r>
        <w:rPr>
          <w:rStyle w:val="StyleUnderline"/>
        </w:rPr>
        <w:t>The design competition process that produced comprehensive school reform models could be applied to any subject and grade level</w:t>
      </w:r>
      <w:r>
        <w:t xml:space="preserve">. </w:t>
      </w:r>
      <w:r>
        <w:rPr>
          <w:rStyle w:val="StyleUnderline"/>
        </w:rPr>
        <w:t>Imagine design teams working on the design and evaluation of programs capable of accelerating achievement in beginning reading, upper elementary math, algebra, and physical science, programs for second language learners, dropout-prevention, early childhood, and so on</w:t>
      </w:r>
      <w:r>
        <w:t xml:space="preserve">. </w:t>
      </w:r>
      <w:r>
        <w:rPr>
          <w:rStyle w:val="StyleUnderline"/>
        </w:rPr>
        <w:t>In each case the goal would be to build on the best that currently exists, and to end up with numerous programs</w:t>
      </w:r>
      <w:r>
        <w:t xml:space="preserve">, </w:t>
      </w:r>
      <w:r>
        <w:rPr>
          <w:rStyle w:val="StyleUnderline"/>
        </w:rPr>
        <w:t>all of which have been proven to increase achievement by at least 25 % of a standard deviation</w:t>
      </w:r>
      <w:r>
        <w:t xml:space="preserve">. </w:t>
      </w:r>
      <w:r>
        <w:rPr>
          <w:rStyle w:val="StyleUnderline"/>
        </w:rPr>
        <w:t>These programs could be highly diverse</w:t>
      </w:r>
      <w:r>
        <w:t xml:space="preserve">. Some would involve technology, others not. Some would require extensive training, others less so. Some would challenge current conceptions of curriculum, others might be traditional. </w:t>
      </w:r>
      <w:r>
        <w:rPr>
          <w:rStyle w:val="StyleUnderline"/>
        </w:rPr>
        <w:t xml:space="preserve">All that matters is that they are </w:t>
      </w:r>
      <w:r>
        <w:rPr>
          <w:rStyle w:val="Emphasis"/>
        </w:rPr>
        <w:t>proven effective</w:t>
      </w:r>
      <w:r>
        <w:rPr>
          <w:rStyle w:val="StyleUnderline"/>
        </w:rPr>
        <w:t xml:space="preserve"> and are </w:t>
      </w:r>
      <w:r>
        <w:rPr>
          <w:rStyle w:val="Emphasis"/>
        </w:rPr>
        <w:t>replicable</w:t>
      </w:r>
      <w:r>
        <w:rPr>
          <w:rStyle w:val="StyleUnderline"/>
        </w:rPr>
        <w:t xml:space="preserve"> in many schools.</w:t>
      </w:r>
    </w:p>
    <w:p w:rsidR="002A5800" w:rsidRDefault="002A5800" w:rsidP="002A5800">
      <w:pPr>
        <w:rPr>
          <w:rStyle w:val="StyleUnderline"/>
        </w:rPr>
      </w:pPr>
    </w:p>
    <w:p w:rsidR="002A5800" w:rsidRDefault="002A5800" w:rsidP="002A5800">
      <w:pPr>
        <w:pStyle w:val="Heading4"/>
        <w:rPr>
          <w:sz w:val="26"/>
        </w:rPr>
      </w:pPr>
      <w:r>
        <w:t>Competitive grants solve – they provide an extra carrot for innovation which enhances reform</w:t>
      </w:r>
    </w:p>
    <w:p w:rsidR="002A5800" w:rsidRDefault="002A5800" w:rsidP="002A5800">
      <w:r>
        <w:rPr>
          <w:rStyle w:val="Style13ptBold"/>
        </w:rPr>
        <w:t>Kane 15</w:t>
      </w:r>
      <w:r>
        <w:t xml:space="preserve"> economist and Walter H. Gale Professor of Education at the Harvard Graduate School of Education (Thomas, January 15, “To Empower State and Local Leaders, ESEA Reauthorization Should Include Competitive Grants,” Brookings, </w:t>
      </w:r>
      <w:hyperlink r:id="rId8" w:history="1">
        <w:r>
          <w:rPr>
            <w:rStyle w:val="Hyperlink"/>
          </w:rPr>
          <w:t>https://www.brookings.edu/research/to-empower-state-and-local-leaders-esea-reauthorization-should-include-competitive-grants/</w:t>
        </w:r>
      </w:hyperlink>
      <w:r>
        <w:t>) AAB</w:t>
      </w:r>
    </w:p>
    <w:p w:rsidR="002A5800" w:rsidRDefault="002A5800" w:rsidP="002A5800"/>
    <w:p w:rsidR="002A5800" w:rsidRDefault="002A5800" w:rsidP="002A5800">
      <w:r>
        <w:t xml:space="preserve">In the current re-authorization of the Elementary and Secondary Education Act, </w:t>
      </w:r>
      <w:r>
        <w:rPr>
          <w:rStyle w:val="StyleUnderline"/>
        </w:rPr>
        <w:t>many in Congress are eager to reduce the role of the federal government in education and restore power to states.  However, simply removing the accountability requirements under Title I</w:t>
      </w:r>
      <w:r>
        <w:t>, as many have proposed</w:t>
      </w:r>
      <w:r>
        <w:rPr>
          <w:rStyle w:val="StyleUnderline"/>
        </w:rPr>
        <w:t xml:space="preserve">, will not foster state and local leadership </w:t>
      </w:r>
      <w:r>
        <w:rPr>
          <w:rStyle w:val="Emphasis"/>
        </w:rPr>
        <w:t>nearly as well as a competitive grant program would</w:t>
      </w:r>
      <w:r>
        <w:t xml:space="preserve">.  As long as U.S. students lag our international competitors, </w:t>
      </w:r>
      <w:r>
        <w:rPr>
          <w:rStyle w:val="StyleUnderline"/>
        </w:rPr>
        <w:t xml:space="preserve">the federal government should tilt the scale in favor of </w:t>
      </w:r>
      <w:r>
        <w:rPr>
          <w:rStyle w:val="Emphasis"/>
        </w:rPr>
        <w:t>reform and innovation</w:t>
      </w:r>
      <w:r>
        <w:rPr>
          <w:rStyle w:val="StyleUnderline"/>
        </w:rPr>
        <w:t xml:space="preserve">. </w:t>
      </w:r>
      <w:r>
        <w:t xml:space="preserve"> </w:t>
      </w:r>
      <w:r>
        <w:rPr>
          <w:rStyle w:val="StyleUnderline"/>
        </w:rPr>
        <w:t>Block grants</w:t>
      </w:r>
      <w:r>
        <w:t xml:space="preserve"> simply </w:t>
      </w:r>
      <w:r>
        <w:rPr>
          <w:rStyle w:val="StyleUnderline"/>
        </w:rPr>
        <w:t>subsidize the status quo</w:t>
      </w:r>
      <w:r>
        <w:t>.</w:t>
      </w:r>
    </w:p>
    <w:p w:rsidR="002A5800" w:rsidRDefault="002A5800" w:rsidP="002A5800">
      <w:r>
        <w:t xml:space="preserve">It’s simple economics:  </w:t>
      </w:r>
      <w:r>
        <w:rPr>
          <w:rStyle w:val="StyleUnderline"/>
        </w:rPr>
        <w:t>A block grant is</w:t>
      </w:r>
      <w:r>
        <w:t xml:space="preserve"> just like </w:t>
      </w:r>
      <w:r>
        <w:rPr>
          <w:rStyle w:val="StyleUnderline"/>
        </w:rPr>
        <w:t>a permanent increase in revenue from state income or sales taxes.  It does nothing to change a potential leader’s bargaining position; it does nothing to lower the financial or political barriers to reform which paralyze our school systems</w:t>
      </w:r>
      <w:r>
        <w:t xml:space="preserve">.  For instance, with a block grant, any district leader wanting to improve the tenure review process needs to bargain with his or her union to find ways to pay for it.  </w:t>
      </w:r>
      <w:r>
        <w:rPr>
          <w:rStyle w:val="StyleUnderline"/>
        </w:rPr>
        <w:t xml:space="preserve">A competitive grant program would provide an </w:t>
      </w:r>
      <w:r>
        <w:rPr>
          <w:rStyle w:val="Emphasis"/>
        </w:rPr>
        <w:t xml:space="preserve">external carrot </w:t>
      </w:r>
      <w:r>
        <w:rPr>
          <w:rStyle w:val="StyleUnderline"/>
        </w:rPr>
        <w:t xml:space="preserve">that would allow the same leader to </w:t>
      </w:r>
      <w:r>
        <w:rPr>
          <w:rStyle w:val="Emphasis"/>
        </w:rPr>
        <w:t>bargain more successfully</w:t>
      </w:r>
      <w:r>
        <w:t>.</w:t>
      </w:r>
    </w:p>
    <w:p w:rsidR="002A5800" w:rsidRDefault="002A5800" w:rsidP="002A5800">
      <w:r>
        <w:t xml:space="preserve">   </w:t>
      </w:r>
    </w:p>
    <w:p w:rsidR="002A5800" w:rsidRDefault="002A5800" w:rsidP="002A5800">
      <w:pPr>
        <w:pStyle w:val="Heading4"/>
      </w:pPr>
      <w:r>
        <w:t xml:space="preserve">Competitive grants rely on </w:t>
      </w:r>
      <w:r>
        <w:rPr>
          <w:u w:val="single"/>
        </w:rPr>
        <w:t>incentives</w:t>
      </w:r>
      <w:r>
        <w:t xml:space="preserve"> as opposed to </w:t>
      </w:r>
      <w:r>
        <w:rPr>
          <w:u w:val="single"/>
        </w:rPr>
        <w:t>sanctions</w:t>
      </w:r>
      <w:r>
        <w:t xml:space="preserve"> – provides </w:t>
      </w:r>
      <w:r>
        <w:rPr>
          <w:u w:val="single"/>
        </w:rPr>
        <w:t>political cover</w:t>
      </w:r>
      <w:r>
        <w:t xml:space="preserve"> for education reformers and allows states to construct the </w:t>
      </w:r>
      <w:r>
        <w:rPr>
          <w:u w:val="single"/>
        </w:rPr>
        <w:t xml:space="preserve">administrative capacity </w:t>
      </w:r>
      <w:r>
        <w:t>to implement innovations effectively</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The</w:t>
      </w:r>
      <w:r>
        <w:t xml:space="preserve"> Obama administration’s </w:t>
      </w:r>
      <w:r>
        <w:rPr>
          <w:rStyle w:val="StyleUnderline"/>
        </w:rPr>
        <w:t xml:space="preserve">Race to the Top (RTTT) competitive grant program has been heralded for </w:t>
      </w:r>
      <w:r>
        <w:rPr>
          <w:rStyle w:val="Emphasis"/>
        </w:rPr>
        <w:t>revolutionizing</w:t>
      </w:r>
      <w:r>
        <w:rPr>
          <w:rStyle w:val="StyleUnderline"/>
        </w:rPr>
        <w:t xml:space="preserve"> the federal role in education and transforming state school reform efforts.</w:t>
      </w:r>
      <w:r>
        <w:t xml:space="preserve"> RTTT has received an extraordinary amount of media coverage and think tank analysis, yet, the vast majority of the discussion to date has focused on the program’s design, application, and award process. Much less attention has been devoted to analyzing the broader historical, institutional, and political contexts that led to RTTT’s creation and within which it will operate over the longer term. This article represents an attempt to provide this context and analyze the origins, evolution, and impact of RTTT. In particular, it will address the following questions: (a) What is the theory of action behind the design of RTTT? (b) What impact has RTTT had on state education politics and policy to date? (c) What have we learned that can enhance the implementation of RTTT going forward and inform future RTTT competitions? and (d) What does RTTT tell us about the Obama administration’s education agenda and the status of intergovernmental relationships in education today?</w:t>
      </w:r>
    </w:p>
    <w:p w:rsidR="002A5800" w:rsidRDefault="002A5800" w:rsidP="002A5800">
      <w:r>
        <w:rPr>
          <w:rStyle w:val="StyleUnderline"/>
        </w:rPr>
        <w:t xml:space="preserve">RTTT is fundamentally about two things: creating </w:t>
      </w:r>
      <w:r>
        <w:rPr>
          <w:rStyle w:val="Emphasis"/>
        </w:rPr>
        <w:t>political cover</w:t>
      </w:r>
      <w:r>
        <w:rPr>
          <w:rStyle w:val="StyleUnderline"/>
        </w:rPr>
        <w:t xml:space="preserve"> for state education reformers to innovate and helping states construct the administrative </w:t>
      </w:r>
      <w:r>
        <w:rPr>
          <w:rStyle w:val="Emphasis"/>
        </w:rPr>
        <w:t>capacity to implement these innovations effectively</w:t>
      </w:r>
      <w:r>
        <w:rPr>
          <w:rStyle w:val="StyleUnderline"/>
        </w:rPr>
        <w:t>.</w:t>
      </w:r>
      <w:r>
        <w:t xml:space="preserve"> </w:t>
      </w:r>
      <w:r>
        <w:rPr>
          <w:rStyle w:val="StyleUnderline"/>
        </w:rPr>
        <w:t>Although</w:t>
      </w:r>
      <w:r>
        <w:t xml:space="preserve"> the Elementary and Secondary Education Act (ESEA) and </w:t>
      </w:r>
      <w:r>
        <w:rPr>
          <w:rStyle w:val="StyleUnderline"/>
        </w:rPr>
        <w:t>other traditional federal formula grant programs direct funds</w:t>
      </w:r>
      <w:r>
        <w:t xml:space="preserve"> on the basis of demographics or educational need without regard to reform or achievement, </w:t>
      </w:r>
      <w:r>
        <w:rPr>
          <w:rStyle w:val="StyleUnderline"/>
        </w:rPr>
        <w:t>RTTT supports only those states that have</w:t>
      </w:r>
      <w:r>
        <w:t xml:space="preserve"> strong track </w:t>
      </w:r>
      <w:r>
        <w:rPr>
          <w:rStyle w:val="StyleUnderline"/>
        </w:rPr>
        <w:t>records and plans for</w:t>
      </w:r>
      <w:r>
        <w:t xml:space="preserve"> </w:t>
      </w:r>
      <w:r>
        <w:rPr>
          <w:rStyle w:val="StyleUnderline"/>
        </w:rPr>
        <w:t>innovation and</w:t>
      </w:r>
      <w:r>
        <w:t xml:space="preserve"> can </w:t>
      </w:r>
      <w:r>
        <w:rPr>
          <w:rStyle w:val="StyleUnderline"/>
        </w:rPr>
        <w:t>demonstrate</w:t>
      </w:r>
      <w:r>
        <w:t xml:space="preserve"> key stakeholder </w:t>
      </w:r>
      <w:r>
        <w:rPr>
          <w:rStyle w:val="Emphasis"/>
        </w:rPr>
        <w:t>commitment to reform</w:t>
      </w:r>
      <w:r>
        <w:t>. RTTT has thus shifted the focus of federal policy from the laggards to the leaders in state educational performance and reform. This shift carries with it two challenges over the long haul: how to sustain the reform push in the winning states and how to disseminate and motivate reform among the losing states.</w:t>
      </w:r>
    </w:p>
    <w:p w:rsidR="002A5800" w:rsidRDefault="002A5800" w:rsidP="002A5800">
      <w:r>
        <w:t xml:space="preserve">RTTT will not single-handedly solve the problems of American education, and some of its initial achievements may well be undone over time. Nonetheless, RTTT’s importance should not be understated. </w:t>
      </w:r>
      <w:r>
        <w:rPr>
          <w:rStyle w:val="StyleUnderline"/>
        </w:rPr>
        <w:t>The program has articulated a promising new approach to federal education policy in the competitive grant program, and it has generated a substantial amount of state policy change in a short period of time,</w:t>
      </w:r>
      <w:r>
        <w:t xml:space="preserve"> </w:t>
      </w:r>
      <w:r>
        <w:rPr>
          <w:rStyle w:val="StyleUnderline"/>
        </w:rPr>
        <w:t>particularly for a program of its</w:t>
      </w:r>
      <w:r>
        <w:t xml:space="preserve"> relatively </w:t>
      </w:r>
      <w:r>
        <w:rPr>
          <w:rStyle w:val="StyleUnderline"/>
        </w:rPr>
        <w:t>small size.</w:t>
      </w:r>
      <w:r>
        <w:t xml:space="preserve"> Perhaps most important, </w:t>
      </w:r>
      <w:r>
        <w:rPr>
          <w:rStyle w:val="StyleUnderline"/>
        </w:rPr>
        <w:t>it has had a sizable impact on the intensity and character of school reform discourse across the country</w:t>
      </w:r>
      <w:r>
        <w:t>. As a result, regardless of whether RTTT continues beyond 2012 or whether states fulfill all of the reform commitments in their applications, the program’s legacy on both education politics and policy is likely to be considerable.</w:t>
      </w:r>
    </w:p>
    <w:p w:rsidR="002A5800" w:rsidRDefault="002A5800" w:rsidP="002A5800">
      <w:r>
        <w:t>Part I: The Design and Operation of RTTT</w:t>
      </w:r>
    </w:p>
    <w:p w:rsidR="002A5800" w:rsidRDefault="002A5800" w:rsidP="002A5800">
      <w:r>
        <w:t xml:space="preserve">In many ways, </w:t>
      </w:r>
      <w:r>
        <w:rPr>
          <w:rStyle w:val="StyleUnderline"/>
        </w:rPr>
        <w:t>RTTT is an attempt to circumvent</w:t>
      </w:r>
      <w:r>
        <w:t xml:space="preserve"> the perceived failings of No Child Left Behind (</w:t>
      </w:r>
      <w:r>
        <w:rPr>
          <w:rStyle w:val="StyleUnderline"/>
        </w:rPr>
        <w:t>NCLB</w:t>
      </w:r>
      <w:r>
        <w:t xml:space="preserve">), </w:t>
      </w:r>
      <w:r>
        <w:rPr>
          <w:rStyle w:val="StyleUnderline"/>
        </w:rPr>
        <w:t>and</w:t>
      </w:r>
      <w:r>
        <w:t xml:space="preserve"> in particular, </w:t>
      </w:r>
      <w:r>
        <w:rPr>
          <w:rStyle w:val="StyleUnderline"/>
        </w:rPr>
        <w:t>the law’s reliance on coercive federal mandates and the compliance culture</w:t>
      </w:r>
      <w:r>
        <w:t xml:space="preserve"> that it fostered at the state level (McGuinn, 2006). </w:t>
      </w:r>
      <w:r>
        <w:rPr>
          <w:rStyle w:val="StyleUnderline"/>
        </w:rPr>
        <w:t>NCLB forced states to change many of their educational practices, but political resistance and capacity gaps at the state level meant that these changes were often more superficial than substantive.</w:t>
      </w:r>
      <w:r>
        <w:t xml:space="preserve"> As a result, </w:t>
      </w:r>
      <w:r>
        <w:rPr>
          <w:rStyle w:val="StyleUnderline"/>
        </w:rPr>
        <w:t>the law did not generate</w:t>
      </w:r>
      <w:r>
        <w:t xml:space="preserve"> as much </w:t>
      </w:r>
      <w:r>
        <w:rPr>
          <w:rStyle w:val="StyleUnderline"/>
        </w:rPr>
        <w:t>meaningful school improvement</w:t>
      </w:r>
      <w:r>
        <w:t xml:space="preserve"> or progress in closing student-achievement gaps as was originally hoped (Mintrop &amp; Sunderman, 2009). </w:t>
      </w:r>
      <w:r>
        <w:rPr>
          <w:rStyle w:val="StyleUnderline"/>
        </w:rPr>
        <w:t>RTTT’s</w:t>
      </w:r>
      <w:r>
        <w:t xml:space="preserve"> design—and specifically its </w:t>
      </w:r>
      <w:r>
        <w:rPr>
          <w:rStyle w:val="StyleUnderline"/>
        </w:rPr>
        <w:t xml:space="preserve">use of a competitive grant process—was intended to avoid these problems by relying </w:t>
      </w:r>
      <w:r>
        <w:rPr>
          <w:rStyle w:val="Emphasis"/>
        </w:rPr>
        <w:t>on incentives instead of sanctions</w:t>
      </w:r>
      <w:r>
        <w:rPr>
          <w:rStyle w:val="StyleUnderline"/>
        </w:rPr>
        <w:t xml:space="preserve"> to drive state reform</w:t>
      </w:r>
      <w:r>
        <w:t>. Three facts in particular should shape our understanding of the design and impact of RTTT: the enormously difficult task of driving systemic change in a fragmented and decentralized education system, the newness of and political opposition to federal efforts to push systemic education reform on the states, and the weakness of state and federal administrative capacity in education.</w:t>
      </w:r>
    </w:p>
    <w:p w:rsidR="002A5800" w:rsidRDefault="002A5800" w:rsidP="002A5800">
      <w:r>
        <w:t>RTTT’s creative and complex design reflects the Obama administration’s need to navigate a difficult political situation—deep inter- and intraparty division over school reform—as well as a difficult institutional situation—the limited capacity of federal and state education agencies to push reform down to the school level. This is what might be called the 50/14,000/130,000 problem in American education reform—we have 50 different state education systems that collectively contain approximately 14,000 school districts and almost 130,000 schools. States have developed vastly different education systems, and tremendous variation in school quality exists within and among states. Although the United States now has clear national goals in education, it lacks a national system of education within which to pursue these goals, and the federal government can only indirectly attempt to drive reform through the grant-in-aid system (Shelly, 2008).</w:t>
      </w:r>
    </w:p>
    <w:p w:rsidR="002A5800" w:rsidRDefault="002A5800" w:rsidP="002A5800">
      <w:r>
        <w:t xml:space="preserve">As Cohen and Susan (2009) have observed, this has greatly limited the federal government’s ability to effect change in education and stymied its pursuit of educational equality. </w:t>
      </w:r>
      <w:r>
        <w:rPr>
          <w:rStyle w:val="StyleUnderline"/>
        </w:rPr>
        <w:t xml:space="preserve">Although the federal government can sometimes use incentives to coerce states into adopting certain policies, it has struggled to get states to implement them faithfully or effectively, and they have, therefore, often </w:t>
      </w:r>
      <w:r>
        <w:rPr>
          <w:rStyle w:val="Emphasis"/>
        </w:rPr>
        <w:t>failed to achieve their aims</w:t>
      </w:r>
      <w:r>
        <w:t xml:space="preserve"> (Manna, 2010). The experience of </w:t>
      </w:r>
      <w:r>
        <w:rPr>
          <w:rStyle w:val="StyleUnderline"/>
        </w:rPr>
        <w:t>NCLB implementation made it abundantly clear that most state departments of education were ill-equipped to monitor compliance with their own policies or engage in district- and school-level interventions</w:t>
      </w:r>
      <w:r>
        <w:t xml:space="preserve"> (Hess &amp; Finn, 2007). </w:t>
      </w:r>
      <w:r>
        <w:rPr>
          <w:rStyle w:val="StyleUnderline"/>
        </w:rPr>
        <w:t>RTTT represents something new</w:t>
      </w:r>
      <w:r>
        <w:t>, but it is an innovation largely built on an inadequate administrative foundation (Minnici &amp; Hill, 2007).</w:t>
      </w:r>
    </w:p>
    <w:p w:rsidR="002A5800" w:rsidRDefault="002A5800" w:rsidP="002A5800"/>
    <w:p w:rsidR="002A5800" w:rsidRDefault="002A5800" w:rsidP="002A5800">
      <w:pPr>
        <w:pStyle w:val="Heading4"/>
      </w:pPr>
      <w:r>
        <w:t xml:space="preserve">Competitive grants change the </w:t>
      </w:r>
      <w:r>
        <w:rPr>
          <w:u w:val="single"/>
        </w:rPr>
        <w:t>political climate</w:t>
      </w:r>
      <w:r>
        <w:t xml:space="preserve"> of controversial education reform – encourages organizing around a new federal vision while also affording capacity for innovation</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The competition attracted a tremendous amount of media attention to the issue of school reform, shone a bright light on ineffective state policies, and helped create new political coalitions to drive reform.</w:t>
      </w:r>
      <w:r>
        <w:t xml:space="preserve"> The Washington Post (“Editorial,” 2010b) declared that </w:t>
      </w:r>
      <w:r>
        <w:rPr>
          <w:rStyle w:val="StyleUnderline"/>
        </w:rPr>
        <w:t>RTTT “helped transform the national discussion on education</w:t>
      </w:r>
      <w:r>
        <w:t xml:space="preserve">,” whereas Michelle McNeil (2009) from Education Week believes that </w:t>
      </w:r>
      <w:r>
        <w:rPr>
          <w:rStyle w:val="StyleUnderline"/>
        </w:rPr>
        <w:t>it stimulated an unprecedented “national conversation” on school reform. It also stimulated many state and local conversations—particularly in the context of the economic crisis and debates over budget cuts, tax increases, and teacher layoffs that brought education spending and collective bargaining policies into stark relief</w:t>
      </w:r>
      <w:r>
        <w:t>. Numerous governors pushed state legislatures to change laws to increase their RTTT prospects, most prominently in California where Governor Arnold Schwarzenegger called the legislature into special session to debate a package of education reforms (Cavanagh, 2011).</w:t>
      </w:r>
    </w:p>
    <w:p w:rsidR="002A5800" w:rsidRDefault="002A5800" w:rsidP="002A5800">
      <w:r>
        <w:t xml:space="preserve">There is evidence that </w:t>
      </w:r>
      <w:r>
        <w:rPr>
          <w:rStyle w:val="StyleUnderline"/>
        </w:rPr>
        <w:t xml:space="preserve">RTTT’s emphasis on expanding charter schools and revamping teacher evaluations has helped </w:t>
      </w:r>
      <w:r>
        <w:rPr>
          <w:rStyle w:val="Emphasis"/>
        </w:rPr>
        <w:t>change the political climate</w:t>
      </w:r>
      <w:r>
        <w:rPr>
          <w:rStyle w:val="StyleUnderline"/>
        </w:rPr>
        <w:t xml:space="preserve"> around these controversial issues, thus paving the way for reform</w:t>
      </w:r>
      <w:r>
        <w:t xml:space="preserve">. Shelley Skinner of the New Jersey Charter Schools Association observed that “the political environment in the state legislature and around the country has become much more favorable for charters, thanks in large part to the Race to the Top competition encouraging them” (Cavanagh, 2010a). </w:t>
      </w:r>
      <w:r>
        <w:rPr>
          <w:rStyle w:val="StyleUnderline"/>
        </w:rPr>
        <w:t xml:space="preserve">Federal rhetorical leadership on these issues provided crucial </w:t>
      </w:r>
      <w:r>
        <w:rPr>
          <w:rStyle w:val="Emphasis"/>
        </w:rPr>
        <w:t>political cover</w:t>
      </w:r>
      <w:r>
        <w:rPr>
          <w:rStyle w:val="StyleUnderline"/>
        </w:rPr>
        <w:t xml:space="preserve"> for school reformers advocating change on the ground in states by creating an environment in which it was easier or safer for them to advance their agenda.</w:t>
      </w:r>
      <w:r>
        <w:t xml:space="preserve"> Democrats for education reform (2010) declared that,</w:t>
      </w:r>
    </w:p>
    <w:p w:rsidR="002A5800" w:rsidRDefault="002A5800" w:rsidP="002A5800">
      <w:r>
        <w:rPr>
          <w:rStyle w:val="StyleUnderline"/>
        </w:rPr>
        <w:t>The change unleashed by conditioning federal funding on bold and forward-looking state education policies is indisputable</w:t>
      </w:r>
      <w:r>
        <w:t>. Under the president’s leadership, local civil rights, child advocacy, business, and education reform groups, in collaboration with those states and local teacher unions ready for change, sprung into action to achieve things that they had been waiting and wanting to do for years. (Slevin, 2010)</w:t>
      </w:r>
    </w:p>
    <w:p w:rsidR="002A5800" w:rsidRDefault="002A5800" w:rsidP="002A5800">
      <w:r>
        <w:t>RTTT’s focus on teacher accountability has also drawn attention to a number of long-ignored labor issues in education and has had a major impact on the relationship between the Democratic Party and the two major teachers’ unions.</w:t>
      </w:r>
    </w:p>
    <w:p w:rsidR="002A5800" w:rsidRDefault="002A5800" w:rsidP="002A5800">
      <w:r>
        <w:rPr>
          <w:rStyle w:val="StyleUnderline"/>
        </w:rPr>
        <w:t>RTTT is empowering new actors and organizations and creating new political alliances</w:t>
      </w:r>
      <w:r>
        <w:t xml:space="preserve">. </w:t>
      </w:r>
      <w:r>
        <w:rPr>
          <w:rStyle w:val="StyleUnderline"/>
        </w:rPr>
        <w:t>One of the most interesting and effective elements in RTTT’s design was how it selectively empowered institutions that are more reform oriented</w:t>
      </w:r>
      <w:r>
        <w:t xml:space="preserve">. At the state level, legislatures tend to be unduly influenced by narrow special interests and have been slow to embrace the kind of reforms the Obama administration advocated. However, RTTT put governors and chief state school officers—who are generally more inclined to endorse systemic school reforms irrespective of party affiliation—in charge of drafting state applications. By empowering these “education executives,” </w:t>
      </w:r>
      <w:r>
        <w:rPr>
          <w:rStyle w:val="StyleUnderline"/>
        </w:rPr>
        <w:t>RTTT may be speeding up</w:t>
      </w:r>
      <w:r>
        <w:t xml:space="preserve"> what political scientist Jeffrey Henig (2009) calls “the end of </w:t>
      </w:r>
      <w:r>
        <w:rPr>
          <w:rStyle w:val="StyleUnderline"/>
        </w:rPr>
        <w:t>educational exceptionalism</w:t>
      </w:r>
      <w:r>
        <w:t xml:space="preserve">” </w:t>
      </w:r>
      <w:r>
        <w:rPr>
          <w:rStyle w:val="StyleUnderline"/>
        </w:rPr>
        <w:t>and bringing school reform debates back into mainstream politics.</w:t>
      </w:r>
      <w:r>
        <w:t xml:space="preserve"> One of the most important long-term effects of </w:t>
      </w:r>
      <w:r>
        <w:rPr>
          <w:rStyle w:val="StyleUnderline"/>
        </w:rPr>
        <w:t>RTTT will</w:t>
      </w:r>
      <w:r>
        <w:t xml:space="preserve"> thus likely be continuing the </w:t>
      </w:r>
      <w:r>
        <w:rPr>
          <w:rStyle w:val="StyleUnderline"/>
        </w:rPr>
        <w:t>trend toward greater centralization of education responsibility and policy making at the state level and, in particular, greater involvement of governors in school reform</w:t>
      </w:r>
      <w:r>
        <w:t xml:space="preserve"> (Fusarelli &amp; Cooper, 2009; Malen, 2003).</w:t>
      </w:r>
    </w:p>
    <w:p w:rsidR="002A5800" w:rsidRDefault="002A5800" w:rsidP="002A5800">
      <w:r>
        <w:rPr>
          <w:rStyle w:val="StyleUnderline"/>
        </w:rPr>
        <w:t>RTTT has also galvanized a variety of private-sector actors on behalf of reform: foundations</w:t>
      </w:r>
      <w:r>
        <w:t xml:space="preserve"> (particularly the Bill and Melinda Gates Foundation), </w:t>
      </w:r>
      <w:r>
        <w:rPr>
          <w:rStyle w:val="StyleUnderline"/>
        </w:rPr>
        <w:t>think tanks</w:t>
      </w:r>
      <w:r>
        <w:t xml:space="preserve"> (Center for American Progress), </w:t>
      </w:r>
      <w:r>
        <w:rPr>
          <w:rStyle w:val="StyleUnderline"/>
        </w:rPr>
        <w:t xml:space="preserve">and private philanthropists </w:t>
      </w:r>
      <w:r>
        <w:t xml:space="preserve">(Marc Zuckerberg) </w:t>
      </w:r>
      <w:r>
        <w:rPr>
          <w:rStyle w:val="StyleUnderline"/>
        </w:rPr>
        <w:t>are using private dollars and expertise to support and extend federal RTTT reform efforts</w:t>
      </w:r>
      <w:r>
        <w:t>. One such organization—the Policy Innovators in Education network—chronicled the ways in which “</w:t>
      </w:r>
      <w:r>
        <w:rPr>
          <w:rStyle w:val="StyleUnderline"/>
        </w:rPr>
        <w:t>the competition spurred dramatic shifts in political will” and “created tremendous pressure on states to develop bold plans for school reform</w:t>
      </w:r>
      <w:r>
        <w:t xml:space="preserve">” (Colvin &amp; Suzanne, 2010). </w:t>
      </w:r>
      <w:r>
        <w:rPr>
          <w:rStyle w:val="StyleUnderline"/>
        </w:rPr>
        <w:t>Federal grant competitions like RTTT and I3 can benefit private entrepreneurs in helping to build and sustain a political coalition</w:t>
      </w:r>
      <w:r>
        <w:t xml:space="preserve"> that is </w:t>
      </w:r>
      <w:r>
        <w:rPr>
          <w:rStyle w:val="StyleUnderline"/>
        </w:rPr>
        <w:t>dependent on</w:t>
      </w:r>
      <w:r>
        <w:t>—and inclined to advocate for—</w:t>
      </w:r>
      <w:r>
        <w:rPr>
          <w:rStyle w:val="StyleUnderline"/>
        </w:rPr>
        <w:t xml:space="preserve">a robust federal innovation-oriented role in education. </w:t>
      </w:r>
      <w:r>
        <w:t xml:space="preserve">These “new schools” folks, as they are sometimes called, comprise a broad array of charter school networks (such as the Knowledge is Power Program, Green Dot, Aspire, and SEED), education management organizations (Edison, K12 Inc., and Victory), tutoring providers (Kaplan), and education consultants and service providers (New Teachers for New Schools, Teach for America, and Wireless Generation). As Stephen Brill (2010) has observed, the number, size, and variety of these groups has increased dramatically in the past decade. </w:t>
      </w:r>
      <w:r>
        <w:rPr>
          <w:rStyle w:val="StyleUnderline"/>
        </w:rPr>
        <w:t>RTTT represented a coming-out party of sorts for these groups, and an opportunity for them to</w:t>
      </w:r>
      <w:r>
        <w:rPr>
          <w:rStyle w:val="Emphasis"/>
        </w:rPr>
        <w:t xml:space="preserve"> organize around a new federal vision</w:t>
      </w:r>
      <w:r>
        <w:rPr>
          <w:rStyle w:val="StyleUnderline"/>
        </w:rPr>
        <w:t xml:space="preserve"> of school reform</w:t>
      </w:r>
      <w:r>
        <w:t>.</w:t>
      </w:r>
    </w:p>
    <w:p w:rsidR="002A5800" w:rsidRDefault="002A5800" w:rsidP="002A5800"/>
    <w:p w:rsidR="002A5800" w:rsidRDefault="002A5800" w:rsidP="002A5800">
      <w:pPr>
        <w:pStyle w:val="Heading4"/>
      </w:pPr>
      <w:r>
        <w:t xml:space="preserve">Competition creates a </w:t>
      </w:r>
      <w:r>
        <w:rPr>
          <w:u w:val="single"/>
        </w:rPr>
        <w:t>coalition of the willing</w:t>
      </w:r>
      <w:r>
        <w:t xml:space="preserve"> – states with track records for reform serve as laboratories and are modeled</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RTTT has had a significant impact on the national political discourse around education and pushed many states to enact important policy changes</w:t>
      </w:r>
      <w:r>
        <w:t xml:space="preserve">. Despite its imperfections, </w:t>
      </w:r>
      <w:r>
        <w:rPr>
          <w:rStyle w:val="StyleUnderline"/>
        </w:rPr>
        <w:t>it has clearly generated considerable momentum behind education reform</w:t>
      </w:r>
      <w:r>
        <w:t xml:space="preserve"> in the United States </w:t>
      </w:r>
      <w:r>
        <w:rPr>
          <w:rStyle w:val="StyleUnderline"/>
        </w:rPr>
        <w:t>and pressed states into very public deliberations over thorny education reforms they have long resisted</w:t>
      </w:r>
      <w:r>
        <w:t xml:space="preserve">, such as the adoption of common academic standards and assessments and changing teacher evaluation and tenure. </w:t>
      </w:r>
      <w:r>
        <w:rPr>
          <w:rStyle w:val="StyleUnderline"/>
        </w:rPr>
        <w:t>By pushing these issues into the spotlight, RTTT has spurred new conversations and stirred the political pot around education helping to forge new alliances and creating political cover for reformers in state legislatures.</w:t>
      </w:r>
      <w:r>
        <w:t xml:space="preserve"> </w:t>
      </w:r>
      <w:r>
        <w:rPr>
          <w:rStyle w:val="StyleUnderline"/>
        </w:rPr>
        <w:t>The focus on competition</w:t>
      </w:r>
      <w:r>
        <w:t xml:space="preserve"> has </w:t>
      </w:r>
      <w:r>
        <w:rPr>
          <w:rStyle w:val="StyleUnderline"/>
        </w:rPr>
        <w:t>created a “</w:t>
      </w:r>
      <w:r>
        <w:rPr>
          <w:rStyle w:val="Emphasis"/>
        </w:rPr>
        <w:t>coalition of the willing</w:t>
      </w:r>
      <w:r>
        <w:rPr>
          <w:rStyle w:val="StyleUnderline"/>
        </w:rPr>
        <w:t>” by enlisting states with</w:t>
      </w:r>
      <w:r>
        <w:t xml:space="preserve"> proven </w:t>
      </w:r>
      <w:r>
        <w:rPr>
          <w:rStyle w:val="StyleUnderline"/>
        </w:rPr>
        <w:t>track records of reform or ambitious reform agendas to serve as role models and laboratories for other states.</w:t>
      </w:r>
      <w:r>
        <w:t xml:space="preserve"> The key question is how the federal government can sustain this momentum and the reforms it generates over the long term, particularly when the RTTT competitions end.</w:t>
      </w:r>
    </w:p>
    <w:p w:rsidR="002A5800" w:rsidRDefault="002A5800" w:rsidP="002A5800"/>
    <w:p w:rsidR="002A5800" w:rsidRDefault="002A5800" w:rsidP="002A5800">
      <w:pPr>
        <w:pStyle w:val="Heading4"/>
        <w:rPr>
          <w:u w:val="single"/>
        </w:rPr>
      </w:pPr>
      <w:r>
        <w:t xml:space="preserve">The CP operates under a model of </w:t>
      </w:r>
      <w:r>
        <w:rPr>
          <w:u w:val="single"/>
        </w:rPr>
        <w:t>evidence-based reform</w:t>
      </w:r>
      <w:r>
        <w:t xml:space="preserve"> where beneficiaries have to prove effectiveness and growth – ensures meaningful progress</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9" w:history="1">
        <w:r>
          <w:rPr>
            <w:rStyle w:val="Hyperlink"/>
          </w:rPr>
          <w:t>http://educationdidactique.revues.org/334</w:t>
        </w:r>
      </w:hyperlink>
      <w:r>
        <w:t>) AAB</w:t>
      </w:r>
    </w:p>
    <w:p w:rsidR="002A5800" w:rsidRDefault="002A5800" w:rsidP="002A5800"/>
    <w:p w:rsidR="002A5800" w:rsidRDefault="002A5800" w:rsidP="002A5800">
      <w:r>
        <w:t>Consequences of Evidence-Based Reform</w:t>
      </w:r>
    </w:p>
    <w:p w:rsidR="002A5800" w:rsidRDefault="002A5800" w:rsidP="002A5800">
      <w:pPr>
        <w:rPr>
          <w:rStyle w:val="StyleUnderline"/>
        </w:rPr>
      </w:pPr>
      <w:r>
        <w:t>34</w:t>
      </w:r>
      <w:r>
        <w:rPr>
          <w:rStyle w:val="StyleUnderline"/>
        </w:rPr>
        <w:t xml:space="preserve">The consequences of evidence-based reform would be profound. If government policies began to favor programs with strong evidence, developers including publishers, software developers, university researchers, and entrepreneurs of all kinds would have an incentive to engage in </w:t>
      </w:r>
      <w:r>
        <w:rPr>
          <w:rStyle w:val="Emphasis"/>
        </w:rPr>
        <w:t>serious development and evaluation efforts</w:t>
      </w:r>
      <w:r>
        <w:rPr>
          <w:rStyle w:val="StyleUnderline"/>
        </w:rPr>
        <w:t>.</w:t>
      </w:r>
      <w:r>
        <w:t xml:space="preserve"> </w:t>
      </w:r>
      <w:r>
        <w:rPr>
          <w:rStyle w:val="StyleUnderline"/>
        </w:rPr>
        <w:t xml:space="preserve">Seeing the immediate impact of research and development, policy makers might provide </w:t>
      </w:r>
      <w:r>
        <w:rPr>
          <w:rStyle w:val="Emphasis"/>
        </w:rPr>
        <w:t>substantially greater funding</w:t>
      </w:r>
      <w:r>
        <w:rPr>
          <w:rStyle w:val="StyleUnderline"/>
        </w:rPr>
        <w:t xml:space="preserve"> for these activities</w:t>
      </w:r>
      <w:r>
        <w:t xml:space="preserve">. </w:t>
      </w:r>
      <w:r>
        <w:rPr>
          <w:rStyle w:val="StyleUnderline"/>
        </w:rPr>
        <w:t>Developers would</w:t>
      </w:r>
      <w:r>
        <w:t xml:space="preserve"> have a </w:t>
      </w:r>
      <w:r>
        <w:rPr>
          <w:rStyle w:val="StyleUnderline"/>
        </w:rPr>
        <w:t>reason to invest in more effective innovative strategies, knowing that if they turn out to be effective in rigorous evaluations, they will be successful in the marketplace.</w:t>
      </w:r>
    </w:p>
    <w:p w:rsidR="002A5800" w:rsidRDefault="002A5800" w:rsidP="002A5800">
      <w:r>
        <w:t xml:space="preserve">35Evidence-based </w:t>
      </w:r>
      <w:r>
        <w:rPr>
          <w:rStyle w:val="StyleUnderline"/>
        </w:rPr>
        <w:t>reform would finally apply to education the process that led to dramatic developments in medicine, agriculture, and technology in the 20th century</w:t>
      </w:r>
      <w:r>
        <w:t>, where every solution that meets evidence standards supersedes less effective products, and a vast research and development enterprise works to improve on the best we have available today. Our experience with cooperative learning, Success for All, and other comprehensive reform models show what such an enterprise might look like, but similar initiatives need to be support in all subjects, all grade levels, and for all types of educational outcomes.</w:t>
      </w:r>
    </w:p>
    <w:p w:rsidR="002A5800" w:rsidRDefault="002A5800" w:rsidP="002A5800">
      <w:r>
        <w:rPr>
          <w:rStyle w:val="StyleUnderline"/>
        </w:rPr>
        <w:t>36The winners in this would be millions of children, especially those who are least well served by the current system, the teachers who yearn for more effective tools to help them do their job well, and society as a whole, which would come to expect progress in education as confidently as it currently expects progress in other fields</w:t>
      </w:r>
      <w:r>
        <w:t xml:space="preserve">. </w:t>
      </w:r>
      <w:r>
        <w:rPr>
          <w:rStyle w:val="StyleUnderline"/>
        </w:rPr>
        <w:t>Education research would gain the respect and the resources it has never had</w:t>
      </w:r>
      <w:r>
        <w:t xml:space="preserve">. Even the </w:t>
      </w:r>
      <w:r>
        <w:rPr>
          <w:rStyle w:val="StyleUnderline"/>
        </w:rPr>
        <w:t>publishing companies that currently rely on marketing would benefit</w:t>
      </w:r>
      <w:r>
        <w:t xml:space="preserve"> if they embrace innovation, </w:t>
      </w:r>
      <w:r>
        <w:rPr>
          <w:rStyle w:val="StyleUnderline"/>
        </w:rPr>
        <w:t>as they would have the resources to do the necessary research and development</w:t>
      </w:r>
      <w:r>
        <w:t>, just as large drug companies benefit from evidence-based practice in medicine.</w:t>
      </w:r>
    </w:p>
    <w:p w:rsidR="002A5800" w:rsidRDefault="002A5800" w:rsidP="002A5800">
      <w:r>
        <w:t xml:space="preserve">37Recent developments in research and policy make it possible to finally put education on the road to genuine reform. The experience of cooperative learning, Success for All, and comprehensive school reform show that </w:t>
      </w:r>
      <w:r>
        <w:rPr>
          <w:rStyle w:val="StyleUnderline"/>
        </w:rPr>
        <w:t>under the right conditions, proven, effective models of school and classroom reform can be developed, rigorously evaluated, and disseminated, benefitting hundreds of thousands of children.</w:t>
      </w:r>
      <w:r>
        <w:t xml:space="preserve"> It remains for policymakers and our profession to take the necessary steps.</w:t>
      </w:r>
    </w:p>
    <w:p w:rsidR="002A5800" w:rsidRDefault="002A5800" w:rsidP="002A5800"/>
    <w:p w:rsidR="002A5800" w:rsidRDefault="002A5800" w:rsidP="002A5800"/>
    <w:p w:rsidR="002A5800" w:rsidRDefault="002A5800" w:rsidP="002A5800">
      <w:pPr>
        <w:pStyle w:val="Heading4"/>
        <w:rPr>
          <w:sz w:val="26"/>
          <w:u w:val="single"/>
        </w:rPr>
      </w:pPr>
      <w:r>
        <w:t xml:space="preserve">Competitive grant programs spur diffusion of </w:t>
      </w:r>
      <w:r>
        <w:rPr>
          <w:u w:val="single"/>
        </w:rPr>
        <w:t>best practices</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(Julie Kirsten Meredith, “State policy diffusion and Race to the Top: The impact of federal competitive grants on state policymaking”, Accessed on ProQuest. https://search.proquest.com/openview/88381ffcebc95268f7c955f994497a5e/1?pq-origsite=gscholar&amp;cbl=18750&amp;diss=y)//ET</w:t>
      </w:r>
    </w:p>
    <w:p w:rsidR="002A5800" w:rsidRDefault="002A5800" w:rsidP="002A5800">
      <w:r>
        <w:rPr>
          <w:rStyle w:val="StyleUnderline"/>
        </w:rPr>
        <w:t>Increasing federal attention to policy areas that have historically been the domains of states suggests that we may see increasingly rapid</w:t>
      </w:r>
      <w:r>
        <w:t xml:space="preserve"> and complex </w:t>
      </w:r>
      <w:r>
        <w:rPr>
          <w:rStyle w:val="StyleUnderline"/>
        </w:rPr>
        <w:t>diffusion</w:t>
      </w:r>
      <w:r>
        <w:t xml:space="preserve"> of state policy. However, much of the diffusion literature examines the spread of policies across states over many years, if not decades. </w:t>
      </w:r>
      <w:r>
        <w:rPr>
          <w:rStyle w:val="StyleUnderline"/>
        </w:rPr>
        <w:t>Attention from the federal government</w:t>
      </w:r>
      <w:r>
        <w:t xml:space="preserve"> has the potential to put policy areas and ideas on states’ agendas, and policy pressures, or</w:t>
      </w:r>
      <w:r>
        <w:rPr>
          <w:rStyle w:val="StyleUnderline"/>
        </w:rPr>
        <w:t>, in the case of RTTT, incentives</w:t>
      </w:r>
      <w:r>
        <w:t xml:space="preserve">, </w:t>
      </w:r>
      <w:r>
        <w:rPr>
          <w:rStyle w:val="Emphasis"/>
        </w:rPr>
        <w:t>can lead states to rapidly adopt similar policies</w:t>
      </w:r>
      <w:r>
        <w:t xml:space="preserve">. </w:t>
      </w:r>
      <w:r>
        <w:rPr>
          <w:rStyle w:val="StyleUnderline"/>
        </w:rPr>
        <w:t xml:space="preserve">The small segment of state diffusion literature that has examined vertical diffusion processes has noted the rapid diffusion of policies when federal preferences are clear and unambiguous. </w:t>
      </w:r>
      <w:r>
        <w:t xml:space="preserve">Additionally, </w:t>
      </w:r>
      <w:r>
        <w:rPr>
          <w:rStyle w:val="Emphasis"/>
        </w:rPr>
        <w:t xml:space="preserve">the means of communication and the rapid dissemination of information </w:t>
      </w:r>
      <w:r>
        <w:rPr>
          <w:rStyle w:val="StyleUnderline"/>
        </w:rPr>
        <w:t>across states has allowed policymakers to learn from other states more quickly</w:t>
      </w:r>
      <w:r>
        <w:rPr>
          <w:rStyle w:val="Emphasis"/>
        </w:rPr>
        <w:t xml:space="preserve">, </w:t>
      </w:r>
      <w:r>
        <w:rPr>
          <w:rStyle w:val="StyleUnderline"/>
        </w:rPr>
        <w:t>which will most likely influence the speed with which policies diffuse.</w:t>
      </w:r>
      <w:r>
        <w:t xml:space="preserve"> The</w:t>
      </w:r>
      <w:r>
        <w:rPr>
          <w:rStyle w:val="StyleUnderline"/>
        </w:rPr>
        <w:t xml:space="preserve"> acceleration of diffusion processes, the influence of isomorphic pressures to conform to the policies of other states, and the influence of federal pressure given states’ contexts and characteristics may necessitate considering more </w:t>
      </w:r>
      <w:r>
        <w:t xml:space="preserve">complex forms of the dependent variable, beyond dichotomous or event count </w:t>
      </w:r>
      <w:r>
        <w:rPr>
          <w:rStyle w:val="StyleUnderline"/>
        </w:rPr>
        <w:t>representations</w:t>
      </w:r>
      <w:r>
        <w:t xml:space="preserve">. </w:t>
      </w:r>
    </w:p>
    <w:p w:rsidR="002A5800" w:rsidRDefault="002A5800" w:rsidP="002A5800">
      <w:pPr>
        <w:pStyle w:val="Heading2"/>
        <w:rPr>
          <w:sz w:val="44"/>
        </w:rPr>
      </w:pPr>
      <w:r>
        <w:t>Aff specific solvency</w:t>
      </w:r>
    </w:p>
    <w:p w:rsidR="002A5800" w:rsidRDefault="002A5800" w:rsidP="002A5800">
      <w:pPr>
        <w:pStyle w:val="Heading3"/>
      </w:pPr>
      <w:r>
        <w:t>2NC CTE solvency</w:t>
      </w:r>
    </w:p>
    <w:p w:rsidR="002A5800" w:rsidRDefault="002A5800" w:rsidP="002A5800">
      <w:pPr>
        <w:pStyle w:val="Heading4"/>
      </w:pPr>
      <w:r>
        <w:t>Competitive grants for CTE are key to student and teacher buy in --- increased credibility</w:t>
      </w:r>
    </w:p>
    <w:p w:rsidR="002A5800" w:rsidRDefault="002A5800" w:rsidP="002A5800">
      <w:pPr>
        <w:rPr>
          <w:rStyle w:val="Style13ptBold"/>
          <w:b w:val="0"/>
          <w:sz w:val="22"/>
        </w:rPr>
      </w:pPr>
      <w:r>
        <w:rPr>
          <w:rStyle w:val="Style13ptBold"/>
        </w:rPr>
        <w:t xml:space="preserve">NACTE 2014 </w:t>
      </w:r>
      <w:r>
        <w:rPr>
          <w:rStyle w:val="Style13ptBold"/>
          <w:b w:val="0"/>
          <w:sz w:val="22"/>
        </w:rPr>
        <w:t>--- Independent Advisory Panel of the National Assessment of Career and Technical Education. (September 2014, “Putting “Career” in “College and Career Ready””, https://www2.ed.gov/rschstat/eval/sectech/nacte/career-technical-education/independent-advisory-panel-report.pdf)//ET</w:t>
      </w:r>
    </w:p>
    <w:p w:rsidR="002A5800" w:rsidRDefault="002A5800" w:rsidP="002A5800">
      <w:pPr>
        <w:rPr>
          <w:rStyle w:val="StyleUnderline"/>
        </w:rPr>
      </w:pPr>
      <w:r>
        <w:rPr>
          <w:rStyle w:val="StyleUnderline"/>
        </w:rPr>
        <w:t>The development of CTE has proceeded largely independently of these education reform</w:t>
      </w:r>
      <w:r>
        <w:t xml:space="preserve">s. </w:t>
      </w:r>
      <w:r>
        <w:rPr>
          <w:rStyle w:val="StyleUnderline"/>
        </w:rPr>
        <w:t>CTE is not reflected in prominent education reforms</w:t>
      </w:r>
      <w:r>
        <w:t xml:space="preserve"> such as the No Child Left Behind Act of 2001 (NCLB), </w:t>
      </w:r>
      <w:r>
        <w:rPr>
          <w:rStyle w:val="Emphasis"/>
        </w:rPr>
        <w:t>nor has CTE featured significantly in the more recent turn to competitive grants</w:t>
      </w:r>
      <w:r>
        <w:t xml:space="preserve"> </w:t>
      </w:r>
      <w:r>
        <w:rPr>
          <w:rStyle w:val="StyleUnderline"/>
        </w:rPr>
        <w:t>such as Race to the Top or the Investing in Innovation fund</w:t>
      </w:r>
      <w:r>
        <w:t>—</w:t>
      </w:r>
      <w:r>
        <w:rPr>
          <w:rStyle w:val="Emphasis"/>
        </w:rPr>
        <w:t>despite the focus on college and career readines</w:t>
      </w:r>
      <w:r>
        <w:rPr>
          <w:rStyle w:val="StyleUnderline"/>
        </w:rPr>
        <w:t>s as a central theme of Race to the Top. Instead, policymakers continue to address CTE as a separate, discrete area of education with its own funding, evaluation, and accountability rules.</w:t>
      </w:r>
      <w:r>
        <w:t xml:space="preserve"> </w:t>
      </w:r>
      <w:r>
        <w:rPr>
          <w:rStyle w:val="StyleUnderline"/>
        </w:rPr>
        <w:t>Rather than protecting or strengthening CTE</w:t>
      </w:r>
      <w:r>
        <w:t xml:space="preserve">, </w:t>
      </w:r>
      <w:r>
        <w:rPr>
          <w:rStyle w:val="Emphasis"/>
        </w:rPr>
        <w:t xml:space="preserve">this arrangement has isolated CTE from mainstream education reform. </w:t>
      </w:r>
      <w:r>
        <w:t xml:space="preserve">For example, </w:t>
      </w:r>
      <w:r>
        <w:rPr>
          <w:rStyle w:val="StyleUnderline"/>
        </w:rPr>
        <w:t>having separate accountability measures</w:t>
      </w:r>
      <w:r>
        <w:t xml:space="preserve"> for CTE </w:t>
      </w:r>
      <w:r>
        <w:rPr>
          <w:rStyle w:val="StyleUnderline"/>
        </w:rPr>
        <w:t xml:space="preserve">has reinforced the </w:t>
      </w:r>
      <w:r>
        <w:rPr>
          <w:rStyle w:val="Emphasis"/>
        </w:rPr>
        <w:t>perception of CTE as subordinate</w:t>
      </w:r>
      <w:r>
        <w:rPr>
          <w:rStyle w:val="StyleUnderline"/>
        </w:rPr>
        <w:t xml:space="preserve"> to mainstream reform. Including test scores in accountability for secondary CTE programs might have appeared as a move toward integrating CTE into broader reform efforts, but in practice it made little difference because tests required under NCLB usually occur prior to students’ exposure to CTE courses.</w:t>
      </w:r>
      <w:r>
        <w:t xml:space="preserve"> And while the acronym CTE, with its explicit focus on career education, suggests that CTE should be a central strategy in pursuing college and career readiness, </w:t>
      </w:r>
      <w:r>
        <w:rPr>
          <w:rStyle w:val="Emphasis"/>
        </w:rPr>
        <w:t>in practice</w:t>
      </w:r>
      <w:r>
        <w:t xml:space="preserve">, exemplary </w:t>
      </w:r>
      <w:r>
        <w:rPr>
          <w:rStyle w:val="StyleUnderline"/>
        </w:rPr>
        <w:t>CTE programs are seen as exceptions to mainstream options. CTE is still perceived by many as an alternative to rigorous academics—a separate track for students who are not college bound.</w:t>
      </w:r>
    </w:p>
    <w:p w:rsidR="002A5800" w:rsidRDefault="002A5800" w:rsidP="002A5800">
      <w:pPr>
        <w:pStyle w:val="Heading4"/>
        <w:rPr>
          <w:sz w:val="26"/>
        </w:rPr>
      </w:pPr>
      <w:r>
        <w:t>CP builds on program initiated by Obama administration – provides individual counseling and job exploration decisions for the best outcomes</w:t>
      </w:r>
    </w:p>
    <w:p w:rsidR="002A5800" w:rsidRDefault="002A5800" w:rsidP="002A5800">
      <w:r>
        <w:rPr>
          <w:rStyle w:val="Style13ptBold"/>
        </w:rPr>
        <w:t>Manno 13</w:t>
      </w:r>
      <w:r>
        <w:t xml:space="preserve"> education writer and researcher,  graduate from Hunter College with her Master's in Education Psychology: Assessment, Research and Evaluation and currently works as a higher education editorial strategist (Michelle, December 9, “Competitive Grants for Career and Technical Education,” </w:t>
      </w:r>
      <w:hyperlink r:id="rId10" w:history="1">
        <w:r>
          <w:rPr>
            <w:rStyle w:val="Hyperlink"/>
          </w:rPr>
          <w:t>https://teach.com/blog/competitive-grants-for-career-and-technical-education/</w:t>
        </w:r>
      </w:hyperlink>
      <w:r>
        <w:t>) AAB</w:t>
      </w:r>
    </w:p>
    <w:p w:rsidR="002A5800" w:rsidRDefault="002A5800" w:rsidP="002A5800"/>
    <w:p w:rsidR="002A5800" w:rsidRDefault="002A5800" w:rsidP="002A5800">
      <w:r>
        <w:t xml:space="preserve">On Tuesday, November 19th, the </w:t>
      </w:r>
      <w:r>
        <w:rPr>
          <w:rStyle w:val="StyleUnderline"/>
        </w:rPr>
        <w:t>Obama administration unveiled details for a plan to host a $100 million grant awarding competition.</w:t>
      </w:r>
      <w:r>
        <w:t xml:space="preserve"> According to Education Week, </w:t>
      </w:r>
      <w:r>
        <w:rPr>
          <w:rStyle w:val="StyleUnderline"/>
        </w:rPr>
        <w:t>the grant money is specifically intended for the preparation of high school students for college and technical careers</w:t>
      </w:r>
      <w:r>
        <w:t>.</w:t>
      </w:r>
    </w:p>
    <w:p w:rsidR="002A5800" w:rsidRDefault="002A5800" w:rsidP="002A5800">
      <w:r>
        <w:t xml:space="preserve">While the grants are similar to past Race to the Top and Investing in Education programs, these </w:t>
      </w:r>
      <w:r>
        <w:rPr>
          <w:rStyle w:val="StyleUnderline"/>
        </w:rPr>
        <w:t>new monies will be provided by and managed by the Department of Labor.</w:t>
      </w:r>
      <w:r>
        <w:t xml:space="preserve"> By collaborating with local universities and businesses, </w:t>
      </w:r>
      <w:r>
        <w:rPr>
          <w:rStyle w:val="StyleUnderline"/>
        </w:rPr>
        <w:t xml:space="preserve">high schools can compete for grants between $2 million and $7 million each. </w:t>
      </w:r>
      <w:r>
        <w:t xml:space="preserve">With 25-40 available </w:t>
      </w:r>
      <w:r>
        <w:rPr>
          <w:rStyle w:val="StyleUnderline"/>
        </w:rPr>
        <w:t>grants, winning schools will need to obtain private matching funds for at least 25 percent of their grant totals</w:t>
      </w:r>
      <w:r>
        <w:t xml:space="preserve">. </w:t>
      </w:r>
      <w:r>
        <w:rPr>
          <w:rStyle w:val="StyleUnderline"/>
        </w:rPr>
        <w:t>The Department of Labor plans on choosing the winners</w:t>
      </w:r>
      <w:r>
        <w:t xml:space="preserve"> early in 2014 so that the grants can be used during the 2014-15 academic year.</w:t>
      </w:r>
    </w:p>
    <w:p w:rsidR="002A5800" w:rsidRDefault="002A5800" w:rsidP="002A5800">
      <w:r>
        <w:t xml:space="preserve">President Obama had mentioned the possibility of this program during his State of the Union speech last February. While the grant monies are highly desirable with the new Common Core Standards, the grant writing process will be strenuous. Schools need to partner with a university, workplace and several other institutions just to be eligible. Originally, the program was to be for $300 million and managed by the Department of Education. Given the current economic climate, </w:t>
      </w:r>
      <w:r>
        <w:rPr>
          <w:rStyle w:val="StyleUnderline"/>
        </w:rPr>
        <w:t>the Department of Education simply did not have the available funds but fortunately, the Department of Labor stepped in.</w:t>
      </w:r>
    </w:p>
    <w:p w:rsidR="002A5800" w:rsidRDefault="002A5800" w:rsidP="002A5800">
      <w:r>
        <w:t xml:space="preserve">According to the White House, the “Youth Career Connect Grants” were created because in order “to compete in today’s global economy, </w:t>
      </w:r>
      <w:r>
        <w:rPr>
          <w:rStyle w:val="StyleUnderline"/>
        </w:rPr>
        <w:t>America’s students need deep knowledge and skills that will prepare them for college and the jobs of the future.</w:t>
      </w:r>
      <w:r>
        <w:t xml:space="preserve"> Yet far</w:t>
      </w:r>
      <w:r>
        <w:rPr>
          <w:rStyle w:val="StyleUnderline"/>
        </w:rPr>
        <w:t xml:space="preserve"> too many of America’s students are not meaningfully engaged or motivated in their academic experience while in high school. Many high school graduates have trouble seeing the connection between their work in school to college and careers—especially in </w:t>
      </w:r>
      <w:r>
        <w:t>the</w:t>
      </w:r>
      <w:r>
        <w:rPr>
          <w:rStyle w:val="StyleUnderline"/>
        </w:rPr>
        <w:t xml:space="preserve"> critically important </w:t>
      </w:r>
      <w:r>
        <w:t>fields of science, technology, engineering, and mathematics (</w:t>
      </w:r>
      <w:r>
        <w:rPr>
          <w:rStyle w:val="StyleUnderline"/>
        </w:rPr>
        <w:t>STEM</w:t>
      </w:r>
      <w:r>
        <w:t xml:space="preserve">). Moreover, </w:t>
      </w:r>
      <w:r>
        <w:rPr>
          <w:rStyle w:val="StyleUnderline"/>
        </w:rPr>
        <w:t>many of America’s international competitors offer students a more rigorous and relevant education in their middle and high school years</w:t>
      </w:r>
      <w:r>
        <w:t xml:space="preserve">.” </w:t>
      </w:r>
      <w:r>
        <w:rPr>
          <w:rStyle w:val="StyleUnderline"/>
        </w:rPr>
        <w:t>In order to compete globally, students need to focus on critical thinking skills, be able to seriously analyze and solve complex problems, work collaboratively with others and utilize current technology efficiently.</w:t>
      </w:r>
      <w:r>
        <w:t xml:space="preserve"> The building of these essential skills requires hands-on work both in and out of the classroom.</w:t>
      </w:r>
    </w:p>
    <w:p w:rsidR="002A5800" w:rsidRDefault="002A5800" w:rsidP="002A5800">
      <w:r>
        <w:rPr>
          <w:rStyle w:val="StyleUnderline"/>
        </w:rPr>
        <w:t>Schools that are interested in being grant recipients must focus their efforts in five key areas:</w:t>
      </w:r>
      <w:r>
        <w:t xml:space="preserve"> “</w:t>
      </w:r>
      <w:r>
        <w:rPr>
          <w:rStyle w:val="StyleUnderline"/>
        </w:rPr>
        <w:t>Integrated Academic and Career-Focused Learning,” “Work-Based Learning and Exposure to the World of Work,” “Robust Employer Engagement,” “Individualized Career and Academic Counseling” and “Integration of Post-Secondary Education and Training</w:t>
      </w:r>
      <w:r>
        <w:t xml:space="preserve">.” </w:t>
      </w:r>
      <w:r>
        <w:rPr>
          <w:rStyle w:val="StyleUnderline"/>
        </w:rPr>
        <w:t xml:space="preserve">Schools must offer </w:t>
      </w:r>
      <w:r>
        <w:rPr>
          <w:rStyle w:val="Emphasis"/>
        </w:rPr>
        <w:t>real work and job exploration experiences</w:t>
      </w:r>
      <w:r>
        <w:rPr>
          <w:rStyle w:val="StyleUnderline"/>
        </w:rPr>
        <w:t xml:space="preserve">, as well as the </w:t>
      </w:r>
      <w:r>
        <w:rPr>
          <w:rStyle w:val="Emphasis"/>
        </w:rPr>
        <w:t>individual support</w:t>
      </w:r>
      <w:r>
        <w:rPr>
          <w:rStyle w:val="StyleUnderline"/>
        </w:rPr>
        <w:t xml:space="preserve"> that students need to be successful. </w:t>
      </w:r>
      <w:r>
        <w:t>Individual support may include mentoring, counseling and opportunities to obtain career certifications that can be used beyond high school.</w:t>
      </w:r>
    </w:p>
    <w:p w:rsidR="002A5800" w:rsidRDefault="002A5800" w:rsidP="002A5800">
      <w:pPr>
        <w:pStyle w:val="Heading3"/>
      </w:pPr>
      <w:r>
        <w:t xml:space="preserve">2NC IDEA solvency </w:t>
      </w:r>
    </w:p>
    <w:p w:rsidR="002A5800" w:rsidRDefault="002A5800" w:rsidP="002A5800">
      <w:pPr>
        <w:pStyle w:val="Heading4"/>
      </w:pPr>
      <w:r>
        <w:t>IDEA formula grants review and data process fails – competitive grants are isolated from those failures</w:t>
      </w:r>
    </w:p>
    <w:p w:rsidR="002A5800" w:rsidRDefault="002A5800" w:rsidP="002A5800">
      <w:r>
        <w:rPr>
          <w:rStyle w:val="Style13ptBold"/>
        </w:rPr>
        <w:t xml:space="preserve">Pasachof 14 </w:t>
      </w:r>
      <w:r>
        <w:rPr>
          <w:rStyle w:val="Style13ptBold"/>
          <w:b w:val="0"/>
        </w:rPr>
        <w:t xml:space="preserve"> --- </w:t>
      </w:r>
      <w:r>
        <w:rPr>
          <w:rStyle w:val="Style13ptBold"/>
          <w:b w:val="0"/>
          <w:sz w:val="22"/>
        </w:rPr>
        <w:t xml:space="preserve">Associate professor at Georgetown University Law. </w:t>
      </w:r>
      <w:r>
        <w:t>(Eloise Pasachof, “Advocates, Federal Agencies, and the Education of Children with Disabilities”, http://scholarship.law.georgetown.edu/facpub/1390/)//ET</w:t>
      </w:r>
    </w:p>
    <w:p w:rsidR="002A5800" w:rsidRDefault="002A5800" w:rsidP="002A5800">
      <w:pPr>
        <w:rPr>
          <w:sz w:val="14"/>
        </w:rPr>
      </w:pPr>
      <w:r>
        <w:rPr>
          <w:sz w:val="14"/>
        </w:rPr>
        <w:t xml:space="preserve">The IDEA consists of three formula grants and a series of smaller competitive grants.33 The </w:t>
      </w:r>
      <w:r>
        <w:rPr>
          <w:rStyle w:val="StyleUnderline"/>
        </w:rPr>
        <w:t xml:space="preserve">IDEA's major grant program, </w:t>
      </w:r>
      <w:r>
        <w:rPr>
          <w:sz w:val="14"/>
        </w:rPr>
        <w:t>often called "</w:t>
      </w:r>
      <w:r>
        <w:rPr>
          <w:rStyle w:val="StyleUnderline"/>
        </w:rPr>
        <w:t xml:space="preserve">Part B" </w:t>
      </w:r>
      <w:r>
        <w:rPr>
          <w:sz w:val="14"/>
        </w:rPr>
        <w:t xml:space="preserve">for its placement in the current version of the IDEA's Public Law,34 </w:t>
      </w:r>
      <w:r>
        <w:rPr>
          <w:rStyle w:val="Emphasis"/>
        </w:rPr>
        <w:t>is a formula grant to states that mandates certain</w:t>
      </w:r>
      <w:r>
        <w:rPr>
          <w:sz w:val="14"/>
        </w:rPr>
        <w:t xml:space="preserve"> </w:t>
      </w:r>
      <w:r>
        <w:rPr>
          <w:rStyle w:val="StyleUnderline"/>
        </w:rPr>
        <w:t>substantive entitlements and procedural protections for all children with disabilities</w:t>
      </w:r>
      <w:r>
        <w:rPr>
          <w:sz w:val="14"/>
        </w:rPr>
        <w:t xml:space="preserve"> between the ages of three and twenty-one in exchange for federal financial assistance.35 This is often the only program that people think about when they think about the IDEA, but although it is the largest grant program—in 2012, Congress funded this grant at $11.5 billion,36 second in federal education grants only to Title I37—</w:t>
      </w:r>
      <w:r>
        <w:rPr>
          <w:rStyle w:val="StyleUnderline"/>
        </w:rPr>
        <w:t>it is only one of the IDEA's grant programs. A second formula grant provides a smaller sum of money</w:t>
      </w:r>
      <w:r>
        <w:rPr>
          <w:sz w:val="14"/>
        </w:rPr>
        <w:t xml:space="preserve"> (approximately $372 million in 2012 38 ) for states providing preschool programs for children with disabilities. 39 </w:t>
      </w:r>
      <w:r>
        <w:rPr>
          <w:rStyle w:val="StyleUnderline"/>
        </w:rPr>
        <w:t xml:space="preserve">A third formula grant </w:t>
      </w:r>
      <w:r>
        <w:rPr>
          <w:sz w:val="14"/>
        </w:rPr>
        <w:t xml:space="preserve">(around $442 million in 201240 ) </w:t>
      </w:r>
      <w:r>
        <w:rPr>
          <w:rStyle w:val="StyleUnderline"/>
        </w:rPr>
        <w:t>is directed to state services for infants and toddlers with disabilities.</w:t>
      </w:r>
      <w:r>
        <w:rPr>
          <w:sz w:val="14"/>
        </w:rPr>
        <w:t>41 Finally</w:t>
      </w:r>
      <w:r>
        <w:rPr>
          <w:rStyle w:val="StyleUnderline"/>
        </w:rPr>
        <w:t xml:space="preserve">, a variety of </w:t>
      </w:r>
      <w:r>
        <w:rPr>
          <w:rStyle w:val="Emphasis"/>
        </w:rPr>
        <w:t>smaller competitive grants</w:t>
      </w:r>
      <w:r>
        <w:rPr>
          <w:rStyle w:val="StyleUnderline"/>
        </w:rPr>
        <w:t xml:space="preserve"> provide particular funding streams either to states or to private non-profit entities to develop state personnel, conduct research in special education, staff parent training and information centers, and engage in other general activities</w:t>
      </w:r>
      <w:r>
        <w:rPr>
          <w:sz w:val="14"/>
        </w:rPr>
        <w:t xml:space="preserve"> to improve the education of children with disabilities.42 In 2014, OSEP forecasts awarding funds under twelve such competitive grant programs, ranging in size from $250,000 per awardee to several million dollars per awardee.43 Just over 100 people work in OSEP, all located in the Education Department's headquarters in Washington, D.C.44 OSEP is itself divided into three main offices, all overseen by a Director who reports to the Assistant Secretary at the helm of OSERS.45 The Program Services Group largely works on matters internal to OSEP—for example, developing and overseeing the office's budget, coordinating internal data analysis and reporting, and providing administrative management support.46 The two other offices are outward-facing. One of these offices, </w:t>
      </w:r>
      <w:r>
        <w:rPr>
          <w:rStyle w:val="Emphasis"/>
        </w:rPr>
        <w:t>the Research to Practice Division</w:t>
      </w:r>
      <w:r>
        <w:rPr>
          <w:sz w:val="14"/>
        </w:rPr>
        <w:t xml:space="preserve">, </w:t>
      </w:r>
      <w:r>
        <w:rPr>
          <w:rStyle w:val="StyleUnderline"/>
        </w:rPr>
        <w:t xml:space="preserve">develops and </w:t>
      </w:r>
      <w:r>
        <w:rPr>
          <w:rStyle w:val="Emphasis"/>
        </w:rPr>
        <w:t>oversees</w:t>
      </w:r>
      <w:r>
        <w:rPr>
          <w:rStyle w:val="StyleUnderline"/>
        </w:rPr>
        <w:t xml:space="preserve"> the competitive grants</w:t>
      </w:r>
      <w:r>
        <w:rPr>
          <w:sz w:val="14"/>
        </w:rPr>
        <w:t xml:space="preserve">, dividing its work among three different teams each focused on a different age group of children, as well as a National Initiatives team focused on more widely applicable projects.47 The other outward-facing office, </w:t>
      </w:r>
      <w:r>
        <w:rPr>
          <w:rStyle w:val="StyleUnderline"/>
        </w:rPr>
        <w:t>the Monitoring and State Improvement Planning (MSIP) Division, oversees all matters related to the IDEA's formula grants, including monitoring and providing technical assistance to state grantees.</w:t>
      </w:r>
      <w:r>
        <w:rPr>
          <w:sz w:val="14"/>
        </w:rPr>
        <w:t>48 Because of the central role the formula grants play in special education law, and because advocates need to understand the federal role with respect to the formula grants in order to know how to intervene appropriately, it is worth spelling out in a little more detail what the MSIP Division does</w:t>
      </w:r>
      <w:r>
        <w:rPr>
          <w:rStyle w:val="StyleUnderline"/>
        </w:rPr>
        <w:t>. The IDEA tasks OSEP with monitoring state oversight of school districts' provision of special education services and compliance with the IDEA's procedural requirements.4</w:t>
      </w:r>
      <w:r>
        <w:rPr>
          <w:sz w:val="14"/>
        </w:rPr>
        <w:t xml:space="preserve">9 OSEP's MSIP Division conducts this monitoring in several ways, including through periodic onsite visits, after which OSEP issues a letter to each state alerting them to any observed problems.50 In addition, the IDEA requires each state to have in place a State Performance Plan approved by OSEP, against which the state must submit an Annual Performance Report for OSEP's review.51 Each year, OSEP reviews all of the information it has about each state, whether gleaned through its monitoring visits, through its review of the Annual Performance Reports, or "any other public information made available,"52 and puts each state into one of four categories: either it "meets the requirements and purposes" of the IDEA, it "needs assistance," it "needs intervention," or it "needs substantial intervention."53 Each category comes with a set of statutorily mandated options for OSEP's enforcement, ranging from the relatively lenient provision of technical assistance to more stringent actions such as requiring the state to engage in a corrective action plan or compliance agreement, withholding or seeking to recover a portion of the state's IDEA funds, referring the matter to the Inspector General for further investigation, or referring the matter to the Department of Justice for litigation.54 In addition to its monitoring and oversight work, the MSIP Division also participates in the formulation of policy and guidance relevant to IDEA implementation.55 For example, OSEP has recently considered what kinds of parental consent requirements should be put in place before an agency may access a parent's public benefits (such as Medicaid) to pay for services required under the IDEA.56 Currently pending is a proposed rule explaining how states should calculate local school districts' financial contributions to satisfy the IDEA's requirement that states and districts maintain their own financial efforts in addition to receiving federal IDEA funds.57 And over the last few years, OSEP has issued non-regulatory guidance documents providing questions and answers on topics such as using the IDEA's dispute resolution procedures, ensuring the accessibility of instructional material, and conducting evaluations and reevaluations for special education services. 58 I have previously argued that </w:t>
      </w:r>
      <w:r>
        <w:rPr>
          <w:rStyle w:val="StyleUnderline"/>
        </w:rPr>
        <w:t xml:space="preserve">Congress ought to authorize OSEP, </w:t>
      </w:r>
      <w:r>
        <w:rPr>
          <w:sz w:val="14"/>
        </w:rPr>
        <w:t xml:space="preserve">through the MSIP Division, </w:t>
      </w:r>
      <w:r>
        <w:rPr>
          <w:rStyle w:val="StyleUnderline"/>
        </w:rPr>
        <w:t>to take a much stronger role in enforcing Part B of the IDEA in order to combat disparities</w:t>
      </w:r>
      <w:r>
        <w:rPr>
          <w:sz w:val="14"/>
        </w:rPr>
        <w:t xml:space="preserve"> in the provision of special education services </w:t>
      </w:r>
      <w:r>
        <w:rPr>
          <w:rStyle w:val="StyleUnderline"/>
        </w:rPr>
        <w:t>between children whose parents have the resources to advocate vigorously and those whose parents do not.</w:t>
      </w:r>
      <w:r>
        <w:rPr>
          <w:sz w:val="14"/>
        </w:rPr>
        <w:t xml:space="preserve"> 59 In particular, I suggested, </w:t>
      </w:r>
      <w:r>
        <w:rPr>
          <w:rStyle w:val="StyleUnderline"/>
        </w:rPr>
        <w:t>Congress ought to provide OSEP with authority to require states to collect more data on the special education and related services offered to children in poverty in comparison to their more financially advantaged peers;60 to require states to conduct investigations into the quality of special education and related services provided to children in poverty, either in the abstract or in comparison to the quality provided to more financially advantaged children;61</w:t>
      </w:r>
      <w:r>
        <w:rPr>
          <w:sz w:val="14"/>
        </w:rPr>
        <w:t xml:space="preserve"> and either </w:t>
      </w:r>
      <w:r>
        <w:rPr>
          <w:rStyle w:val="StyleUnderline"/>
        </w:rPr>
        <w:t>to withhold funds from states permitting its districts to provide worse special education service</w:t>
      </w:r>
      <w:r>
        <w:rPr>
          <w:sz w:val="14"/>
        </w:rPr>
        <w:t xml:space="preserve">s to poor children than to wealthier children, or to provide additional funds to states taking steps to reduce any disparities in services.62 I continue to think </w:t>
      </w:r>
      <w:r>
        <w:rPr>
          <w:rStyle w:val="StyleUnderline"/>
        </w:rPr>
        <w:t>these steps are important</w:t>
      </w:r>
      <w:r>
        <w:rPr>
          <w:sz w:val="14"/>
        </w:rPr>
        <w:t xml:space="preserve"> and hope to see them incorporated into the next reauthorization of the IDEA. </w:t>
      </w:r>
      <w:r>
        <w:rPr>
          <w:rStyle w:val="Emphasis"/>
        </w:rPr>
        <w:t xml:space="preserve">But there is no sign </w:t>
      </w:r>
      <w:r>
        <w:rPr>
          <w:sz w:val="14"/>
        </w:rPr>
        <w:t xml:space="preserve">of IDEA reauthorization on the horizon. The question, then, is how advocates for children with disabilities can better use OSEP to further their goals now. I have two sets of recommendations in this regard, one on the monitoring side and the other on the policy side. </w:t>
      </w:r>
    </w:p>
    <w:p w:rsidR="002A5800" w:rsidRDefault="002A5800" w:rsidP="002A5800">
      <w:pPr>
        <w:pStyle w:val="Heading3"/>
        <w:rPr>
          <w:sz w:val="32"/>
        </w:rPr>
      </w:pPr>
      <w:r>
        <w:t>2NC Title 1 solvency</w:t>
      </w:r>
    </w:p>
    <w:p w:rsidR="002A5800" w:rsidRDefault="002A5800" w:rsidP="002A5800">
      <w:pPr>
        <w:pStyle w:val="Heading4"/>
      </w:pPr>
      <w:r>
        <w:t>Competitive Grants are comparatively better for distributing Title 1 funding</w:t>
      </w:r>
    </w:p>
    <w:p w:rsidR="002A5800" w:rsidRDefault="002A5800" w:rsidP="002A5800">
      <w:r>
        <w:rPr>
          <w:rStyle w:val="Style13ptBold"/>
        </w:rPr>
        <w:t xml:space="preserve">Slavin 14 </w:t>
      </w:r>
      <w:r>
        <w:rPr>
          <w:rStyle w:val="Style13ptBold"/>
          <w:b w:val="0"/>
        </w:rPr>
        <w:t xml:space="preserve">--- </w:t>
      </w:r>
      <w:r>
        <w:rPr>
          <w:rStyle w:val="Style13ptBold"/>
          <w:b w:val="0"/>
          <w:sz w:val="22"/>
        </w:rPr>
        <w:t xml:space="preserve">Director of the Center for Research and Reform in Education at Johns Hopkins University School of Education </w:t>
      </w:r>
      <w:r>
        <w:t>(Robert E. Slavin, 10/23/14, “Promoting Proven Programs in Title I: The Bully Pulpit”, http://www.huffingtonpost.com/robert-e-slavin/promoting-proven-programs_b_6036960.html)//ET</w:t>
      </w:r>
    </w:p>
    <w:p w:rsidR="002A5800" w:rsidRDefault="002A5800" w:rsidP="002A5800">
      <w:pPr>
        <w:rPr>
          <w:rStyle w:val="StyleUnderline"/>
        </w:rPr>
      </w:pPr>
      <w:r>
        <w:rPr>
          <w:rStyle w:val="StyleUnderline"/>
        </w:rPr>
        <w:t>Title I,</w:t>
      </w:r>
      <w:r>
        <w:rPr>
          <w:sz w:val="14"/>
        </w:rPr>
        <w:t xml:space="preserve"> the 800-pound gorilla of federal education policy, </w:t>
      </w:r>
      <w:r>
        <w:rPr>
          <w:rStyle w:val="StyleUnderline"/>
        </w:rPr>
        <w:t>spends $15 billion a year to help high-poverty schools enhance outcomes for their students</w:t>
      </w:r>
      <w:r>
        <w:rPr>
          <w:sz w:val="14"/>
        </w:rPr>
        <w:t xml:space="preserve">. </w:t>
      </w:r>
      <w:r>
        <w:rPr>
          <w:rStyle w:val="StyleUnderline"/>
        </w:rPr>
        <w:t xml:space="preserve">The greatest victory for evidence-based reform would be for the </w:t>
      </w:r>
      <w:r>
        <w:rPr>
          <w:sz w:val="14"/>
        </w:rPr>
        <w:t xml:space="preserve">roughly </w:t>
      </w:r>
      <w:r>
        <w:rPr>
          <w:rStyle w:val="StyleUnderline"/>
        </w:rPr>
        <w:t>51,500 Title I schools to make far greater use of programs known to enhance student learning,</w:t>
      </w:r>
      <w:r>
        <w:rPr>
          <w:sz w:val="14"/>
        </w:rPr>
        <w:t xml:space="preserve"> </w:t>
      </w:r>
      <w:r>
        <w:rPr>
          <w:rStyle w:val="StyleUnderline"/>
        </w:rPr>
        <w:t>benefitting</w:t>
      </w:r>
      <w:r>
        <w:rPr>
          <w:sz w:val="14"/>
        </w:rPr>
        <w:t xml:space="preserve"> millions of </w:t>
      </w:r>
      <w:r>
        <w:rPr>
          <w:rStyle w:val="StyleUnderline"/>
        </w:rPr>
        <w:t xml:space="preserve">at-risk children throughout the U.S. </w:t>
      </w:r>
      <w:r>
        <w:rPr>
          <w:rStyle w:val="Emphasis"/>
        </w:rPr>
        <w:t>Yet because Title I is a formula grant, it is difficult for federal policy to increase use of proven approaches.</w:t>
      </w:r>
      <w:r>
        <w:rPr>
          <w:sz w:val="14"/>
        </w:rPr>
        <w:t xml:space="preserve"> </w:t>
      </w:r>
      <w:r>
        <w:rPr>
          <w:rStyle w:val="Emphasis"/>
        </w:rPr>
        <w:t>Competitive grants can provide preference points for using proven models</w:t>
      </w:r>
      <w:r>
        <w:rPr>
          <w:sz w:val="14"/>
        </w:rPr>
        <w:t xml:space="preserve">, as I’ve argued before, </w:t>
      </w:r>
      <w:r>
        <w:rPr>
          <w:rStyle w:val="StyleUnderline"/>
        </w:rPr>
        <w:t xml:space="preserve">but in formula grants, it is </w:t>
      </w:r>
      <w:r>
        <w:rPr>
          <w:rStyle w:val="Emphasis"/>
        </w:rPr>
        <w:t>more difficult to nudge educational leaders</w:t>
      </w:r>
      <w:r>
        <w:rPr>
          <w:rStyle w:val="StyleUnderline"/>
        </w:rPr>
        <w:t xml:space="preserve"> </w:t>
      </w:r>
      <w:r>
        <w:rPr>
          <w:rStyle w:val="Emphasis"/>
        </w:rPr>
        <w:t>toward</w:t>
      </w:r>
      <w:r>
        <w:rPr>
          <w:rStyle w:val="StyleUnderline"/>
        </w:rPr>
        <w:t xml:space="preserve"> use of </w:t>
      </w:r>
      <w:r>
        <w:rPr>
          <w:rStyle w:val="Emphasis"/>
        </w:rPr>
        <w:t>proven programs</w:t>
      </w:r>
      <w:r>
        <w:rPr>
          <w:rStyle w:val="StyleUnderline"/>
        </w:rPr>
        <w:t>, since they will receive their money as long as they follow the rules.</w:t>
      </w:r>
      <w:r>
        <w:rPr>
          <w:sz w:val="14"/>
        </w:rPr>
        <w:t xml:space="preserve"> One solution to this problem might be to borrow President Theodore Roosevelt’s conception of the presidency as a “bully pulpit.” In other words, even during a time of congressional gridlock, it is possible for the administration to promote the use of proven approaches, even in formula grants, at little or no cost. The first thing the U.S. Department of Education would have to do is to review all the programs in the What Works Clearinghouse according to the simpler, clearer standards in the EDGAR regulations. Someone would then have to prune the resulting lists of programs, identifying programs that meet the EDGAR standards for “strong” and “moderate” levels of evidence to remove programs that no longer exist or that do not have anyone providing training and materials similar to those provided in the successful studies. The remaining programs would represent a good starting list of programs that, if implemented well, would be likely to have positive impacts on student achievement. Department officials could then publicize this list in many ways. Certainly, they could create a web site showing the programs and the evidence behind them and linking to the programs’ web sites. They might sponsor “effective methods fairs” around the U.S. to demonstrate programs available for schools and districts to choose. They might distribute certificates to schools that adopt proven programs and then implement them with fidelity, as certified by the developers. These strategies and others could arouse widespread interest in proven programs, and help school leaders make a wide array of choices of programs appropriate to their needs. If funds became available, the Department might provide modest incentive grants to help schools supplement the start-up costs of proven programs. But even without special incentive funding, schools should be able to make choices from among programs known to be likely to help them succeed with their children, using their existing Title I funds. A creative “bully pulpit” policy might begin a process of expanding use of existing proven programs, encouraging creation and evaluation of new ones, and increasing sophistication in choosing how to spend federal resources. All of this could be accomplished for nearly nothing, while gradually moving the $15 billion in Title I toward more effective uses. Over time, such a policy would also encourage developers and researchers to create and evaluate programs likely to meet EDGAR standards, and it could help build political support for investments in R&amp;D that ultimately result in better outcomes for children on a broad scale. </w:t>
      </w:r>
      <w:r>
        <w:rPr>
          <w:rStyle w:val="StyleUnderline"/>
        </w:rPr>
        <w:t>A “bully pulpit” strategy would still need to be accompanied by policies of providing incentives to adopt proven programs in competitive grants, and with continued support for the R&amp;D pipeline</w:t>
      </w:r>
      <w:r>
        <w:rPr>
          <w:sz w:val="14"/>
        </w:rPr>
        <w:t xml:space="preserve">, such as that provided by Investing in Innovation (i3), the Institute of Education Sciences (IES), and the National Science Foundation (NSF). However, </w:t>
      </w:r>
      <w:r>
        <w:rPr>
          <w:rStyle w:val="StyleUnderline"/>
        </w:rPr>
        <w:t>development and research in education have to</w:t>
      </w:r>
      <w:r>
        <w:rPr>
          <w:sz w:val="14"/>
        </w:rPr>
        <w:t xml:space="preserve"> go beyond R&amp;D; they need to </w:t>
      </w:r>
      <w:r>
        <w:rPr>
          <w:rStyle w:val="StyleUnderline"/>
        </w:rPr>
        <w:t>be seen as a routine, growing part of the world of educational practice and innovation.</w:t>
      </w:r>
    </w:p>
    <w:p w:rsidR="002A5800" w:rsidRDefault="002A5800" w:rsidP="002A5800">
      <w:pPr>
        <w:pStyle w:val="Heading4"/>
        <w:rPr>
          <w:sz w:val="26"/>
        </w:rPr>
      </w:pPr>
      <w:r>
        <w:t xml:space="preserve">CP solves the teacher quality warrants </w:t>
      </w:r>
      <w:r>
        <w:rPr>
          <w:u w:val="single"/>
        </w:rPr>
        <w:t xml:space="preserve">comparitively better than the aff </w:t>
      </w:r>
    </w:p>
    <w:p w:rsidR="002A5800" w:rsidRDefault="002A5800" w:rsidP="002A5800">
      <w:pPr>
        <w:rPr>
          <w:bCs/>
        </w:rPr>
      </w:pPr>
      <w:r>
        <w:rPr>
          <w:rStyle w:val="Style13ptBold"/>
        </w:rPr>
        <w:t xml:space="preserve">Lazarín 10 </w:t>
      </w:r>
      <w:r>
        <w:rPr>
          <w:rStyle w:val="Style13ptBold"/>
          <w:b w:val="0"/>
        </w:rPr>
        <w:t xml:space="preserve">--- </w:t>
      </w:r>
      <w:r>
        <w:rPr>
          <w:rStyle w:val="Style13ptBold"/>
          <w:b w:val="0"/>
          <w:sz w:val="22"/>
        </w:rPr>
        <w:t xml:space="preserve">Associate Director of Education Policy at the Center for American Progress. </w:t>
      </w:r>
      <w:r>
        <w:rPr>
          <w:rStyle w:val="Style13ptBold"/>
          <w:b w:val="0"/>
          <w:sz w:val="18"/>
        </w:rPr>
        <w:t>(</w:t>
      </w:r>
      <w:r>
        <w:rPr>
          <w:rStyle w:val="Style13ptBold"/>
          <w:b w:val="0"/>
          <w:sz w:val="22"/>
        </w:rPr>
        <w:t xml:space="preserve">Melissa, 4/7/10, “Status Quo vs. Innovation”, Center for American Progress. </w:t>
      </w:r>
      <w:hyperlink r:id="rId11" w:history="1">
        <w:r>
          <w:rPr>
            <w:rStyle w:val="Hyperlink"/>
          </w:rPr>
          <w:t>https://www.americanprogress.org/issues/education/reports/2010/04/07/7695/status-quo-vs-innovation/)//ET</w:t>
        </w:r>
      </w:hyperlink>
    </w:p>
    <w:p w:rsidR="002A5800" w:rsidRDefault="002A5800" w:rsidP="002A5800">
      <w:r>
        <w:t>STATUS QUO: Investing in the Teacher and Leader Innovation Fund instead of the Title II formula-grant program will hinder access to effective teachers.</w:t>
      </w:r>
    </w:p>
    <w:p w:rsidR="002A5800" w:rsidRDefault="002A5800" w:rsidP="002A5800">
      <w:r>
        <w:t xml:space="preserve">INNOVATION: </w:t>
      </w:r>
      <w:r>
        <w:rPr>
          <w:rStyle w:val="StyleUnderline"/>
        </w:rPr>
        <w:t>The Teacher and Leader Innovation Fund builds on the existing Teacher Incentive Fund, or TIF, and awards competitive grants to states and districts that are willing to consider fresh, new approaches to recruiting and retaining effective teachers and principals, particularly in high-poverty districts and schools</w:t>
      </w:r>
      <w:r>
        <w:t xml:space="preserve"> where there is the most need. </w:t>
      </w:r>
      <w:r>
        <w:rPr>
          <w:rStyle w:val="StyleUnderline"/>
        </w:rPr>
        <w:t>Evaluations of TIF-supported pay-for-performance programs</w:t>
      </w:r>
      <w:r>
        <w:t>—such as the Mission Possible program in Guilford County, North Carolina, and the Teacher Advancement Program—</w:t>
      </w:r>
      <w:r>
        <w:rPr>
          <w:rStyle w:val="StyleUnderline"/>
        </w:rPr>
        <w:t>have demonstrated positive preliminary outcomes for student achievement.</w:t>
      </w:r>
    </w:p>
    <w:p w:rsidR="002A5800" w:rsidRDefault="002A5800" w:rsidP="002A5800">
      <w:pPr>
        <w:rPr>
          <w:rStyle w:val="Emphasis"/>
        </w:rPr>
      </w:pPr>
      <w:r>
        <w:rPr>
          <w:rStyle w:val="StyleUnderline"/>
        </w:rPr>
        <w:t>There is little evidence that indicates, on the other hand, that Title II has supported activities that improve student learning. Title II supports a wide range of activities, which limits its impact</w:t>
      </w:r>
      <w:r>
        <w:t xml:space="preserve">. And </w:t>
      </w:r>
      <w:r>
        <w:rPr>
          <w:rStyle w:val="StyleUnderline"/>
        </w:rPr>
        <w:t>the activities in which school districts choose to use the majority of Title II dollars</w:t>
      </w:r>
      <w:r>
        <w:t>—</w:t>
      </w:r>
      <w:r>
        <w:rPr>
          <w:rStyle w:val="Emphasis"/>
        </w:rPr>
        <w:t>professional development and class-size reduction</w:t>
      </w:r>
      <w:r>
        <w:t>—</w:t>
      </w:r>
      <w:r>
        <w:rPr>
          <w:rStyle w:val="Emphasis"/>
        </w:rPr>
        <w:t>are not cost effective and lack evidence of effectiveness.</w:t>
      </w:r>
    </w:p>
    <w:p w:rsidR="002A5800" w:rsidRDefault="002A5800" w:rsidP="002A5800">
      <w:pPr>
        <w:rPr>
          <w:rStyle w:val="StyleUnderline"/>
        </w:rPr>
      </w:pPr>
    </w:p>
    <w:p w:rsidR="002A5800" w:rsidRDefault="002A5800" w:rsidP="002A5800">
      <w:pPr>
        <w:pStyle w:val="Heading2"/>
        <w:rPr>
          <w:sz w:val="44"/>
        </w:rPr>
      </w:pPr>
      <w:r>
        <w:t>AT solvency deficits</w:t>
      </w:r>
    </w:p>
    <w:p w:rsidR="002A5800" w:rsidRDefault="002A5800" w:rsidP="002A5800">
      <w:pPr>
        <w:pStyle w:val="Heading3"/>
      </w:pPr>
      <w:r>
        <w:t>AT generic deficits</w:t>
      </w:r>
    </w:p>
    <w:p w:rsidR="002A5800" w:rsidRDefault="002A5800" w:rsidP="002A5800">
      <w:pPr>
        <w:pStyle w:val="Heading4"/>
      </w:pPr>
      <w:r>
        <w:t xml:space="preserve">None of their ev assumes the distinct funding and review mechanism of the cp which avoids all their deficits </w:t>
      </w:r>
    </w:p>
    <w:p w:rsidR="002A5800" w:rsidRDefault="002A5800" w:rsidP="002A5800">
      <w:pPr>
        <w:rPr>
          <w:bCs/>
        </w:rPr>
      </w:pPr>
      <w:r>
        <w:rPr>
          <w:rStyle w:val="Style13ptBold"/>
        </w:rPr>
        <w:t>West 15</w:t>
      </w:r>
      <w:r>
        <w:rPr>
          <w:rStyle w:val="Style13ptBold"/>
          <w:b w:val="0"/>
        </w:rPr>
        <w:t xml:space="preserve"> --- </w:t>
      </w:r>
      <w:r>
        <w:rPr>
          <w:rStyle w:val="Style13ptBold"/>
          <w:b w:val="0"/>
          <w:sz w:val="22"/>
        </w:rPr>
        <w:t>nonresident senior fellow in Economic Studies at Brookings.</w:t>
      </w:r>
      <w:r>
        <w:rPr>
          <w:rStyle w:val="Style13ptBold"/>
        </w:rPr>
        <w:t xml:space="preserve"> </w:t>
      </w:r>
      <w:r>
        <w:rPr>
          <w:rStyle w:val="Style13ptBold"/>
          <w:b w:val="0"/>
          <w:sz w:val="22"/>
        </w:rPr>
        <w:t>(Martin, 2/19/15, “Preserving the federal role in encouraging and evaluating education innovation”, Brookings. https://www.brookings.edu/research/preserving-the-federal-role-in-encouraging-and-evaluating-education-innovation/)//ET</w:t>
      </w:r>
    </w:p>
    <w:p w:rsidR="002A5800" w:rsidRDefault="002A5800" w:rsidP="002A5800">
      <w:pPr>
        <w:rPr>
          <w:rStyle w:val="StyleUnderline"/>
        </w:rPr>
      </w:pPr>
      <w:r>
        <w:rPr>
          <w:sz w:val="14"/>
        </w:rPr>
        <w:t xml:space="preserve">Those bills do not, however, include </w:t>
      </w:r>
      <w:r>
        <w:rPr>
          <w:rStyle w:val="StyleUnderline"/>
        </w:rPr>
        <w:t>the Investing in Innovation fund</w:t>
      </w:r>
      <w:r>
        <w:rPr>
          <w:sz w:val="14"/>
        </w:rPr>
        <w:t xml:space="preserve"> (i3), </w:t>
      </w:r>
      <w:r>
        <w:rPr>
          <w:rStyle w:val="StyleUnderline"/>
        </w:rPr>
        <w:t>the second major competitive grant program created through the stimulus package.</w:t>
      </w:r>
      <w:r>
        <w:rPr>
          <w:sz w:val="14"/>
        </w:rPr>
        <w:t xml:space="preserve"> Initially funded at $650 million, i3 allowed school districts, charter schools, and non-profit organizations working in partnership with one of those entities to apply for grants to support innovative programs aligned with one of four broadly defined federal priorities (e.g., supporting effective teachers and principals or improving the use of data). In other words, i3 was broad in its focus but avoided prescription with respect to the design of the programs eligible for federal support. The origins and implementation of i3 have been ably chronicled by Ron Haskins and Greg Margolis, who present </w:t>
      </w:r>
      <w:r>
        <w:rPr>
          <w:rStyle w:val="StyleUnderline"/>
        </w:rPr>
        <w:t>the program</w:t>
      </w:r>
      <w:r>
        <w:rPr>
          <w:sz w:val="14"/>
        </w:rPr>
        <w:t xml:space="preserve"> as a </w:t>
      </w:r>
      <w:r>
        <w:rPr>
          <w:rStyle w:val="StyleUnderline"/>
        </w:rPr>
        <w:t>cornerstone of the Obama administration’s broader efforts to base spending on social programs on rigorous evidence</w:t>
      </w:r>
      <w:r>
        <w:rPr>
          <w:sz w:val="14"/>
        </w:rPr>
        <w:t xml:space="preserve">. Two specific aspects of the design of i3 are especially noteworthy. First, </w:t>
      </w:r>
      <w:r>
        <w:rPr>
          <w:rStyle w:val="StyleUnderline"/>
        </w:rPr>
        <w:t>the competition used a tiered evidence model to align the amount of funding a program could receive to the strength of the evidence to support its effectiveness</w:t>
      </w:r>
      <w:r>
        <w:rPr>
          <w:sz w:val="14"/>
        </w:rPr>
        <w:t xml:space="preserve">. Second, </w:t>
      </w:r>
      <w:r>
        <w:rPr>
          <w:rStyle w:val="StyleUnderline"/>
        </w:rPr>
        <w:t>grant winners were required to conduct rigorous evaluations and were selected in part based on the quality of their proposed evaluation design.</w:t>
      </w:r>
      <w:r>
        <w:rPr>
          <w:sz w:val="14"/>
        </w:rPr>
        <w:t xml:space="preserve">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 A competitive grant program that includes these design elements need not be called i3. Indeed, it need not be drafted as a standalone program at all. The </w:t>
      </w:r>
      <w:r>
        <w:rPr>
          <w:rStyle w:val="StyleUnderline"/>
        </w:rPr>
        <w:t>Coalition for Evidence-Based Policy</w:t>
      </w:r>
      <w:r>
        <w:rPr>
          <w:sz w:val="14"/>
        </w:rPr>
        <w:t xml:space="preserve"> </w:t>
      </w:r>
      <w:r>
        <w:rPr>
          <w:rStyle w:val="StyleUnderline"/>
        </w:rPr>
        <w:t>has proposed language that would simply allow the Department of Education to reserve up to one percent of funding of all ESEA programs</w:t>
      </w:r>
      <w:r>
        <w:rPr>
          <w:sz w:val="14"/>
        </w:rPr>
        <w:t xml:space="preserve"> (except Title I) </w:t>
      </w:r>
      <w:r>
        <w:rPr>
          <w:rStyle w:val="StyleUnderline"/>
        </w:rPr>
        <w:t>to award grants for innovation and research, with grant amounts based on the tiered evidence model used in i3. The proposal is modeled on the Small Business Innovation Research program under which 11 federal agencies since 1982 have set aside a small percentage of their budgets to award grants to small companies engaged in the development</w:t>
      </w:r>
      <w:r>
        <w:rPr>
          <w:sz w:val="14"/>
        </w:rPr>
        <w:t xml:space="preserve"> and evaluation </w:t>
      </w:r>
      <w:r>
        <w:rPr>
          <w:rStyle w:val="StyleUnderline"/>
        </w:rPr>
        <w:t>of new technologies.</w:t>
      </w:r>
      <w:r>
        <w:rPr>
          <w:sz w:val="14"/>
        </w:rPr>
        <w:t xml:space="preserve"> As the Coalition notes, </w:t>
      </w:r>
      <w:r>
        <w:rPr>
          <w:rStyle w:val="StyleUnderline"/>
        </w:rPr>
        <w:t xml:space="preserve">both the </w:t>
      </w:r>
      <w:r>
        <w:rPr>
          <w:rStyle w:val="Emphasis"/>
        </w:rPr>
        <w:t>G</w:t>
      </w:r>
      <w:r>
        <w:rPr>
          <w:rStyle w:val="StyleUnderline"/>
        </w:rPr>
        <w:t xml:space="preserve">overnment </w:t>
      </w:r>
      <w:r>
        <w:rPr>
          <w:rStyle w:val="Emphasis"/>
        </w:rPr>
        <w:t>A</w:t>
      </w:r>
      <w:r>
        <w:rPr>
          <w:rStyle w:val="StyleUnderline"/>
        </w:rPr>
        <w:t>ccountability</w:t>
      </w:r>
      <w:r>
        <w:rPr>
          <w:rStyle w:val="Emphasis"/>
        </w:rPr>
        <w:t xml:space="preserve"> o</w:t>
      </w:r>
      <w:r>
        <w:rPr>
          <w:rStyle w:val="StyleUnderline"/>
        </w:rPr>
        <w:t xml:space="preserve">ffice and the National Academy of Sciences have offered consistently </w:t>
      </w:r>
      <w:r>
        <w:rPr>
          <w:rStyle w:val="Emphasis"/>
        </w:rPr>
        <w:t>positive assessments of the program’s success</w:t>
      </w:r>
      <w:r>
        <w:rPr>
          <w:sz w:val="14"/>
        </w:rPr>
        <w:t xml:space="preserve">. Importantly, </w:t>
      </w:r>
      <w:r>
        <w:rPr>
          <w:rStyle w:val="StyleUnderline"/>
        </w:rPr>
        <w:t xml:space="preserve">the proposal like SBIR would </w:t>
      </w:r>
      <w:r>
        <w:rPr>
          <w:rStyle w:val="Emphasis"/>
        </w:rPr>
        <w:t>include small businesses as eligible grantees, addressing</w:t>
      </w:r>
      <w:r>
        <w:rPr>
          <w:rStyle w:val="StyleUnderline"/>
        </w:rPr>
        <w:t xml:space="preserve"> a </w:t>
      </w:r>
      <w:r>
        <w:rPr>
          <w:rStyle w:val="Emphasis"/>
        </w:rPr>
        <w:t>shortcoming</w:t>
      </w:r>
      <w:r>
        <w:rPr>
          <w:rStyle w:val="StyleUnderline"/>
        </w:rPr>
        <w:t xml:space="preserve"> of the original i3 program that arguably limited the types of innovations proposed. </w:t>
      </w:r>
      <w:r>
        <w:rPr>
          <w:sz w:val="14"/>
        </w:rPr>
        <w:t xml:space="preserve">The </w:t>
      </w:r>
      <w:r>
        <w:rPr>
          <w:rStyle w:val="StyleUnderline"/>
        </w:rPr>
        <w:t>Coalition’s proposal could be strengthened by giving the Institute of Education Sciences the lead role in assessing the strength of applicants’ evidence of effectiveness</w:t>
      </w:r>
      <w:r>
        <w:rPr>
          <w:sz w:val="14"/>
        </w:rPr>
        <w:t xml:space="preserve"> and in supporting required evaluation activities. The </w:t>
      </w:r>
      <w:r>
        <w:rPr>
          <w:rStyle w:val="StyleUnderline"/>
        </w:rPr>
        <w:t>risk with these competitions when carried out by the Office of the Secretary is that they become politicized</w:t>
      </w:r>
      <w:r>
        <w:rPr>
          <w:sz w:val="14"/>
        </w:rPr>
        <w:t xml:space="preserve">, that they </w:t>
      </w:r>
      <w:r>
        <w:rPr>
          <w:rStyle w:val="StyleUnderline"/>
        </w:rPr>
        <w:t>are judged by review panels without methodological competence, and that they are overseen, once awarded, by career staff in program offices that do not have the background to monitor what is, at root, a program evaluation grant</w:t>
      </w:r>
      <w:r>
        <w:rPr>
          <w:sz w:val="14"/>
        </w:rPr>
        <w:t xml:space="preserve">. </w:t>
      </w:r>
      <w:r>
        <w:rPr>
          <w:rStyle w:val="Emphasis"/>
        </w:rPr>
        <w:t>These</w:t>
      </w:r>
      <w:r>
        <w:rPr>
          <w:sz w:val="14"/>
        </w:rPr>
        <w:t xml:space="preserve"> risks </w:t>
      </w:r>
      <w:r>
        <w:rPr>
          <w:rStyle w:val="Emphasis"/>
        </w:rPr>
        <w:t>could be substantially reduced if the competition were funded as a line item in the IES budget, with statutory language requiring that review panels include both practitioners and researchers. Properly designed competitive grant programs</w:t>
      </w:r>
      <w:r>
        <w:rPr>
          <w:sz w:val="14"/>
        </w:rPr>
        <w:t xml:space="preserve"> </w:t>
      </w:r>
      <w:r>
        <w:rPr>
          <w:rStyle w:val="StyleUnderline"/>
        </w:rPr>
        <w:t>provide an opportunity for Congress to target resources at federal priorities and encourage innovative problem-solving while avoiding federal mandates</w:t>
      </w:r>
      <w:r>
        <w:rPr>
          <w:sz w:val="14"/>
        </w:rPr>
        <w:t xml:space="preserve">. </w:t>
      </w:r>
      <w:r>
        <w:rPr>
          <w:rStyle w:val="StyleUnderline"/>
        </w:rPr>
        <w:t>They should</w:t>
      </w:r>
      <w:r>
        <w:rPr>
          <w:sz w:val="14"/>
        </w:rPr>
        <w:t xml:space="preserve"> avoid prescription and both </w:t>
      </w:r>
      <w:r>
        <w:rPr>
          <w:rStyle w:val="StyleUnderline"/>
        </w:rPr>
        <w:t>reward and produce rigorous evidence</w:t>
      </w:r>
      <w:r>
        <w:rPr>
          <w:sz w:val="14"/>
        </w:rPr>
        <w:t xml:space="preserve">, thus </w:t>
      </w:r>
      <w:r>
        <w:rPr>
          <w:rStyle w:val="StyleUnderline"/>
        </w:rPr>
        <w:t xml:space="preserve">increasing the share of education dollars spent on evidence-based programs </w:t>
      </w:r>
      <w:r>
        <w:rPr>
          <w:sz w:val="14"/>
        </w:rPr>
        <w:t>while at the same time fulf</w:t>
      </w:r>
      <w:r>
        <w:rPr>
          <w:rStyle w:val="StyleUnderline"/>
        </w:rPr>
        <w:t>illing the federal government’s unique responsibility for producing and disseminating high-quality evidence on the best ways to improve American schools.</w:t>
      </w:r>
      <w:r>
        <w:rPr>
          <w:sz w:val="14"/>
        </w:rPr>
        <w:t xml:space="preserve"> The i3 program was a promising step in this direction. </w:t>
      </w:r>
      <w:r>
        <w:rPr>
          <w:rStyle w:val="StyleUnderline"/>
        </w:rPr>
        <w:t>It would be unfortunate if Congress were to miss the opportunity to make something similar a permanent feature of ESEA.</w:t>
      </w:r>
    </w:p>
    <w:p w:rsidR="002A5800" w:rsidRDefault="002A5800" w:rsidP="002A5800">
      <w:pPr>
        <w:pStyle w:val="Heading3"/>
        <w:rPr>
          <w:sz w:val="32"/>
        </w:rPr>
      </w:pPr>
      <w:r>
        <w:t>AT equity deficit</w:t>
      </w:r>
    </w:p>
    <w:p w:rsidR="002A5800" w:rsidRDefault="002A5800" w:rsidP="002A5800">
      <w:pPr>
        <w:pStyle w:val="Heading4"/>
      </w:pPr>
      <w:r>
        <w:t xml:space="preserve">States budgets are </w:t>
      </w:r>
      <w:r>
        <w:rPr>
          <w:u w:val="single"/>
        </w:rPr>
        <w:t xml:space="preserve">cash strapped </w:t>
      </w:r>
      <w:r>
        <w:t xml:space="preserve">and they’ll latch onto </w:t>
      </w:r>
      <w:r>
        <w:rPr>
          <w:u w:val="single"/>
        </w:rPr>
        <w:t xml:space="preserve">any federal education grants </w:t>
      </w:r>
      <w:r>
        <w:t>for help</w:t>
      </w:r>
    </w:p>
    <w:p w:rsidR="002A5800" w:rsidRDefault="002A5800" w:rsidP="002A5800">
      <w:r>
        <w:rPr>
          <w:rStyle w:val="Style13ptBold"/>
        </w:rPr>
        <w:t xml:space="preserve">Lav and Leachman 2017 </w:t>
      </w:r>
      <w:r>
        <w:rPr>
          <w:rStyle w:val="Style13ptBold"/>
          <w:b w:val="0"/>
        </w:rPr>
        <w:t xml:space="preserve">– </w:t>
      </w:r>
      <w:r>
        <w:rPr>
          <w:rStyle w:val="Style13ptBold"/>
          <w:b w:val="0"/>
          <w:sz w:val="22"/>
        </w:rPr>
        <w:t xml:space="preserve">Lav, senior fellow at CBPP. Leachman, director of state fiscal research at CBPP. </w:t>
      </w:r>
      <w:r>
        <w:t>(IRIS J. LAV  and MICHAEL LEACHMAN, 3/13/17, “At Risk: Federal Grants to State and Local Governments”, Center on Budget and Policy Priorities. https://www.cbpp.org/research/state-budget-and-tax/at-risk-federal-grants-to-state-and-local-governments)//ET</w:t>
      </w:r>
    </w:p>
    <w:p w:rsidR="002A5800" w:rsidRDefault="002A5800" w:rsidP="002A5800">
      <w:pPr>
        <w:rPr>
          <w:rStyle w:val="StyleUnderline"/>
        </w:rPr>
      </w:pPr>
      <w:r>
        <w:rPr>
          <w:rStyle w:val="StyleUnderline"/>
        </w:rPr>
        <w:t>Federal funds that go to state and local governments as grants help finance critical programs and services on which residents of every state rely.</w:t>
      </w:r>
      <w:r>
        <w:rPr>
          <w:sz w:val="12"/>
        </w:rPr>
        <w:t xml:space="preserve">[1] </w:t>
      </w:r>
      <w:r>
        <w:rPr>
          <w:rStyle w:val="StyleUnderline"/>
        </w:rPr>
        <w:t xml:space="preserve">These </w:t>
      </w:r>
      <w:r>
        <w:rPr>
          <w:rStyle w:val="Emphasis"/>
        </w:rPr>
        <w:t>grants</w:t>
      </w:r>
      <w:r>
        <w:rPr>
          <w:rStyle w:val="StyleUnderline"/>
        </w:rPr>
        <w:t>,</w:t>
      </w:r>
      <w:r>
        <w:rPr>
          <w:sz w:val="12"/>
        </w:rPr>
        <w:t xml:space="preserve"> and the programs they support, </w:t>
      </w:r>
      <w:r>
        <w:rPr>
          <w:rStyle w:val="Emphasis"/>
        </w:rPr>
        <w:t>are at serious risk of being substantially diminished</w:t>
      </w:r>
      <w:r>
        <w:rPr>
          <w:sz w:val="12"/>
        </w:rPr>
        <w:t xml:space="preserve"> or eliminated, </w:t>
      </w:r>
      <w:r>
        <w:rPr>
          <w:rStyle w:val="StyleUnderline"/>
        </w:rPr>
        <w:t>based on proposals from President Trump and congressional Republicans.</w:t>
      </w:r>
      <w:r>
        <w:rPr>
          <w:sz w:val="12"/>
        </w:rPr>
        <w:t xml:space="preserve"> </w:t>
      </w:r>
      <w:r>
        <w:rPr>
          <w:rStyle w:val="StyleUnderline"/>
        </w:rPr>
        <w:t>These programs are too important</w:t>
      </w:r>
      <w:r>
        <w:rPr>
          <w:sz w:val="12"/>
        </w:rPr>
        <w:t xml:space="preserve">, particularly to low- and moderate-income people, to be considered as available resources that can be cut — either immediately or over time — </w:t>
      </w:r>
      <w:r>
        <w:rPr>
          <w:rStyle w:val="StyleUnderline"/>
        </w:rPr>
        <w:t>to reduce the overall budget</w:t>
      </w:r>
      <w:r>
        <w:rPr>
          <w:sz w:val="12"/>
        </w:rPr>
        <w:t xml:space="preserve">, to pay for greater defense spending, or to finance other Administration priorities such as deep tax cuts for high-income people. </w:t>
      </w:r>
      <w:r>
        <w:rPr>
          <w:rStyle w:val="StyleUnderline"/>
        </w:rPr>
        <w:t>Grants matter to state and local budgets. Federal spending in the form of mandatory and discretionary grants accounts for a large share of state and local government revenues.</w:t>
      </w:r>
      <w:r>
        <w:rPr>
          <w:sz w:val="12"/>
        </w:rPr>
        <w:t xml:space="preserve"> </w:t>
      </w:r>
      <w:r>
        <w:rPr>
          <w:rStyle w:val="Emphasis"/>
        </w:rPr>
        <w:t>Federal grants provide approximately 31 percent of state budgets.</w:t>
      </w:r>
      <w:r>
        <w:rPr>
          <w:sz w:val="12"/>
        </w:rPr>
        <w:t xml:space="preserve"> </w:t>
      </w:r>
      <w:r>
        <w:rPr>
          <w:rStyle w:val="StyleUnderline"/>
        </w:rPr>
        <w:t>Considering state and local budgets together, federal funding provides 22 percent of spending</w:t>
      </w:r>
      <w:r>
        <w:rPr>
          <w:sz w:val="12"/>
        </w:rPr>
        <w:t xml:space="preserve">.[2] The grants support health care, public education, housing, community development, child care, job training, transportation, and clean water, among other programs. </w:t>
      </w:r>
      <w:r>
        <w:rPr>
          <w:rStyle w:val="StyleUnderline"/>
        </w:rPr>
        <w:t xml:space="preserve">Grants are already at </w:t>
      </w:r>
      <w:r>
        <w:rPr>
          <w:rStyle w:val="Emphasis"/>
        </w:rPr>
        <w:t>historically low levels.</w:t>
      </w:r>
      <w:r>
        <w:rPr>
          <w:sz w:val="12"/>
        </w:rPr>
        <w:t xml:space="preserve"> Grants from the mandatory (ongoing) portion of the federal budget for purposes other than Medicaid and the Children’s Health Insurance Program (CHIP) were at a lower share of the economy in 2015, at 0.42 percent of gross domestic product (GDP), than in any year since 1980. Similarly, discretionary (annually appropriated) grants to state and local governments in federal fiscal year 2015 were 1.05 percent of GDP, lower than in all but one year since 1980. If the caps in the 2011 Budget Control Act (BCA), which were lowered by sequestration, remain in place, these grants will likely be cut further. The proposals expected this year to reduce domestic discretionary spending are likely to be in addition to the BCA reductions. </w:t>
      </w:r>
      <w:r>
        <w:rPr>
          <w:rStyle w:val="StyleUnderline"/>
        </w:rPr>
        <w:t xml:space="preserve">Grants are at risk, and </w:t>
      </w:r>
      <w:r>
        <w:rPr>
          <w:rStyle w:val="Emphasis"/>
        </w:rPr>
        <w:t>states cannot absorb the magnitude of the potential cuts</w:t>
      </w:r>
      <w:r>
        <w:rPr>
          <w:rStyle w:val="StyleUnderline"/>
        </w:rPr>
        <w:t xml:space="preserve"> without reducing services</w:t>
      </w:r>
      <w:r>
        <w:rPr>
          <w:sz w:val="12"/>
        </w:rPr>
        <w:t xml:space="preserve">. President Trump and Congress have proposed steep cuts in federal support for programs and services delivered by states and localities. Congressional Republicans are considering proposals that would cap Medicaid funding per beneficiary or under a block grant, as well as end the Affordable Care Act’s Medicaid expansion. These proposals are designed to make deep funding cuts that grow steeply over time, which would force states to limit eligibility or covered services for families, seniors, and people with disabilities now covered by Medicaid. The President’s forthcoming budget is reported to cut non-defense discretionary spending — the source of state and local discretionary grants — by $54 billion, and the 2017 budget that the Republican majority on the House Budget Committee approved last year would have cut $1 trillion out of non-defense discretionary spending over ten years. Grants to state and local governments make up nearly one-third of non-defense discretionary spending, and consequently would be severely reduced under these or similar scenarios. FIGURE 1 Federal Grants Make Up Nearly One-third of State Budgets Federal Grants Provide Large Share of State and Local Revenue Following federal budget convention, the funding for grants to state and local governments comes from two parts of the federal budget: mandatory and discretionary. Combined, these federal grants provide approximately 31 percent of state budgets. (See Figure 1.) Considering state and local budgets together, federal funding provides 22 percent of spending. Mandatory programs are set in ongoing federal law that remains in place until changed. Funding depends on formulas and eligibility requirements set in the law. Mandatory grants to state and local governments totaled $467 billion in federal fiscal year 2016. The vast majority — $385 billion, or 82 percent — was for Medicaid and CHIP. The remainder, $86 billion, funded a number of other programs important to families and children, some of which are described below. </w:t>
      </w:r>
      <w:r>
        <w:rPr>
          <w:rStyle w:val="StyleUnderline"/>
        </w:rPr>
        <w:t xml:space="preserve">Federal spending for </w:t>
      </w:r>
      <w:r>
        <w:rPr>
          <w:rStyle w:val="Emphasis"/>
        </w:rPr>
        <w:t>discretionary programs</w:t>
      </w:r>
      <w:r>
        <w:rPr>
          <w:rStyle w:val="StyleUnderline"/>
        </w:rPr>
        <w:t xml:space="preserve"> is appropriated annually</w:t>
      </w:r>
      <w:r>
        <w:rPr>
          <w:sz w:val="12"/>
        </w:rPr>
        <w:t xml:space="preserve">. </w:t>
      </w:r>
      <w:r>
        <w:rPr>
          <w:rStyle w:val="StyleUnderline"/>
        </w:rPr>
        <w:t>Grants to state and local governments come from the category known as non-defense discretionary programs.</w:t>
      </w:r>
      <w:r>
        <w:rPr>
          <w:sz w:val="12"/>
        </w:rPr>
        <w:t xml:space="preserve"> </w:t>
      </w:r>
      <w:r>
        <w:rPr>
          <w:rStyle w:val="StyleUnderline"/>
        </w:rPr>
        <w:t>Discretionary grants</w:t>
      </w:r>
      <w:r>
        <w:rPr>
          <w:sz w:val="12"/>
        </w:rPr>
        <w:t xml:space="preserve"> to state and local governments </w:t>
      </w:r>
      <w:r>
        <w:rPr>
          <w:rStyle w:val="StyleUnderline"/>
        </w:rPr>
        <w:t>are estimated to have totaled $199 billion in federal fiscal year 2016.</w:t>
      </w:r>
      <w:r>
        <w:rPr>
          <w:sz w:val="12"/>
        </w:rPr>
        <w:t xml:space="preserve"> The largest discretionary grant areas are transportation, including grants for highways, airports, and mass transit; education, including support to improve outcomes for low-income students and students with special needs; and programs to subsidize housing for low-income families and seniors and foster community development. Mandatory Grants to States and Localities Include Critical Low-Income Programs Mandatory grants provide funding for programs of particular importance to low- and moderate-income households, including children, seniors, and people with disabilities. Also known as entitlement programs, their benefits or services are available to anyone who meets their strict eligibility criteria, and funding increases automatically and immediately to respond to increased need. These programs include: Medicaid, which provides health coverage to low-income families and individuals, including children, parents, pregnant women, seniors, and people with disabilities. In general, the federal government picks up a fixed percentage of the cost — 57 percent, on average — although the federal percentage ranges from 50 percent in wealthier states to 75 percent in states with lower per-capita income. (For the Medicaid expansion, however, the federal government pays no less than 90 percent of the cost on a permanent basis). States pay the remainder. Approximately 74 million low-income Americans receive health insurance coverage through Medicaid.[3] Children make up one-half of Medicaid recipients, non-elderly adults are one-quarter, and seniors and people with disabilities another quarter. Three-quarters of non-elderly enrollees are in working families. CHIP, which covers uninsured children up to age 19 in families with incomes too high to qualify for Medicaid. In general, the federal government picks up 70 percent of the cost, on average (although the federal government is currently paying for 88 percent of the cost, on average, through 2019). More than 8 million children were enrolled in CHIP in 2015.[4] Child nutrition programs, which provide breakfast and lunch to low-income students in schools. During fiscal year 2015, some 30 million children ate a school lunch on a typical day, and 14 million children ate a school breakfast.[5] Child support enforcement and family support programs, which provide grants to states and tribes to engage in outreach, referral, case management, and other activities to increase parents’ ability and willingness to support their children. State and local child support agencies and the tribal child support agencies coordinate their work with other state or local programs, including Temporary Assistance for Needy Families (TANF), the Supplemental Nutrition Assistance Program (SNAP, formerly the Food Stamp Program), child welfare, workforce, veterans’, fatherhood, domestic violence, and prisoner re-entry programs. The Office of Child Support Enforcement calculates that every dollar spent resulted in $5.26 in child support collections in 2015.[6] Adoption and Foster Care Program, which helps to provide safe and stable out-of-home care for children until the children are safely returned home, placed permanently with adoptive families, or placed in other permanent arrangements. Funds awarded to states and tribes are available for monthly maintenance payments for the daily care and supervision of eligible children; administrative costs to manage the program; training of staff and foster care providers; recruitment of foster parents; and costs related to the design, implementation, and operation of a state-wide data collection system. Approximately 428,000 children nationwide were in foster care on September 30, 2015.[7] Child Care and Development Block Grant, which provides funds to states to finance high-quality child care for children with very low incomes whose parents work, are training for work, or attend school, and for children with special needs. There is both a mandatory and discretionary portion of this federal funding stream, and states provide matching funds. Together both funding streams provided child care services for 1.4 million children in 870,000 families in June 2016.[8] TANF, through which states provide cash assistance or other services such as child care to poor families with children or help support related programs such as foster care. Social Services Block Grant, which provides flexible funds states may use to support a wide variety of social services activities. The largest categories of expenditures under this grant are for child care, foster care, and special services for people with disabilities.[9] Mandatory Grants Other Than Medicaid and CHIP Already at Low Level Grants to state and local governments from the mandatory portion of the federal budget — other than for Medicaid and CHIP — are at a lower percentage of the economy than when President Reagan left office. In 1980, mandatory grants for purposes other than Medicaid and CHIP were 0.84 percent of GDP. When Reagan left office in 1989, they were 0.50 percent of GDP. By 2015, they were 0.42 percent of GDP — lower than any year since 1980 (rising only slightly to 0.46 percent of GDP in 2016).[10] (See Figure 2.) FIGURE 2 Federal Grants for States and Localities at Historically Low Levels In other words, investments in many programs critical to children and families’ well-being have already decreased. In part, this is because the funding for some of these programs, such as TANF and the Social Services Block Grant, has been either frozen at a nominal level or not increased over time relative to need. Past proposals from congressional Republicans would have further reduced mandatory grants. And now there are proposals from House Republicans that would impose a per capita cap on Medicaid or convert it into a block grant, both of which would result in deep cuts to the program and shift significant costs and risks to states.[11] The history of block grants for housing, health, and social services shows that when social programs are merged into or created as block grants, funding typically contracts </w:t>
      </w:r>
      <w:r>
        <w:rPr>
          <w:sz w:val="12"/>
        </w:rPr>
        <w:softHyphen/>
        <w:t xml:space="preserve">in subsequent years and decades, with the reductions growing over time. For example, the TANF block grant declined 44 percent, in inflation-adjusted terms, between its first year in 1998 and 2017. Funding for the Social Services Block Grant has declined 81 percent since its creation in 1982, adjusted for inflation.[12] A block grant would cap overall federal funding for a state’s Medicaid program, while a per capita cap would cap federal Medicaid funding per beneficiary. In each case, the state would be responsible for all costs above the cap; neither cap would respond to increased needs, as Medicaid now does. For example, under a per capita cap, states would be responsible for bearing the additional costs from faster-than-expected health care cost growth, a public health emergency, or the growing health care needs of aging baby boomers.[13] Under a block grant, states would also be responsible for increased need for Medicaid during recessions. The magnitude of the federal funding cuts and resulting cost-shift to states would likely be substantial. For example, a preliminary estimate of the House Republican proposal to convert Medicaid to a per capita cap would cut federal Medicaid funding by $116 billion over ten years, relative to current law. Such cuts would likely force states to cut eligibility, benefits, and payments to providers in order to operate their programs with so much less funding.[14] Moreover, repealing the Affordable Care Act’s Medicaid expansion, as some congressional Republicans support, would cut funding for the states that have adopted the expansion, requiring states to pay an estimated $253 billion more over ten years to sustain the expansion. At least 11 million people who receive health insurance through the Medicaid expansion would be at risk of losing their coverage and becoming uninsured.[15] Beyond Medicaid, spending on other mandatory programs could be at risk if Congress uses the budget process known as reconciliation to enact tax cuts and seeks to offset them through reduced spending on mandatory programs. The revenue loss from a tax cut in reconciliation — the use of which requires that the package not increase the deficit after ten years — can be offset in only two ways: by raising other taxes or cutting mandatory programs. The tax plan that President Trump issued during the campaign and the House Republican tax plan would both cut taxes deeply, to the benefit of the wealthy. Under the Trump plan, 48 percent of the tax cut would go to households with income over $1 million in 2025.[16] Under the House GOP “A Better Way” plan, nearly all of the tax cuts would go to households with incomes over $1 million in 2025; low- and middle-income households would gain only slightly. Over the next decade, millionaires would receive an estimated $2.6 trillion in tax cuts.[17] Meanwhile, cuts in mandatory programs to pay for the tax cuts would likely fall heavily on low- and middle-income families with children and on seniors. </w:t>
      </w:r>
      <w:r>
        <w:rPr>
          <w:rStyle w:val="StyleUnderline"/>
        </w:rPr>
        <w:t xml:space="preserve">Vital </w:t>
      </w:r>
      <w:r>
        <w:rPr>
          <w:rStyle w:val="Emphasis"/>
        </w:rPr>
        <w:t>Discretionary Grants</w:t>
      </w:r>
      <w:r>
        <w:rPr>
          <w:rStyle w:val="StyleUnderline"/>
        </w:rPr>
        <w:t xml:space="preserve"> to State and Local Governments Also at Risk </w:t>
      </w:r>
      <w:r>
        <w:rPr>
          <w:sz w:val="12"/>
        </w:rPr>
        <w:t xml:space="preserve">Many </w:t>
      </w:r>
      <w:r>
        <w:rPr>
          <w:rStyle w:val="Emphasis"/>
        </w:rPr>
        <w:t xml:space="preserve">discretionary </w:t>
      </w:r>
      <w:r>
        <w:rPr>
          <w:rStyle w:val="StyleUnderline"/>
        </w:rPr>
        <w:t>grants are important to low- and moderate-income families and communities</w:t>
      </w:r>
      <w:r>
        <w:rPr>
          <w:sz w:val="12"/>
        </w:rPr>
        <w:t xml:space="preserve">. (See Figure 3.) </w:t>
      </w:r>
      <w:r>
        <w:rPr>
          <w:rStyle w:val="StyleUnderline"/>
        </w:rPr>
        <w:t xml:space="preserve">These grants must be appropriated every year. Among the programs these discretionary grants support are: </w:t>
      </w:r>
      <w:r>
        <w:rPr>
          <w:rStyle w:val="Emphasis"/>
        </w:rPr>
        <w:t xml:space="preserve">Education </w:t>
      </w:r>
      <w:r>
        <w:rPr>
          <w:sz w:val="12"/>
        </w:rPr>
        <w:t>High-Poverty Schools (</w:t>
      </w:r>
      <w:r>
        <w:rPr>
          <w:rStyle w:val="Emphasis"/>
        </w:rPr>
        <w:t>Title I),</w:t>
      </w:r>
      <w:r>
        <w:rPr>
          <w:rStyle w:val="StyleUnderline"/>
        </w:rPr>
        <w:t xml:space="preserve"> which are grants for schools with high numbers or proportions of disadvantaged children that help such children meet academic standards</w:t>
      </w:r>
      <w:r>
        <w:rPr>
          <w:sz w:val="12"/>
        </w:rPr>
        <w:t xml:space="preserve">. In state fiscal year 2011-12, </w:t>
      </w:r>
      <w:r>
        <w:rPr>
          <w:rStyle w:val="StyleUnderline"/>
        </w:rPr>
        <w:t>Title 1 served more than 18 million children in more than 51,000 schools.[18] Special Education in the schools</w:t>
      </w:r>
      <w:r>
        <w:rPr>
          <w:sz w:val="12"/>
        </w:rPr>
        <w:t xml:space="preserve"> (Individuals With Disabilities Education Act, or IDEA).[19] In 2013-14</w:t>
      </w:r>
      <w:r>
        <w:rPr>
          <w:rStyle w:val="StyleUnderline"/>
        </w:rPr>
        <w:t xml:space="preserve">, </w:t>
      </w:r>
      <w:r>
        <w:rPr>
          <w:rStyle w:val="Emphasis"/>
        </w:rPr>
        <w:t>IDEA</w:t>
      </w:r>
      <w:r>
        <w:rPr>
          <w:rStyle w:val="StyleUnderline"/>
        </w:rPr>
        <w:t xml:space="preserve"> funds served 6.5 million children, representing 12.9 percent of public school enrollment.[20] Other important education programs include preschool programs provided through Head Start, which enrolled 945,000 children in fiscal year 2015;[</w:t>
      </w:r>
      <w:r>
        <w:rPr>
          <w:sz w:val="12"/>
        </w:rPr>
        <w:t>21]</w:t>
      </w:r>
      <w:r>
        <w:rPr>
          <w:rStyle w:val="StyleUnderline"/>
        </w:rPr>
        <w:t xml:space="preserve">programs to improve </w:t>
      </w:r>
      <w:r>
        <w:rPr>
          <w:rStyle w:val="Emphasis"/>
        </w:rPr>
        <w:t>teacher quality</w:t>
      </w:r>
      <w:r>
        <w:rPr>
          <w:rStyle w:val="StyleUnderline"/>
        </w:rPr>
        <w:t xml:space="preserve">; and </w:t>
      </w:r>
      <w:r>
        <w:rPr>
          <w:rStyle w:val="Emphasis"/>
        </w:rPr>
        <w:t>Impact Aid</w:t>
      </w:r>
      <w:r>
        <w:rPr>
          <w:rStyle w:val="StyleUnderline"/>
        </w:rPr>
        <w:t xml:space="preserve">, which provides support to school districts that include parcels of land that are owned by the federal government or that have been removed from the local tax rolls by the federal government, including </w:t>
      </w:r>
      <w:r>
        <w:rPr>
          <w:rStyle w:val="Emphasis"/>
        </w:rPr>
        <w:t>Native American lands.</w:t>
      </w:r>
    </w:p>
    <w:p w:rsidR="002A5800" w:rsidRDefault="002A5800" w:rsidP="002A5800">
      <w:pPr>
        <w:pStyle w:val="Heading4"/>
        <w:rPr>
          <w:sz w:val="26"/>
        </w:rPr>
      </w:pPr>
      <w:r>
        <w:t xml:space="preserve">States </w:t>
      </w:r>
      <w:r>
        <w:rPr>
          <w:u w:val="single"/>
        </w:rPr>
        <w:t>desperately need</w:t>
      </w:r>
      <w:r>
        <w:t xml:space="preserve"> federal education funds – local resources are limited and budget crises hinder adequate funding</w:t>
      </w:r>
    </w:p>
    <w:p w:rsidR="002A5800" w:rsidRDefault="002A5800" w:rsidP="002A5800">
      <w:r>
        <w:rPr>
          <w:rStyle w:val="Style13ptBold"/>
        </w:rPr>
        <w:t>CEF 7/13/17</w:t>
      </w:r>
      <w:r>
        <w:t xml:space="preserve"> (“President Trump’s 2018 Education Budget Affects Learning and Teaching – CEF Releases FY 2018 Budget Analysis,” Committee for Education Funding, </w:t>
      </w:r>
      <w:hyperlink r:id="rId12" w:history="1">
        <w:r>
          <w:rPr>
            <w:rStyle w:val="Hyperlink"/>
          </w:rPr>
          <w:t>https://cef.org/advocacy/presidents-2018-budget/</w:t>
        </w:r>
      </w:hyperlink>
      <w:r>
        <w:t>) AAB</w:t>
      </w:r>
    </w:p>
    <w:p w:rsidR="002A5800" w:rsidRDefault="002A5800" w:rsidP="002A5800"/>
    <w:p w:rsidR="002A5800" w:rsidRDefault="002A5800" w:rsidP="002A5800">
      <w:r>
        <w:rPr>
          <w:rStyle w:val="StyleUnderline"/>
        </w:rPr>
        <w:t>To illustrate the importance of federal education funding and highlight the local impact</w:t>
      </w:r>
      <w:r>
        <w:t xml:space="preserve"> of the President’s proposed cuts, </w:t>
      </w:r>
      <w:r>
        <w:rPr>
          <w:rStyle w:val="StyleUnderline"/>
        </w:rPr>
        <w:t>CEF hosted a panel</w:t>
      </w:r>
      <w:r>
        <w:t xml:space="preserve"> today on Capitol Hill </w:t>
      </w:r>
      <w:r>
        <w:rPr>
          <w:rStyle w:val="StyleUnderline"/>
        </w:rPr>
        <w:t>of education practitioners with experience implementing education programs</w:t>
      </w:r>
      <w:r>
        <w:t xml:space="preserve"> for early childhood education, elementary and secondary education, adult education and workforce training, and postsecondary student aid, as well as an advocate from PTA. Educators shared today the impact the budget would have locally: “Federal support for special education only covers 15 percent of the additional cost of educating students with disabilities, which is far below the 40 percent promised when Congress enacted IDEA (the Individuals with Disabilities Education Act). </w:t>
      </w:r>
      <w:r>
        <w:rPr>
          <w:rStyle w:val="StyleUnderline"/>
        </w:rPr>
        <w:t>Without an increased federal investment, state and local education budgets have to make up the shortfall, which limits their ability to finance other education services.</w:t>
      </w:r>
      <w:r>
        <w:t xml:space="preserve"> We know that </w:t>
      </w:r>
      <w:r>
        <w:rPr>
          <w:rStyle w:val="StyleUnderline"/>
        </w:rPr>
        <w:t>as a result of</w:t>
      </w:r>
      <w:r>
        <w:t xml:space="preserve"> this </w:t>
      </w:r>
      <w:r>
        <w:rPr>
          <w:rStyle w:val="StyleUnderline"/>
        </w:rPr>
        <w:t>shortfall, local and state funds must cover the costs</w:t>
      </w:r>
      <w:r>
        <w:t xml:space="preserve"> of IDEA programming thus </w:t>
      </w:r>
      <w:r>
        <w:rPr>
          <w:rStyle w:val="StyleUnderline"/>
        </w:rPr>
        <w:t>preventing</w:t>
      </w:r>
      <w:r>
        <w:t xml:space="preserve"> LEAs from </w:t>
      </w:r>
      <w:r>
        <w:rPr>
          <w:rStyle w:val="StyleUnderline"/>
        </w:rPr>
        <w:t>expanding in other areas</w:t>
      </w:r>
      <w:r>
        <w:t>, especially early childhood.” – Phyllis Wolfram, Executive Director of Special Programs for Springfield Public Schools, Springfield, MO, and President-Elect, Council of Administrators of Special Education “</w:t>
      </w:r>
      <w:r>
        <w:rPr>
          <w:rStyle w:val="StyleUnderline"/>
        </w:rPr>
        <w:t>Students</w:t>
      </w:r>
      <w:r>
        <w:t xml:space="preserve"> in WV and all of Appalachia </w:t>
      </w:r>
      <w:r>
        <w:rPr>
          <w:rStyle w:val="Emphasis"/>
        </w:rPr>
        <w:t xml:space="preserve">desperately need the funds provided through federal education funding. </w:t>
      </w:r>
      <w:r>
        <w:t xml:space="preserve">Our </w:t>
      </w:r>
      <w:r>
        <w:rPr>
          <w:rStyle w:val="StyleUnderline"/>
        </w:rPr>
        <w:t>local resources are limited due to a low tax base</w:t>
      </w:r>
      <w:r>
        <w:t xml:space="preserve">; and our children’s needs our great. </w:t>
      </w:r>
      <w:r>
        <w:rPr>
          <w:rStyle w:val="StyleUnderline"/>
        </w:rPr>
        <w:t>Federal dollars help</w:t>
      </w:r>
      <w:r>
        <w:t xml:space="preserve"> us provide some of the specialized help we need for these youngsters.” – Deborah Akers, Superintendent, Mercer County Schools, Mercer County, WV “</w:t>
      </w:r>
      <w:r>
        <w:rPr>
          <w:rStyle w:val="StyleUnderline"/>
        </w:rPr>
        <w:t>The President’s budget would impose devastating cuts to important federal financial aid programs</w:t>
      </w:r>
      <w:r>
        <w:t xml:space="preserve"> that allow low-income students to attend college and attain their degrees. These cuts jeopardize the next generation of young workers. In particular, Federal Work-Study and the Federal Perkins Loan assist low- and middle-income students in different ways in their pursuit of a higher education.” – Heather Boutell, Director of Financial Aid, Bellarmine University, Louisville, KY.</w:t>
      </w:r>
    </w:p>
    <w:p w:rsidR="002A5800" w:rsidRDefault="002A5800" w:rsidP="002A5800"/>
    <w:p w:rsidR="002A5800" w:rsidRDefault="002A5800" w:rsidP="002A5800">
      <w:pPr>
        <w:pStyle w:val="Heading4"/>
        <w:rPr>
          <w:sz w:val="26"/>
        </w:rPr>
      </w:pPr>
      <w:r>
        <w:t xml:space="preserve">States are </w:t>
      </w:r>
      <w:r>
        <w:rPr>
          <w:u w:val="single"/>
        </w:rPr>
        <w:t>desperate for cash</w:t>
      </w:r>
      <w:r>
        <w:t xml:space="preserve"> – they’ll do anything</w:t>
      </w:r>
    </w:p>
    <w:p w:rsidR="002A5800" w:rsidRDefault="002A5800" w:rsidP="002A5800">
      <w:r>
        <w:rPr>
          <w:rStyle w:val="Style13ptBold"/>
        </w:rPr>
        <w:t>Edelson 17</w:t>
      </w:r>
      <w:r>
        <w:t xml:space="preserve"> professional investment forecaster, studied economic anthropology at Columbia University (Larry, March 1, “States Desperate for Revenue … And You’re Next,” The Edelson Institute, </w:t>
      </w:r>
      <w:hyperlink r:id="rId13" w:history="1">
        <w:r>
          <w:rPr>
            <w:rStyle w:val="Hyperlink"/>
          </w:rPr>
          <w:t>https://www.edelsoninstitute.com/real-wealth/states-desperate-revenue-youre-next-84063/</w:t>
        </w:r>
      </w:hyperlink>
      <w:r>
        <w:t>) AAB</w:t>
      </w:r>
    </w:p>
    <w:p w:rsidR="002A5800" w:rsidRDefault="002A5800" w:rsidP="002A5800"/>
    <w:p w:rsidR="002A5800" w:rsidRDefault="002A5800" w:rsidP="002A5800">
      <w:r>
        <w:rPr>
          <w:rStyle w:val="StyleUnderline"/>
        </w:rPr>
        <w:t xml:space="preserve">U.S. states are getting </w:t>
      </w:r>
      <w:r>
        <w:rPr>
          <w:rStyle w:val="Emphasis"/>
        </w:rPr>
        <w:t>desperate for cash</w:t>
      </w:r>
      <w:r>
        <w:rPr>
          <w:rStyle w:val="StyleUnderline"/>
        </w:rPr>
        <w:t xml:space="preserve"> in the face of soaring budget deficits.</w:t>
      </w:r>
      <w:r>
        <w:t xml:space="preserve"> And they’re becoming more creative with ways to continue their out-of-control spending habits. Sure, states could go old-school and up their income taxes or enact them to begin with, like Alaska and Wyoming are considering. </w:t>
      </w:r>
      <w:r>
        <w:rPr>
          <w:rStyle w:val="StyleUnderline"/>
        </w:rPr>
        <w:t>But the rubber is really hitting the road as some states in search of funds</w:t>
      </w:r>
      <w:r>
        <w:t xml:space="preserve"> are looking to pump-up user-based taxes, such as gas taxes, sales taxes and use taxes. Here are a few of the latest examples: Alabama taking advantage of law to collect taxes on Internet use. Tennessee, Oklahoma and Indiana angling to raise gasoline taxes to fund road and bridge repairs. Utah lawmakers consider food tax hike. How’d We Get Here? Fiscal analyst Chris Edwards at the Cato Institute noted that </w:t>
      </w:r>
      <w:r>
        <w:rPr>
          <w:rStyle w:val="StyleUnderline"/>
        </w:rPr>
        <w:t xml:space="preserve">state general fund spending soared 32 percent since 2010. </w:t>
      </w:r>
      <w:r>
        <w:t xml:space="preserve">In the meantime, </w:t>
      </w:r>
      <w:r>
        <w:rPr>
          <w:rStyle w:val="StyleUnderline"/>
        </w:rPr>
        <w:t xml:space="preserve">the situation is made worse by … A decline in tax receipts and slower economic growth. Lower oil revenues in key producing states like Alaska, Kansas, Wyoming, Oklahoma and North Dakota. Payback time after years of playing kick-the-can with liabilities. </w:t>
      </w:r>
      <w:r>
        <w:t>But</w:t>
      </w:r>
      <w:r>
        <w:rPr>
          <w:rStyle w:val="StyleUnderline"/>
        </w:rPr>
        <w:t xml:space="preserve"> </w:t>
      </w:r>
      <w:r>
        <w:t xml:space="preserve">what about the pink elephant in the room … the Affordable Care Act. Talk of repealing and replacing Obamacare has states on pins and needles. That’s because the Federal government currently picks up most of the tab. But a larger portion of the funding becomes the state’s problem in the coming years. And that’s why a growing number of state governors – on both sides of the isle – balk at repealing Obamacare without a good substitute. In addition to dropped insurance coverage for millions, an insufficient alternative to Obamacare would destroy state budgets and hurt hospitals. This point was made clear at the National Governors Association’s winter meeting in Washington last week. A presentation by media company Axios described a sample state that expanded Medicaid would lose $635 million in federal funding, a 65 percent decrease. You read that right: A whopping 65 percent hit to the states. Awful! No wonder the long faces after the meeting! Tax Hikes a Temporary Fix </w:t>
      </w:r>
      <w:r>
        <w:rPr>
          <w:rStyle w:val="StyleUnderline"/>
        </w:rPr>
        <w:t>Connecticut and Illinois have already pursued record tax hikes to boost their coffers</w:t>
      </w:r>
      <w:r>
        <w:t xml:space="preserve">. But the result was a falling tax base as top earners fled the state to avoid higher tax bills. </w:t>
      </w:r>
      <w:r>
        <w:rPr>
          <w:rStyle w:val="StyleUnderline"/>
        </w:rPr>
        <w:t>Now, Connecticut faces a $300 million deficit for the 2017–2018 year. That number for Illinois is an eye-popping $8 billion.</w:t>
      </w:r>
      <w:r>
        <w:rPr>
          <w:u w:val="single"/>
        </w:rPr>
        <w:t xml:space="preserve"> </w:t>
      </w:r>
      <w:r>
        <w:rPr>
          <w:rStyle w:val="StyleUnderline"/>
        </w:rPr>
        <w:t xml:space="preserve">Talk about desperation! </w:t>
      </w:r>
      <w:r>
        <w:t xml:space="preserve">I could go on, but you get the point: </w:t>
      </w:r>
      <w:r>
        <w:rPr>
          <w:rStyle w:val="Emphasis"/>
        </w:rPr>
        <w:t>State spending habits are out of control and the federal purse strings are closing.</w:t>
      </w:r>
      <w:r>
        <w:rPr>
          <w:b/>
          <w:iCs/>
          <w:u w:val="single"/>
        </w:rPr>
        <w:t xml:space="preserve"> </w:t>
      </w:r>
      <w:r>
        <w:t xml:space="preserve">This should come as no surprise to my members: I’ve talked frequently about how </w:t>
      </w:r>
      <w:r>
        <w:rPr>
          <w:rStyle w:val="Emphasis"/>
        </w:rPr>
        <w:t>governments facing revenue shortfalls become desperate</w:t>
      </w:r>
      <w:r>
        <w:t xml:space="preserve"> and ultimately turn against the people, stripping away civil liberties and their pocketbooks in the process. </w:t>
      </w:r>
      <w:r>
        <w:rPr>
          <w:rStyle w:val="StyleUnderline"/>
        </w:rPr>
        <w:t>But in difficult times like these, there will always be opportunities.</w:t>
      </w:r>
      <w:r>
        <w:t xml:space="preserve"> I’ve already advised members to begin protecting their wealth with specific investments. Don’t be left behind in these dynamic times: Join the Real Wealth Report now.</w:t>
      </w:r>
    </w:p>
    <w:p w:rsidR="002A5800" w:rsidRDefault="002A5800" w:rsidP="002A5800">
      <w:pPr>
        <w:rPr>
          <w:sz w:val="22"/>
        </w:rPr>
      </w:pPr>
    </w:p>
    <w:p w:rsidR="002A5800" w:rsidRDefault="002A5800" w:rsidP="002A5800">
      <w:pPr>
        <w:pStyle w:val="Heading3"/>
      </w:pPr>
      <w:r>
        <w:t>AT geographic distribution deficit</w:t>
      </w:r>
    </w:p>
    <w:p w:rsidR="002A5800" w:rsidRDefault="002A5800" w:rsidP="002A5800">
      <w:pPr>
        <w:pStyle w:val="Heading4"/>
      </w:pPr>
      <w:r>
        <w:t>New federal programs solve rural access to competitive grant programs</w:t>
      </w:r>
    </w:p>
    <w:p w:rsidR="002A5800" w:rsidRDefault="002A5800" w:rsidP="002A5800">
      <w:r>
        <w:rPr>
          <w:rStyle w:val="Style13ptBold"/>
        </w:rPr>
        <w:t xml:space="preserve">Brenner 16 </w:t>
      </w:r>
      <w:r>
        <w:rPr>
          <w:rStyle w:val="Style13ptBold"/>
          <w:b w:val="0"/>
        </w:rPr>
        <w:t xml:space="preserve">--- </w:t>
      </w:r>
      <w:r>
        <w:rPr>
          <w:rStyle w:val="Style13ptBold"/>
          <w:b w:val="0"/>
          <w:sz w:val="22"/>
        </w:rPr>
        <w:t xml:space="preserve">Professor of Teacher Education </w:t>
      </w:r>
      <w:r>
        <w:t>at Mississippi State University. (Devon Brenner, “Rural Educator Policy Brief: Rural Education and the Every Student Succeeds Act”, http://epubs.library.msstate.edu/index.php/ruraleducator/article/download/336/333)//ET</w:t>
      </w:r>
    </w:p>
    <w:p w:rsidR="002A5800" w:rsidRDefault="002A5800" w:rsidP="002A5800">
      <w:r>
        <w:t xml:space="preserve">In these and other ways, </w:t>
      </w:r>
      <w:r>
        <w:rPr>
          <w:rStyle w:val="StyleUnderline"/>
        </w:rPr>
        <w:t xml:space="preserve">rural education is becoming an increasing </w:t>
      </w:r>
      <w:r>
        <w:rPr>
          <w:rStyle w:val="Emphasis"/>
        </w:rPr>
        <w:t>focus</w:t>
      </w:r>
      <w:r>
        <w:rPr>
          <w:rStyle w:val="StyleUnderline"/>
        </w:rPr>
        <w:t xml:space="preserve"> of federal education legislation</w:t>
      </w:r>
      <w:r>
        <w:t xml:space="preserve">. The </w:t>
      </w:r>
      <w:r>
        <w:rPr>
          <w:rStyle w:val="StyleUnderline"/>
        </w:rPr>
        <w:t xml:space="preserve">Every Student Succeeds Act explicitly addresses rural education through the REAP program, by </w:t>
      </w:r>
      <w:r>
        <w:rPr>
          <w:rStyle w:val="Emphasis"/>
        </w:rPr>
        <w:t>taking steps to ensure geographic distribution in competitive grants</w:t>
      </w:r>
      <w:r>
        <w:t xml:space="preserve">, by </w:t>
      </w:r>
      <w:r>
        <w:rPr>
          <w:rStyle w:val="StyleUnderline"/>
        </w:rPr>
        <w:t xml:space="preserve">requiring states to consider rural LEAs in the development of state plans, and in </w:t>
      </w:r>
      <w:r>
        <w:rPr>
          <w:rStyle w:val="Emphasis"/>
        </w:rPr>
        <w:t>many other ways</w:t>
      </w:r>
      <w:r>
        <w:t>. The mandated report on rural education is intended to provide data about whether these provisions are sufficient for ensuring that federal policy and funding address the needs of rural schools and students and its impact remains to be seen. The major federal legislation that governs special education, higher education, career and technical education, and education research have expired and are expected to be addressed in the near future. Future columns will address these and other policy issues relevant to rural educators and researchers.</w:t>
      </w:r>
    </w:p>
    <w:p w:rsidR="002A5800" w:rsidRDefault="002A5800" w:rsidP="002A5800">
      <w:pPr>
        <w:pStyle w:val="Heading3"/>
        <w:rPr>
          <w:sz w:val="32"/>
        </w:rPr>
      </w:pPr>
      <w:r>
        <w:t>AT no implementation</w:t>
      </w:r>
    </w:p>
    <w:p w:rsidR="002A5800" w:rsidRDefault="002A5800" w:rsidP="002A5800">
      <w:pPr>
        <w:pStyle w:val="Heading4"/>
      </w:pPr>
      <w:r>
        <w:t>Competitive grants are comparatively better --- facilitate flexible and accountable implementation</w:t>
      </w:r>
    </w:p>
    <w:p w:rsidR="002A5800" w:rsidRDefault="002A5800" w:rsidP="002A5800">
      <w:r>
        <w:rPr>
          <w:rStyle w:val="Style13ptBold"/>
        </w:rPr>
        <w:t xml:space="preserve">Manna and Ryan 11 </w:t>
      </w:r>
      <w:r>
        <w:rPr>
          <w:rStyle w:val="Style13ptBold"/>
          <w:b w:val="0"/>
        </w:rPr>
        <w:t xml:space="preserve">--- </w:t>
      </w:r>
      <w:r>
        <w:rPr>
          <w:rStyle w:val="Style13ptBold"/>
          <w:b w:val="0"/>
          <w:sz w:val="22"/>
        </w:rPr>
        <w:t xml:space="preserve">Manna, Department of Government chair at William and Mary College. Ryan, Research Assistant at William and Mary College. </w:t>
      </w:r>
      <w:r>
        <w:t>(Paul Manna and Laura L. Ryan, “Competitive Grants and Educational Federalism: President Obama's Race to the Top Program in Theory and Practice”, The State of American Federalism 2010-2011. Oxford University Press. http://www.jstor.org/stable/23015118)//ET</w:t>
      </w:r>
    </w:p>
    <w:p w:rsidR="002A5800" w:rsidRDefault="002A5800" w:rsidP="002A5800">
      <w:r>
        <w:t xml:space="preserve">Competitive Grants in Theory and Practice </w:t>
      </w:r>
      <w:r>
        <w:rPr>
          <w:rStyle w:val="Emphasis"/>
        </w:rPr>
        <w:t>Distinguishing between competitive and formula grants provides a useful heuristic</w:t>
      </w:r>
      <w:r>
        <w:rPr>
          <w:rStyle w:val="StyleUnderline"/>
        </w:rPr>
        <w:t xml:space="preserve"> for understanding how grant programs intersect with American federalism</w:t>
      </w:r>
      <w:r>
        <w:t xml:space="preserve">. One should remember, though, that variation exists within each type and that policies may embrace both approaches simultaneously. In other words, deciding between formulas or competitions is not an either-or choice for legislators or agency administrators. Collins and Gerber (2008) explore these possible combinations in a theoretical model of grant distribution that examines two dimensions: (i) the methods for identifying grant recipients, and (ii) the methods for distributing funds once recipients are declared. Competitions or formulas may be used at either of these stages, or both, with the resulting combinations implying different policy priorities. We already have noted such combinations in the CDBG, which sends funds to states via formulas and then leaves states much flexibility to administer competitions among the localities that ultimately receive funding (Government Accountability Office 2010). In the case of RTTT, an interesting hybrid emerged that partially reversed the logic of typical designs involving state-administered competitions. In RTTT, states competed for funds and were allowed to keep 50 percent for their own state-level initiatives; for the other 50 percent, federally defined formulas determined the dollar amounts flowing to school districts that had agreed to help the winning states implement their RTTT plans. The reason why we indicate that RTTT only partially rather than fully reversed the CDBG logic was because the size of the winning states' awards depended in part on population size, a common variable used in funding formulas. Due to space limitations, our subsequent analysis focuses on the initial state competition for RTTT funds. We recognize that future researchers could derive insights from examining the amounts received by winning states and the distribution patterns to participating school distri President Obama's embrace of competitive approaches with RTTT raises an obvious question: </w:t>
      </w:r>
      <w:r>
        <w:rPr>
          <w:rStyle w:val="StyleUnderline"/>
        </w:rPr>
        <w:t xml:space="preserve">What are the advantages to using </w:t>
      </w:r>
      <w:r>
        <w:rPr>
          <w:rStyle w:val="Emphasis"/>
        </w:rPr>
        <w:t>competitions rather than formulas to distribute grants?</w:t>
      </w:r>
      <w:r>
        <w:rPr>
          <w:rStyle w:val="StyleUnderline"/>
        </w:rPr>
        <w:t xml:space="preserve"> The literature on intergovernmental grants suggests three potential </w:t>
      </w:r>
      <w:r>
        <w:rPr>
          <w:rStyle w:val="Emphasis"/>
        </w:rPr>
        <w:t>benefits of competitive approaches</w:t>
      </w:r>
      <w:r>
        <w:t xml:space="preserve"> (Derthick 1970; Gilbert and Specht 1974; Beam and Conlan 2002; Collins and Gerber 2008). </w:t>
      </w:r>
      <w:r>
        <w:rPr>
          <w:rStyle w:val="Emphasis"/>
        </w:rPr>
        <w:t>First</w:t>
      </w:r>
      <w:r>
        <w:rPr>
          <w:rStyle w:val="StyleUnderline"/>
        </w:rPr>
        <w:t xml:space="preserve">, competitions help to enhance accountability and minimize agency problems by forcing potential recipients to develop specific plans for their use of funds. The proposal process helps to make recipient interests and capabilities more </w:t>
      </w:r>
      <w:r>
        <w:t xml:space="preserve">(although not perfectly) </w:t>
      </w:r>
      <w:r>
        <w:rPr>
          <w:rStyle w:val="StyleUnderline"/>
        </w:rPr>
        <w:t>transparent</w:t>
      </w:r>
      <w:r>
        <w:t xml:space="preserve">, </w:t>
      </w:r>
      <w:r>
        <w:rPr>
          <w:rStyle w:val="StyleUnderline"/>
        </w:rPr>
        <w:t>which can aid</w:t>
      </w:r>
      <w:r>
        <w:t xml:space="preserve"> </w:t>
      </w:r>
      <w:r>
        <w:rPr>
          <w:rStyle w:val="StyleUnderline"/>
        </w:rPr>
        <w:t>program administrators charged with holding recipients accountable</w:t>
      </w:r>
      <w:r>
        <w:t xml:space="preserve">. </w:t>
      </w:r>
      <w:r>
        <w:rPr>
          <w:rStyle w:val="Emphasis"/>
        </w:rPr>
        <w:t>Second</w:t>
      </w:r>
      <w:r>
        <w:t xml:space="preserve">, </w:t>
      </w:r>
      <w:r>
        <w:rPr>
          <w:rStyle w:val="StyleUnderline"/>
        </w:rPr>
        <w:t>competitions can promote policy innovations as applicants develop initiatives that they believe will meet program requirements and that agency officials will find compelling. Officials overseeing RTTT have repeatedly advanced this argument in describing the program to potential competitors</w:t>
      </w:r>
      <w:r>
        <w:t xml:space="preserve">, other public officials, and the media (U.S. Department of Education 2009). </w:t>
      </w:r>
      <w:r>
        <w:rPr>
          <w:rStyle w:val="Emphasis"/>
        </w:rPr>
        <w:t>Finally</w:t>
      </w:r>
      <w:r>
        <w:t xml:space="preserve">, </w:t>
      </w:r>
      <w:r>
        <w:rPr>
          <w:rStyle w:val="StyleUnderline"/>
        </w:rPr>
        <w:t>executives and managers in government agencies may prefer administering competitive grants due to the flexibility they often create. Competitive programs usually delegate more authority over implementation and program design to agency administrators than programs where distribution occurs by formula</w:t>
      </w:r>
      <w:r>
        <w:t>. The very general description of RTTT in the ARRA illustrates this pattern.</w:t>
      </w:r>
    </w:p>
    <w:p w:rsidR="002A5800" w:rsidRDefault="002A5800" w:rsidP="002A5800">
      <w:pPr>
        <w:rPr>
          <w:sz w:val="22"/>
        </w:rPr>
      </w:pPr>
    </w:p>
    <w:p w:rsidR="002A5800" w:rsidRDefault="002A5800" w:rsidP="002A5800">
      <w:pPr>
        <w:pStyle w:val="Heading3"/>
      </w:pPr>
      <w:r>
        <w:t>AT no local follow through</w:t>
      </w:r>
    </w:p>
    <w:p w:rsidR="002A5800" w:rsidRDefault="002A5800" w:rsidP="002A5800">
      <w:pPr>
        <w:pStyle w:val="Heading4"/>
      </w:pPr>
      <w:r>
        <w:t>Competitive grants are key to implementation and local follow through</w:t>
      </w:r>
    </w:p>
    <w:p w:rsidR="002A5800" w:rsidRDefault="002A5800" w:rsidP="002A5800">
      <w:pPr>
        <w:rPr>
          <w:rStyle w:val="Style13ptBold"/>
          <w:b w:val="0"/>
          <w:sz w:val="22"/>
        </w:rPr>
      </w:pPr>
      <w:r>
        <w:rPr>
          <w:rStyle w:val="Style13ptBold"/>
        </w:rPr>
        <w:t xml:space="preserve">Manna 10 </w:t>
      </w:r>
      <w:r>
        <w:rPr>
          <w:rStyle w:val="Style13ptBold"/>
          <w:b w:val="0"/>
          <w:sz w:val="22"/>
        </w:rPr>
        <w:t xml:space="preserve">--- Department of Government chair at William and Mary College. (Paul, Fall 2010, “THE THREE R's OF OBAMA'S RACE TO THE TOP PROGRAM: REFORM, REWARD AND RESISTANCE”, American Quarterly. https://search.proquest.com/openview/f0c9bf50a97aa0fef2181816bfe4d8a5/1?pq-origsite=gscholar&amp;cbl=38980)//ET </w:t>
      </w:r>
    </w:p>
    <w:p w:rsidR="002A5800" w:rsidRDefault="002A5800" w:rsidP="002A5800">
      <w:pPr>
        <w:rPr>
          <w:rStyle w:val="Emphasis"/>
        </w:rPr>
      </w:pPr>
      <w:r>
        <w:t xml:space="preserve">Is All Education Local? </w:t>
      </w:r>
      <w:r>
        <w:rPr>
          <w:rStyle w:val="StyleUnderline"/>
        </w:rPr>
        <w:t xml:space="preserve">One major reason why so </w:t>
      </w:r>
      <w:r>
        <w:rPr>
          <w:rStyle w:val="Emphasis"/>
        </w:rPr>
        <w:t>few federal education initiatives</w:t>
      </w:r>
      <w:r>
        <w:rPr>
          <w:rStyle w:val="StyleUnderline"/>
        </w:rPr>
        <w:t xml:space="preserve"> have succeeded is that,</w:t>
      </w:r>
      <w:r>
        <w:t xml:space="preserve"> in the U.S., </w:t>
      </w:r>
      <w:r>
        <w:rPr>
          <w:rStyle w:val="StyleUnderline"/>
        </w:rPr>
        <w:t xml:space="preserve">elementary and secondary education are primarily a state and local responsibility. </w:t>
      </w:r>
      <w:r>
        <w:t xml:space="preserve">Washington provides only about 10 percent of the revenues for the nation's schools. </w:t>
      </w:r>
      <w:r>
        <w:rPr>
          <w:rStyle w:val="StyleUnderline"/>
        </w:rPr>
        <w:t>With such weak financial leverage, and a correspondingly weak federal education bureaucracy</w:t>
      </w:r>
      <w:r>
        <w:t xml:space="preserve">, </w:t>
      </w:r>
      <w:r>
        <w:rPr>
          <w:rStyle w:val="StyleUnderline"/>
        </w:rPr>
        <w:t>Washington has always relied on lower levels of government to implement</w:t>
      </w:r>
      <w:r>
        <w:t xml:space="preserve"> federal initiatives. That enduring institutional and political reality will powerfully shape how and whether RTT influences daily activities where it counts, namely, in the nation's roughly 14,000 school districts and nearly 100,000 schools. </w:t>
      </w:r>
      <w:r>
        <w:rPr>
          <w:rStyle w:val="StyleUnderline"/>
        </w:rPr>
        <w:t>In</w:t>
      </w:r>
      <w:r>
        <w:t xml:space="preserve"> designing the </w:t>
      </w:r>
      <w:r>
        <w:rPr>
          <w:rStyle w:val="StyleUnderline"/>
        </w:rPr>
        <w:t>guidelines to govern the RTT competition</w:t>
      </w:r>
      <w:r>
        <w:t xml:space="preserve">, federal </w:t>
      </w:r>
      <w:r>
        <w:rPr>
          <w:rStyle w:val="StyleUnderline"/>
        </w:rPr>
        <w:t xml:space="preserve">officials believed that </w:t>
      </w:r>
      <w:r>
        <w:rPr>
          <w:rStyle w:val="Emphasis"/>
        </w:rPr>
        <w:t>states</w:t>
      </w:r>
      <w:r>
        <w:rPr>
          <w:rStyle w:val="StyleUnderline"/>
        </w:rPr>
        <w:t xml:space="preserve"> needed to tackle many issues simultaneously.</w:t>
      </w:r>
      <w:r>
        <w:t xml:space="preserve"> Overall, </w:t>
      </w:r>
      <w:r>
        <w:rPr>
          <w:rStyle w:val="StyleUnderline"/>
        </w:rPr>
        <w:t xml:space="preserve">RTT aimed to support </w:t>
      </w:r>
      <w:r>
        <w:rPr>
          <w:rStyle w:val="Emphasis"/>
        </w:rPr>
        <w:t>major state reforms</w:t>
      </w:r>
      <w:r>
        <w:rPr>
          <w:rStyle w:val="StyleUnderline"/>
        </w:rPr>
        <w:t xml:space="preserve"> to make standards and student assessments more rigorous, develop data systems, improve the work of teachers and principals, and turn around the lowest performing schools. </w:t>
      </w:r>
      <w:r>
        <w:t xml:space="preserve">Independent, nonpartisan peer reviewers were enlisted to judge and score the states' proposals. The selection process was divided into two phases, which meant that states had multiple chances to win the available funds. For each phase, the Department of Education identified a smaller group of states as finalists. Those states came to Washington DC to explain their proposals and answer reviewers' questions. </w:t>
      </w:r>
      <w:r>
        <w:rPr>
          <w:rStyle w:val="StyleUnderline"/>
        </w:rPr>
        <w:t>Even though it was clear that competition would be stiff</w:t>
      </w:r>
      <w:r>
        <w:t xml:space="preserve"> and losers would vastly outnumber winners</w:t>
      </w:r>
      <w:r>
        <w:rPr>
          <w:rStyle w:val="StyleUnderline"/>
        </w:rPr>
        <w:t>, 40 states</w:t>
      </w:r>
      <w:r>
        <w:t xml:space="preserve"> and the District of Columbia </w:t>
      </w:r>
      <w:r>
        <w:rPr>
          <w:rStyle w:val="StyleUnderline"/>
        </w:rPr>
        <w:t>applied</w:t>
      </w:r>
      <w:r>
        <w:t xml:space="preserve"> to Phase 1. Among those applicants, 16 were named as finalists and only two, Delaware and Tennessee, were awarded grants. Some states became discouraged by those results and decided not to reapply in the next phase. Still, the majority clearly liked their chances of winning; 35 states and the District of Columbia applied to Phase 2. Among those applicants, Secretary Duncan announced 19 finalists based on the reviewers' scores. Phase 2 winners were revealed in late August, bestowing nine states and the District of Columbia with grant awards. Influencing the Agenda </w:t>
      </w:r>
      <w:r>
        <w:rPr>
          <w:rStyle w:val="StyleUnderline"/>
        </w:rPr>
        <w:t>The RTT</w:t>
      </w:r>
      <w:r>
        <w:t xml:space="preserve">, like other federal grant programs, </w:t>
      </w:r>
      <w:r>
        <w:rPr>
          <w:rStyle w:val="StyleUnderline"/>
        </w:rPr>
        <w:t xml:space="preserve">was </w:t>
      </w:r>
      <w:r>
        <w:rPr>
          <w:rStyle w:val="Emphasis"/>
        </w:rPr>
        <w:t>aimed at influencing state and local policy agendas</w:t>
      </w:r>
      <w:r>
        <w:rPr>
          <w:rStyle w:val="StyleUnderline"/>
        </w:rPr>
        <w:t xml:space="preserve"> to promote educational equity and academic excellence.</w:t>
      </w:r>
      <w:r>
        <w:t xml:space="preserve"> </w:t>
      </w:r>
      <w:r>
        <w:rPr>
          <w:rStyle w:val="StyleUnderline"/>
        </w:rPr>
        <w:t>By offering important resources on the margins</w:t>
      </w:r>
      <w:r>
        <w:t xml:space="preserve">, </w:t>
      </w:r>
      <w:r>
        <w:rPr>
          <w:rStyle w:val="StyleUnderline"/>
        </w:rPr>
        <w:t xml:space="preserve">federal grants can provide an </w:t>
      </w:r>
      <w:r>
        <w:rPr>
          <w:rStyle w:val="Emphasis"/>
        </w:rPr>
        <w:t>indispensable boost</w:t>
      </w:r>
      <w:r>
        <w:t xml:space="preserve">, </w:t>
      </w:r>
      <w:r>
        <w:rPr>
          <w:rStyle w:val="StyleUnderline"/>
        </w:rPr>
        <w:t>especially during lean economic times, to support new initiatives or expand current ones</w:t>
      </w:r>
      <w:r>
        <w:t xml:space="preserve">. </w:t>
      </w:r>
      <w:r>
        <w:rPr>
          <w:rStyle w:val="StyleUnderline"/>
        </w:rPr>
        <w:t xml:space="preserve">They also offer political cover to would-be reformers, who can use the opportunity to bolster their own arguments in state and local arenas. </w:t>
      </w:r>
      <w:r>
        <w:rPr>
          <w:rStyle w:val="Emphasis"/>
        </w:rPr>
        <w:t>State changes</w:t>
      </w:r>
      <w:r>
        <w:t xml:space="preserve"> </w:t>
      </w:r>
      <w:r>
        <w:rPr>
          <w:rStyle w:val="StyleUnderline"/>
        </w:rPr>
        <w:t xml:space="preserve">leading up to the RTT selection process suggest that the program did </w:t>
      </w:r>
      <w:r>
        <w:rPr>
          <w:rStyle w:val="Emphasis"/>
        </w:rPr>
        <w:t>influence policy</w:t>
      </w:r>
      <w:r>
        <w:rPr>
          <w:rStyle w:val="StyleUnderline"/>
        </w:rPr>
        <w:t>. Several state leaders have agreed that RTT created a sense of urgency that moved them to act. In Tennessee</w:t>
      </w:r>
      <w:r>
        <w:t xml:space="preserve">, for example, </w:t>
      </w:r>
      <w:r>
        <w:rPr>
          <w:rStyle w:val="StyleUnderline"/>
        </w:rPr>
        <w:t xml:space="preserve">which won an RTT grant in Phase 1 of the competition, Governor Phil Bredesen called the legislature into special session in January 2010 to debate several education measures designed to better position the state's application. </w:t>
      </w:r>
      <w:r>
        <w:t xml:space="preserve">A </w:t>
      </w:r>
      <w:r>
        <w:rPr>
          <w:rStyle w:val="StyleUnderline"/>
        </w:rPr>
        <w:t>similar dynamic was evident in Colorado.</w:t>
      </w:r>
      <w:r>
        <w:t xml:space="preserve"> Kelly Hupfeld, an assistant dean at the University of Colorado at Denver, noted in an article in Education Week that RTT provided "a chance for us [in Colorado] to really accelerate all of the things that we've been talking about."3 She added: "We've had a lot of good ideas floating around the state for a long time, but we don't have any money to implement them." In numerous other states, </w:t>
      </w:r>
      <w:r>
        <w:rPr>
          <w:rStyle w:val="StyleUnderline"/>
        </w:rPr>
        <w:t>extra legislative sessions and enhanced conversations appear to have produced the policy changes that federal leaders had hoped would materialize.</w:t>
      </w:r>
      <w:r>
        <w:t xml:space="preserve"> In one study of the Phase 1 application process that tracked state policy changes in areas relevant to RTT, researchers at Learning Point Associates, a nonprofit education consulting firm, found that 18 states made changes in 2009 and early 2010 to their policies governing teachers, in advance of the application deadline. That compared with only four states making similar changes in 2007 and five in 2008.5 The rapid nature of these and other state responses led one observer, former George W. Bush Administration education official Andy Smarick, to call them "the greatest achievement of Secretary Duncan's tenure." </w:t>
      </w:r>
      <w:r>
        <w:rPr>
          <w:rStyle w:val="StyleUnderline"/>
        </w:rPr>
        <w:t>Substantively</w:t>
      </w:r>
      <w:r>
        <w:t xml:space="preserve">, the </w:t>
      </w:r>
      <w:r>
        <w:rPr>
          <w:rStyle w:val="StyleUnderline"/>
        </w:rPr>
        <w:t>states' changes addressed several areas</w:t>
      </w:r>
      <w:r>
        <w:t xml:space="preserve">. These </w:t>
      </w:r>
      <w:r>
        <w:rPr>
          <w:rStyle w:val="StyleUnderline"/>
        </w:rPr>
        <w:t>included</w:t>
      </w:r>
      <w:r>
        <w:t xml:space="preserve"> policies to overhaul </w:t>
      </w:r>
      <w:r>
        <w:rPr>
          <w:rStyle w:val="StyleUnderline"/>
        </w:rPr>
        <w:t>teacher evaluations</w:t>
      </w:r>
      <w:r>
        <w:t xml:space="preserve">, including some that give student achievement </w:t>
      </w:r>
      <w:r>
        <w:rPr>
          <w:rStyle w:val="StyleUnderline"/>
        </w:rPr>
        <w:t>data</w:t>
      </w:r>
      <w:r>
        <w:t xml:space="preserve"> substantial weight in those judgments. Teacher policies governing entry into the profession through traditional or alternative routes also received attention. Those changes were intended to create more options for aspiring teachers, such as those switching careers later in life, whose schedules prevented them from taking traditional teacher preparation programs at universities. Policies to facilitate the development of public charter schools also passed. Charters, although still public schools, can operate with more flexibility than traditional public schools because they are excused from following certain state regulations. (Those exceptions vary widely by state, but typically do not include allowing charters to opt out of regulations concerning civil rights matters or safety.) In some cases, state changes altered the rules governing how charters are opened or can operate while increasing caps defining the number of charters that can exist. </w:t>
      </w:r>
      <w:r>
        <w:rPr>
          <w:rStyle w:val="StyleUnderline"/>
        </w:rPr>
        <w:t>Other changes created additional options for states wishing to intervene in schools that performed poorly for several consecutive years</w:t>
      </w:r>
      <w:r>
        <w:t xml:space="preserve">, including changes that made it easier for states themselves to either take over schools or dictate particular changes in school management. The </w:t>
      </w:r>
      <w:r>
        <w:rPr>
          <w:rStyle w:val="StyleUnderline"/>
        </w:rPr>
        <w:t>state changes highlighted the importance of RTT's competitive design</w:t>
      </w:r>
      <w:r>
        <w:t xml:space="preserve">. By releasing its scoring rubric for state proposals in advance and insisting that not all states were guaranteed funding, the </w:t>
      </w:r>
      <w:r>
        <w:rPr>
          <w:rStyle w:val="StyleUnderline"/>
        </w:rPr>
        <w:t>Department of Education encouraged states to key their policy changes to the specific items in the RTT rubric. State leaders admitted that they did just that</w:t>
      </w:r>
      <w:r>
        <w:t xml:space="preserve">. </w:t>
      </w:r>
      <w:r>
        <w:rPr>
          <w:rStyle w:val="Emphasis"/>
        </w:rPr>
        <w:t>Had RTT been distributed based on predetermined formulas,</w:t>
      </w:r>
      <w:r>
        <w:t xml:space="preserve"> not state reform commitments</w:t>
      </w:r>
      <w:r>
        <w:rPr>
          <w:rStyle w:val="Emphasis"/>
        </w:rPr>
        <w:t>, it is unlikely that the pace and depth of policy change would have occurred.</w:t>
      </w:r>
    </w:p>
    <w:p w:rsidR="002A5800" w:rsidRDefault="002A5800" w:rsidP="002A5800">
      <w:pPr>
        <w:pStyle w:val="Heading3"/>
      </w:pPr>
      <w:r>
        <w:t>AT rttt empirically failed</w:t>
      </w:r>
    </w:p>
    <w:p w:rsidR="002A5800" w:rsidRDefault="002A5800" w:rsidP="002A5800">
      <w:pPr>
        <w:pStyle w:val="Heading4"/>
      </w:pPr>
      <w:r>
        <w:t>RTTT empirics don’t apply, the counterplans competitive grant programs are narrowly tailored and empirically spur implementation</w:t>
      </w:r>
    </w:p>
    <w:p w:rsidR="002A5800" w:rsidRDefault="002A5800" w:rsidP="002A5800">
      <w:pPr>
        <w:rPr>
          <w:rStyle w:val="Style13ptBold"/>
          <w:b w:val="0"/>
          <w:sz w:val="22"/>
        </w:rPr>
      </w:pPr>
      <w:r>
        <w:rPr>
          <w:rStyle w:val="Style13ptBold"/>
        </w:rPr>
        <w:t>West 15</w:t>
      </w:r>
      <w:r>
        <w:rPr>
          <w:rStyle w:val="Style13ptBold"/>
          <w:b w:val="0"/>
        </w:rPr>
        <w:t xml:space="preserve"> --- </w:t>
      </w:r>
      <w:r>
        <w:rPr>
          <w:rStyle w:val="Style13ptBold"/>
          <w:b w:val="0"/>
          <w:sz w:val="22"/>
        </w:rPr>
        <w:t>nonresident senior fellow in Economic Studies at Brookings.</w:t>
      </w:r>
      <w:r>
        <w:rPr>
          <w:rStyle w:val="Style13ptBold"/>
        </w:rPr>
        <w:t xml:space="preserve"> </w:t>
      </w:r>
      <w:r>
        <w:rPr>
          <w:rStyle w:val="Style13ptBold"/>
          <w:b w:val="0"/>
          <w:sz w:val="22"/>
        </w:rPr>
        <w:t>(Martin, 2/19/15, “Preserving the federal role in encouraging and evaluating education innovation”, Brookings. https://www.brookings.edu/research/preserving-the-federal-role-in-encouraging-and-evaluating-education-innovation/)//ET</w:t>
      </w:r>
    </w:p>
    <w:p w:rsidR="002A5800" w:rsidRDefault="002A5800" w:rsidP="002A5800">
      <w:r>
        <w:rPr>
          <w:rStyle w:val="StyleUnderline"/>
        </w:rPr>
        <w:t>RTT epitomized</w:t>
      </w:r>
      <w:r>
        <w:t xml:space="preserve"> the </w:t>
      </w:r>
      <w:r>
        <w:rPr>
          <w:rStyle w:val="StyleUnderline"/>
        </w:rPr>
        <w:t>broad</w:t>
      </w:r>
      <w:r>
        <w:t xml:space="preserve">, prescriptive </w:t>
      </w:r>
      <w:r>
        <w:rPr>
          <w:rStyle w:val="StyleUnderline"/>
        </w:rPr>
        <w:t>approach to competitive grants.</w:t>
      </w:r>
      <w:r>
        <w:t xml:space="preserve"> Although presented by supporters as an opportunity for states to put forward their best and most innovative ideas, in fact the selection criteria amounted to a detailed list of commitments in areas ranging from state standards and data systems to teacher evaluation systems and strategies to turn around low-performing schools. Because funding was based primarily on future commitments, the program did little to alter the compliance-oriented relationship between federal officials and state and local educators once grants were awarded. As Rick Hess of the American Enterprise Institute has written, “the aftermath entailed years of invasive federal monitoring…during which junior staff at the U.S. Department of Education exerted remarkable influence over the states that received RTT funds.” While it is too soon to know whether states awarded RTT grants will see improvements in student outcomes, there is little hope that their efforts will be a source of rigorous evidence on the merits of specific policies they pursued. The sheer number of policies states were required to implement simultaneously makes it all but impossible to isolate the impact of any one. Yet </w:t>
      </w:r>
      <w:r>
        <w:rPr>
          <w:rStyle w:val="Emphasis"/>
        </w:rPr>
        <w:t>RTT was the exception,</w:t>
      </w:r>
      <w:r>
        <w:t xml:space="preserve"> </w:t>
      </w:r>
      <w:r>
        <w:rPr>
          <w:rStyle w:val="StyleUnderline"/>
        </w:rPr>
        <w:t xml:space="preserve">not the rule. Its scale reflected the unique circumstances of the post-financial crisis stimulus package, and maintaining a single competitive grant program at this scale has already proven to be politically infeasible. </w:t>
      </w:r>
      <w:r>
        <w:rPr>
          <w:rStyle w:val="Emphasis"/>
        </w:rPr>
        <w:t>Other competitive grant programs</w:t>
      </w:r>
      <w:r>
        <w:t xml:space="preserve"> </w:t>
      </w:r>
      <w:r>
        <w:rPr>
          <w:rStyle w:val="StyleUnderline"/>
        </w:rPr>
        <w:t xml:space="preserve">are structured </w:t>
      </w:r>
      <w:r>
        <w:rPr>
          <w:rStyle w:val="Emphasis"/>
        </w:rPr>
        <w:t>quite differently</w:t>
      </w:r>
      <w:r>
        <w:t xml:space="preserve">, </w:t>
      </w:r>
      <w:r>
        <w:rPr>
          <w:rStyle w:val="Emphasis"/>
        </w:rPr>
        <w:t>with a narrow focus tied to a distinct federal purpose.</w:t>
      </w:r>
      <w:r>
        <w:t xml:space="preserve"> </w:t>
      </w:r>
      <w:r>
        <w:rPr>
          <w:rStyle w:val="StyleUnderline"/>
        </w:rPr>
        <w:t>For example, the Teacher Incentive Fund created by</w:t>
      </w:r>
      <w:r>
        <w:t xml:space="preserve"> the second </w:t>
      </w:r>
      <w:r>
        <w:rPr>
          <w:rStyle w:val="StyleUnderline"/>
        </w:rPr>
        <w:t>Bush</w:t>
      </w:r>
      <w:r>
        <w:t xml:space="preserve"> administration asks school districts and charter schools to commit </w:t>
      </w:r>
      <w:r>
        <w:rPr>
          <w:rStyle w:val="StyleUnderline"/>
        </w:rPr>
        <w:t>to implement</w:t>
      </w:r>
      <w:r>
        <w:t xml:space="preserve">ing </w:t>
      </w:r>
      <w:r>
        <w:rPr>
          <w:rStyle w:val="StyleUnderline"/>
        </w:rPr>
        <w:t>performance-based teacher compensation systems.</w:t>
      </w:r>
      <w:r>
        <w:t xml:space="preserve"> The rationale is that </w:t>
      </w:r>
      <w:r>
        <w:rPr>
          <w:rStyle w:val="StyleUnderline"/>
        </w:rPr>
        <w:t xml:space="preserve">local officials will be </w:t>
      </w:r>
      <w:r>
        <w:rPr>
          <w:rStyle w:val="Emphasis"/>
        </w:rPr>
        <w:t>more likely to adopt politically controversial changes</w:t>
      </w:r>
      <w:r>
        <w:rPr>
          <w:rStyle w:val="StyleUnderline"/>
        </w:rPr>
        <w:t xml:space="preserve"> to how teachers are compensated when outside resources are available to support their efforts.</w:t>
      </w:r>
      <w:r>
        <w:t xml:space="preserve"> For the past few years, the Department of Education has also offered grants directly to Charter Management Organizations seeking to expand or replicate high-quality schools. Those schools need not adhere to a particular pedagogical model but must instead document a track record of improving student outcomes. The Teacher Incentive Fund and grants to expand and replicate high-quality charter schools have been included in both the House committee’s bill and in Senator Alexander’s initial discussion draft.</w:t>
      </w:r>
    </w:p>
    <w:p w:rsidR="002A5800" w:rsidRDefault="002A5800" w:rsidP="002A5800">
      <w:pPr>
        <w:pStyle w:val="Heading3"/>
        <w:rPr>
          <w:sz w:val="32"/>
        </w:rPr>
      </w:pPr>
      <w:r>
        <w:t>AT too limited</w:t>
      </w:r>
    </w:p>
    <w:p w:rsidR="002A5800" w:rsidRDefault="002A5800" w:rsidP="002A5800">
      <w:pPr>
        <w:pStyle w:val="Heading4"/>
      </w:pPr>
      <w:r>
        <w:t>Even if not every school gets federal money, we create incentives and models for reform</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14" w:history="1">
        <w:r>
          <w:rPr>
            <w:rStyle w:val="Hyperlink"/>
          </w:rPr>
          <w:t>http://educationdidactique.revues.org/334</w:t>
        </w:r>
      </w:hyperlink>
      <w:r>
        <w:t>) AAB</w:t>
      </w:r>
    </w:p>
    <w:p w:rsidR="002A5800" w:rsidRDefault="002A5800" w:rsidP="002A5800"/>
    <w:p w:rsidR="002A5800" w:rsidRDefault="002A5800" w:rsidP="002A5800">
      <w:r>
        <w:t>16</w:t>
      </w:r>
      <w:r>
        <w:rPr>
          <w:rStyle w:val="StyleUnderline"/>
        </w:rPr>
        <w:t xml:space="preserve">During the Clinton Administration, </w:t>
      </w:r>
      <w:r>
        <w:t xml:space="preserve">in 1997-2001, </w:t>
      </w:r>
      <w:r>
        <w:rPr>
          <w:rStyle w:val="StyleUnderline"/>
        </w:rPr>
        <w:t>the</w:t>
      </w:r>
      <w:r>
        <w:t xml:space="preserve"> U.S. </w:t>
      </w:r>
      <w:r>
        <w:rPr>
          <w:rStyle w:val="StyleUnderline"/>
        </w:rPr>
        <w:t>D</w:t>
      </w:r>
      <w:r>
        <w:t xml:space="preserve">epartment </w:t>
      </w:r>
      <w:r>
        <w:rPr>
          <w:rStyle w:val="StyleUnderline"/>
        </w:rPr>
        <w:t>o</w:t>
      </w:r>
      <w:r>
        <w:t xml:space="preserve">f </w:t>
      </w:r>
      <w:r>
        <w:rPr>
          <w:rStyle w:val="StyleUnderline"/>
        </w:rPr>
        <w:t>Education developed a means of supporting scale-up of comprehensive school reform models. It provided competitive grants</w:t>
      </w:r>
      <w:r>
        <w:t xml:space="preserve"> </w:t>
      </w:r>
      <w:r>
        <w:rPr>
          <w:rStyle w:val="StyleUnderline"/>
        </w:rPr>
        <w:t>of at least $50,000 per year for up to 3 years to help schools adopt “proven, comprehensive” reform models</w:t>
      </w:r>
      <w:r>
        <w:t xml:space="preserve">. These Comprehensive School Reform (CSR) grants did not generally cover the full costs of the programs, forcing schools to use their own funding to supplement the costs. </w:t>
      </w:r>
      <w:r>
        <w:rPr>
          <w:rStyle w:val="StyleUnderline"/>
        </w:rPr>
        <w:t>Schools received extra points on their applications if they were in high-poverty areas</w:t>
      </w:r>
      <w:r>
        <w:t>, so most funded schools were relatively impoverished.</w:t>
      </w:r>
    </w:p>
    <w:p w:rsidR="002A5800" w:rsidRDefault="002A5800" w:rsidP="002A5800">
      <w:r>
        <w:t>17</w:t>
      </w:r>
      <w:r>
        <w:rPr>
          <w:rStyle w:val="StyleUnderline"/>
        </w:rPr>
        <w:t xml:space="preserve">The CSR funding program had an </w:t>
      </w:r>
      <w:r>
        <w:rPr>
          <w:rStyle w:val="Emphasis"/>
        </w:rPr>
        <w:t>electric</w:t>
      </w:r>
      <w:r>
        <w:t xml:space="preserve"> e</w:t>
      </w:r>
      <w:r>
        <w:rPr>
          <w:rStyle w:val="StyleUnderline"/>
        </w:rPr>
        <w:t>ffect on school reform throughout the U.S. State departments of education and local agencies held “design fairs” in which school staffs could come and learn about various programs available to them</w:t>
      </w:r>
      <w:r>
        <w:t xml:space="preserve">. Ultimately, </w:t>
      </w:r>
      <w:r>
        <w:rPr>
          <w:rStyle w:val="StyleUnderline"/>
        </w:rPr>
        <w:t>thousands of schools adopted CSR programs with the federal grants,</w:t>
      </w:r>
      <w:r>
        <w:t xml:space="preserve"> </w:t>
      </w:r>
      <w:r>
        <w:rPr>
          <w:rStyle w:val="StyleUnderline"/>
        </w:rPr>
        <w:t xml:space="preserve">but thousands more did so </w:t>
      </w:r>
      <w:r>
        <w:rPr>
          <w:rStyle w:val="Emphasis"/>
        </w:rPr>
        <w:t>with their own funds</w:t>
      </w:r>
      <w:r>
        <w:rPr>
          <w:rStyle w:val="StyleUnderline"/>
        </w:rPr>
        <w:t>, after learning about progamms through the CSR process.</w:t>
      </w:r>
      <w:r>
        <w:t xml:space="preserve"> Estimates of the number of schools that used CSR models at the peak of this movement (in 2001) range from 6000 to 10,000. The Bush administration opposed CSR and ultimately pressured Congress to end it, but not before</w:t>
      </w:r>
      <w:r>
        <w:rPr>
          <w:rStyle w:val="StyleUnderline"/>
        </w:rPr>
        <w:t xml:space="preserve"> it demonstrated how research-proven programs could be developed, evaluated, and then disseminated on a substantial scale while maintaining quality and effectiveness</w:t>
      </w:r>
      <w:r>
        <w:t xml:space="preserve"> (see Aladjem &amp; Borman, 2006).</w:t>
      </w:r>
    </w:p>
    <w:p w:rsidR="002A5800" w:rsidRDefault="002A5800" w:rsidP="002A5800"/>
    <w:p w:rsidR="002A5800" w:rsidRDefault="002A5800" w:rsidP="002A5800">
      <w:pPr>
        <w:pStyle w:val="Heading3"/>
      </w:pPr>
      <w:r>
        <w:t>AT transparency/oversight deficit</w:t>
      </w:r>
    </w:p>
    <w:p w:rsidR="002A5800" w:rsidRDefault="002A5800" w:rsidP="002A5800">
      <w:pPr>
        <w:pStyle w:val="Heading4"/>
      </w:pPr>
      <w:r>
        <w:t>New regs solve transparency and oversight of competitive grants</w:t>
      </w:r>
    </w:p>
    <w:p w:rsidR="002A5800" w:rsidRDefault="002A5800" w:rsidP="002A5800">
      <w:r>
        <w:rPr>
          <w:rStyle w:val="Style13ptBold"/>
        </w:rPr>
        <w:t xml:space="preserve">Tepe 17 --- </w:t>
      </w:r>
      <w:r>
        <w:rPr>
          <w:rStyle w:val="Style13ptBold"/>
          <w:b w:val="0"/>
          <w:sz w:val="22"/>
        </w:rPr>
        <w:t xml:space="preserve">Senior Policy Analyst, Education Policy Program at New America. </w:t>
      </w:r>
      <w:r>
        <w:t>(Lindsey Tepe, 1/13/17, “Increasing the Impact of the Department of Education’s Competitive Grants”, https://www.newamerica.org/education-policy/edcentral/increasing-impact-department-educations-competitive-grants/)//ET</w:t>
      </w:r>
    </w:p>
    <w:p w:rsidR="002A5800" w:rsidRDefault="002A5800" w:rsidP="002A5800">
      <w:r>
        <w:t xml:space="preserve">With just 7 days before the end of the Obama Administration's second term, </w:t>
      </w:r>
      <w:r>
        <w:rPr>
          <w:rStyle w:val="StyleUnderline"/>
        </w:rPr>
        <w:t xml:space="preserve">the Department of Education issued a new rule today that tackles an important question: should all learners have the right to access and use educational materials produced with the Department’s public funds? </w:t>
      </w:r>
      <w:r>
        <w:t xml:space="preserve">This rule has long been in the works. Back in November of 2015, the Department announced a proposed regulation based on the idea that, yes, learners should have that right. Nearly 150 organizations submitted feedback on the proposal, including comments from our Learning Technologies Project here at New America. (The rule has been under review by the Office of Management and Budget since last summer.) </w:t>
      </w:r>
      <w:r>
        <w:rPr>
          <w:rStyle w:val="StyleUnderline"/>
        </w:rPr>
        <w:t xml:space="preserve">The final rule requires an </w:t>
      </w:r>
      <w:r>
        <w:rPr>
          <w:rStyle w:val="Emphasis"/>
        </w:rPr>
        <w:t>open license</w:t>
      </w:r>
      <w:r>
        <w:rPr>
          <w:rStyle w:val="StyleUnderline"/>
        </w:rPr>
        <w:t xml:space="preserve"> to be applied to all copyrightable intellectual property produced by organizations who win </w:t>
      </w:r>
      <w:r>
        <w:rPr>
          <w:rStyle w:val="Emphasis"/>
        </w:rPr>
        <w:t>competitive funding</w:t>
      </w:r>
      <w:r>
        <w:rPr>
          <w:rStyle w:val="StyleUnderline"/>
        </w:rPr>
        <w:t xml:space="preserve"> from the Education Department.</w:t>
      </w:r>
      <w:r>
        <w:t xml:space="preserve">* </w:t>
      </w:r>
      <w:r>
        <w:rPr>
          <w:rStyle w:val="StyleUnderline"/>
        </w:rPr>
        <w:t>Much of the funding that the Department administers is awarded in formula grants to states, or through direct funding like student loans</w:t>
      </w:r>
      <w:r>
        <w:t xml:space="preserve">. </w:t>
      </w:r>
      <w:r>
        <w:rPr>
          <w:rStyle w:val="StyleUnderline"/>
        </w:rPr>
        <w:t>But it also funds competitive grants, each with a different goal.</w:t>
      </w:r>
      <w:r>
        <w:t xml:space="preserve"> States, school districts, colleges and universities, and other interested educational organizations submit proposals—only the best applicants receive funding. Under this new rule, </w:t>
      </w:r>
      <w:r>
        <w:rPr>
          <w:rStyle w:val="StyleUnderline"/>
        </w:rPr>
        <w:t>applicants will commit to making the content they produce</w:t>
      </w:r>
      <w:r>
        <w:t>—</w:t>
      </w:r>
      <w:r>
        <w:rPr>
          <w:rStyle w:val="StyleUnderline"/>
        </w:rPr>
        <w:t>any grant deliverable, as well as program support materials that are necessary to use the deliverables</w:t>
      </w:r>
      <w:r>
        <w:t>—</w:t>
      </w:r>
      <w:r>
        <w:rPr>
          <w:rStyle w:val="StyleUnderline"/>
        </w:rPr>
        <w:t>publicly available under an open license as a condition of their grant agreement</w:t>
      </w:r>
      <w:r>
        <w:t xml:space="preserve">. (One key change made to the final rule provides grantees the possibility of using an open license that “limits use [of deliverables] to noncommercial purposes.” More analysis on the implications of this change to come.) This rule will be phased in during 2017, and will be fully implemented by the 2018 fiscal year for all applicable competitive grants. As I wrote when the rule was proposed, </w:t>
      </w:r>
      <w:r>
        <w:rPr>
          <w:rStyle w:val="StyleUnderline"/>
        </w:rPr>
        <w:t>the Department’s stated goals</w:t>
      </w:r>
      <w:r>
        <w:t xml:space="preserve"> were threefold: to allow it to </w:t>
      </w:r>
      <w:r>
        <w:rPr>
          <w:rStyle w:val="StyleUnderline"/>
        </w:rPr>
        <w:t>be more strategic with its limited investments; to allow experts in the field to improve upon and refine resources; and to make materials more readily available to under-resourced school districts</w:t>
      </w:r>
      <w:r>
        <w:t xml:space="preserve">, community colleges, </w:t>
      </w:r>
      <w:r>
        <w:rPr>
          <w:rStyle w:val="StyleUnderline"/>
        </w:rPr>
        <w:t xml:space="preserve">workforce training programs, and other education providers. </w:t>
      </w:r>
      <w:r>
        <w:t xml:space="preserve">In describing the potential impact for the rule, the Department spotlighted recent work completed by the University of Texas at Austin with $200,000 it received from the Department’s National Language Resource Centers (LRC) program. While UT-Austin was not required to do so, it opted to make the educational resources that were developed for 16 languages openly available on its Center for Open Educational Resources and Language Learning (COERLL) website. According to a Department estimate, there are around 500 open educational resources, or OER, that have been made available on the COERLL site, including "curricula, lessons, worksheets, assessments, textbooks, videos, podcasts, research studies, open apps for student learning, and interactive platform materials.” UT-Austin was one of sixteen grantees, who were awarded $2.8 million in total to develop language resources. Imagine the public benefit if all those materials had been made publicly available as a condition of funding. There are several Department programs that are not subject to the rule, notably the Department’s Ready to Learn Television program, which funds public media organizations like PBS to promote early learning and school readiness through educational television and digital media. In response to specific public concerns, the Department also explicitly clarified several other areas where the rule does not apply, including the Small Business Innovation Research Program, peer-reviewed scholarly publications that arise from any scientific research, and others. </w:t>
      </w:r>
      <w:r>
        <w:rPr>
          <w:rStyle w:val="StyleUnderline"/>
        </w:rPr>
        <w:t>Although the rule only applies to Department of Education competitive grants</w:t>
      </w:r>
      <w:r>
        <w:t xml:space="preserve">, </w:t>
      </w:r>
      <w:r>
        <w:rPr>
          <w:rStyle w:val="StyleUnderline"/>
        </w:rPr>
        <w:t>it joins the efforts of several other agencies such as the Departments of Labor and State in moving toward open licensing as a condition of competitive funds</w:t>
      </w:r>
      <w:r>
        <w:t xml:space="preserve">. As the </w:t>
      </w:r>
      <w:r>
        <w:rPr>
          <w:rStyle w:val="Emphasis"/>
        </w:rPr>
        <w:t>evidence base grows demonstrating that open use policies have a positive impact</w:t>
      </w:r>
      <w:r>
        <w:t xml:space="preserve">, other agencies throughout the federal government will hopefully follow suit. </w:t>
      </w:r>
      <w:r>
        <w:rPr>
          <w:rStyle w:val="StyleUnderline"/>
        </w:rPr>
        <w:t>While there has been some concern about the fate of recently enacted regulations under the next Administration</w:t>
      </w:r>
      <w:r>
        <w:t xml:space="preserve">, </w:t>
      </w:r>
      <w:r>
        <w:rPr>
          <w:rStyle w:val="Emphasis"/>
        </w:rPr>
        <w:t>it would take an act of Congress to overturn them</w:t>
      </w:r>
      <w:r>
        <w:t>—a development that I and many other proponents of open licensing will be watching for closely.</w:t>
      </w:r>
    </w:p>
    <w:p w:rsidR="002A5800" w:rsidRDefault="002A5800" w:rsidP="002A5800">
      <w:pPr>
        <w:pStyle w:val="Heading2"/>
        <w:rPr>
          <w:sz w:val="44"/>
        </w:rPr>
      </w:pPr>
      <w:r>
        <w:t>AT Theory</w:t>
      </w:r>
    </w:p>
    <w:p w:rsidR="002A5800" w:rsidRDefault="002A5800" w:rsidP="002A5800">
      <w:pPr>
        <w:pStyle w:val="Heading3"/>
      </w:pPr>
      <w:r>
        <w:t>AT PDCP</w:t>
      </w:r>
    </w:p>
    <w:p w:rsidR="002A5800" w:rsidRDefault="002A5800" w:rsidP="002A5800">
      <w:pPr>
        <w:pStyle w:val="Heading4"/>
        <w:rPr>
          <w:rFonts w:cs="Times New Roman"/>
        </w:rPr>
      </w:pPr>
      <w:r>
        <w:rPr>
          <w:rFonts w:cs="Times New Roman"/>
        </w:rPr>
        <w:t xml:space="preserve">“Funding” means money for a </w:t>
      </w:r>
      <w:r>
        <w:rPr>
          <w:rFonts w:cs="Times New Roman"/>
          <w:u w:val="single"/>
        </w:rPr>
        <w:t>particular purpose</w:t>
      </w:r>
    </w:p>
    <w:p w:rsidR="002A5800" w:rsidRDefault="002A5800" w:rsidP="002A5800">
      <w:pPr>
        <w:rPr>
          <w:rFonts w:cstheme="minorBidi"/>
        </w:rPr>
      </w:pPr>
      <w:r>
        <w:rPr>
          <w:rStyle w:val="Style13ptBold"/>
        </w:rPr>
        <w:t xml:space="preserve">Jacob 14 – </w:t>
      </w:r>
      <w:r>
        <w:t>Egberibin Igboroye Jacob, Department of Educational Foundations at the University of Nigeria, “MODALITIES FOR IMPROVING THE FUNDING OF PRIMARY SCHOOLS BY LOCAL GOVERNMENT EDUCATION AUTHORITIES IN BAYELSA STATE”, January, http://www.unn.edu.ng/publications/files/JACOB%20PROJECT.pdf</w:t>
      </w:r>
    </w:p>
    <w:p w:rsidR="002A5800" w:rsidRDefault="002A5800" w:rsidP="002A5800">
      <w:r>
        <w:rPr>
          <w:rStyle w:val="StyleUnderline"/>
        </w:rPr>
        <w:t xml:space="preserve">Funding </w:t>
      </w:r>
      <w:r>
        <w:t xml:space="preserve">according to Ogbonnaya, (2012), </w:t>
      </w:r>
      <w:r>
        <w:rPr>
          <w:rStyle w:val="StyleUnderline"/>
        </w:rPr>
        <w:t>refers to a sum of money</w:t>
      </w:r>
      <w:r>
        <w:t xml:space="preserve"> saved or </w:t>
      </w:r>
      <w:r>
        <w:rPr>
          <w:rStyle w:val="StyleUnderline"/>
        </w:rPr>
        <w:t xml:space="preserve">made available for a </w:t>
      </w:r>
      <w:r>
        <w:rPr>
          <w:rStyle w:val="Emphasis"/>
        </w:rPr>
        <w:t>particular purpose</w:t>
      </w:r>
      <w:r>
        <w:rPr>
          <w:rStyle w:val="StyleUnderline"/>
        </w:rPr>
        <w:t>. It can be called money or financial resources</w:t>
      </w:r>
      <w:r>
        <w:t xml:space="preserve">. In other words, </w:t>
      </w:r>
      <w:r>
        <w:rPr>
          <w:rStyle w:val="StyleUnderline"/>
        </w:rPr>
        <w:t>funding is the amount of money needed to fund a</w:t>
      </w:r>
      <w:r>
        <w:t xml:space="preserve">n on-going </w:t>
      </w:r>
      <w:r>
        <w:rPr>
          <w:rStyle w:val="StyleUnderline"/>
        </w:rPr>
        <w:t>project or programme</w:t>
      </w:r>
      <w:r>
        <w:t xml:space="preserve"> for future development. Investment </w:t>
      </w:r>
      <w:r>
        <w:rPr>
          <w:rStyle w:val="StyleUnderline"/>
        </w:rPr>
        <w:t>in</w:t>
      </w:r>
      <w:r>
        <w:t xml:space="preserve"> primary</w:t>
      </w:r>
      <w:r>
        <w:rPr>
          <w:rStyle w:val="StyleUnderline"/>
        </w:rPr>
        <w:t xml:space="preserve"> education </w:t>
      </w:r>
      <w:r>
        <w:t>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16 poor finances, inappropriate allocation of funds and a host of other problems.</w:t>
      </w:r>
    </w:p>
    <w:p w:rsidR="002A5800" w:rsidRDefault="002A5800" w:rsidP="002A5800"/>
    <w:p w:rsidR="002A5800" w:rsidRDefault="002A5800" w:rsidP="002A5800">
      <w:pPr>
        <w:pStyle w:val="Heading4"/>
        <w:rPr>
          <w:rFonts w:cs="Times New Roman"/>
        </w:rPr>
      </w:pPr>
      <w:r>
        <w:rPr>
          <w:rFonts w:cs="Times New Roman"/>
        </w:rPr>
        <w:t xml:space="preserve">This means it must be a </w:t>
      </w:r>
      <w:r>
        <w:rPr>
          <w:rFonts w:cs="Times New Roman"/>
          <w:u w:val="single"/>
        </w:rPr>
        <w:t>formula grant</w:t>
      </w:r>
      <w:r>
        <w:rPr>
          <w:rFonts w:cs="Times New Roman"/>
        </w:rPr>
        <w:t xml:space="preserve"> distributed </w:t>
      </w:r>
      <w:r>
        <w:rPr>
          <w:rFonts w:cs="Times New Roman"/>
          <w:u w:val="single"/>
        </w:rPr>
        <w:t>exclusively</w:t>
      </w:r>
      <w:r>
        <w:rPr>
          <w:rFonts w:cs="Times New Roman"/>
        </w:rPr>
        <w:t xml:space="preserve"> by the DOE to the states towards a predetermined area</w:t>
      </w:r>
    </w:p>
    <w:p w:rsidR="002A5800" w:rsidRDefault="002A5800" w:rsidP="002A5800">
      <w:pPr>
        <w:rPr>
          <w:rFonts w:cstheme="minorBidi"/>
        </w:rPr>
      </w:pPr>
      <w:r>
        <w:rPr>
          <w:rStyle w:val="Style13ptBold"/>
        </w:rPr>
        <w:t>TI Education 6</w:t>
      </w:r>
      <w:r>
        <w:t xml:space="preserve"> (“National Funding Guide,” The Office of Education Policy at Texas Instruments, July-December 2006, </w:t>
      </w:r>
      <w:hyperlink r:id="rId15" w:history="1">
        <w:r>
          <w:rPr>
            <w:rStyle w:val="Hyperlink"/>
          </w:rPr>
          <w:t>https://education.ti.com/sites/US/downloads/pdf/nationalfundingguide_janjun06.pdf</w:t>
        </w:r>
      </w:hyperlink>
      <w:r>
        <w:t>) AAB</w:t>
      </w:r>
    </w:p>
    <w:p w:rsidR="002A5800" w:rsidRDefault="002A5800" w:rsidP="002A5800">
      <w:r>
        <w:rPr>
          <w:rStyle w:val="Emphasis"/>
        </w:rPr>
        <w:t>Formula Grant</w:t>
      </w:r>
      <w:r>
        <w:t xml:space="preserve"> Several listings in </w:t>
      </w:r>
      <w:r>
        <w:rPr>
          <w:rStyle w:val="StyleUnderline"/>
        </w:rPr>
        <w:t>the Federal Grants section use the term “formula grant”.</w:t>
      </w:r>
      <w:r>
        <w:t xml:space="preserve"> </w:t>
      </w:r>
      <w:r>
        <w:rPr>
          <w:rStyle w:val="StyleUnderline"/>
        </w:rPr>
        <w:t xml:space="preserve">A formula grant is funding from </w:t>
      </w:r>
      <w:r>
        <w:rPr>
          <w:rStyle w:val="Emphasis"/>
        </w:rPr>
        <w:t>specific programs</w:t>
      </w:r>
      <w:r>
        <w:rPr>
          <w:rStyle w:val="StyleUnderline"/>
        </w:rPr>
        <w:t xml:space="preserve"> at the US </w:t>
      </w:r>
      <w:r>
        <w:rPr>
          <w:rStyle w:val="Emphasis"/>
        </w:rPr>
        <w:t>D</w:t>
      </w:r>
      <w:r>
        <w:rPr>
          <w:rStyle w:val="StyleUnderline"/>
        </w:rPr>
        <w:t xml:space="preserve">epartment </w:t>
      </w:r>
      <w:r>
        <w:rPr>
          <w:rStyle w:val="Emphasis"/>
        </w:rPr>
        <w:t>o</w:t>
      </w:r>
      <w:r>
        <w:rPr>
          <w:rStyle w:val="StyleUnderline"/>
        </w:rPr>
        <w:t xml:space="preserve">f </w:t>
      </w:r>
      <w:r>
        <w:rPr>
          <w:rStyle w:val="Emphasis"/>
        </w:rPr>
        <w:t>E</w:t>
      </w:r>
      <w:r>
        <w:rPr>
          <w:rStyle w:val="StyleUnderline"/>
        </w:rPr>
        <w:t>ducation</w:t>
      </w:r>
      <w:r>
        <w:t xml:space="preserve"> </w:t>
      </w:r>
      <w:r>
        <w:rPr>
          <w:rStyle w:val="StyleUnderline"/>
        </w:rPr>
        <w:t xml:space="preserve">that is distributed to state departments of education based upon a </w:t>
      </w:r>
      <w:r>
        <w:rPr>
          <w:rStyle w:val="Emphasis"/>
        </w:rPr>
        <w:t>formula</w:t>
      </w:r>
      <w:r>
        <w:rPr>
          <w:rStyle w:val="StyleUnderline"/>
        </w:rPr>
        <w:t xml:space="preserve"> that usually includes the number of students in the state that fit into a certain category</w:t>
      </w:r>
      <w:r>
        <w:t xml:space="preserve">, e.g. the number of students in the state that receive free or reduced-price lunches. Formula grants to states can be distributed to local school districts through a competitive application process or a formula determined by the state. </w:t>
      </w:r>
    </w:p>
    <w:p w:rsidR="002A5800" w:rsidRDefault="002A5800" w:rsidP="002A5800"/>
    <w:p w:rsidR="002A5800" w:rsidRDefault="002A5800" w:rsidP="002A5800">
      <w:pPr>
        <w:pStyle w:val="Heading4"/>
      </w:pPr>
      <w:r>
        <w:t>Formula and competitive grants are distinct</w:t>
      </w:r>
    </w:p>
    <w:p w:rsidR="002A5800" w:rsidRDefault="002A5800" w:rsidP="002A5800">
      <w:r>
        <w:rPr>
          <w:rStyle w:val="Style13ptBold"/>
        </w:rPr>
        <w:t xml:space="preserve">Ward 3 </w:t>
      </w:r>
      <w:r>
        <w:rPr>
          <w:rStyle w:val="Style13ptBold"/>
          <w:b w:val="0"/>
        </w:rPr>
        <w:t xml:space="preserve">---  </w:t>
      </w:r>
      <w:r>
        <w:rPr>
          <w:rStyle w:val="Style13ptBold"/>
          <w:b w:val="0"/>
          <w:sz w:val="22"/>
        </w:rPr>
        <w:t xml:space="preserve">independent grant writing consultant. </w:t>
      </w:r>
      <w:r>
        <w:t>(DEBORAH WARD, 9/1/3, “Formula vs. competitive grants: Which are better?”, E School News. https://www.eschoolnews.com/2003/09/01/formula-vs-competitive-grants-which-are-better/)//ET</w:t>
      </w:r>
    </w:p>
    <w:p w:rsidR="002A5800" w:rsidRDefault="002A5800" w:rsidP="002A5800">
      <w:r>
        <w:t xml:space="preserve">First, </w:t>
      </w:r>
      <w:r>
        <w:rPr>
          <w:rStyle w:val="StyleUnderline"/>
        </w:rPr>
        <w:t>I should define “formula” grants and “competitive” grants so everyone understands exactly what I’m discussing.</w:t>
      </w:r>
      <w:r>
        <w:t xml:space="preserve"> In the book Finding Funding by Ernest Brewer, Charles Achilles, and Jay Fuhriman</w:t>
      </w:r>
      <w:r>
        <w:rPr>
          <w:rStyle w:val="StyleUnderline"/>
        </w:rPr>
        <w:t>, the authors define “formula” grants as “a noncompetitive grant that is typically awarded based on a formula, and it is sometimes called an entitlement</w:t>
      </w:r>
      <w:r>
        <w:t xml:space="preserve">.” They go on to say the grantee agrees to conduct activities within a restricted range of options to achieve the specific purposes of an established program. In other words, the activities are of a continuing nature not confined to a specific project. </w:t>
      </w:r>
      <w:r>
        <w:rPr>
          <w:rStyle w:val="StyleUnderline"/>
        </w:rPr>
        <w:t>In contrast, a “competitive” grant is a request for funding for fixed or known periods of time, for specific projects. Usually, the applicant must specify what will be done within a specific time frame</w:t>
      </w:r>
      <w:r>
        <w:t xml:space="preserve"> (also known as the methodology section of a proposal) and what costs will be incurred to carry out these activities (the project budget).</w:t>
      </w:r>
    </w:p>
    <w:p w:rsidR="002A5800" w:rsidRDefault="002A5800" w:rsidP="002A5800">
      <w:pPr>
        <w:pStyle w:val="Heading3"/>
        <w:rPr>
          <w:sz w:val="32"/>
        </w:rPr>
      </w:pPr>
      <w:r>
        <w:t>--CTE</w:t>
      </w:r>
    </w:p>
    <w:p w:rsidR="002A5800" w:rsidRDefault="002A5800" w:rsidP="002A5800">
      <w:pPr>
        <w:pStyle w:val="Heading4"/>
      </w:pPr>
      <w:r>
        <w:t>CTE is administered through formula grants</w:t>
      </w:r>
    </w:p>
    <w:p w:rsidR="002A5800" w:rsidRDefault="002A5800" w:rsidP="002A5800">
      <w:pPr>
        <w:rPr>
          <w:rStyle w:val="Style13ptBold"/>
          <w:b w:val="0"/>
          <w:sz w:val="22"/>
        </w:rPr>
      </w:pPr>
      <w:r>
        <w:rPr>
          <w:rStyle w:val="Style13ptBold"/>
        </w:rPr>
        <w:t xml:space="preserve">New Mexico Higher Education Department 16 </w:t>
      </w:r>
      <w:r>
        <w:rPr>
          <w:rStyle w:val="Style13ptBold"/>
          <w:b w:val="0"/>
          <w:sz w:val="22"/>
        </w:rPr>
        <w:t>(“ADULT EDUCATION AND FAMILY LITERACY REQUEST FOR APPLICATION”, https://www.google.com/url?sa=t&amp;rct=j&amp;q=&amp;esrc=s&amp;source=web&amp;cd=14&amp;cad=rja&amp;uact=8&amp;ved=0ahUKEwjY1ZvL4ZHVAhVs74MKHU8iC5Q4ChAWCDQwAw&amp;url=http%3A%2F%2Fwww.hed.state.nm.us%2Fuploads%2Ffiles%2FAE%2520RFA%25202017-2018(1).docx&amp;usg=AFQjCNFymb0dw9_QWn5WhifpJmxMk1jSxw)</w:t>
      </w:r>
    </w:p>
    <w:p w:rsidR="002A5800" w:rsidRDefault="002A5800" w:rsidP="002A5800">
      <w:r>
        <w:rPr>
          <w:rStyle w:val="StyleUnderline"/>
        </w:rPr>
        <w:t xml:space="preserve">Purpose of Grant </w:t>
      </w:r>
      <w:r>
        <w:t xml:space="preserve">President Barack </w:t>
      </w:r>
      <w:r>
        <w:rPr>
          <w:rStyle w:val="StyleUnderline"/>
        </w:rPr>
        <w:t>Obama signed</w:t>
      </w:r>
      <w:r>
        <w:t xml:space="preserve"> the Workforce Innovation and Opportunity Act (</w:t>
      </w:r>
      <w:r>
        <w:rPr>
          <w:rStyle w:val="StyleUnderline"/>
        </w:rPr>
        <w:t>WIOA</w:t>
      </w:r>
      <w:r>
        <w:t xml:space="preserve">) into law on July 22, 2014. WIOA is designed </w:t>
      </w:r>
      <w:r>
        <w:rPr>
          <w:rStyle w:val="StyleUnderline"/>
        </w:rPr>
        <w:t>to help job seekers access employment, education, training, and support services to succeed in the labor market and to match employers with the skilled workers they need to compete in the global economy. WIOA brings together,</w:t>
      </w:r>
      <w:r>
        <w:t xml:space="preserve"> in strategic coordination, the core programs of federal investment in skill development: • </w:t>
      </w:r>
      <w:r>
        <w:rPr>
          <w:rStyle w:val="StyleUnderline"/>
        </w:rPr>
        <w:t>employment and training services</w:t>
      </w:r>
      <w:r>
        <w:t xml:space="preserve"> for adults, dislocated workers, and youth and Wagner-Peyser employment services administered by the Department of Labor (DOL) </w:t>
      </w:r>
      <w:r>
        <w:rPr>
          <w:rStyle w:val="Emphasis"/>
        </w:rPr>
        <w:t xml:space="preserve">through formula grants to states; </w:t>
      </w:r>
      <w:r>
        <w:t>• adult education and literacy programs administered by the Department of Education (ED) that assist adults to become literate and obtain the knowledge and skills necessary for economic self-sufficiency; and • vocational rehabilitation state grant programs administered by ED that assist individuals with disabilities in obtaining employment. WIOA replaces the Workforce Investment Act of 1998 and retains and amends the Adult Education and Family Literacy Act, the Wagner-Peyser Act, and the Rehabilitation Act of 1973.</w:t>
      </w:r>
    </w:p>
    <w:p w:rsidR="002A5800" w:rsidRDefault="002A5800" w:rsidP="002A5800">
      <w:pPr>
        <w:pStyle w:val="Heading3"/>
        <w:rPr>
          <w:sz w:val="32"/>
        </w:rPr>
      </w:pPr>
      <w:r>
        <w:t>--IDEA</w:t>
      </w:r>
    </w:p>
    <w:p w:rsidR="002A5800" w:rsidRDefault="002A5800" w:rsidP="002A5800">
      <w:pPr>
        <w:pStyle w:val="Heading4"/>
      </w:pPr>
      <w:r>
        <w:t>IDEA funding for k-12 schools occurs through formula grants --- competitive programs are for universities now</w:t>
      </w:r>
    </w:p>
    <w:p w:rsidR="002A5800" w:rsidRDefault="002A5800" w:rsidP="002A5800">
      <w:pPr>
        <w:rPr>
          <w:rStyle w:val="Style13ptBold"/>
          <w:b w:val="0"/>
        </w:rPr>
      </w:pPr>
      <w:r>
        <w:rPr>
          <w:rStyle w:val="Style13ptBold"/>
        </w:rPr>
        <w:t xml:space="preserve">DOE 15 </w:t>
      </w:r>
      <w:r>
        <w:rPr>
          <w:rStyle w:val="Style13ptBold"/>
          <w:b w:val="0"/>
          <w:sz w:val="22"/>
        </w:rPr>
        <w:t>(6/8/15, “OSEP Grant Opportunities and Funding ”, https://ed.gov/fund/grant/apply/osep/index.html)//ET</w:t>
      </w:r>
    </w:p>
    <w:p w:rsidR="002A5800" w:rsidRDefault="002A5800" w:rsidP="002A5800">
      <w:r>
        <w:rPr>
          <w:rStyle w:val="Emphasis"/>
        </w:rPr>
        <w:t>IDEA Formula Grants</w:t>
      </w:r>
      <w:r>
        <w:t xml:space="preserve"> Ideas That Work </w:t>
      </w:r>
      <w:r>
        <w:rPr>
          <w:rStyle w:val="StyleUnderline"/>
        </w:rPr>
        <w:t>OSEP</w:t>
      </w:r>
      <w:r>
        <w:t xml:space="preserve">, through Part B of the Individuals with Disabilities Education Act (IDEA), </w:t>
      </w:r>
      <w:r>
        <w:rPr>
          <w:rStyle w:val="StyleUnderline"/>
        </w:rPr>
        <w:t xml:space="preserve">provides formula grants to states to assist them in providing a </w:t>
      </w:r>
      <w:r>
        <w:rPr>
          <w:rStyle w:val="Emphasis"/>
        </w:rPr>
        <w:t>free appropriate public education</w:t>
      </w:r>
      <w:r>
        <w:rPr>
          <w:rStyle w:val="StyleUnderline"/>
        </w:rPr>
        <w:t xml:space="preserve"> in the </w:t>
      </w:r>
      <w:r>
        <w:rPr>
          <w:rStyle w:val="Emphasis"/>
        </w:rPr>
        <w:t>least restrictive environment for children with disabilities ages 3 through 21</w:t>
      </w:r>
      <w:r>
        <w:t xml:space="preserve"> (Part B, Sections 611 and 619). Also, OSEP, through the IDEA Part C formula grant program, assists states in providing early intervention services for infants and toddlers birth through age two and their families. Top </w:t>
      </w:r>
      <w:r>
        <w:rPr>
          <w:rStyle w:val="Emphasis"/>
        </w:rPr>
        <w:t xml:space="preserve">IDEA Discretionary Grants </w:t>
      </w:r>
      <w:r>
        <w:t xml:space="preserve">OSEP, through Part D of IDEA, provides discretionary grants </w:t>
      </w:r>
      <w:r>
        <w:rPr>
          <w:rStyle w:val="Emphasis"/>
        </w:rPr>
        <w:t>to institutions of higher education and other non-profit organizations</w:t>
      </w:r>
      <w:r>
        <w:t xml:space="preserve"> to support research, demonstrations, technical assistance and dissemination, technology, personnel development and parent-training and information centers.</w:t>
      </w:r>
    </w:p>
    <w:p w:rsidR="002A5800" w:rsidRDefault="002A5800" w:rsidP="002A5800">
      <w:pPr>
        <w:rPr>
          <w:sz w:val="22"/>
        </w:rPr>
      </w:pPr>
    </w:p>
    <w:p w:rsidR="002A5800" w:rsidRDefault="002A5800" w:rsidP="002A5800">
      <w:pPr>
        <w:pStyle w:val="Heading4"/>
      </w:pPr>
      <w:r>
        <w:t>IDEA is administered through formula grants</w:t>
      </w:r>
    </w:p>
    <w:p w:rsidR="002A5800" w:rsidRDefault="002A5800" w:rsidP="002A5800">
      <w:pPr>
        <w:rPr>
          <w:rStyle w:val="Style13ptBold"/>
          <w:b w:val="0"/>
          <w:sz w:val="22"/>
        </w:rPr>
      </w:pPr>
      <w:r>
        <w:rPr>
          <w:rStyle w:val="Style13ptBold"/>
        </w:rPr>
        <w:t xml:space="preserve">DOE 16 </w:t>
      </w:r>
      <w:r>
        <w:rPr>
          <w:rStyle w:val="Style13ptBold"/>
          <w:b w:val="0"/>
        </w:rPr>
        <w:t xml:space="preserve">– </w:t>
      </w:r>
      <w:r>
        <w:rPr>
          <w:rStyle w:val="Style13ptBold"/>
          <w:b w:val="0"/>
          <w:sz w:val="22"/>
        </w:rPr>
        <w:t>U.S. Department of education. (4/13/16, “U.S. Department of Education Issues Guidance for Schools on Leveraging Federal Funding to Support STEM Education”, https://www.ed.gov/news/press-releases/us-department-education-issues-guidance-schools-leveraging-federal-funding-support-stem-education)//ET</w:t>
      </w:r>
    </w:p>
    <w:p w:rsidR="002A5800" w:rsidRDefault="002A5800" w:rsidP="002A5800">
      <w:r>
        <w:t xml:space="preserve">The letter serves as a resource for decreasing the equity and opportunity gaps for historically underserved students in STEM and gives examples of how </w:t>
      </w:r>
      <w:r>
        <w:rPr>
          <w:rStyle w:val="Emphasis"/>
        </w:rPr>
        <w:t>federal funds</w:t>
      </w:r>
      <w:r>
        <w:t>—</w:t>
      </w:r>
      <w:r>
        <w:rPr>
          <w:rStyle w:val="Emphasis"/>
        </w:rPr>
        <w:t xml:space="preserve">through formula grant programs in the Elementary and Secondary Education Act, the Individuals with Disabilities Education Act and the </w:t>
      </w:r>
      <w:r>
        <w:t xml:space="preserve">Carl D. </w:t>
      </w:r>
      <w:r>
        <w:rPr>
          <w:rStyle w:val="Emphasis"/>
        </w:rPr>
        <w:t>Perkins Career and Technical Education Act</w:t>
      </w:r>
      <w:r>
        <w:rPr>
          <w:rStyle w:val="StyleUnderline"/>
        </w:rPr>
        <w:t>—can</w:t>
      </w:r>
      <w:r>
        <w:t xml:space="preserve"> </w:t>
      </w:r>
      <w:r>
        <w:rPr>
          <w:rStyle w:val="StyleUnderline"/>
        </w:rPr>
        <w:t>support efforts to improve instruction and student outcomes</w:t>
      </w:r>
      <w:r>
        <w:t xml:space="preserve"> in STEM fields.</w:t>
      </w:r>
    </w:p>
    <w:p w:rsidR="002A5800" w:rsidRDefault="002A5800" w:rsidP="002A5800">
      <w:pPr>
        <w:pStyle w:val="Heading3"/>
      </w:pPr>
      <w:r>
        <w:t>--Natives</w:t>
      </w:r>
    </w:p>
    <w:p w:rsidR="002A5800" w:rsidRDefault="002A5800" w:rsidP="002A5800">
      <w:pPr>
        <w:pStyle w:val="Heading4"/>
      </w:pPr>
      <w:r>
        <w:t>Majority of native funding awarded through exclusively formula grants</w:t>
      </w:r>
    </w:p>
    <w:p w:rsidR="002A5800" w:rsidRDefault="002A5800" w:rsidP="002A5800">
      <w:pPr>
        <w:rPr>
          <w:rStyle w:val="Style13ptBold"/>
          <w:b w:val="0"/>
          <w:sz w:val="22"/>
        </w:rPr>
      </w:pPr>
      <w:r>
        <w:rPr>
          <w:rStyle w:val="Style13ptBold"/>
        </w:rPr>
        <w:t xml:space="preserve">CRS 13 </w:t>
      </w:r>
      <w:r>
        <w:rPr>
          <w:rStyle w:val="Style13ptBold"/>
          <w:b w:val="0"/>
        </w:rPr>
        <w:t xml:space="preserve">--- </w:t>
      </w:r>
      <w:r>
        <w:rPr>
          <w:rStyle w:val="Style13ptBold"/>
          <w:b w:val="0"/>
          <w:sz w:val="22"/>
        </w:rPr>
        <w:t>Congressional Research Service. (January 14, 2013, “Administration’s Proposal to Reauthorize the Elementary and Secondary Education Act: Comparison to Current Law”, https://www.everycrsreport.com/reports/R41355.html)//ET</w:t>
      </w:r>
    </w:p>
    <w:tbl>
      <w:tblPr>
        <w:tblW w:w="11250" w:type="dxa"/>
        <w:shd w:val="clear" w:color="auto" w:fill="FFFFFF"/>
        <w:tblLook w:val="04A0" w:firstRow="1" w:lastRow="0" w:firstColumn="1" w:lastColumn="0" w:noHBand="0" w:noVBand="1"/>
      </w:tblPr>
      <w:tblGrid>
        <w:gridCol w:w="3753"/>
        <w:gridCol w:w="1059"/>
        <w:gridCol w:w="1439"/>
        <w:gridCol w:w="1059"/>
        <w:gridCol w:w="1987"/>
        <w:gridCol w:w="1953"/>
      </w:tblGrid>
      <w:tr w:rsidR="002A5800" w:rsidTr="002A5800">
        <w:tc>
          <w:tcPr>
            <w:tcW w:w="0" w:type="auto"/>
            <w:gridSpan w:val="3"/>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FY2010</w:t>
            </w:r>
          </w:p>
        </w:tc>
        <w:tc>
          <w:tcPr>
            <w:tcW w:w="0" w:type="auto"/>
            <w:gridSpan w:val="2"/>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FY2011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FY2010–FY2011 Request</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Program</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Award Type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Appropriation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Award Type</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Requested Appropriation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Change in Appropriation</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bookmarkStart w:id="1" w:name="_Hlk260643273"/>
            <w:bookmarkEnd w:id="1"/>
            <w:r>
              <w:rPr>
                <w:rFonts w:eastAsia="Times New Roman" w:cs="Helvetica"/>
                <w:color w:val="333333"/>
                <w:sz w:val="21"/>
                <w:szCs w:val="21"/>
              </w:rPr>
              <w:t>School Improvement Grants (School Improvement Grants)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$545,633</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$900,000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$354,367</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Title I-A (College- and Career-Ready Students)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$14,492,401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$14,492,401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Migrant Education Program</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$394,771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$394,771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Neglected and Delinquent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$50,427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$50,427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Evaluation (Title I)</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$9,167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$9,167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English Language Acquisition (English Learner Education)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$750,000</w:t>
            </w:r>
            <w:hyperlink r:id="rId16" w:anchor="_Ref257799256" w:history="1">
              <w:r>
                <w:rPr>
                  <w:rStyle w:val="Hyperlink"/>
                  <w:rFonts w:eastAsia="Times New Roman" w:cs="Helvetica"/>
                  <w:color w:val="23527C"/>
                  <w:szCs w:val="16"/>
                  <w:u w:val="single"/>
                  <w:vertAlign w:val="superscript"/>
                </w:rPr>
                <w:t>a</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$800,000</w:t>
            </w:r>
            <w:hyperlink r:id="rId17" w:anchor="_Ref257799256" w:history="1">
              <w:r>
                <w:rPr>
                  <w:rStyle w:val="Hyperlink"/>
                  <w:rFonts w:eastAsia="Times New Roman" w:cs="Helvetica"/>
                  <w:color w:val="23527C"/>
                  <w:szCs w:val="16"/>
                  <w:u w:val="single"/>
                  <w:vertAlign w:val="superscript"/>
                </w:rPr>
                <w:t>a</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$50,000</w:t>
            </w:r>
            <w:hyperlink r:id="rId18" w:anchor="_Ref257799256" w:history="1">
              <w:r>
                <w:rPr>
                  <w:rStyle w:val="Hyperlink"/>
                  <w:rFonts w:eastAsia="Times New Roman" w:cs="Helvetica"/>
                  <w:color w:val="23527C"/>
                  <w:szCs w:val="16"/>
                  <w:u w:val="single"/>
                  <w:vertAlign w:val="superscript"/>
                </w:rPr>
                <w:t>a</w:t>
              </w:r>
            </w:hyperlink>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21</w:t>
            </w:r>
            <w:r>
              <w:rPr>
                <w:rFonts w:eastAsia="Times New Roman" w:cs="Helvetica"/>
                <w:color w:val="333333"/>
                <w:szCs w:val="16"/>
                <w:vertAlign w:val="superscript"/>
              </w:rPr>
              <w:t>st</w:t>
            </w:r>
            <w:r>
              <w:rPr>
                <w:rFonts w:eastAsia="Times New Roman" w:cs="Helvetica"/>
                <w:color w:val="333333"/>
                <w:sz w:val="21"/>
                <w:szCs w:val="21"/>
              </w:rPr>
              <w:t> Century Community Learning Centers</w:t>
            </w:r>
            <w:hyperlink r:id="rId19" w:anchor="_Ref257799256" w:history="1">
              <w:r>
                <w:rPr>
                  <w:rStyle w:val="Hyperlink"/>
                  <w:rFonts w:eastAsia="Times New Roman" w:cs="Helvetica"/>
                  <w:color w:val="23527C"/>
                  <w:szCs w:val="16"/>
                  <w:u w:val="single"/>
                  <w:vertAlign w:val="superscript"/>
                </w:rPr>
                <w:t>a</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$1,166,166</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$1,166,166</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Magnet Schools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$100,000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$110,000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$10,000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Fund for the Improvement of Education (National Programs)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C/DA</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$125,461</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S/C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$25,000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-$100,461</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Promise Neighborhoods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$210,000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$200,000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Women's Educational Equity</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$2,423</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$2,278</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-$145</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Assessing Achievement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$410,732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$450,000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$39,268</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Rural Education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$174,882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$174,882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Style w:val="Emphasis"/>
                <w:rFonts w:cstheme="minorBidi"/>
              </w:rPr>
            </w:pPr>
            <w:r>
              <w:rPr>
                <w:rStyle w:val="Emphasis"/>
              </w:rPr>
              <w:t>Indian Education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Style w:val="Emphasis"/>
              </w:rPr>
            </w:pPr>
            <w:r>
              <w:rPr>
                <w:rStyle w:val="Emphasis"/>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Style w:val="Emphasis"/>
              </w:rPr>
            </w:pPr>
            <w:r>
              <w:rPr>
                <w:rStyle w:val="Emphasis"/>
              </w:rPr>
              <w:t>$127,282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Style w:val="Emphasis"/>
              </w:rPr>
            </w:pPr>
            <w:r>
              <w:rPr>
                <w:rStyle w:val="Emphasis"/>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Style w:val="Emphasis"/>
              </w:rPr>
            </w:pPr>
            <w:r>
              <w:rPr>
                <w:rStyle w:val="Emphasis"/>
              </w:rPr>
              <w:t>$127,282</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 </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Native Hawaiian Education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C/DA</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$34,315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$34,315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Alaska Native Education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C/DA</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$33,315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$33,315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Impact Aid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$1,276,183</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$1,276,183</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Subtotal for existing ESEA programs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$19,703,158</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$20,256,187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$553,029</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Race to the Top</w:t>
            </w:r>
            <w:hyperlink r:id="rId20" w:anchor="_Ref260641682" w:history="1">
              <w:r>
                <w:rPr>
                  <w:rStyle w:val="Hyperlink"/>
                  <w:rFonts w:eastAsia="Times New Roman" w:cs="Helvetica"/>
                  <w:color w:val="23527C"/>
                  <w:szCs w:val="16"/>
                  <w:u w:val="single"/>
                  <w:vertAlign w:val="superscript"/>
                </w:rPr>
                <w:t>b</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na</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$1,350,000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$1,350,000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Investing in Innovation</w:t>
            </w:r>
            <w:hyperlink r:id="rId21" w:anchor="_Ref260641760" w:history="1">
              <w:r>
                <w:rPr>
                  <w:rStyle w:val="Hyperlink"/>
                  <w:rFonts w:eastAsia="Times New Roman" w:cs="Helvetica"/>
                  <w:color w:val="23527C"/>
                  <w:szCs w:val="16"/>
                  <w:u w:val="single"/>
                  <w:vertAlign w:val="superscript"/>
                </w:rPr>
                <w:t>c</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na</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C</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$500,000</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$500,000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Homeless Education</w:t>
            </w:r>
            <w:hyperlink r:id="rId22" w:anchor="_Ref260642615" w:history="1">
              <w:r>
                <w:rPr>
                  <w:rStyle w:val="Hyperlink"/>
                  <w:rFonts w:eastAsia="Times New Roman" w:cs="Helvetica"/>
                  <w:color w:val="23527C"/>
                  <w:szCs w:val="16"/>
                  <w:u w:val="single"/>
                  <w:vertAlign w:val="superscript"/>
                </w:rPr>
                <w:t>d</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$65,427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F</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$65,427</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$0</w:t>
            </w:r>
          </w:p>
        </w:tc>
      </w:tr>
      <w:tr w:rsidR="002A5800" w:rsidTr="002A580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Total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$19,768,585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$22,171,614</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2A5800" w:rsidRDefault="002A5800">
            <w:pPr>
              <w:spacing w:after="150"/>
              <w:rPr>
                <w:rFonts w:eastAsia="Times New Roman" w:cs="Helvetica"/>
                <w:color w:val="333333"/>
                <w:sz w:val="21"/>
                <w:szCs w:val="21"/>
              </w:rPr>
            </w:pPr>
            <w:r>
              <w:rPr>
                <w:rFonts w:eastAsia="Times New Roman" w:cs="Helvetica"/>
                <w:color w:val="333333"/>
                <w:sz w:val="21"/>
                <w:szCs w:val="21"/>
              </w:rPr>
              <w:t>$2,403,029</w:t>
            </w:r>
          </w:p>
        </w:tc>
      </w:tr>
    </w:tbl>
    <w:p w:rsidR="002A5800" w:rsidRDefault="002A5800" w:rsidP="002A5800">
      <w:pPr>
        <w:shd w:val="clear" w:color="auto" w:fill="FFFFFF"/>
        <w:spacing w:after="150"/>
        <w:rPr>
          <w:rFonts w:ascii="Calibri" w:eastAsia="Times New Roman" w:hAnsi="Calibri" w:cs="Helvetica"/>
          <w:color w:val="333333"/>
          <w:sz w:val="21"/>
          <w:szCs w:val="21"/>
        </w:rPr>
      </w:pPr>
      <w:bookmarkStart w:id="2" w:name="_Ref258940827"/>
      <w:bookmarkStart w:id="3" w:name="_Ref256754840"/>
      <w:bookmarkEnd w:id="2"/>
      <w:r>
        <w:rPr>
          <w:rFonts w:eastAsia="Times New Roman" w:cs="Helvetica"/>
          <w:b/>
          <w:bCs/>
          <w:color w:val="333333"/>
          <w:sz w:val="21"/>
          <w:szCs w:val="21"/>
        </w:rPr>
        <w:t>Source: </w:t>
      </w:r>
      <w:r>
        <w:rPr>
          <w:rFonts w:eastAsia="Times New Roman" w:cs="Helvetica"/>
          <w:color w:val="333333"/>
          <w:sz w:val="21"/>
          <w:szCs w:val="21"/>
        </w:rPr>
        <w:t>Table prepared by CRS based on analysis of the FY2011 budget request included in U.S. Department of Education, </w:t>
      </w:r>
      <w:r>
        <w:rPr>
          <w:rFonts w:eastAsia="Times New Roman" w:cs="Helvetica"/>
          <w:i/>
          <w:iCs/>
          <w:color w:val="333333"/>
          <w:sz w:val="21"/>
          <w:szCs w:val="21"/>
        </w:rPr>
        <w:t>Justifications of Appropriation Estimates to the Congress: FY2011</w:t>
      </w:r>
      <w:r>
        <w:rPr>
          <w:rFonts w:eastAsia="Times New Roman" w:cs="Helvetica"/>
          <w:color w:val="333333"/>
          <w:sz w:val="21"/>
          <w:szCs w:val="21"/>
        </w:rPr>
        <w:t>, 2010.</w:t>
      </w:r>
    </w:p>
    <w:p w:rsidR="002A5800" w:rsidRDefault="002A5800" w:rsidP="002A5800">
      <w:pPr>
        <w:shd w:val="clear" w:color="auto" w:fill="FFFFFF"/>
        <w:spacing w:after="150"/>
        <w:rPr>
          <w:rFonts w:eastAsia="Times New Roman" w:cs="Helvetica"/>
          <w:color w:val="333333"/>
          <w:sz w:val="21"/>
          <w:szCs w:val="21"/>
        </w:rPr>
      </w:pPr>
      <w:r>
        <w:rPr>
          <w:rFonts w:eastAsia="Times New Roman" w:cs="Helvetica"/>
          <w:b/>
          <w:bCs/>
          <w:color w:val="333333"/>
          <w:sz w:val="21"/>
          <w:szCs w:val="21"/>
        </w:rPr>
        <w:t>Notes:</w:t>
      </w:r>
      <w:r>
        <w:rPr>
          <w:rFonts w:eastAsia="Times New Roman" w:cs="Helvetica"/>
          <w:color w:val="333333"/>
          <w:sz w:val="21"/>
          <w:szCs w:val="21"/>
        </w:rPr>
        <w:t> With respect to the type of program, the interpretation of how to classify a program was primarily based on relevant statutory language. In some cases, programs may have a "trigger" appropriations level at which the program is either formula or competitive.</w:t>
      </w:r>
    </w:p>
    <w:p w:rsidR="002A5800" w:rsidRDefault="002A5800" w:rsidP="002A5800">
      <w:pPr>
        <w:shd w:val="clear" w:color="auto" w:fill="FFFFFF"/>
        <w:spacing w:after="150"/>
        <w:rPr>
          <w:rStyle w:val="Emphasis"/>
          <w:rFonts w:cstheme="minorBidi"/>
        </w:rPr>
      </w:pPr>
      <w:r>
        <w:rPr>
          <w:rStyle w:val="Emphasis"/>
        </w:rPr>
        <w:t>F: Funds awarded primarily through formula grants.</w:t>
      </w:r>
    </w:p>
    <w:p w:rsidR="002A5800" w:rsidRDefault="002A5800" w:rsidP="002A5800">
      <w:pPr>
        <w:shd w:val="clear" w:color="auto" w:fill="FFFFFF"/>
        <w:spacing w:after="150"/>
        <w:rPr>
          <w:rFonts w:eastAsia="Times New Roman" w:cs="Helvetica"/>
          <w:color w:val="333333"/>
          <w:sz w:val="21"/>
          <w:szCs w:val="21"/>
        </w:rPr>
      </w:pPr>
      <w:r>
        <w:rPr>
          <w:rFonts w:eastAsia="Times New Roman" w:cs="Helvetica"/>
          <w:b/>
          <w:bCs/>
          <w:color w:val="333333"/>
          <w:sz w:val="21"/>
          <w:szCs w:val="21"/>
        </w:rPr>
        <w:t>C: </w:t>
      </w:r>
      <w:r>
        <w:rPr>
          <w:rFonts w:eastAsia="Times New Roman" w:cs="Helvetica"/>
          <w:color w:val="333333"/>
          <w:sz w:val="21"/>
          <w:szCs w:val="21"/>
        </w:rPr>
        <w:t>Funds awarded primarily through competitive grants.</w:t>
      </w:r>
    </w:p>
    <w:bookmarkEnd w:id="3"/>
    <w:p w:rsidR="002A5800" w:rsidRDefault="002A5800" w:rsidP="002A5800">
      <w:pPr>
        <w:shd w:val="clear" w:color="auto" w:fill="FFFFFF"/>
        <w:spacing w:after="150"/>
        <w:rPr>
          <w:rFonts w:eastAsia="Times New Roman" w:cs="Helvetica"/>
          <w:color w:val="333333"/>
          <w:sz w:val="21"/>
          <w:szCs w:val="21"/>
        </w:rPr>
      </w:pPr>
      <w:r>
        <w:rPr>
          <w:rFonts w:eastAsia="Times New Roman" w:cs="Helvetica"/>
          <w:b/>
          <w:bCs/>
          <w:color w:val="333333"/>
          <w:sz w:val="21"/>
          <w:szCs w:val="21"/>
        </w:rPr>
        <w:t>DA:</w:t>
      </w:r>
      <w:r>
        <w:rPr>
          <w:rFonts w:eastAsia="Times New Roman" w:cs="Helvetica"/>
          <w:color w:val="333333"/>
          <w:sz w:val="21"/>
          <w:szCs w:val="21"/>
        </w:rPr>
        <w:t> Funds awarded based on congressionally directed authorization or appropriation.</w:t>
      </w:r>
    </w:p>
    <w:p w:rsidR="002A5800" w:rsidRDefault="002A5800" w:rsidP="002A5800">
      <w:pPr>
        <w:pStyle w:val="Heading3"/>
        <w:rPr>
          <w:sz w:val="32"/>
        </w:rPr>
      </w:pPr>
      <w:r>
        <w:t xml:space="preserve">--Title I/All </w:t>
      </w:r>
    </w:p>
    <w:p w:rsidR="002A5800" w:rsidRDefault="002A5800" w:rsidP="002A5800">
      <w:pPr>
        <w:pStyle w:val="Heading4"/>
      </w:pPr>
      <w:r>
        <w:t>Title 1,2,3 and IDEA are explicitly formula grant based programs</w:t>
      </w:r>
    </w:p>
    <w:p w:rsidR="002A5800" w:rsidRDefault="002A5800" w:rsidP="002A5800">
      <w:pPr>
        <w:rPr>
          <w:rStyle w:val="Style13ptBold"/>
          <w:b w:val="0"/>
          <w:sz w:val="22"/>
        </w:rPr>
      </w:pPr>
      <w:r>
        <w:rPr>
          <w:rStyle w:val="Style13ptBold"/>
        </w:rPr>
        <w:t xml:space="preserve">The Grant Coaches 2011 </w:t>
      </w:r>
      <w:r>
        <w:rPr>
          <w:rStyle w:val="Style13ptBold"/>
          <w:b w:val="0"/>
        </w:rPr>
        <w:t xml:space="preserve">--- </w:t>
      </w:r>
      <w:r>
        <w:rPr>
          <w:rStyle w:val="Style13ptBold"/>
          <w:b w:val="0"/>
          <w:sz w:val="22"/>
        </w:rPr>
        <w:t>led by DR. MARILYN RICE KORHONEN.</w:t>
      </w:r>
      <w:r>
        <w:rPr>
          <w:rStyle w:val="Style13ptBold"/>
        </w:rPr>
        <w:t xml:space="preserve"> </w:t>
      </w:r>
      <w:r>
        <w:rPr>
          <w:rStyle w:val="Style13ptBold"/>
          <w:b w:val="0"/>
          <w:sz w:val="22"/>
        </w:rPr>
        <w:t>(“DISCRETIONARY VS. FORMULA FUNDING”, https://thegrantcoaches.wordpress.com/the-grant-coaches-grants-101/grant-coaching-101-%E2%80%93-discretionary-vs-formula-funding/)//ET</w:t>
      </w:r>
    </w:p>
    <w:p w:rsidR="002A5800" w:rsidRDefault="002A5800" w:rsidP="002A5800">
      <w:r>
        <w:rPr>
          <w:rStyle w:val="StyleUnderline"/>
        </w:rPr>
        <w:t xml:space="preserve">Formula Grants are allocated to districts on a per-student basis. The </w:t>
      </w:r>
      <w:r>
        <w:rPr>
          <w:rStyle w:val="Emphasis"/>
        </w:rPr>
        <w:t>majority of all funding</w:t>
      </w:r>
      <w:r>
        <w:rPr>
          <w:rStyle w:val="StyleUnderline"/>
        </w:rPr>
        <w:t xml:space="preserve"> comes into a school district </w:t>
      </w:r>
      <w:r>
        <w:rPr>
          <w:rStyle w:val="Emphasis"/>
        </w:rPr>
        <w:t xml:space="preserve">on a formula basis. Formula Grants are not competitive. </w:t>
      </w:r>
      <w:r>
        <w:t xml:space="preserve">Unless authorizing legislation changes, schools may apply for and receive Formula Grants each year. </w:t>
      </w:r>
      <w:r>
        <w:rPr>
          <w:rStyle w:val="StyleUnderline"/>
        </w:rPr>
        <w:t>Discretionary Grants are</w:t>
      </w:r>
      <w:r>
        <w:t xml:space="preserve"> often </w:t>
      </w:r>
      <w:r>
        <w:rPr>
          <w:rStyle w:val="StyleUnderline"/>
        </w:rPr>
        <w:t>competitive</w:t>
      </w:r>
      <w:r>
        <w:t xml:space="preserve">. They are allocated to eligible districts on a competitive basis. Eligible schools may compete for funding. Discretionary Grants fund specific projects for specific grant periods. Eligibility is often determined based on student socio-economic status, student achievement, or district or campus performance. </w:t>
      </w:r>
      <w:r>
        <w:rPr>
          <w:rStyle w:val="Emphasis"/>
        </w:rPr>
        <w:t>Title I, Title II, and Title III</w:t>
      </w:r>
      <w:r>
        <w:t xml:space="preserve"> </w:t>
      </w:r>
      <w:r>
        <w:rPr>
          <w:rStyle w:val="StyleUnderline"/>
        </w:rPr>
        <w:t xml:space="preserve">are all examples of Formula Grants </w:t>
      </w:r>
      <w:r>
        <w:t xml:space="preserve">authorized in the federal No Child Left Behind statute. </w:t>
      </w:r>
      <w:r>
        <w:rPr>
          <w:rStyle w:val="StyleUnderline"/>
        </w:rPr>
        <w:t xml:space="preserve">The majority of these funds are allocated to schools based on the relative socio-economic status of the students that they serve. </w:t>
      </w:r>
      <w:r>
        <w:rPr>
          <w:rStyle w:val="Emphasis"/>
        </w:rPr>
        <w:t>IDEA</w:t>
      </w:r>
      <w:r>
        <w:t xml:space="preserve">-B </w:t>
      </w:r>
      <w:r>
        <w:rPr>
          <w:rStyle w:val="Emphasis"/>
        </w:rPr>
        <w:t>is an example of a Formula Grant authorized in the federal Individuals with Disabilities Act.</w:t>
      </w:r>
      <w:r>
        <w:t xml:space="preserve"> The majority of this funding source is allocated to schools based on the number of students with disabilities that they serve.</w:t>
      </w:r>
    </w:p>
    <w:p w:rsidR="002A5800" w:rsidRDefault="002A5800" w:rsidP="002A5800">
      <w:pPr>
        <w:pStyle w:val="Heading3"/>
        <w:rPr>
          <w:sz w:val="32"/>
        </w:rPr>
      </w:pPr>
      <w:r>
        <w:t>--Title IV</w:t>
      </w:r>
    </w:p>
    <w:p w:rsidR="002A5800" w:rsidRDefault="002A5800" w:rsidP="002A5800">
      <w:pPr>
        <w:pStyle w:val="Heading4"/>
      </w:pPr>
      <w:r>
        <w:t>Title IV utilizes formula grants</w:t>
      </w:r>
    </w:p>
    <w:p w:rsidR="002A5800" w:rsidRDefault="002A5800" w:rsidP="002A5800">
      <w:r>
        <w:rPr>
          <w:rStyle w:val="Style13ptBold"/>
        </w:rPr>
        <w:t>College Board No Date</w:t>
      </w:r>
      <w:r>
        <w:t xml:space="preserve"> – *either 2016 or 2017* (“Title IV Funding”, http://advocacy.collegeboard.org/Title4?0)//ET</w:t>
      </w:r>
    </w:p>
    <w:p w:rsidR="002A5800" w:rsidRDefault="002A5800" w:rsidP="002A5800">
      <w:r>
        <w:rPr>
          <w:rStyle w:val="StyleUnderline"/>
        </w:rPr>
        <w:t xml:space="preserve">Details about the new Title IV block grant: </w:t>
      </w:r>
      <w:r>
        <w:t xml:space="preserve">States and districts can increase AP participation using Title IV-A funds for the following allowable activities: Providing funding to cover part or all of the cost of AP Exam fees for low-income students; Increasing student access to and improving student achievement in postsecondary level instruction and exams, including AP; and Funding specific AP courses/exams. </w:t>
      </w:r>
      <w:r>
        <w:rPr>
          <w:rStyle w:val="Emphasis"/>
        </w:rPr>
        <w:t>Funds under the Title IV</w:t>
      </w:r>
      <w:r>
        <w:t xml:space="preserve">-A block grant </w:t>
      </w:r>
      <w:r>
        <w:rPr>
          <w:rStyle w:val="Emphasis"/>
        </w:rPr>
        <w:t>will be distributed through formula grants to states based on the Title I funding formula.</w:t>
      </w:r>
      <w:r>
        <w:t xml:space="preserve"> States will then allocate at least 95% of Title IV-A funds to local educational agencies. Congress provided $400 million for the Title IV-A block grant in the FY2017 federal budget.</w:t>
      </w:r>
    </w:p>
    <w:p w:rsidR="002A5800" w:rsidRDefault="002A5800" w:rsidP="002A5800">
      <w:pPr>
        <w:pStyle w:val="Heading3"/>
        <w:rPr>
          <w:sz w:val="32"/>
        </w:rPr>
      </w:pPr>
      <w:r>
        <w:t>--Title V</w:t>
      </w:r>
    </w:p>
    <w:p w:rsidR="002A5800" w:rsidRDefault="002A5800" w:rsidP="002A5800">
      <w:pPr>
        <w:pStyle w:val="Heading4"/>
      </w:pPr>
      <w:r>
        <w:t>Title V’s formula grants</w:t>
      </w:r>
    </w:p>
    <w:p w:rsidR="002A5800" w:rsidRDefault="002A5800" w:rsidP="002A5800">
      <w:pPr>
        <w:rPr>
          <w:rStyle w:val="Style13ptBold"/>
          <w:b w:val="0"/>
          <w:sz w:val="22"/>
        </w:rPr>
      </w:pPr>
      <w:r>
        <w:rPr>
          <w:rStyle w:val="Style13ptBold"/>
        </w:rPr>
        <w:t xml:space="preserve">DOE 2002 </w:t>
      </w:r>
      <w:r>
        <w:rPr>
          <w:rStyle w:val="Style13ptBold"/>
          <w:b w:val="0"/>
          <w:sz w:val="22"/>
        </w:rPr>
        <w:t>(“Title V, Part A of the Elementary and Secondary Education Act, as reauthorized by the No Child Left Behind (NCLB) Act”, https://www2.ed.gov/programs/innovative/titlevguidance2002.pdf)//ET</w:t>
      </w:r>
    </w:p>
    <w:p w:rsidR="002A5800" w:rsidRDefault="002A5800" w:rsidP="002A5800">
      <w:r>
        <w:t xml:space="preserve">The No Child Left Behind Act (NCLB Act), Public Law 107-110, reauthorized former Title VI of the Elementary and Secondary Education Act of 1965 (ESEA), as </w:t>
      </w:r>
      <w:r>
        <w:rPr>
          <w:rStyle w:val="Emphasis"/>
        </w:rPr>
        <w:t>Title V</w:t>
      </w:r>
      <w:r>
        <w:t xml:space="preserve">, Part A – State Grants for Innovative Programs (Title V-A). Title V-A </w:t>
      </w:r>
      <w:r>
        <w:rPr>
          <w:rStyle w:val="Emphasis"/>
        </w:rPr>
        <w:t>provides formula grants to State and local educational agencies</w:t>
      </w:r>
      <w:r>
        <w:t xml:space="preserve"> (SEAs and LEAs) </w:t>
      </w:r>
      <w:r>
        <w:rPr>
          <w:rStyle w:val="Emphasis"/>
        </w:rPr>
        <w:t>and is designed to increase the academic achievement of,</w:t>
      </w:r>
      <w:r>
        <w:t xml:space="preserve"> and improve the quality of education for, </w:t>
      </w:r>
      <w:r>
        <w:rPr>
          <w:rStyle w:val="Emphasis"/>
        </w:rPr>
        <w:t>all students</w:t>
      </w:r>
      <w:r>
        <w:t xml:space="preserve">. Under Title V-A, SEAs and LEAs may use funds in a variety of ways. The driving focus, however, is to increase student academic achievement. </w:t>
      </w:r>
    </w:p>
    <w:p w:rsidR="002A5800" w:rsidRDefault="002A5800" w:rsidP="002A5800">
      <w:pPr>
        <w:pStyle w:val="Heading3"/>
        <w:rPr>
          <w:sz w:val="32"/>
        </w:rPr>
      </w:pPr>
      <w:r>
        <w:t>--Title VI</w:t>
      </w:r>
    </w:p>
    <w:p w:rsidR="002A5800" w:rsidRDefault="002A5800" w:rsidP="002A5800">
      <w:pPr>
        <w:pStyle w:val="Heading4"/>
      </w:pPr>
      <w:r>
        <w:t>Title VI rural education programs are through formula grants</w:t>
      </w:r>
    </w:p>
    <w:p w:rsidR="002A5800" w:rsidRDefault="002A5800" w:rsidP="002A5800">
      <w:pPr>
        <w:rPr>
          <w:rStyle w:val="Style13ptBold"/>
          <w:b w:val="0"/>
          <w:sz w:val="22"/>
        </w:rPr>
      </w:pPr>
      <w:r>
        <w:rPr>
          <w:rStyle w:val="Style13ptBold"/>
        </w:rPr>
        <w:t xml:space="preserve">CRS 13 </w:t>
      </w:r>
      <w:r>
        <w:rPr>
          <w:rStyle w:val="Style13ptBold"/>
          <w:b w:val="0"/>
        </w:rPr>
        <w:t xml:space="preserve">--- </w:t>
      </w:r>
      <w:r>
        <w:rPr>
          <w:rStyle w:val="Style13ptBold"/>
          <w:b w:val="0"/>
          <w:sz w:val="22"/>
        </w:rPr>
        <w:t>Congressional Research Service. (January 14, 2013, “Administration’s Proposal to Reauthorize the Elementary and Secondary Education Act: Comparison to Current Law”, https://www.everycrsreport.com/reports/R41355.html)//ET</w:t>
      </w:r>
    </w:p>
    <w:p w:rsidR="002A5800" w:rsidRDefault="002A5800" w:rsidP="002A5800">
      <w:r>
        <w:t xml:space="preserve">The </w:t>
      </w:r>
      <w:r>
        <w:rPr>
          <w:rStyle w:val="Emphasis"/>
        </w:rPr>
        <w:t>Rural Education Achievement Program (Title VIB)</w:t>
      </w:r>
      <w:r>
        <w:t xml:space="preserve"> </w:t>
      </w:r>
      <w:r>
        <w:rPr>
          <w:rStyle w:val="Emphasis"/>
        </w:rPr>
        <w:t>provides</w:t>
      </w:r>
      <w:r>
        <w:t xml:space="preserve"> two </w:t>
      </w:r>
      <w:r>
        <w:rPr>
          <w:rStyle w:val="Emphasis"/>
        </w:rPr>
        <w:t>formula grants</w:t>
      </w:r>
      <w:r>
        <w:t xml:space="preserve"> under Subparts 1 and 2 to rural LEAs that enroll either a small number of students or a large proportion of low-income students. </w:t>
      </w:r>
    </w:p>
    <w:p w:rsidR="002A5800" w:rsidRDefault="002A5800" w:rsidP="002A5800">
      <w:pPr>
        <w:pStyle w:val="Heading3"/>
      </w:pPr>
      <w:r>
        <w:t>--Title VII</w:t>
      </w:r>
    </w:p>
    <w:p w:rsidR="002A5800" w:rsidRDefault="002A5800" w:rsidP="002A5800">
      <w:pPr>
        <w:pStyle w:val="Heading4"/>
      </w:pPr>
      <w:r>
        <w:t>Title VII utilizes formula grants</w:t>
      </w:r>
    </w:p>
    <w:p w:rsidR="002A5800" w:rsidRDefault="002A5800" w:rsidP="002A5800">
      <w:pPr>
        <w:rPr>
          <w:bCs/>
        </w:rPr>
      </w:pPr>
      <w:r>
        <w:rPr>
          <w:rStyle w:val="Style13ptBold"/>
        </w:rPr>
        <w:t xml:space="preserve">Wisconsin DPI No Date --- </w:t>
      </w:r>
      <w:r>
        <w:rPr>
          <w:rStyle w:val="Style13ptBold"/>
          <w:b w:val="0"/>
          <w:sz w:val="22"/>
        </w:rPr>
        <w:t xml:space="preserve">Wisconsin department of public instruction. (“Summaries of the Titles under the Elementary and Secondary Education Act (ESEA)”, </w:t>
      </w:r>
      <w:r>
        <w:t>https://dpi.wi.gov/esea/historical/summaries)//ET</w:t>
      </w:r>
    </w:p>
    <w:p w:rsidR="002A5800" w:rsidRDefault="002A5800" w:rsidP="002A5800">
      <w:r>
        <w:rPr>
          <w:rStyle w:val="StyleUnderline"/>
        </w:rPr>
        <w:t>Title VII contains three parts: Indian Education, Native Hawaiian Education, and Alaska Native Education</w:t>
      </w:r>
      <w:r>
        <w:t xml:space="preserve">. Parts B and C deal with Native Hawaiian and Alaska Native Education and are not applicable to Wisconsin schools. As part of the federal trust responsibility, </w:t>
      </w:r>
      <w:r>
        <w:rPr>
          <w:rStyle w:val="StyleUnderline"/>
        </w:rPr>
        <w:t xml:space="preserve">Title VII addresses the </w:t>
      </w:r>
      <w:r>
        <w:t xml:space="preserve">"unique </w:t>
      </w:r>
      <w:r>
        <w:rPr>
          <w:rStyle w:val="StyleUnderline"/>
        </w:rPr>
        <w:t>educational</w:t>
      </w:r>
      <w:r>
        <w:t xml:space="preserve"> and culturally-related academic </w:t>
      </w:r>
      <w:r>
        <w:rPr>
          <w:rStyle w:val="StyleUnderline"/>
        </w:rPr>
        <w:t>needs</w:t>
      </w:r>
      <w:r>
        <w:t xml:space="preserve">," including language-related needs, </w:t>
      </w:r>
      <w:r>
        <w:rPr>
          <w:rStyle w:val="StyleUnderline"/>
        </w:rPr>
        <w:t xml:space="preserve">of American Indian students through </w:t>
      </w:r>
      <w:r>
        <w:rPr>
          <w:rStyle w:val="Emphasis"/>
        </w:rPr>
        <w:t>formula grants</w:t>
      </w:r>
      <w:r>
        <w:t xml:space="preserve"> to eligible LEAs and tribes from U.S. Department of Education. The act also provides competitive grant opportunities for "Special Programs and Projects to Improve Educational Opportunities for Indian Children," and authorizes other expenditures to serve American Indians, including fellowships, gifted and talented education, and tribal educational planning grants. (More information)</w:t>
      </w:r>
    </w:p>
    <w:p w:rsidR="002A5800" w:rsidRDefault="002A5800" w:rsidP="002A5800">
      <w:pPr>
        <w:pStyle w:val="Heading3"/>
      </w:pPr>
      <w:r>
        <w:t>--Vaccines</w:t>
      </w:r>
    </w:p>
    <w:p w:rsidR="002A5800" w:rsidRDefault="002A5800" w:rsidP="002A5800">
      <w:pPr>
        <w:pStyle w:val="Heading4"/>
      </w:pPr>
      <w:r>
        <w:t>Vaccines for Children program is administered through formula grants</w:t>
      </w:r>
    </w:p>
    <w:p w:rsidR="002A5800" w:rsidRDefault="002A5800" w:rsidP="002A5800">
      <w:pPr>
        <w:rPr>
          <w:rStyle w:val="Style13ptBold"/>
          <w:b w:val="0"/>
          <w:sz w:val="22"/>
        </w:rPr>
      </w:pPr>
      <w:r>
        <w:rPr>
          <w:rStyle w:val="Style13ptBold"/>
        </w:rPr>
        <w:t xml:space="preserve">CDC 12 </w:t>
      </w:r>
      <w:r>
        <w:rPr>
          <w:rStyle w:val="Style13ptBold"/>
          <w:b w:val="0"/>
          <w:sz w:val="22"/>
        </w:rPr>
        <w:t>(Center for Disease Control. “Justification of Estimates for Appropriation Committees”, https://www.cdc.gov/nceh/information/docs/FY_2012_CJ_CDC.pdf)//ET</w:t>
      </w:r>
    </w:p>
    <w:p w:rsidR="002A5800" w:rsidRDefault="002A5800" w:rsidP="002A5800">
      <w:pPr>
        <w:rPr>
          <w:rStyle w:val="Emphasis"/>
        </w:rPr>
      </w:pPr>
      <w:r>
        <w:t xml:space="preserve">FY 2012 </w:t>
      </w:r>
      <w:r>
        <w:rPr>
          <w:rStyle w:val="StyleUnderline"/>
        </w:rPr>
        <w:t xml:space="preserve">BUDGET SUBMISSION CENTERS FOR DISEASE CONTROL AND PREVENTION FY 2012 </w:t>
      </w:r>
      <w:r>
        <w:rPr>
          <w:rStyle w:val="Emphasis"/>
        </w:rPr>
        <w:t>MANDATORY STATE/FORMULA GRANTS Vaccines for Children Program (VFC)</w:t>
      </w:r>
    </w:p>
    <w:p w:rsidR="002A5800" w:rsidRDefault="002A5800" w:rsidP="002A5800">
      <w:r>
        <w:t>State/Territory/Grantee FY 2010 Actual FY 2011 Continuing Resolution3 FY 2012 President's Budget FY 2012 +/- FY 2011</w:t>
      </w:r>
    </w:p>
    <w:p w:rsidR="002A5800" w:rsidRDefault="002A5800" w:rsidP="002A5800">
      <w:r>
        <w:t>Kansas $21,230,831 $22,199,723 $22,858,938 $659,215</w:t>
      </w:r>
    </w:p>
    <w:p w:rsidR="002A5800" w:rsidRDefault="002A5800" w:rsidP="002A5800">
      <w:r>
        <w:t>Kentucky $40,775,638 $42,624,547 $43,915,553 $1,291,006</w:t>
      </w:r>
    </w:p>
    <w:p w:rsidR="002A5800" w:rsidRDefault="002A5800" w:rsidP="002A5800">
      <w:r>
        <w:t>Louisiana $72,380,764 $75,659,299 $77,958,187 $2,298,887</w:t>
      </w:r>
    </w:p>
    <w:p w:rsidR="002A5800" w:rsidRDefault="002A5800" w:rsidP="002A5800">
      <w:r>
        <w:t>Maine $9,740,128 $10,191,711 $10,479,345 $287,634</w:t>
      </w:r>
    </w:p>
    <w:p w:rsidR="002A5800" w:rsidRDefault="002A5800" w:rsidP="002A5800">
      <w:r>
        <w:t>Maryland $57,918,545 $60,546,018 $62,377,188 $1,831,170</w:t>
      </w:r>
    </w:p>
    <w:p w:rsidR="002A5800" w:rsidRDefault="002A5800" w:rsidP="002A5800">
      <w:r>
        <w:t>Massachusetts $54,987,313 $57,487,296 $59,214,330 $1,727,034</w:t>
      </w:r>
    </w:p>
    <w:p w:rsidR="002A5800" w:rsidRDefault="002A5800" w:rsidP="002A5800">
      <w:r>
        <w:t>Michigan $91,956,660 $96,130,001 $99,033,714 $2,903,713</w:t>
      </w:r>
    </w:p>
    <w:p w:rsidR="002A5800" w:rsidRDefault="002A5800" w:rsidP="002A5800">
      <w:r>
        <w:t>Minnesota $31,991,765 $33,448,646 $34,448,458 $999,811</w:t>
      </w:r>
    </w:p>
    <w:p w:rsidR="002A5800" w:rsidRDefault="002A5800" w:rsidP="002A5800">
      <w:r>
        <w:t>Mississippi $40,721,892 $42,568,913 $43,857,069 $1,288,155</w:t>
      </w:r>
    </w:p>
    <w:p w:rsidR="002A5800" w:rsidRDefault="002A5800" w:rsidP="002A5800">
      <w:r>
        <w:t>Missouri $52,264,137 $54,636,793 $56,285,648 $1,648,855</w:t>
      </w:r>
    </w:p>
    <w:p w:rsidR="002A5800" w:rsidRDefault="002A5800" w:rsidP="002A5800">
      <w:r>
        <w:t>Montana $7,048,521 $7,372,526 $7,586,498 $213,972</w:t>
      </w:r>
    </w:p>
    <w:p w:rsidR="002A5800" w:rsidRDefault="002A5800" w:rsidP="002A5800">
      <w:r>
        <w:t>Nebraska $17,348,530 $18,137,369 $18,682,056 $544,686</w:t>
      </w:r>
    </w:p>
    <w:p w:rsidR="002A5800" w:rsidRDefault="002A5800" w:rsidP="002A5800">
      <w:r>
        <w:t>Nevada $26,487,013 $27,694,162 $28,519,953 $825,790</w:t>
      </w:r>
    </w:p>
    <w:p w:rsidR="002A5800" w:rsidRDefault="002A5800" w:rsidP="002A5800">
      <w:r>
        <w:t>New Hampshire $9,267,397 $9,693,424 $9,974,700 $281,277</w:t>
      </w:r>
    </w:p>
    <w:p w:rsidR="002A5800" w:rsidRDefault="002A5800" w:rsidP="002A5800">
      <w:r>
        <w:t>New Jersey $61,993,261 $64,812,454 $66,758,096 $1,945,643</w:t>
      </w:r>
    </w:p>
    <w:p w:rsidR="002A5800" w:rsidRDefault="002A5800" w:rsidP="002A5800">
      <w:r>
        <w:t>New Mexico $29,855,808 $31,216,555 $32,147,239 $930,684</w:t>
      </w:r>
    </w:p>
    <w:p w:rsidR="002A5800" w:rsidRDefault="002A5800" w:rsidP="002A5800">
      <w:r>
        <w:t>New York $80,323,826 $83,989,584 $86,483,433 $2,493,849</w:t>
      </w:r>
    </w:p>
    <w:p w:rsidR="002A5800" w:rsidRDefault="002A5800" w:rsidP="002A5800">
      <w:r>
        <w:t>North Carolina $103,322,607 $108,009,214 $111,277,184 $3,267,970</w:t>
      </w:r>
    </w:p>
    <w:p w:rsidR="002A5800" w:rsidRDefault="002A5800" w:rsidP="002A5800">
      <w:r>
        <w:t>North Dakota $5,743,258 $6,006,346 $6,182,609 $176,263</w:t>
      </w:r>
    </w:p>
    <w:p w:rsidR="002A5800" w:rsidRDefault="002A5800" w:rsidP="002A5800">
      <w:r>
        <w:t>Ohio $88,617,833 $92,630,597 $95,447,782 $2,817,186</w:t>
      </w:r>
    </w:p>
    <w:p w:rsidR="002A5800" w:rsidRDefault="002A5800" w:rsidP="002A5800">
      <w:r>
        <w:t>Oklahoma $50,370,353 $52,660,676 $54,242,180 $1,581,503</w:t>
      </w:r>
    </w:p>
    <w:p w:rsidR="002A5800" w:rsidRDefault="002A5800" w:rsidP="002A5800">
      <w:r>
        <w:t>Oregon $27,502,087 $28,760,744 $29,607,221 $846,477</w:t>
      </w:r>
    </w:p>
    <w:p w:rsidR="002A5800" w:rsidRDefault="002A5800" w:rsidP="002A5800">
      <w:r>
        <w:t>Pennsylvania $73,329,702 $76,675,485 $78,953,818 $2,278,333</w:t>
      </w:r>
    </w:p>
    <w:p w:rsidR="002A5800" w:rsidRDefault="002A5800" w:rsidP="002A5800">
      <w:r>
        <w:t>Rhode Island $12,132,116 $12,687,977 $13,060,083 $372,107</w:t>
      </w:r>
    </w:p>
    <w:p w:rsidR="002A5800" w:rsidRDefault="002A5800" w:rsidP="002A5800">
      <w:r>
        <w:t>South Carolina $52,864,147 $55,268,286 $56,927,204 $1,658,917</w:t>
      </w:r>
    </w:p>
    <w:p w:rsidR="002A5800" w:rsidRDefault="002A5800" w:rsidP="002A5800">
      <w:r>
        <w:t>South Dakota $8,559,019 $8,950,122 $9,214,829 $264,707</w:t>
      </w:r>
    </w:p>
    <w:p w:rsidR="002A5800" w:rsidRDefault="002A5800" w:rsidP="002A5800">
      <w:r>
        <w:t>Tennessee $71,415,794 $74,654,713 $76,914,403 $2,259,690</w:t>
      </w:r>
    </w:p>
    <w:p w:rsidR="002A5800" w:rsidRDefault="002A5800" w:rsidP="002A5800">
      <w:r>
        <w:t>Texas $353,629,399 $369,659,788 $380,865,293 $11,205,505</w:t>
      </w:r>
    </w:p>
    <w:p w:rsidR="002A5800" w:rsidRDefault="002A5800" w:rsidP="002A5800">
      <w:r>
        <w:t>Utah $24,053,278 $25,150,426 $25,898,425 $747,998</w:t>
      </w:r>
    </w:p>
    <w:p w:rsidR="002A5800" w:rsidRDefault="002A5800" w:rsidP="002A5800"/>
    <w:p w:rsidR="002A5800" w:rsidRDefault="002A5800" w:rsidP="002A5800">
      <w:pPr>
        <w:pStyle w:val="Heading3"/>
      </w:pPr>
      <w:r>
        <w:t>2NC AT PIC Theory – in the lit</w:t>
      </w:r>
    </w:p>
    <w:p w:rsidR="002A5800" w:rsidRDefault="002A5800" w:rsidP="002A5800">
      <w:pPr>
        <w:pStyle w:val="Heading4"/>
      </w:pPr>
      <w:r>
        <w:t>Distinction between formula and competitive grants is a key debate in education literature --- specifically key CTE education debates</w:t>
      </w:r>
    </w:p>
    <w:p w:rsidR="002A5800" w:rsidRDefault="002A5800" w:rsidP="002A5800">
      <w:r>
        <w:rPr>
          <w:rStyle w:val="Style13ptBold"/>
        </w:rPr>
        <w:t xml:space="preserve">Dortch 12 </w:t>
      </w:r>
      <w:r>
        <w:rPr>
          <w:rStyle w:val="Style13ptBold"/>
          <w:b w:val="0"/>
          <w:sz w:val="22"/>
        </w:rPr>
        <w:t xml:space="preserve">--- Education Research Policy Analyst at the Congressional Research Service. </w:t>
      </w:r>
      <w:r>
        <w:t>(Cassandria Dortch, “Carl D. Perkins Career and Technical</w:t>
      </w:r>
    </w:p>
    <w:p w:rsidR="002A5800" w:rsidRDefault="002A5800" w:rsidP="002A5800">
      <w:r>
        <w:t>Education Act of 2006: Implementation Issues “, Congressional Research Service. https://pdfs.semanticscholar.org/67a7/32a65e779379f07a0b78806947115cbd2664.pdf)//ET</w:t>
      </w:r>
    </w:p>
    <w:p w:rsidR="002A5800" w:rsidRDefault="002A5800" w:rsidP="002A5800">
      <w:r>
        <w:t xml:space="preserve">A </w:t>
      </w:r>
      <w:r>
        <w:rPr>
          <w:rStyle w:val="Emphasis"/>
        </w:rPr>
        <w:t>long-standing issue in education grant making</w:t>
      </w:r>
      <w:r>
        <w:rPr>
          <w:rStyle w:val="StyleUnderline"/>
        </w:rPr>
        <w:t xml:space="preserve"> is whether formula or competitive grants are more appropriate to the policy and program purposes</w:t>
      </w:r>
      <w:r>
        <w:t xml:space="preserve">. Formula grant programs are noncompetitive awards often to predetermined entities based on a predetermined formula. Competitive grants are awarded based on a review of applications and other information, as applicable, to determine which applications best address the program requirements and are, therefore, most worthy of funding. </w:t>
      </w:r>
      <w:r>
        <w:rPr>
          <w:rStyle w:val="StyleUnderline"/>
        </w:rPr>
        <w:t>Relative to competitive funding, formula funding traditionally provides a more reliable funding source to eligible entities over time, which is considered good for program stability, but contributes to a greater reliance on federal funding. However, formula grants may be fairly small (only supplemental) given the number of eligible entities and participants.</w:t>
      </w:r>
      <w:r>
        <w:t xml:space="preserve"> </w:t>
      </w:r>
      <w:r>
        <w:rPr>
          <w:rStyle w:val="StyleUnderline"/>
        </w:rPr>
        <w:t>Competitive funding is said to spur innovation, to be less likely to foster program sustainability, and to be more likely to fund entities that already have the capacity to undertake the program</w:t>
      </w:r>
      <w:r>
        <w:t xml:space="preserve">. Of course, </w:t>
      </w:r>
      <w:r>
        <w:rPr>
          <w:rStyle w:val="Emphasis"/>
        </w:rPr>
        <w:t>many of the traditional advantages and disadvantages of each funding mechanism can be reduced by adding extra funding specifications</w:t>
      </w:r>
      <w:r>
        <w:t xml:space="preserve">. For example, </w:t>
      </w:r>
      <w:r>
        <w:rPr>
          <w:rStyle w:val="StyleUnderline"/>
        </w:rPr>
        <w:t xml:space="preserve">a competitive grant program can </w:t>
      </w:r>
      <w:r>
        <w:t xml:space="preserve">advantage prior grant recipients thus potentially reducing innovation and </w:t>
      </w:r>
      <w:r>
        <w:rPr>
          <w:rStyle w:val="StyleUnderline"/>
        </w:rPr>
        <w:t>increas</w:t>
      </w:r>
      <w:r>
        <w:t xml:space="preserve">ing the </w:t>
      </w:r>
      <w:r>
        <w:rPr>
          <w:rStyle w:val="StyleUnderline"/>
        </w:rPr>
        <w:t>reliability of funding.</w:t>
      </w:r>
      <w:r>
        <w:t xml:space="preserve"> Some stakeholders, including the </w:t>
      </w:r>
      <w:r>
        <w:rPr>
          <w:rStyle w:val="StyleUnderline"/>
        </w:rPr>
        <w:t>Obama</w:t>
      </w:r>
      <w:r>
        <w:t xml:space="preserve"> Administration in its </w:t>
      </w:r>
      <w:r>
        <w:rPr>
          <w:rStyle w:val="StyleUnderline"/>
        </w:rPr>
        <w:t>Perkins Blueprint</w:t>
      </w:r>
      <w:r>
        <w:t xml:space="preserve">, have </w:t>
      </w:r>
      <w:r>
        <w:rPr>
          <w:rStyle w:val="Emphasis"/>
        </w:rPr>
        <w:t>recommended awarding funds competitively</w:t>
      </w:r>
      <w:r>
        <w:t xml:space="preserve">. Under the Perkins Blueprint, </w:t>
      </w:r>
      <w:r>
        <w:rPr>
          <w:rStyle w:val="Emphasis"/>
        </w:rPr>
        <w:t xml:space="preserve">the federal government would award 10% of program funds competitively to states </w:t>
      </w:r>
      <w:r>
        <w:rPr>
          <w:rStyle w:val="StyleUnderline"/>
        </w:rPr>
        <w:t>and require states to award all funds to local providers by competition</w:t>
      </w:r>
      <w:r>
        <w:t xml:space="preserve">. The Administration notes that </w:t>
      </w:r>
      <w:r>
        <w:rPr>
          <w:rStyle w:val="StyleUnderline"/>
        </w:rPr>
        <w:t>this is expected to encourage innovation and labor market responsiveness, increase access to CTE programs by target groups─disadvantaged communities and student populations, and reward programs that meet or exceed performance expectations.</w:t>
      </w:r>
      <w:r>
        <w:t xml:space="preserve"> Other stakeholders, including the Association for Career and Technical Education (ACTE), contend that funds should continue to be distributed to local providers by formula to maximize overall access to CTE and that some amount of additional funds should be awarded through competitive grants aimed at encouraging innovation.27 </w:t>
      </w:r>
    </w:p>
    <w:p w:rsidR="002A5800" w:rsidRDefault="002A5800" w:rsidP="002A5800">
      <w:pPr>
        <w:pStyle w:val="Heading2"/>
        <w:rPr>
          <w:sz w:val="44"/>
        </w:rPr>
      </w:pPr>
      <w:r>
        <w:t>Net benefits</w:t>
      </w:r>
    </w:p>
    <w:p w:rsidR="002A5800" w:rsidRDefault="002A5800" w:rsidP="002A5800">
      <w:pPr>
        <w:pStyle w:val="Heading3"/>
      </w:pPr>
      <w:r>
        <w:t>Trump Good NB</w:t>
      </w:r>
    </w:p>
    <w:p w:rsidR="002A5800" w:rsidRDefault="002A5800" w:rsidP="002A5800">
      <w:pPr>
        <w:pStyle w:val="Heading4"/>
      </w:pPr>
      <w:r>
        <w:t xml:space="preserve">Competitive grants have empirically received </w:t>
      </w:r>
      <w:r>
        <w:rPr>
          <w:u w:val="single"/>
        </w:rPr>
        <w:t>bipartisan support</w:t>
      </w:r>
      <w:r>
        <w:t xml:space="preserve"> – happy medium</w:t>
      </w:r>
    </w:p>
    <w:p w:rsidR="002A5800" w:rsidRDefault="002A5800" w:rsidP="002A5800">
      <w:r>
        <w:rPr>
          <w:rStyle w:val="Style13ptBold"/>
        </w:rPr>
        <w:t>Camera 15</w:t>
      </w:r>
      <w:r>
        <w:t xml:space="preserve"> (Lauren, April 13, “Early Education Will Likely Be Strengthened in Bipartisan ESEA Rewrite,” Education Week, http://blogs.edweek.org/edweek/campaign-k-12/2015/04/early_education_will_likely_be.html) AAB</w:t>
      </w:r>
    </w:p>
    <w:p w:rsidR="002A5800" w:rsidRDefault="002A5800" w:rsidP="002A5800"/>
    <w:p w:rsidR="002A5800" w:rsidRDefault="002A5800" w:rsidP="002A5800">
      <w:r>
        <w:t xml:space="preserve">The amendment would create </w:t>
      </w:r>
      <w:r>
        <w:rPr>
          <w:rStyle w:val="StyleUnderline"/>
        </w:rPr>
        <w:t>a competitive-grant program</w:t>
      </w:r>
      <w:r>
        <w:t xml:space="preserve"> to provide funding for states that propose to improve coordination, quality, and access for early-childhood education. States would apply for three-year grants and provide matching funds to support "sustainable improvements and better coordination" of their early-learning and care systems.</w:t>
      </w:r>
    </w:p>
    <w:p w:rsidR="002A5800" w:rsidRDefault="002A5800" w:rsidP="002A5800">
      <w:r>
        <w:t xml:space="preserve">The measure </w:t>
      </w:r>
      <w:r>
        <w:rPr>
          <w:rStyle w:val="StyleUnderline"/>
        </w:rPr>
        <w:t>plays to Republican sensibilities by allowing states to better coordinate federal education programs that already exist</w:t>
      </w:r>
      <w:r>
        <w:t>, including Head Start and the Child Care Development Block Grant and  Preschool Development Grant programs. Republicans have argued that overlap across the various federal, state, and local early-childhood programs has made it difficult for the programs to be effective.</w:t>
      </w:r>
    </w:p>
    <w:p w:rsidR="002A5800" w:rsidRDefault="002A5800" w:rsidP="002A5800">
      <w:r>
        <w:t xml:space="preserve">Indeed, last month </w:t>
      </w:r>
      <w:r>
        <w:rPr>
          <w:rStyle w:val="StyleUnderline"/>
        </w:rPr>
        <w:t>Sen. Lamar Alexander, R-Tenn., chairman of the education committee</w:t>
      </w:r>
      <w:r>
        <w:t xml:space="preserve"> and co-author of the ESEA rewrite, </w:t>
      </w:r>
      <w:r>
        <w:rPr>
          <w:rStyle w:val="StyleUnderline"/>
        </w:rPr>
        <w:t>said that the $22 billion that the federal government spends on early-education programs is fragmented, stuck in unworkable silos, and often ineffective, and that he'd rather</w:t>
      </w:r>
      <w:r>
        <w:t xml:space="preserve"> find </w:t>
      </w:r>
      <w:r>
        <w:rPr>
          <w:rStyle w:val="StyleUnderline"/>
        </w:rPr>
        <w:t>a way to better coordinate</w:t>
      </w:r>
      <w:r>
        <w:t xml:space="preserve"> all of them than create </w:t>
      </w:r>
      <w:r>
        <w:rPr>
          <w:rStyle w:val="StyleUnderline"/>
        </w:rPr>
        <w:t>a</w:t>
      </w:r>
      <w:r>
        <w:t xml:space="preserve">n entirely </w:t>
      </w:r>
      <w:r>
        <w:rPr>
          <w:rStyle w:val="StyleUnderline"/>
        </w:rPr>
        <w:t>new</w:t>
      </w:r>
      <w:r>
        <w:t xml:space="preserve"> pre-K </w:t>
      </w:r>
      <w:r>
        <w:rPr>
          <w:rStyle w:val="StyleUnderline"/>
        </w:rPr>
        <w:t>program</w:t>
      </w:r>
      <w:r>
        <w:t>.</w:t>
      </w:r>
    </w:p>
    <w:p w:rsidR="002A5800" w:rsidRDefault="002A5800" w:rsidP="002A5800">
      <w:r>
        <w:rPr>
          <w:rStyle w:val="StyleUnderline"/>
        </w:rPr>
        <w:t>The amendment</w:t>
      </w:r>
      <w:r>
        <w:t xml:space="preserve"> will be </w:t>
      </w:r>
      <w:r>
        <w:rPr>
          <w:rStyle w:val="StyleUnderline"/>
        </w:rPr>
        <w:t>offered with</w:t>
      </w:r>
      <w:r>
        <w:t xml:space="preserve"> the support of Republican Sens. Johnny Isakson of Georgia and Mark Kirk of Illinois, likely giving it the </w:t>
      </w:r>
      <w:r>
        <w:rPr>
          <w:rStyle w:val="Emphasis"/>
        </w:rPr>
        <w:t>bipartisan support</w:t>
      </w:r>
      <w:r>
        <w:t xml:space="preserve"> </w:t>
      </w:r>
      <w:r>
        <w:rPr>
          <w:rStyle w:val="StyleUnderline"/>
        </w:rPr>
        <w:t>it needs to clear any hurdles</w:t>
      </w:r>
      <w:r>
        <w:t xml:space="preserve">. Georgia, in particular, has been making a high-profile push to increase access to pre-K programs and won $51.7 million through the Obama administration's Race to the Top-Early Learning Challenge grant to do so. It used that money, in part, to create customized early-learning programs for geographic areas with large numbers of high-need children. </w:t>
      </w:r>
    </w:p>
    <w:p w:rsidR="002A5800" w:rsidRDefault="002A5800" w:rsidP="002A5800">
      <w:r>
        <w:t>"</w:t>
      </w:r>
      <w:r>
        <w:rPr>
          <w:rStyle w:val="StyleUnderline"/>
        </w:rPr>
        <w:t>Republican and Democratic governors and lawmakers across the country already recognize the importance of</w:t>
      </w:r>
      <w:r>
        <w:t xml:space="preserve"> preschool </w:t>
      </w:r>
      <w:r>
        <w:rPr>
          <w:rStyle w:val="StyleUnderline"/>
        </w:rPr>
        <w:t>investments</w:t>
      </w:r>
      <w:r>
        <w:t>, and it's time for Congress to catch up," said Murray in a statement. "</w:t>
      </w:r>
      <w:r>
        <w:rPr>
          <w:rStyle w:val="StyleUnderline"/>
        </w:rPr>
        <w:t>My bipartisan amendment will help us expand access to high quality early childhood education</w:t>
      </w:r>
      <w:r>
        <w:t>, so more kids start kindergarten with a strong foundation for success in school and in the future. I'm hopeful it will get strong support in committee and that we can build on this kind of progress as the work to fix No Child Left Behind continues."</w:t>
      </w:r>
    </w:p>
    <w:p w:rsidR="002A5800" w:rsidRDefault="002A5800" w:rsidP="002A5800"/>
    <w:p w:rsidR="002A5800" w:rsidRDefault="002A5800" w:rsidP="002A5800">
      <w:pPr>
        <w:pStyle w:val="Heading4"/>
        <w:rPr>
          <w:u w:val="single"/>
        </w:rPr>
      </w:pPr>
      <w:r>
        <w:t xml:space="preserve">Formula grants are viewed as regulations in disguise – plan creates a </w:t>
      </w:r>
      <w:r>
        <w:rPr>
          <w:u w:val="single"/>
        </w:rPr>
        <w:t>political firestorm</w:t>
      </w:r>
    </w:p>
    <w:p w:rsidR="002A5800" w:rsidRDefault="002A5800" w:rsidP="002A5800">
      <w:r>
        <w:rPr>
          <w:rStyle w:val="Style13ptBold"/>
        </w:rPr>
        <w:t>Malkus 16</w:t>
      </w:r>
      <w:r>
        <w:t xml:space="preserve"> research fellow in education policy studies at the American Enterprise Institute, where he specializes in K–12 education (Nat, September 7, “Forcing A Funding Fight,” US News, </w:t>
      </w:r>
      <w:hyperlink r:id="rId23" w:history="1">
        <w:r>
          <w:rPr>
            <w:rStyle w:val="Hyperlink"/>
          </w:rPr>
          <w:t>https://www.usnews.com/opinion/articles/2016-09-07/education-secretary-john-king-is-politicizing-federal-funding-for-schools</w:t>
        </w:r>
      </w:hyperlink>
      <w:r>
        <w:t>) AAB</w:t>
      </w:r>
    </w:p>
    <w:p w:rsidR="002A5800" w:rsidRDefault="002A5800" w:rsidP="002A5800"/>
    <w:p w:rsidR="002A5800" w:rsidRDefault="002A5800" w:rsidP="002A5800">
      <w:r>
        <w:t xml:space="preserve">In its final months, should the Obama administration acquiesce to the will of Congress and the spirit of law, or should it push through its own controversial – and arguably illegal – regulations to address a widely acknowledged injustice? It looks like it has chosen the latter </w:t>
      </w:r>
      <w:r>
        <w:rPr>
          <w:rStyle w:val="StyleUnderline"/>
        </w:rPr>
        <w:t>based on</w:t>
      </w:r>
      <w:r>
        <w:t xml:space="preserve"> the revised so-called </w:t>
      </w:r>
      <w:r>
        <w:rPr>
          <w:rStyle w:val="StyleUnderline"/>
        </w:rPr>
        <w:t>supplement-not-supplant regulations</w:t>
      </w:r>
      <w:r>
        <w:t xml:space="preserve"> officially released this week. </w:t>
      </w:r>
      <w:r>
        <w:rPr>
          <w:rStyle w:val="StyleUnderline"/>
        </w:rPr>
        <w:t xml:space="preserve">Regulatory details can seem sleep-inducing and innocuous, but </w:t>
      </w:r>
      <w:r>
        <w:t>this case</w:t>
      </w:r>
      <w:r>
        <w:rPr>
          <w:rStyle w:val="StyleUnderline"/>
        </w:rPr>
        <w:t xml:space="preserve"> feature</w:t>
      </w:r>
      <w:r>
        <w:t xml:space="preserve">s </w:t>
      </w:r>
      <w:r>
        <w:rPr>
          <w:rStyle w:val="StyleUnderline"/>
        </w:rPr>
        <w:t xml:space="preserve">the </w:t>
      </w:r>
      <w:r>
        <w:rPr>
          <w:rStyle w:val="Emphasis"/>
        </w:rPr>
        <w:t>strangest of political bedfellows, repercussions</w:t>
      </w:r>
      <w:r>
        <w:t xml:space="preserve"> for school districts across the nation </w:t>
      </w:r>
      <w:r>
        <w:rPr>
          <w:rStyle w:val="Emphasis"/>
        </w:rPr>
        <w:t>and a long-term political bet</w:t>
      </w:r>
      <w:r>
        <w:t>.</w:t>
      </w:r>
    </w:p>
    <w:p w:rsidR="002A5800" w:rsidRDefault="002A5800" w:rsidP="002A5800">
      <w:pPr>
        <w:rPr>
          <w:rStyle w:val="StyleUnderline"/>
        </w:rPr>
      </w:pPr>
      <w:r>
        <w:t xml:space="preserve">The </w:t>
      </w:r>
      <w:r>
        <w:rPr>
          <w:rStyle w:val="StyleUnderline"/>
        </w:rPr>
        <w:t>new regulations</w:t>
      </w:r>
      <w:r>
        <w:t xml:space="preserve">, which could become final after 62 days, </w:t>
      </w:r>
      <w:r>
        <w:rPr>
          <w:rStyle w:val="StyleUnderline"/>
        </w:rPr>
        <w:t>attempt to ensure that annual federal Title I funds to help poor students are added on top of equitable state and local spending, rather than topping off an unequal distribution of funds.</w:t>
      </w:r>
      <w:r>
        <w:t xml:space="preserve"> This problem is a real and persistent one. Within districts, high-poverty schools often have less experienced and lower-salaried teachers. Since salaries make up the bulk of school spending, lower salaries create significantly lower funding in schools with more disadvantaged students. </w:t>
      </w:r>
      <w:r>
        <w:rPr>
          <w:rStyle w:val="StyleUnderline"/>
        </w:rPr>
        <w:t>In these cases, federal money often supplants, rather than supplements, equitable local funding.</w:t>
      </w:r>
    </w:p>
    <w:p w:rsidR="002A5800" w:rsidRDefault="002A5800" w:rsidP="002A5800">
      <w:r>
        <w:rPr>
          <w:rStyle w:val="Emphasis"/>
        </w:rPr>
        <w:t>This regulatory fight isn't over</w:t>
      </w:r>
      <w:r>
        <w:rPr>
          <w:rStyle w:val="StyleUnderline"/>
        </w:rPr>
        <w:t xml:space="preserve"> whether there is a problem; it's a fight over who should fix it, and how.</w:t>
      </w:r>
      <w:r>
        <w:t xml:space="preserve"> Last December, Congress debated changing the supplement-not-supplant rules in the Every Student Succeeds Act but ultimately left the old version intact. The act did require districts to report school-level spending, to highlight where these inequities occur. It also included unprecedented limits on the power of the secretary of education in the wake of years of federal overreach. The act explicitly prohibited the secretary from proscribing any specific methodology to equalize spending under supplement-not-supplant.</w:t>
      </w:r>
    </w:p>
    <w:p w:rsidR="002A5800" w:rsidRDefault="002A5800" w:rsidP="002A5800">
      <w:r>
        <w:t xml:space="preserve">Undeterred, Education Secretary John King made his own unprecedented move, changing the supplement-not-supplant regulations to allow any methodology that required at least as much spending in Title I as in non-Title I schools. Some </w:t>
      </w:r>
      <w:r>
        <w:rPr>
          <w:rStyle w:val="StyleUnderline"/>
        </w:rPr>
        <w:t>Democrats</w:t>
      </w:r>
      <w:r>
        <w:t xml:space="preserve">, led by the Every Student Succeeds Act architect Sen. Patty Murray, D-Wash., </w:t>
      </w:r>
      <w:r>
        <w:rPr>
          <w:rStyle w:val="StyleUnderline"/>
        </w:rPr>
        <w:t>and many civil rights groups, backed the new regulations as an important means towards equity in school funding.</w:t>
      </w:r>
    </w:p>
    <w:p w:rsidR="002A5800" w:rsidRDefault="002A5800" w:rsidP="002A5800">
      <w:r>
        <w:t xml:space="preserve">However, </w:t>
      </w:r>
      <w:r>
        <w:rPr>
          <w:rStyle w:val="StyleUnderline"/>
        </w:rPr>
        <w:t>Republicans</w:t>
      </w:r>
      <w:r>
        <w:t xml:space="preserve">, led by another Every Student Succeeds Act architect, Lamar Alexander, </w:t>
      </w:r>
      <w:r>
        <w:rPr>
          <w:rStyle w:val="StyleUnderline"/>
        </w:rPr>
        <w:t>were</w:t>
      </w:r>
      <w:r>
        <w:t xml:space="preserve"> incensed at King's move, </w:t>
      </w:r>
      <w:r>
        <w:rPr>
          <w:rStyle w:val="StyleUnderline"/>
        </w:rPr>
        <w:t>saying the regulations went against both the will of Congress and the letter of the law. Republicans were joined by their least likely allies, the national teachers unions</w:t>
      </w:r>
      <w:r>
        <w:t>. Both the American Federation of Teachers and the National Education Association, along with groups representing state and district leaders, opposed the well-intentioned regulations because of the likely upheaval they would cause. To meet the new requirements, school districts would have to force teacher transfers, alter collective bargaining agreements, eliminate programs, re-engineer teacher compensation or come up with millions in new funding.</w:t>
      </w:r>
    </w:p>
    <w:p w:rsidR="002A5800" w:rsidRDefault="002A5800" w:rsidP="002A5800">
      <w:r>
        <w:t>After an extensive spring comment period, the Department of Education officially released its new version of the regulations this week. The revisions created additional flexibility for districts, but they did not change the crux of the issue: The Education Department is using regulatory power to force school districts to overhaul their systems in order to equalize spending.</w:t>
      </w:r>
    </w:p>
    <w:p w:rsidR="002A5800" w:rsidRDefault="002A5800" w:rsidP="002A5800">
      <w:r>
        <w:t>For instance, the revisions gave districts the option to shift to "weighted student funding" formulas, which fund schools based on student enrollment (with greater funding for some students, like those with disabilities), so long as they do not shortchange Title I schools. Weighted student funding may be a good idea, but it forces a complete overhaul of district budgeting and funding, has proven only partially effective in practice, and still includes substantial redistributions of resources. The revisions also allowed states to balance spending using "peer-reviewed" resource allocation formulas or other methods of districts' choosing, again so long as Title I schools are not shortchanged.</w:t>
      </w:r>
    </w:p>
    <w:p w:rsidR="002A5800" w:rsidRDefault="002A5800" w:rsidP="002A5800">
      <w:r>
        <w:t xml:space="preserve">These new options may provide nominal flexibility, but they still amount to exactly what the Every Student Succeeds Act sought to stop. </w:t>
      </w:r>
      <w:r>
        <w:rPr>
          <w:rStyle w:val="StyleUnderline"/>
        </w:rPr>
        <w:t xml:space="preserve">The Department of Education is using regulation to make major demands of school districts, </w:t>
      </w:r>
      <w:r>
        <w:rPr>
          <w:rStyle w:val="Emphasis"/>
        </w:rPr>
        <w:t>demands that Congress expressly forbade</w:t>
      </w:r>
      <w:r>
        <w:t xml:space="preserve">. Even with this new flexibility, </w:t>
      </w:r>
      <w:r>
        <w:rPr>
          <w:rStyle w:val="StyleUnderline"/>
        </w:rPr>
        <w:t>states and districts will either have to make substantial operational changes to redistribute resources or come up with millions in new funds to balance the books</w:t>
      </w:r>
      <w:r>
        <w:t>. In either case, they have to do so quickly.</w:t>
      </w:r>
    </w:p>
    <w:p w:rsidR="002A5800" w:rsidRDefault="002A5800" w:rsidP="002A5800">
      <w:r>
        <w:t xml:space="preserve">King is unlikely to remain at the helm of the department under the next president, which makes </w:t>
      </w:r>
      <w:r>
        <w:rPr>
          <w:rStyle w:val="StyleUnderline"/>
        </w:rPr>
        <w:t>the political calculus behind these new regulations interesting.</w:t>
      </w:r>
      <w:r>
        <w:t xml:space="preserve"> Faced with a few more months in office and diminished influence under the Every Student Succeeds Act, King can make the most of his remaining time by finalizing these regulations one day before the election. Whoever wins will be stuck either enforcing King's regulations or turning to Congress to remove them. In that sense, King is marrying his good intentions with political craftiness.</w:t>
      </w:r>
    </w:p>
    <w:p w:rsidR="002A5800" w:rsidRDefault="002A5800" w:rsidP="002A5800"/>
    <w:p w:rsidR="002A5800" w:rsidRDefault="002A5800" w:rsidP="002A5800">
      <w:pPr>
        <w:pStyle w:val="Heading4"/>
      </w:pPr>
      <w:r>
        <w:t>Competitive grants are comparatively more popular than formula grants --- recent congressional attitudes and experts confirm</w:t>
      </w:r>
    </w:p>
    <w:p w:rsidR="002A5800" w:rsidRDefault="002A5800" w:rsidP="002A5800">
      <w:r>
        <w:rPr>
          <w:rStyle w:val="Style13ptBold"/>
        </w:rPr>
        <w:t xml:space="preserve">Klein 4/6/17 </w:t>
      </w:r>
      <w:r>
        <w:rPr>
          <w:rStyle w:val="Style13ptBold"/>
          <w:b w:val="0"/>
        </w:rPr>
        <w:t xml:space="preserve">--- </w:t>
      </w:r>
      <w:r>
        <w:rPr>
          <w:rStyle w:val="Style13ptBold"/>
          <w:b w:val="0"/>
          <w:sz w:val="22"/>
        </w:rPr>
        <w:t>reporter for Education Week (</w:t>
      </w:r>
      <w:r>
        <w:t>Alyson Klein, “”States May Get to Run Competitions for ESSA Block Grant Money”, Education Week. http://blogs.edweek.org/edweek/campaign-k-12/2017/04/states_may_get_to_run_competit.html)//ET</w:t>
      </w:r>
    </w:p>
    <w:p w:rsidR="002A5800" w:rsidRDefault="002A5800" w:rsidP="002A5800">
      <w:pPr>
        <w:rPr>
          <w:rStyle w:val="Emphasis"/>
        </w:rPr>
      </w:pPr>
      <w:r>
        <w:rPr>
          <w:rStyle w:val="StyleUnderline"/>
        </w:rPr>
        <w:t>One of the big goals of</w:t>
      </w:r>
      <w:r>
        <w:rPr>
          <w:sz w:val="14"/>
        </w:rPr>
        <w:t xml:space="preserve"> the </w:t>
      </w:r>
      <w:r>
        <w:rPr>
          <w:rStyle w:val="StyleUnderline"/>
        </w:rPr>
        <w:t>E</w:t>
      </w:r>
      <w:r>
        <w:rPr>
          <w:sz w:val="14"/>
        </w:rPr>
        <w:t xml:space="preserve">very </w:t>
      </w:r>
      <w:r>
        <w:rPr>
          <w:rStyle w:val="StyleUnderline"/>
        </w:rPr>
        <w:t>S</w:t>
      </w:r>
      <w:r>
        <w:rPr>
          <w:sz w:val="14"/>
        </w:rPr>
        <w:t xml:space="preserve">tudent </w:t>
      </w:r>
      <w:r>
        <w:rPr>
          <w:rStyle w:val="StyleUnderline"/>
        </w:rPr>
        <w:t>S</w:t>
      </w:r>
      <w:r>
        <w:rPr>
          <w:sz w:val="14"/>
        </w:rPr>
        <w:t xml:space="preserve">ucceeds </w:t>
      </w:r>
      <w:r>
        <w:rPr>
          <w:rStyle w:val="StyleUnderline"/>
        </w:rPr>
        <w:t>A</w:t>
      </w:r>
      <w:r>
        <w:rPr>
          <w:sz w:val="14"/>
        </w:rPr>
        <w:t xml:space="preserve">ct </w:t>
      </w:r>
      <w:r>
        <w:rPr>
          <w:rStyle w:val="StyleUnderline"/>
        </w:rPr>
        <w:t>was to give districts way more control over their federal funding, in part by creating a new block grant</w:t>
      </w:r>
      <w:r>
        <w:rPr>
          <w:sz w:val="14"/>
        </w:rPr>
        <w:t xml:space="preserve">—aka the Student Support and Academic Enrichment Grants or Title IV. Under the law, districts can use the money for a whole smorgasboard of things: student safety, dual enrollment, dance instruction, training teachers to use technology, hiring school counselors. And </w:t>
      </w:r>
      <w:r>
        <w:rPr>
          <w:rStyle w:val="StyleUnderline"/>
        </w:rPr>
        <w:t>the funding</w:t>
      </w:r>
      <w:r>
        <w:rPr>
          <w:sz w:val="14"/>
        </w:rPr>
        <w:t>—a whopping $1.6 billion—</w:t>
      </w:r>
      <w:r>
        <w:rPr>
          <w:rStyle w:val="Emphasis"/>
        </w:rPr>
        <w:t>was supposed to flow to districts through a formula</w:t>
      </w:r>
      <w:r>
        <w:rPr>
          <w:sz w:val="14"/>
        </w:rPr>
        <w:t xml:space="preserve">, </w:t>
      </w:r>
      <w:r>
        <w:rPr>
          <w:rStyle w:val="StyleUnderline"/>
        </w:rPr>
        <w:t>meaning</w:t>
      </w:r>
      <w:r>
        <w:rPr>
          <w:sz w:val="14"/>
        </w:rPr>
        <w:t xml:space="preserve"> </w:t>
      </w:r>
      <w:r>
        <w:rPr>
          <w:rStyle w:val="StyleUnderline"/>
        </w:rPr>
        <w:t>that</w:t>
      </w:r>
      <w:r>
        <w:rPr>
          <w:sz w:val="14"/>
        </w:rPr>
        <w:t xml:space="preserve"> pretty much </w:t>
      </w:r>
      <w:r>
        <w:rPr>
          <w:rStyle w:val="StyleUnderline"/>
        </w:rPr>
        <w:t>every district in the country would get a piece of it.</w:t>
      </w:r>
      <w:r>
        <w:rPr>
          <w:sz w:val="14"/>
        </w:rPr>
        <w:t xml:space="preserve"> The districts would have serious latitude in deciding the dollars are spent. </w:t>
      </w:r>
      <w:r>
        <w:rPr>
          <w:rStyle w:val="Emphasis"/>
        </w:rPr>
        <w:t>It may not quite work out that way—at least not this year. Lawmakers are seriously considering turning Title IV into a competitive-grant program at the state level,</w:t>
      </w:r>
      <w:r>
        <w:rPr>
          <w:sz w:val="14"/>
        </w:rPr>
        <w:t xml:space="preserve"> at least temporarily, sources say. In fact</w:t>
      </w:r>
      <w:r>
        <w:rPr>
          <w:rStyle w:val="Emphasis"/>
        </w:rPr>
        <w:t>, multiple sources</w:t>
      </w:r>
      <w:r>
        <w:rPr>
          <w:sz w:val="14"/>
        </w:rPr>
        <w:t xml:space="preserve"> </w:t>
      </w:r>
      <w:r>
        <w:rPr>
          <w:rStyle w:val="StyleUnderline"/>
        </w:rPr>
        <w:t xml:space="preserve">consider the possibility of a competitive-grant program </w:t>
      </w:r>
      <w:r>
        <w:rPr>
          <w:rStyle w:val="Emphasis"/>
        </w:rPr>
        <w:t xml:space="preserve">more likely than not this year. </w:t>
      </w:r>
      <w:r>
        <w:rPr>
          <w:sz w:val="14"/>
        </w:rPr>
        <w:t xml:space="preserve">Here's why </w:t>
      </w:r>
      <w:r>
        <w:rPr>
          <w:rStyle w:val="Emphasis"/>
        </w:rPr>
        <w:t>Congress would make that move:</w:t>
      </w:r>
      <w:r>
        <w:rPr>
          <w:sz w:val="14"/>
        </w:rPr>
        <w:t xml:space="preserve"> </w:t>
      </w:r>
      <w:r>
        <w:rPr>
          <w:rStyle w:val="StyleUnderline"/>
        </w:rPr>
        <w:t>Despite the lofty $1.6 billion authorization</w:t>
      </w:r>
      <w:r>
        <w:rPr>
          <w:sz w:val="14"/>
        </w:rPr>
        <w:t xml:space="preserve"> (Congress-speak for recommendation) </w:t>
      </w:r>
      <w:r>
        <w:rPr>
          <w:rStyle w:val="StyleUnderline"/>
        </w:rPr>
        <w:t xml:space="preserve">in ESSA, there is almost no way there will be nearly enough money on the table to fund Title IV at anything close to $1.6 billion. </w:t>
      </w:r>
      <w:r>
        <w:rPr>
          <w:sz w:val="14"/>
        </w:rPr>
        <w:t xml:space="preserve">The </w:t>
      </w:r>
      <w:r>
        <w:rPr>
          <w:rStyle w:val="Emphasis"/>
        </w:rPr>
        <w:t>Trump</w:t>
      </w:r>
      <w:r>
        <w:rPr>
          <w:sz w:val="14"/>
        </w:rPr>
        <w:t xml:space="preserve"> administration </w:t>
      </w:r>
      <w:r>
        <w:rPr>
          <w:rStyle w:val="StyleUnderline"/>
        </w:rPr>
        <w:t>wants to slash domestic spending to bolster defense dollars</w:t>
      </w:r>
      <w:r>
        <w:rPr>
          <w:sz w:val="14"/>
        </w:rPr>
        <w:t xml:space="preserve">. And </w:t>
      </w:r>
      <w:r>
        <w:rPr>
          <w:rStyle w:val="StyleUnderline"/>
        </w:rPr>
        <w:t xml:space="preserve">even before Trump took office, financing for the program looked </w:t>
      </w:r>
      <w:r>
        <w:rPr>
          <w:rStyle w:val="Emphasis"/>
        </w:rPr>
        <w:t>like an uphill battle</w:t>
      </w:r>
      <w:r>
        <w:rPr>
          <w:rStyle w:val="StyleUnderline"/>
        </w:rPr>
        <w:t>. The</w:t>
      </w:r>
      <w:r>
        <w:rPr>
          <w:sz w:val="14"/>
        </w:rPr>
        <w:t xml:space="preserve"> program may be authorized at $1.6 billion, but the smaller programs that comprise it—including grants for elementary and secondary counseling, Advanced Placement, and improving math and science instruction—were only getting about $280 million a year, all told. The Obama administration pitched $500 million for the program in its fiscal year 2017 budget. And </w:t>
      </w:r>
      <w:r>
        <w:rPr>
          <w:rStyle w:val="StyleUnderline"/>
        </w:rPr>
        <w:t>the Senate panel that oversees education spending passed a bill that included even less, $300 million</w:t>
      </w:r>
      <w:r>
        <w:rPr>
          <w:sz w:val="14"/>
        </w:rPr>
        <w:t xml:space="preserve">. Legislation in the House of Representatives got closest to the original vision of the program, a $1 billion ask, but only after making significant cuts elsewhere. </w:t>
      </w:r>
      <w:r>
        <w:rPr>
          <w:rStyle w:val="StyleUnderline"/>
        </w:rPr>
        <w:t>Lawmakers and advocates fear that if Title IV is funded at $300 million</w:t>
      </w:r>
      <w:r>
        <w:rPr>
          <w:sz w:val="14"/>
        </w:rPr>
        <w:t>—or even less—</w:t>
      </w:r>
      <w:r>
        <w:rPr>
          <w:rStyle w:val="Emphasis"/>
        </w:rPr>
        <w:t xml:space="preserve">and that money went out by </w:t>
      </w:r>
      <w:r>
        <w:rPr>
          <w:rStyle w:val="StyleUnderline"/>
        </w:rPr>
        <w:t xml:space="preserve">formula, </w:t>
      </w:r>
      <w:r>
        <w:rPr>
          <w:rStyle w:val="Emphasis"/>
        </w:rPr>
        <w:t>districts would get too little money</w:t>
      </w:r>
      <w:r>
        <w:rPr>
          <w:rStyle w:val="StyleUnderline"/>
        </w:rPr>
        <w:t xml:space="preserve"> to really do much of anything for arts education, health and wellness, safety, technology, or college readiness. </w:t>
      </w:r>
      <w:r>
        <w:rPr>
          <w:rStyle w:val="Emphasis"/>
        </w:rPr>
        <w:t>But, if the money went out</w:t>
      </w:r>
      <w:r>
        <w:rPr>
          <w:sz w:val="14"/>
        </w:rPr>
        <w:t xml:space="preserve"> by formula to states, and then states dole it out </w:t>
      </w:r>
      <w:r>
        <w:rPr>
          <w:rStyle w:val="Emphasis"/>
        </w:rPr>
        <w:t>competitively</w:t>
      </w:r>
      <w:r>
        <w:rPr>
          <w:sz w:val="14"/>
        </w:rPr>
        <w:t xml:space="preserve"> to their districts, those </w:t>
      </w:r>
      <w:r>
        <w:rPr>
          <w:rStyle w:val="Emphasis"/>
        </w:rPr>
        <w:t xml:space="preserve">districts could get significant bang for the buck. </w:t>
      </w:r>
    </w:p>
    <w:p w:rsidR="002A5800" w:rsidRDefault="002A5800" w:rsidP="002A5800"/>
    <w:p w:rsidR="002A5800" w:rsidRDefault="002A5800" w:rsidP="002A5800">
      <w:pPr>
        <w:pStyle w:val="Heading3"/>
      </w:pPr>
      <w:r>
        <w:t>Trump Bad NB</w:t>
      </w:r>
    </w:p>
    <w:p w:rsidR="002A5800" w:rsidRDefault="002A5800" w:rsidP="002A5800">
      <w:pPr>
        <w:pStyle w:val="Heading4"/>
      </w:pPr>
      <w:r>
        <w:t>Formula grants are empirically overwhelmingly popular --- garner lobbyist and bipartisan support</w:t>
      </w:r>
    </w:p>
    <w:p w:rsidR="002A5800" w:rsidRDefault="002A5800" w:rsidP="002A5800">
      <w:r>
        <w:rPr>
          <w:rStyle w:val="Style13ptBold"/>
        </w:rPr>
        <w:t xml:space="preserve">Hinton 4/11/17 </w:t>
      </w:r>
      <w:r>
        <w:rPr>
          <w:rStyle w:val="Style13ptBold"/>
          <w:b w:val="0"/>
          <w:sz w:val="22"/>
        </w:rPr>
        <w:t xml:space="preserve"> --- contributing writer for education week. </w:t>
      </w:r>
      <w:r>
        <w:t>(Marva Hinton, “More Than 1,450 Groups Ask Congress to Keep Federal Funding for After-School”, Education Week. http://blogs.edweek.org/edweek/time_and_learning/2017/04/more_than_1450_groups_ask_congress_to_keep_federal_funding_for_after-school.html)//ET</w:t>
      </w:r>
    </w:p>
    <w:p w:rsidR="002A5800" w:rsidRDefault="002A5800" w:rsidP="002A5800">
      <w:pPr>
        <w:rPr>
          <w:sz w:val="14"/>
        </w:rPr>
      </w:pPr>
      <w:r>
        <w:rPr>
          <w:rStyle w:val="StyleUnderline"/>
        </w:rPr>
        <w:t xml:space="preserve">More than </w:t>
      </w:r>
      <w:r>
        <w:rPr>
          <w:rStyle w:val="Emphasis"/>
        </w:rPr>
        <w:t>1,450 organizations</w:t>
      </w:r>
      <w:r>
        <w:rPr>
          <w:sz w:val="14"/>
        </w:rPr>
        <w:t xml:space="preserve"> </w:t>
      </w:r>
      <w:r>
        <w:rPr>
          <w:rStyle w:val="StyleUnderline"/>
        </w:rPr>
        <w:t>have signed a letter to members of Congress on a key appropriations subcommittee asking that they reject President Trump's plan to cut federal support for after-school programs</w:t>
      </w:r>
      <w:r>
        <w:rPr>
          <w:sz w:val="14"/>
        </w:rPr>
        <w:t xml:space="preserve">. In the letter, the signers request that $1.167 billion be provided for 21st Century Community Learning Centers (21st CCLC), which is the program's current level of funding. These learning centers provide after-school and summer programs for students in low-income communities. President Trump's proposed budget would eliminate the program. The Afterschool Alliance, one of the organizations that signed the letter, released it to the public Monday. "Quality after-school and summer </w:t>
      </w:r>
      <w:r>
        <w:rPr>
          <w:rStyle w:val="StyleUnderline"/>
        </w:rPr>
        <w:t>learning programs are vital to communities across the nation," said</w:t>
      </w:r>
      <w:r>
        <w:rPr>
          <w:sz w:val="14"/>
        </w:rPr>
        <w:t xml:space="preserve"> Afterschool Alliance Executive Director Jodi Grant in a press release. "</w:t>
      </w:r>
      <w:r>
        <w:rPr>
          <w:rStyle w:val="StyleUnderline"/>
        </w:rPr>
        <w:t>The idea that the federal government would abandon the students and families that rely on after-school is unthinkable.</w:t>
      </w:r>
      <w:r>
        <w:rPr>
          <w:sz w:val="14"/>
        </w:rPr>
        <w:t xml:space="preserve"> President Trump's misguided proposal to eliminate 21st Century Community Learning Centers has triggered a tidal wave of opposition that's reflected by the diverse and powerful voices that are calling on Congress to continue—or increase—federal funding for after-</w:t>
      </w:r>
      <w:r>
        <w:rPr>
          <w:rStyle w:val="StyleUnderline"/>
        </w:rPr>
        <w:t xml:space="preserve">school. This funding directly supports after-school programs for 1.6 million children across the country." </w:t>
      </w:r>
      <w:r>
        <w:rPr>
          <w:sz w:val="14"/>
        </w:rPr>
        <w:t xml:space="preserve">Broad Support </w:t>
      </w:r>
      <w:r>
        <w:rPr>
          <w:rStyle w:val="StyleUnderline"/>
        </w:rPr>
        <w:t xml:space="preserve">The letter was signed by a mix of national, state, and local programs, including the Boys and Girls Clubs of America, the California Teaching Fellows Foundation, and ExpandED Schools New York. Signers represented all 50 states and the District of Columbia. </w:t>
      </w:r>
      <w:r>
        <w:rPr>
          <w:sz w:val="14"/>
        </w:rPr>
        <w:t>"</w:t>
      </w:r>
      <w:r>
        <w:rPr>
          <w:rStyle w:val="StyleUnderline"/>
        </w:rPr>
        <w:t>In every state and almost every Congressional district, 21st Century Community Learning Center funding supports after-school and summer learning programs that offer locally based school and community solutions that keep children and teenagers safe, inspire young people to learn, and support working families</w:t>
      </w:r>
      <w:r>
        <w:rPr>
          <w:sz w:val="14"/>
        </w:rPr>
        <w:t>," they write. "</w:t>
      </w:r>
      <w:r>
        <w:rPr>
          <w:rStyle w:val="Emphasis"/>
        </w:rPr>
        <w:t xml:space="preserve">These federal formula </w:t>
      </w:r>
      <w:r>
        <w:rPr>
          <w:rStyle w:val="StyleUnderline"/>
        </w:rPr>
        <w:t>grants to states enable communities to leverage local resources by providing seed grants for 3-5 years that support community partnerships among community-based organizations, faith-based partners, private industry, and school partners (public, private, and charters).</w:t>
      </w:r>
      <w:r>
        <w:rPr>
          <w:sz w:val="14"/>
        </w:rPr>
        <w:t xml:space="preserve"> Between 2006 and 2010, these grants leveraged more than $1 billion in partner contributions." </w:t>
      </w:r>
      <w:r>
        <w:rPr>
          <w:rStyle w:val="Emphasis"/>
        </w:rPr>
        <w:t xml:space="preserve">Congressional Support </w:t>
      </w:r>
      <w:r>
        <w:rPr>
          <w:sz w:val="14"/>
        </w:rPr>
        <w:t xml:space="preserve">In addition to releasing this letter, the Afterschool Alliance also praised a "Dear Colleague" letter that was addressed to Reps. Tom Cole, a Republican from Oklahoma, and Rosa DeLauro, a Democrat from Connecticut. They oversee a key appropriations subcommittee in the House. </w:t>
      </w:r>
      <w:r>
        <w:rPr>
          <w:rStyle w:val="Emphasis"/>
        </w:rPr>
        <w:t>The letter was signed by 81 members of Congress from both parties</w:t>
      </w:r>
      <w:r>
        <w:rPr>
          <w:sz w:val="14"/>
        </w:rPr>
        <w:t>. It also asks that funding for 21st CCLC be maintained at its current level. "More and more working families rely on 21st CCLCs each year to ensure their children are in a safe environment during nonschool hours, allowing them to excel in their jobs," they wrote. The letter also cites a meta-analysis of 75 studies by the Collaborative for Academic, Social, and Emotional Learning, which found that students in after-school programs performed better academically than students who did not participate in such programs.</w:t>
      </w:r>
    </w:p>
    <w:p w:rsidR="002A5800" w:rsidRDefault="002A5800" w:rsidP="002A5800">
      <w:pPr>
        <w:rPr>
          <w:sz w:val="22"/>
        </w:rPr>
      </w:pPr>
    </w:p>
    <w:p w:rsidR="002A5800" w:rsidRDefault="002A5800" w:rsidP="002A5800">
      <w:pPr>
        <w:pStyle w:val="Heading4"/>
        <w:rPr>
          <w:rStyle w:val="Style13ptBold"/>
        </w:rPr>
      </w:pPr>
      <w:r>
        <w:t>There’s bipartisan support for the plan, but opposition to the CP</w:t>
      </w:r>
    </w:p>
    <w:p w:rsidR="002A5800" w:rsidRDefault="002A5800" w:rsidP="002A5800">
      <w:pPr>
        <w:rPr>
          <w:sz w:val="22"/>
        </w:rPr>
      </w:pPr>
      <w:r>
        <w:rPr>
          <w:rStyle w:val="Style13ptBold"/>
        </w:rPr>
        <w:t xml:space="preserve">Klein 13 </w:t>
      </w:r>
      <w:r>
        <w:rPr>
          <w:rStyle w:val="Style13ptBold"/>
          <w:b w:val="0"/>
        </w:rPr>
        <w:t xml:space="preserve">--- </w:t>
      </w:r>
      <w:r>
        <w:rPr>
          <w:rStyle w:val="Style13ptBold"/>
          <w:b w:val="0"/>
          <w:sz w:val="22"/>
        </w:rPr>
        <w:t xml:space="preserve">reporter for education week covering congress. </w:t>
      </w:r>
      <w:r>
        <w:t>(Alyson Klein, 11/19/13, “Should Career-and-Tech Dollars Be Competitive? No Way, Says Congress”, Education Week. http://blogs.edweek.org/edweek/campaign-k-12/2013/11/should_career_and_tech_dollars.html)//ET</w:t>
      </w:r>
    </w:p>
    <w:p w:rsidR="002A5800" w:rsidRDefault="002A5800" w:rsidP="002A5800">
      <w:pPr>
        <w:rPr>
          <w:sz w:val="14"/>
        </w:rPr>
      </w:pPr>
      <w:r>
        <w:rPr>
          <w:rStyle w:val="StyleUnderline"/>
        </w:rPr>
        <w:t>Democrats and Republicans</w:t>
      </w:r>
      <w:r>
        <w:rPr>
          <w:sz w:val="14"/>
        </w:rPr>
        <w:t xml:space="preserve"> on the House education committee </w:t>
      </w:r>
      <w:r>
        <w:rPr>
          <w:rStyle w:val="StyleUnderline"/>
        </w:rPr>
        <w:t xml:space="preserve">came to two </w:t>
      </w:r>
      <w:r>
        <w:rPr>
          <w:rStyle w:val="Emphasis"/>
        </w:rPr>
        <w:t>bipartisan conclusions</w:t>
      </w:r>
      <w:r>
        <w:rPr>
          <w:sz w:val="14"/>
        </w:rPr>
        <w:t xml:space="preserve"> at a hearing on the reauthorization of the Carl D. Perkins Act today. The first? </w:t>
      </w:r>
      <w:r>
        <w:rPr>
          <w:rStyle w:val="StyleUnderline"/>
        </w:rPr>
        <w:t>Making the $1.1 billion vocational education program</w:t>
      </w:r>
      <w:r>
        <w:rPr>
          <w:sz w:val="14"/>
        </w:rPr>
        <w:t>—the biggest federal funding stream aimed at high schools—</w:t>
      </w:r>
      <w:r>
        <w:rPr>
          <w:rStyle w:val="Emphasis"/>
        </w:rPr>
        <w:t>competitive</w:t>
      </w:r>
      <w:r>
        <w:rPr>
          <w:sz w:val="14"/>
        </w:rPr>
        <w:t xml:space="preserve"> within states </w:t>
      </w:r>
      <w:r>
        <w:rPr>
          <w:rStyle w:val="Emphasis"/>
        </w:rPr>
        <w:t xml:space="preserve">is a bad, bad idea. </w:t>
      </w:r>
      <w:r>
        <w:rPr>
          <w:sz w:val="14"/>
        </w:rPr>
        <w:t xml:space="preserve">And the second? The administration should have given lawmakers a heads-up on its plan to take $100 million in U.S. Department of Labor discretionary funds to finance a competitive grant program for high school redesign. The administration had already put a similar proposal forward in its fiscal year 2014 budget request, but had been rebuffed by Congress: Senate Democrats didn't find money to create the plan in its spending bill. The administration's new plan will not require congressional approval. Kline said he "shouldn't have been surprised that he was surprised" by the administration's decision to keep the news of the competitive vocational training program mum until early this morning. (Sounds like a possible allusion to some of the under-the-radar action that's been happening at the department lately, including a move to change the waiver-renewal process.) And Rep. Tim Bishop, D-N.Y. said he would have liked some advance notice, even as he's optimistic about the high school program's potential. Their concerns aren't so surprising: </w:t>
      </w:r>
      <w:r>
        <w:rPr>
          <w:rStyle w:val="StyleUnderline"/>
        </w:rPr>
        <w:t xml:space="preserve">Even though the competitive career-tech program involves a relatively small pot of money, the administration's proposal essentially an end-run around Congress, which isn't really the most helpful way to kick-off a bipartisan reauthorization. </w:t>
      </w:r>
      <w:r>
        <w:rPr>
          <w:sz w:val="14"/>
        </w:rPr>
        <w:t>Kline made that point clear in his opening remarks</w:t>
      </w:r>
      <w:r>
        <w:rPr>
          <w:rStyle w:val="StyleUnderline"/>
        </w:rPr>
        <w:t>, "I am discouraged by this morning's news that President Obama plans to announce a new, national competitive grant program aimed at career education—</w:t>
      </w:r>
      <w:r>
        <w:rPr>
          <w:sz w:val="14"/>
        </w:rPr>
        <w:t>without any input from Congress.</w:t>
      </w:r>
      <w:r>
        <w:rPr>
          <w:rStyle w:val="StyleUnderline"/>
        </w:rPr>
        <w:t xml:space="preserve"> Another program will only further </w:t>
      </w:r>
      <w:r>
        <w:rPr>
          <w:rStyle w:val="Emphasis"/>
        </w:rPr>
        <w:t>muddle the system</w:t>
      </w:r>
      <w:r>
        <w:rPr>
          <w:rStyle w:val="StyleUnderline"/>
        </w:rPr>
        <w:t xml:space="preserve"> at a time when we need to make smart, structural reforms to improve CTE programs under the Perkins Act," he said. </w:t>
      </w:r>
      <w:r>
        <w:rPr>
          <w:rStyle w:val="Emphasis"/>
        </w:rPr>
        <w:t>It's also not a surprise that lawmakers were less than enamored</w:t>
      </w:r>
      <w:r>
        <w:rPr>
          <w:sz w:val="14"/>
        </w:rPr>
        <w:t xml:space="preserve"> </w:t>
      </w:r>
      <w:r>
        <w:rPr>
          <w:rStyle w:val="StyleUnderline"/>
        </w:rPr>
        <w:t xml:space="preserve">of the administration's idea to allow states to decide which of their career-and-technical education programs get federal dollars. </w:t>
      </w:r>
      <w:r>
        <w:rPr>
          <w:sz w:val="14"/>
        </w:rPr>
        <w:t xml:space="preserve">When the administration unveiled the proposal in a blueprint on renewing the law last year, </w:t>
      </w:r>
      <w:r>
        <w:rPr>
          <w:rStyle w:val="Emphasis"/>
        </w:rPr>
        <w:t>it got an instant thumbs-down</w:t>
      </w:r>
      <w:r>
        <w:rPr>
          <w:sz w:val="14"/>
        </w:rPr>
        <w:t xml:space="preserve"> from Sen. Patty Murray, D-Wash., a congressional leader on CTE issues. Murray found much to like in the rest of the proposal. Nearly everyone on the committee—from Kline to Democrats such as Reps. Bobby Scott of Virginia and Ruben Hinojosa of Texas, echoed Murray's earlier criticism. </w:t>
      </w:r>
      <w:r>
        <w:rPr>
          <w:rStyle w:val="StyleUnderline"/>
        </w:rPr>
        <w:t>They argued the change would make it tough for rural and poor districts to get the grants—</w:t>
      </w:r>
      <w:r>
        <w:rPr>
          <w:rStyle w:val="Emphasis"/>
        </w:rPr>
        <w:t>which right now are distributed by formula—</w:t>
      </w:r>
      <w:r>
        <w:rPr>
          <w:rStyle w:val="StyleUnderline"/>
        </w:rPr>
        <w:t>since they might not have the resources to write winning grant proposals. Advocacy groups, including the National Association of Secondary School Principals and the Association for Career and Technical Education, have made similar arguments</w:t>
      </w:r>
      <w:r>
        <w:rPr>
          <w:sz w:val="14"/>
        </w:rPr>
        <w:t xml:space="preserve">. More in this story. </w:t>
      </w:r>
    </w:p>
    <w:p w:rsidR="002A5800" w:rsidRDefault="002A5800" w:rsidP="002A5800">
      <w:pPr>
        <w:pStyle w:val="Heading3"/>
        <w:rPr>
          <w:sz w:val="32"/>
        </w:rPr>
      </w:pPr>
      <w:r>
        <w:t>--AT Perm Solves Trump Bad NB</w:t>
      </w:r>
    </w:p>
    <w:p w:rsidR="002A5800" w:rsidRDefault="002A5800" w:rsidP="002A5800">
      <w:pPr>
        <w:pStyle w:val="Heading4"/>
      </w:pPr>
      <w:r>
        <w:t>Perm can’t solve the net benefit --- popularity of formula grants overcomes competitive grants</w:t>
      </w:r>
    </w:p>
    <w:p w:rsidR="002A5800" w:rsidRDefault="002A5800" w:rsidP="002A5800">
      <w:r>
        <w:rPr>
          <w:rStyle w:val="Style13ptBold"/>
        </w:rPr>
        <w:t xml:space="preserve">Bornfreund 2015 </w:t>
      </w:r>
      <w:r>
        <w:rPr>
          <w:rStyle w:val="Style13ptBold"/>
          <w:b w:val="0"/>
        </w:rPr>
        <w:t>---</w:t>
      </w:r>
      <w:r>
        <w:rPr>
          <w:rStyle w:val="Style13ptBold"/>
          <w:b w:val="0"/>
          <w:sz w:val="22"/>
        </w:rPr>
        <w:t xml:space="preserve"> Director, Early &amp; Elementary Education and Co-Director, Family-Centered Social Policy at New America </w:t>
      </w:r>
      <w:r>
        <w:t>(Laura Bornfreund, 2/2/15, “Key Questions on President's 2016 Education Budget - PreK-12”, New America. https://www.newamerica.org/education-pcongretral/key-questions-prek-12/)//ET</w:t>
      </w:r>
    </w:p>
    <w:p w:rsidR="002A5800" w:rsidRDefault="002A5800" w:rsidP="002A5800">
      <w:pPr>
        <w:rPr>
          <w:sz w:val="14"/>
        </w:rPr>
      </w:pPr>
      <w:r>
        <w:rPr>
          <w:sz w:val="14"/>
        </w:rPr>
        <w:t xml:space="preserve">President Obama released his fiscal year 2016 budget request to congress this week. The Education Policy Program at New America has reviewed the president’s budget and generated a list of key questions that policymakers, the media, stakeholder groups, and the public should ask about the proposals. These are divided into three categories. Those covering PreK-12 are below. Those covering Higher Education are available here. Those covering Workforce Training will be available here. The </w:t>
      </w:r>
      <w:r>
        <w:rPr>
          <w:rStyle w:val="StyleUnderline"/>
        </w:rPr>
        <w:t>President’s fiscal year</w:t>
      </w:r>
      <w:r>
        <w:rPr>
          <w:sz w:val="14"/>
        </w:rPr>
        <w:t xml:space="preserve"> 2016 budget request, “Investing in America’s Future,” </w:t>
      </w:r>
      <w:r>
        <w:rPr>
          <w:rStyle w:val="StyleUnderline"/>
        </w:rPr>
        <w:t>presents a wide set of education investment priorities</w:t>
      </w:r>
      <w:r>
        <w:rPr>
          <w:sz w:val="14"/>
        </w:rPr>
        <w:t xml:space="preserve">, from pre-K through college. This year’s budget narrative underscores the progress states have made for introducing more rigorous college- and career-ready standards, and introduces significant funding increases to support states’ education reform efforts. Echoing previous years’ proposals, the budget request includes $75 billion over the next ten years in mandatory funding for Preschool for All, a proposal to partner with states to provide high-quality pre-K to more low- and moderate-income children. And, in addition to </w:t>
      </w:r>
      <w:r>
        <w:rPr>
          <w:rStyle w:val="StyleUnderline"/>
        </w:rPr>
        <w:t xml:space="preserve">upping spending on competitive grants like Investing in Innovation (i3), School Improvement Grants (SIG), and Promise Neighborhoods, the administration proposes increases to Federal formula grants, </w:t>
      </w:r>
      <w:r>
        <w:rPr>
          <w:rStyle w:val="Emphasis"/>
        </w:rPr>
        <w:t xml:space="preserve">including a big hike in Title I </w:t>
      </w:r>
      <w:r>
        <w:rPr>
          <w:sz w:val="14"/>
        </w:rPr>
        <w:t xml:space="preserve">and modest boosts in English Language Acquisition and Individuals with Disabilities Education Act (IDEA) grants. </w:t>
      </w:r>
      <w:r>
        <w:rPr>
          <w:rStyle w:val="StyleUnderline"/>
        </w:rPr>
        <w:t>Current congressional priorities for</w:t>
      </w:r>
      <w:r>
        <w:rPr>
          <w:sz w:val="14"/>
        </w:rPr>
        <w:t xml:space="preserve"> the reauthorization of the Elementary and Secondary Education Act (</w:t>
      </w:r>
      <w:r>
        <w:rPr>
          <w:rStyle w:val="StyleUnderline"/>
        </w:rPr>
        <w:t>ESEA</w:t>
      </w:r>
      <w:r>
        <w:rPr>
          <w:sz w:val="14"/>
        </w:rPr>
        <w:t xml:space="preserve">), however, </w:t>
      </w:r>
      <w:r>
        <w:rPr>
          <w:rStyle w:val="Emphasis"/>
        </w:rPr>
        <w:t>underscore how far apart this Republican Congress and the Administration are</w:t>
      </w:r>
      <w:r>
        <w:rPr>
          <w:sz w:val="14"/>
        </w:rPr>
        <w:t xml:space="preserve"> on education policy. Case in point: </w:t>
      </w:r>
      <w:r>
        <w:rPr>
          <w:rStyle w:val="StyleUnderline"/>
        </w:rPr>
        <w:t xml:space="preserve">many of the programs this budget would grow are completely cut in Senator Lamar Alexander’s draft bill (e.g., SIG, i3, Promise Neighborhoods). </w:t>
      </w:r>
      <w:r>
        <w:rPr>
          <w:sz w:val="14"/>
        </w:rPr>
        <w:t xml:space="preserve">While it is far from given that Congress will be able to pass an update to ESEA that the President will actually sign, it seems equally unlikely that Congress will pass a budget by October that resembles this Budget Request for education. But </w:t>
      </w:r>
      <w:r>
        <w:rPr>
          <w:rStyle w:val="Emphasis"/>
        </w:rPr>
        <w:t>as in past years, at</w:t>
      </w:r>
      <w:r>
        <w:rPr>
          <w:sz w:val="14"/>
        </w:rPr>
        <w:t xml:space="preserve"> least </w:t>
      </w:r>
      <w:r>
        <w:rPr>
          <w:rStyle w:val="Emphasis"/>
        </w:rPr>
        <w:t>some of these proposals will get air time and may even make it into a final budget</w:t>
      </w:r>
      <w:r>
        <w:rPr>
          <w:sz w:val="14"/>
        </w:rPr>
        <w:t xml:space="preserve">. At the very least, they signal the President’s vision and priorities for the country. So, on that note, here are our questions regarding the 2016 Budget Request: Preschool for All: Once again, the President proposes $75 billion in mandatory funds over 10 years for the Preschool for All program. As part of this initiative, he proposes an expansion of Preschool Development Grants that received $250 million in FY 2014 and FY 2015, funding a competition and 18 winning states. In many cases, though, these were fairly small grants. In FY 2016, the President is requesting an increase of $500 million for this program to expand the number of existing grantees to approximately 40 states. With these new funds, does the Administration also intend to expand existing grant awards to enable the states that won in 2014 to serve more children? Additionally, Preschool for All would promote access to high-quality full-day kindergarten. This is the third year that the Administration has made full-day kindergarten a priority and, unfortunately, Congress has not followed suit. As we have asked in previous years, does this signal that full-day kindergarten is a stronger priority for the Administration than for Congress? IDEA in Early Education: This year the President proposes an increase of $115 million for IDEA Preschool Grants and Infants and Families programs, including $15 million for a new Pay for Success Initiative. The IDEA Grants for Infants and Families would increase the number of children from birth to age three receiving early screenings and intervention services to approximately 340,000. The Pay for Success Initiative would allow states to fund pilot programs that could allow them to determine the best way to expand early screening and intervention services to infants and toddlers who do not qualify for services under Part C of IDEA in their state. These pilot programs would allow for private and philanthropic investments to expand promising programs via performance-based funding tied to achieving specific outcomes. In other words, investors only get paid if the programs at least meet certain goals. There are currently a few “Pay for Success” (also known as “Social Impact Bonds”) experiments underway.The logic is that early intervention programs decrease the likelihood that a child will need future supports and would thus create cost savings for school districts once a child enters school. It’s an idea worth further study and exploration, but is this kind of public-private investment a long-term solution for an ongoing need that impacts children during the most malleable stages of development? Leveraging What Works, Equity and Outcomes Pilots: In this year’s budget request, </w:t>
      </w:r>
      <w:r>
        <w:rPr>
          <w:rStyle w:val="StyleUnderline"/>
        </w:rPr>
        <w:t xml:space="preserve">the President proposes several spending increases in formula grants including calling for a $1 billion increase in Title I formula funds to assist states and districts in meeting the needs of low-income students. This marks the </w:t>
      </w:r>
      <w:r>
        <w:rPr>
          <w:rStyle w:val="Emphasis"/>
        </w:rPr>
        <w:t>first Title I increase</w:t>
      </w:r>
      <w:r>
        <w:rPr>
          <w:rStyle w:val="StyleUnderline"/>
        </w:rPr>
        <w:t xml:space="preserve"> from the current Administration, and </w:t>
      </w:r>
      <w:r>
        <w:rPr>
          <w:rStyle w:val="Emphasis"/>
        </w:rPr>
        <w:t>it’s a sizable one</w:t>
      </w:r>
      <w:r>
        <w:rPr>
          <w:sz w:val="14"/>
        </w:rPr>
        <w:t xml:space="preserve">. </w:t>
      </w:r>
      <w:r>
        <w:rPr>
          <w:rStyle w:val="StyleUnderline"/>
        </w:rPr>
        <w:t xml:space="preserve">Within Title I, the Administration has proposed two new pilot programs that provide incentives—through increased funding and flexibility—for </w:t>
      </w:r>
      <w:r>
        <w:rPr>
          <w:rStyle w:val="Emphasis"/>
        </w:rPr>
        <w:t xml:space="preserve">school districts to more effectively and equitably use their Federal formula funds. </w:t>
      </w:r>
      <w:r>
        <w:rPr>
          <w:sz w:val="14"/>
        </w:rPr>
        <w:t xml:space="preserve">The first of these programs, </w:t>
      </w:r>
      <w:r>
        <w:rPr>
          <w:rStyle w:val="StyleUnderline"/>
        </w:rPr>
        <w:t>Leveraging What Works, would provide $100 million in competitive grants to districts that agree to use a portion of their Title I funds, in combination with state and local resources, to provide evidence-based programming that advances low-income students’ outcomes</w:t>
      </w:r>
      <w:r>
        <w:rPr>
          <w:sz w:val="14"/>
        </w:rPr>
        <w:t>. But the number and size of districts this bonus money will reach remains unclear. Would the bonus funds go toward districts most in need of them, spurring new local investments in evidenced-based programming for disadvantaged students, or would they go toward those already providing such strong supports on their own? Likewise, how would districts guarantee that the additional funds target students most in need?</w:t>
      </w:r>
    </w:p>
    <w:p w:rsidR="002A5800" w:rsidRDefault="002A5800" w:rsidP="002A5800">
      <w:pPr>
        <w:pStyle w:val="Heading4"/>
        <w:rPr>
          <w:sz w:val="26"/>
        </w:rPr>
      </w:pPr>
      <w:r>
        <w:t xml:space="preserve">Permutation can’t solve --- popularity of increases in formula funding overcomes any opposition to competitive grants </w:t>
      </w:r>
    </w:p>
    <w:p w:rsidR="002A5800" w:rsidRDefault="002A5800" w:rsidP="002A5800">
      <w:r>
        <w:rPr>
          <w:rStyle w:val="Style13ptBold"/>
        </w:rPr>
        <w:t xml:space="preserve">Klein 2010 --- </w:t>
      </w:r>
      <w:r>
        <w:rPr>
          <w:rStyle w:val="Style13ptBold"/>
          <w:b w:val="0"/>
          <w:sz w:val="22"/>
        </w:rPr>
        <w:t xml:space="preserve">reporter for education week. </w:t>
      </w:r>
      <w:r>
        <w:t>(Alyson Klein, 2/9/10, “Education Budget Plan Wielded as Policy Lever”, Education Week. http://www.smmcta.com/uploads/9/9/4/2/9942134/education_week__education_budget_plan_wielded_as_policy_lever.pdf)//ET</w:t>
      </w:r>
    </w:p>
    <w:p w:rsidR="002A5800" w:rsidRDefault="002A5800" w:rsidP="002A5800">
      <w:r>
        <w:t xml:space="preserve">President Barack </w:t>
      </w:r>
      <w:r>
        <w:rPr>
          <w:rStyle w:val="StyleUnderline"/>
        </w:rPr>
        <w:t>Obama’s proposed</w:t>
      </w:r>
      <w:r>
        <w:t xml:space="preserve"> $49.7 billion </w:t>
      </w:r>
      <w:r>
        <w:rPr>
          <w:rStyle w:val="StyleUnderline"/>
        </w:rPr>
        <w:t>budget for the U.S. Department of Education is more than just a spending blueprint:</w:t>
      </w:r>
      <w:r>
        <w:t xml:space="preserve"> Department officials portray it as a fundamental reimagining of the agency’s structure and management. Under the fiscal 2011 proposal unveiled last week, a roster of 38 relatively small, targeted grant programs would be regrouped into broader, more flexible funding streams—many of them competitive—aimed at furthering the administration’s education redesign goals. The 11 new funding streams would be centered around such themes as increasing teacher and leader effectiveness, improving curriculum standards, and bolstering readiness for college. With the current array of smaller programs, “we’re trying to spread ourselves too thin” Secretary of Education Arne Duncan said in a conference call with reporters after the release of the plan last week. “Our goal is to become world-class in a smaller number of areas.” But </w:t>
      </w:r>
      <w:r>
        <w:rPr>
          <w:rStyle w:val="StyleUnderline"/>
        </w:rPr>
        <w:t>it’s unclear whether federal lawmakers will go along with a plan calling for programs to be consolidated</w:t>
      </w:r>
      <w:r>
        <w:t>—or, some fear, eliminated—</w:t>
      </w:r>
      <w:r>
        <w:rPr>
          <w:rStyle w:val="StyleUnderline"/>
        </w:rPr>
        <w:t xml:space="preserve">within a new funding stream. </w:t>
      </w:r>
      <w:r>
        <w:t xml:space="preserve">What’s more, </w:t>
      </w:r>
      <w:r>
        <w:rPr>
          <w:rStyle w:val="Emphasis"/>
        </w:rPr>
        <w:t>major formula programs</w:t>
      </w:r>
      <w:r>
        <w:t>—</w:t>
      </w:r>
      <w:r>
        <w:rPr>
          <w:rStyle w:val="StyleUnderline"/>
        </w:rPr>
        <w:t>Title I grants to districts and funding for students in special education are prominent examples</w:t>
      </w:r>
      <w:r>
        <w:t>—</w:t>
      </w:r>
      <w:r>
        <w:rPr>
          <w:rStyle w:val="Emphasis"/>
        </w:rPr>
        <w:t xml:space="preserve">would </w:t>
      </w:r>
      <w:r>
        <w:t>remain stagnant or</w:t>
      </w:r>
      <w:r>
        <w:rPr>
          <w:rStyle w:val="Emphasis"/>
        </w:rPr>
        <w:t xml:space="preserve"> receive only small increases under the proposal,</w:t>
      </w:r>
      <w:r>
        <w:t xml:space="preserve"> </w:t>
      </w:r>
      <w:r>
        <w:rPr>
          <w:rStyle w:val="StyleUnderline"/>
        </w:rPr>
        <w:t xml:space="preserve">while there would be a $3 billion boost in competitive funding across the budget. </w:t>
      </w:r>
      <w:r>
        <w:t xml:space="preserve">Such a shift is in keeping with an approach Mr. Duncan has pushed consistently in his first year as secretary, and which is expected to be embodied in the Obama administration’s reauthorization proposal for the Elementary and Secondary Education Act. “When there are real carrots out there, you see tremendous progress around the country,” Mr. Duncan said. “We are absolutely moving in the direction of [more competitive funding] very aggressively.” Michael Cohen, who served as an assistant secretary in the Education Department under President Bill Clinton, said the consolidation proposal was “absolutely the right direction” for the agency. “Those tiny little programs have very limited impact in a very small number of places, and almost never in any systemic way,” he said. But Mr. Cohen, who is now the president of Achieve, a nonprofit organization based in Washington that helps states raise academic standards, said the proposal was sure to worry the beneficiaries of some of the smaller funding streams—and their congressional champions. “If you combine five separate programs related to teaching into one larger one still related to teaching, the money is going to go to somebody else,” he said. “That’s where the political fight will be.” But even advocates for programs that would get a boost, such as charter schools, are wary of the consolidation plan, since it would make funding tougher to predict. “I think the question comes in how they are going to run these competitions,” said Brooks Garber, the vice president of federal advocacy for the Washington-based National Alliance for Public Charter Schools, who applauded the administration’s commitment to charters. “There are no firm and fast numbers to suggest how much schools would actually get.” Bright Spot Education was one bright spot in an otherwise austere budget year, in which most other domestic programs were frozen in President Obama’s $3.8 trillion fiscal 2011 proposal for the federal budget overall. The Education Department’s $49.7 billion discretionary-budget figure would amount to an increase of roughly 7.5 percent, and would include at least a $3 billion increase for K-12 programs. The total includes a proposal to shift Pell Grants, which help low-income students pay for college, from the discretionary to the mandatory side of the ledger, meaning the program would not be subject to the whims of the appropriations process. Much of the overall increase would go to continue and expand competitive grant programs created under the American Recovery and Reinvestment Act, the economic-stimulus package that was passed a year ago and that included up to $100 billion for education. </w:t>
      </w:r>
      <w:r>
        <w:rPr>
          <w:rStyle w:val="StyleUnderline"/>
        </w:rPr>
        <w:t xml:space="preserve">The </w:t>
      </w:r>
      <w:r>
        <w:rPr>
          <w:rStyle w:val="Emphasis"/>
        </w:rPr>
        <w:t>proposal asks for</w:t>
      </w:r>
      <w:r>
        <w:rPr>
          <w:rStyle w:val="StyleUnderline"/>
        </w:rPr>
        <w:t xml:space="preserve"> $1.35 billion to continue $</w:t>
      </w:r>
      <w:r>
        <w:rPr>
          <w:rStyle w:val="Emphasis"/>
        </w:rPr>
        <w:t>4 billion in competitive grants</w:t>
      </w:r>
      <w:r>
        <w:rPr>
          <w:rStyle w:val="StyleUnderline"/>
        </w:rPr>
        <w:t xml:space="preserve"> under the Race to the Top program aimed at rewarding states for making progress on certain education redesign objectives</w:t>
      </w:r>
      <w:r>
        <w:t>. The competition would also be opened up to districts, not just to states. And it seeks $500 million for the $650 million Investing in Innovation Fund, which is meant to scale up promising practices at the district level. Also</w:t>
      </w:r>
      <w:r>
        <w:rPr>
          <w:rStyle w:val="StyleUnderline"/>
        </w:rPr>
        <w:t xml:space="preserve">, as an </w:t>
      </w:r>
      <w:r>
        <w:rPr>
          <w:rStyle w:val="Emphasis"/>
        </w:rPr>
        <w:t xml:space="preserve">incentive for Congress to approve a reauthorization of the ESEA </w:t>
      </w:r>
      <w:r>
        <w:t xml:space="preserve">this year, </w:t>
      </w:r>
      <w:r>
        <w:rPr>
          <w:rStyle w:val="StyleUnderline"/>
        </w:rPr>
        <w:t xml:space="preserve">the administration will propose a budget amendment that would </w:t>
      </w:r>
      <w:r>
        <w:rPr>
          <w:rStyle w:val="Emphasis"/>
        </w:rPr>
        <w:t>provide an additional $1 billion for K-12 programs</w:t>
      </w:r>
      <w:r>
        <w:t xml:space="preserve">. But key programs that distribute funding through set formulas, rather than competitively, would be level-funded or targeted for only small increases, under the president’s budget. One prominent example: Title I grants to districts, which would be given the new name of College-and-Career Ready Students. That program would be financed at the same level in fiscal 2011—$14.5 billion—as were Title I grants to districts in fiscal 2010, not including $10 billion in additional money provided to the program under the economic stimulus program. And special education funding under the Individuals with Disabilities Education Act would see only a 2.2 percent increase in fiscal 2011, bringing it to $11.8 billion, not including $11.3 billion provided to the program under the recovery act. A shift to more competitive funding would make it harder for school districts to plan, since they couldn’t count on receiving a grant, said Joel Packer, the executive director of the Committee for Education Funding, a lobbying coalition in Washington. “It creates a level of uncertainty,” Mr. Packer said. Although the budget proposal includes language saying officials would ensure that rural schools got a fair shot at the new money, advocates for those schools worry that they wouldn’t be able to compete on equal footing with larger districts that generally have more resources for going after funding. “Those districts do not have the capacity to compete for grants—unless you want to shift money from teachers to grant writers,” Anne L. Bryant, the executive director of the National School Boards Association, said in a statement. Winners and Losers Programs aimed at furthering the four education redesign objectives spelled out in the recovery act—improving teacher quality, bolstering state data systems, revamping standards and assessment, and turning around low performing schools—would get most of the increased funding. For instance, </w:t>
      </w:r>
      <w:r>
        <w:rPr>
          <w:rStyle w:val="StyleUnderline"/>
        </w:rPr>
        <w:t xml:space="preserve">the proposed </w:t>
      </w:r>
      <w:r>
        <w:rPr>
          <w:rStyle w:val="Emphasis"/>
        </w:rPr>
        <w:t>budget would include a substantial boost for the Title I School Improvement Grants,</w:t>
      </w:r>
      <w:r>
        <w:rPr>
          <w:rStyle w:val="StyleUnderline"/>
        </w:rPr>
        <w:t xml:space="preserve"> a program that helps districts target interventions to schools struggling to meet the goals of the ESEA. </w:t>
      </w:r>
      <w:r>
        <w:t xml:space="preserve">The program, which would now be called the School Turnaround Grants program, would receive $900 million, a nearly 65 percent increase over fiscal 2010. That does not include $3 billion allocated for such grants under the stimulus law. And the budget would include a new, $490 million fund to support effective charter schools and public school choice grants. The initiative would be paid for by consolidating other school choice programs, which received a total of $409 million in fiscal 2010. And it would allocate $405 million to a program aimed at bolstering pathways for teachers and leaders, including university and district programs and alternative routes to teaching. But those new funding streams would be paid for in part by streamlining—or scrapping—a number of existing programs. For instance, the $950 million Teacher and Leader Innovation Fund would be financed by collapsing together—and expanding—the $400 million Teacher Incentive Fund program and the $10.6 million Advanced Credentialing program. The budget also would eliminate the nearly $3 billion Improving Teacher Quality State Grants program, which has generally been used by districts for professional development and class-size reduction, including teachers’ salaries. In its place would be a $2.5 billion fund, called the Effective Teachers and Leaders Grants, which would provide formula grants aimed at helping districts recruit, prepare, reward, support, and retain effective teachers. And in the area of literacy, the proposal includes a new, $450 million funding stream to help states work with outside organizations, such as nonprofit groups and colleges, to improve reading and writing instruction. That program would be financed by collapsing six smaller literacy programs, including the $250 million Striving Readers program, the $66.5 million Even Start family-literacy program, and the $25.6 million National Writing Project Other programs would be consolidated into larger funds aimed at improving mathematics and science education, bolstering arts and civics programs, and combining programs aimed at health and safety into a broader bucket. And the administration is proposing to eliminate a handful of tiny programs outright for a savings of $122.6 million, as well as to cut 571 earmarked projects totaling $217 million. </w:t>
      </w:r>
    </w:p>
    <w:p w:rsidR="002A5800" w:rsidRDefault="002A5800" w:rsidP="002A5800">
      <w:pPr>
        <w:rPr>
          <w:sz w:val="14"/>
        </w:rPr>
      </w:pPr>
    </w:p>
    <w:p w:rsidR="002A5800" w:rsidRDefault="002A5800" w:rsidP="002A5800">
      <w:pPr>
        <w:pStyle w:val="Heading3"/>
        <w:rPr>
          <w:sz w:val="32"/>
        </w:rPr>
      </w:pPr>
      <w:r>
        <w:t>Federalism NB</w:t>
      </w:r>
    </w:p>
    <w:p w:rsidR="002A5800" w:rsidRDefault="002A5800" w:rsidP="002A5800">
      <w:pPr>
        <w:pStyle w:val="Heading4"/>
      </w:pPr>
      <w:r>
        <w:t xml:space="preserve">Federalism is a net benefit – competitive grants represent </w:t>
      </w:r>
      <w:r>
        <w:rPr>
          <w:u w:val="single"/>
        </w:rPr>
        <w:t>limited federal power</w:t>
      </w:r>
      <w:r>
        <w:t xml:space="preserve"> that allow states to innovate</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t xml:space="preserve">Political scientists Peterson, Rabe, and Wong (1986) observed 25 years ago that </w:t>
      </w:r>
      <w:r>
        <w:rPr>
          <w:rStyle w:val="StyleUnderline"/>
        </w:rPr>
        <w:t xml:space="preserve">federal education policy </w:t>
      </w:r>
      <w:r>
        <w:t>tends to</w:t>
      </w:r>
      <w:r>
        <w:rPr>
          <w:rStyle w:val="StyleUnderline"/>
        </w:rPr>
        <w:t xml:space="preserve"> go through </w:t>
      </w:r>
      <w:r>
        <w:t>cycles of</w:t>
      </w:r>
      <w:r>
        <w:rPr>
          <w:rStyle w:val="StyleUnderline"/>
        </w:rPr>
        <w:t xml:space="preserve"> overreach and consolidation</w:t>
      </w:r>
      <w:r>
        <w:t xml:space="preserve">. From this perspective, </w:t>
      </w:r>
      <w:r>
        <w:rPr>
          <w:rStyle w:val="StyleUnderline"/>
        </w:rPr>
        <w:t xml:space="preserve">RTTT may best be understood as an attempt by the Obama administration to respond to the failures of NCLB and adapt federal policy to a role more commensurate with </w:t>
      </w:r>
      <w:r>
        <w:rPr>
          <w:rStyle w:val="Emphasis"/>
        </w:rPr>
        <w:t>limited federal power</w:t>
      </w:r>
      <w:r>
        <w:rPr>
          <w:rStyle w:val="StyleUnderline"/>
        </w:rPr>
        <w:t xml:space="preserve"> and administrative resources</w:t>
      </w:r>
      <w:r>
        <w:t xml:space="preserve">. RTTT’s </w:t>
      </w:r>
      <w:r>
        <w:rPr>
          <w:rStyle w:val="StyleUnderline"/>
        </w:rPr>
        <w:t>competitive grant program represents a promising new approach to using federal funds to drive school reform that may well prove more effective than traditional federal formula grant programs</w:t>
      </w:r>
      <w:r>
        <w:t xml:space="preserve">. The program is also significant because it demonstrates that the Obama administration has an expansive view of the federal role in education and one which builds on the test-based accountability framework put into place by NCLB, even as it seeks to push in some new directions (McDonnell, 2010). </w:t>
      </w:r>
      <w:r>
        <w:rPr>
          <w:rStyle w:val="StyleUnderline"/>
        </w:rPr>
        <w:t>RTTT</w:t>
      </w:r>
      <w:r>
        <w:t xml:space="preserve"> seeks to </w:t>
      </w:r>
      <w:r>
        <w:rPr>
          <w:rStyle w:val="StyleUnderline"/>
        </w:rPr>
        <w:t>change the political discourse around education, provide political cover for state reformers, and construct new administrative capacity at the federal and state levels that can support the implementation of new reforms once enacted</w:t>
      </w:r>
      <w:r>
        <w:t>. However, we should remain realistic in our expectations of what RTTT can accomplish; although the program’s approach may be different from that of earlier federal education programs, many of the political and institutional obstacles to sustaining meaningful reform at the federal and state levels remain largely the same. RTTT will struggle to surmount these obstacles in the short term, even as it hopes to transform them over the longer term.</w:t>
      </w:r>
    </w:p>
    <w:p w:rsidR="002A5800" w:rsidRDefault="002A5800" w:rsidP="002A5800"/>
    <w:p w:rsidR="002A5800" w:rsidRDefault="002A5800" w:rsidP="002A5800">
      <w:pPr>
        <w:pStyle w:val="Heading4"/>
      </w:pPr>
      <w:r>
        <w:t>Formula grants destroy competitive federalism --- that’s key to economic growth and competitiveness --- empirics prove modeling and spillvoer</w:t>
      </w:r>
    </w:p>
    <w:p w:rsidR="002A5800" w:rsidRDefault="002A5800" w:rsidP="002A5800">
      <w:r>
        <w:rPr>
          <w:rStyle w:val="Style13ptBold"/>
        </w:rPr>
        <w:t xml:space="preserve">Katz 12 </w:t>
      </w:r>
      <w:r>
        <w:rPr>
          <w:rStyle w:val="Style13ptBold"/>
          <w:b w:val="0"/>
        </w:rPr>
        <w:t xml:space="preserve">--- </w:t>
      </w:r>
      <w:r>
        <w:rPr>
          <w:rStyle w:val="Style13ptBold"/>
          <w:b w:val="0"/>
          <w:sz w:val="22"/>
        </w:rPr>
        <w:t xml:space="preserve">Visiting Professor at LSE, Centennial Scholar at the Brookings Institution. </w:t>
      </w:r>
      <w:r>
        <w:t>(Bruce Katz, “Remaking Federalism to Remake the American Economy”, Brookings. https://www.brookings.edu/research/remaking-federalism-to-remake-the-american-economy/)//ET</w:t>
      </w:r>
    </w:p>
    <w:p w:rsidR="002A5800" w:rsidRDefault="002A5800" w:rsidP="002A5800">
      <w:pPr>
        <w:rPr>
          <w:rStyle w:val="StyleUnderline"/>
        </w:rPr>
      </w:pPr>
      <w:r>
        <w:rPr>
          <w:sz w:val="14"/>
        </w:rPr>
        <w:t xml:space="preserve">The 2012 </w:t>
      </w:r>
      <w:r>
        <w:rPr>
          <w:rStyle w:val="StyleUnderline"/>
        </w:rPr>
        <w:t>presidential election will be</w:t>
      </w:r>
      <w:r>
        <w:rPr>
          <w:sz w:val="14"/>
        </w:rPr>
        <w:t xml:space="preserve"> defined and </w:t>
      </w:r>
      <w:r>
        <w:rPr>
          <w:rStyle w:val="StyleUnderline"/>
        </w:rPr>
        <w:t xml:space="preserve">dominated by the economic challenges that persist </w:t>
      </w:r>
      <w:r>
        <w:rPr>
          <w:sz w:val="14"/>
        </w:rPr>
        <w:t xml:space="preserve">an incredible 33 months </w:t>
      </w:r>
      <w:r>
        <w:rPr>
          <w:rStyle w:val="StyleUnderline"/>
        </w:rPr>
        <w:t xml:space="preserve">after the formal end of the Great Recession. </w:t>
      </w:r>
      <w:r>
        <w:rPr>
          <w:sz w:val="14"/>
        </w:rPr>
        <w:t xml:space="preserve">At the most basic level, </w:t>
      </w:r>
      <w:r>
        <w:rPr>
          <w:rStyle w:val="Emphasis"/>
        </w:rPr>
        <w:t>the U.S. needs more jobs</w:t>
      </w:r>
      <w:r>
        <w:rPr>
          <w:sz w:val="14"/>
        </w:rPr>
        <w:t xml:space="preserve">— </w:t>
      </w:r>
      <w:r>
        <w:rPr>
          <w:rStyle w:val="StyleUnderline"/>
        </w:rPr>
        <w:t>12.1 million by one estimate</w:t>
      </w:r>
      <w:r>
        <w:rPr>
          <w:sz w:val="14"/>
        </w:rPr>
        <w:t>—</w:t>
      </w:r>
      <w:r>
        <w:rPr>
          <w:rStyle w:val="StyleUnderline"/>
        </w:rPr>
        <w:t>to recover the jobs lost during the downturn and keep pace with population growth and labor market dynamics</w:t>
      </w:r>
      <w:r>
        <w:rPr>
          <w:sz w:val="14"/>
        </w:rPr>
        <w:t xml:space="preserve">. </w:t>
      </w:r>
      <w:r>
        <w:rPr>
          <w:rStyle w:val="StyleUnderline"/>
        </w:rPr>
        <w:t xml:space="preserve">Beyond pure job growth, the U.S. needs better jobs, to grow wages and incomes for lower- and middle-class workers and reverse the troubling decades-long rise in inequality. To achieve these twin goals, the U.S. needs to </w:t>
      </w:r>
      <w:r>
        <w:rPr>
          <w:rStyle w:val="Emphasis"/>
        </w:rPr>
        <w:t>restructure the economy</w:t>
      </w:r>
      <w:r>
        <w:rPr>
          <w:sz w:val="14"/>
        </w:rPr>
        <w:t xml:space="preserve"> from one focused inward and characterized by excessive consumption and debt, to one globally engaged and driven by production and innovation. It must do so while contending with a new cadre of global competitors that aim to best the United States in the next industrial revolution and while leveraging the distinctive assets and advantages of different parts of the country, particularly the major cities and metropolitan areas that are the engines of national prosperity. </w:t>
      </w:r>
      <w:r>
        <w:rPr>
          <w:rStyle w:val="StyleUnderline"/>
        </w:rPr>
        <w:t xml:space="preserve">This is the tallest of economic orders and it is well </w:t>
      </w:r>
      <w:r>
        <w:rPr>
          <w:rStyle w:val="Emphasis"/>
        </w:rPr>
        <w:t>beyond the scope of exclusive federal solutions</w:t>
      </w:r>
      <w:r>
        <w:rPr>
          <w:sz w:val="14"/>
        </w:rPr>
        <w:t xml:space="preserve">, the traditional focus of presidential candidates in both political parties. Rather, </w:t>
      </w:r>
      <w:r>
        <w:rPr>
          <w:rStyle w:val="StyleUnderline"/>
        </w:rPr>
        <w:t>the next President must</w:t>
      </w:r>
      <w:r>
        <w:rPr>
          <w:sz w:val="14"/>
        </w:rPr>
        <w:t xml:space="preserve"> look beyond Washington and </w:t>
      </w:r>
      <w:r>
        <w:rPr>
          <w:rStyle w:val="StyleUnderline"/>
        </w:rPr>
        <w:t>enlist states and metropolitan areas as active co-partners</w:t>
      </w:r>
      <w:r>
        <w:rPr>
          <w:sz w:val="14"/>
        </w:rPr>
        <w:t xml:space="preserve"> in the restructuring of the national economy. </w:t>
      </w:r>
      <w:r>
        <w:rPr>
          <w:rStyle w:val="Emphasis"/>
        </w:rPr>
        <w:t>Remaking the economy</w:t>
      </w:r>
      <w:r>
        <w:rPr>
          <w:rStyle w:val="StyleUnderline"/>
        </w:rPr>
        <w:t xml:space="preserve">, in essence, </w:t>
      </w:r>
      <w:r>
        <w:rPr>
          <w:rStyle w:val="Emphasis"/>
        </w:rPr>
        <w:t>requires</w:t>
      </w:r>
      <w:r>
        <w:rPr>
          <w:rStyle w:val="StyleUnderline"/>
        </w:rPr>
        <w:t xml:space="preserve"> a </w:t>
      </w:r>
      <w:r>
        <w:rPr>
          <w:rStyle w:val="Emphasis"/>
        </w:rPr>
        <w:t>remaking of federalism so that governments at all levels “collaborate to compete</w:t>
      </w:r>
      <w:r>
        <w:rPr>
          <w:sz w:val="14"/>
        </w:rPr>
        <w:t xml:space="preserve">” and work closely with each other and the private and civic sectors to </w:t>
      </w:r>
      <w:r>
        <w:rPr>
          <w:rStyle w:val="StyleUnderline"/>
        </w:rPr>
        <w:t xml:space="preserve">burnish American </w:t>
      </w:r>
      <w:r>
        <w:rPr>
          <w:rStyle w:val="Emphasis"/>
        </w:rPr>
        <w:t>competitiveness in the new global economic order.</w:t>
      </w:r>
      <w:r>
        <w:rPr>
          <w:rStyle w:val="StyleUnderline"/>
        </w:rPr>
        <w:t xml:space="preserve"> </w:t>
      </w:r>
      <w:r>
        <w:rPr>
          <w:sz w:val="14"/>
        </w:rPr>
        <w:t xml:space="preserve">The time for remaking federalism could not be more propitious. With Washington mired in partisan gridlock, the states and metropolitan areas are once again playing their traditional roles as “laboratories of democracy” and centers of economic and policy innovation. </w:t>
      </w:r>
      <w:r>
        <w:rPr>
          <w:rStyle w:val="StyleUnderline"/>
        </w:rPr>
        <w:t xml:space="preserve">An </w:t>
      </w:r>
      <w:r>
        <w:rPr>
          <w:rStyle w:val="Emphasis"/>
        </w:rPr>
        <w:t>enormous opportunity</w:t>
      </w:r>
      <w:r>
        <w:rPr>
          <w:rStyle w:val="StyleUnderline"/>
        </w:rPr>
        <w:t xml:space="preserve"> exists for the next president to mobilize these federalist partners in a focused campaign for national economic renewal. Given global competition, the next president should adopt a vision of </w:t>
      </w:r>
      <w:r>
        <w:rPr>
          <w:rStyle w:val="Emphasis"/>
        </w:rPr>
        <w:t>collaborative federalism</w:t>
      </w:r>
      <w:r>
        <w:rPr>
          <w:sz w:val="14"/>
        </w:rPr>
        <w:t xml:space="preserve"> </w:t>
      </w:r>
      <w:r>
        <w:rPr>
          <w:rStyle w:val="StyleUnderline"/>
        </w:rPr>
        <w:t xml:space="preserve">in which: </w:t>
      </w:r>
      <w:r>
        <w:rPr>
          <w:sz w:val="14"/>
        </w:rPr>
        <w:t xml:space="preserve">the federal government leads where it must and sets a robust platform for productive and innovative growth via a few transformative investments and interventions; states and metropolitan areas innovate where they should to design and implement bottom-up economic strategies that fully align with their distinctive competitive assets and advantages; and a refreshed set of federalist institutions maximize results by accelerating the replication of innovations across the federal, state and metropolitan levels. CURRENT STATE: OBAMA FEDERALISM AND THE REPUBLICAN RESPONSE </w:t>
      </w:r>
      <w:r>
        <w:rPr>
          <w:rStyle w:val="StyleUnderline"/>
        </w:rPr>
        <w:t>Our federal republic diffuses power among different layers of government and across disparate sectors of society</w:t>
      </w:r>
      <w:r>
        <w:rPr>
          <w:sz w:val="14"/>
        </w:rPr>
        <w:t xml:space="preserve">. States are the key constitutional partners, because they have broad powers over such market-shaping policy areas as infrastructure, innovation, energy, education and skills training. But other sub-national units, particularly major cities and metropolitan areas, are also critical, because they concentrate and agglomerate the assets that drive prosperity and share governance with economy-shaping actors in the corporate, civic, university and other spheres. Against this backdrop, federalism has always been a living, ever-evolving practice, a dynamic rather than static arrangement. Alice Rivlin charted three different phases of federalism in her path-breaking 1992 book Reviving the American Dream: From 1789 to about 1933, all levels of government were small by modern standards, but the states were clearly more important than the federal government, except possibly in time of war. Moreover, the two levels of government usually ran on separate tracks, each in control of its own set of activities. Scholars called the arrangement “dual federalism.” From the Great Depression through the 1970s, all levels of government expanded their activities, but power shifted to Washington. The federal government took on new responsibilities, and the distinction between federal and state roles faded. Scholars talked about “cooperative federalism.” By the beginning of the 1980s, the drive for centralization had peaked, and power began shifting back to state capitals. No new concept emerged of how responsibilities should be divided. </w:t>
      </w:r>
      <w:r>
        <w:rPr>
          <w:rStyle w:val="Emphasis"/>
        </w:rPr>
        <w:t>The current era has been called a period of “competitive federalism</w:t>
      </w:r>
      <w:r>
        <w:rPr>
          <w:sz w:val="14"/>
        </w:rPr>
        <w:t xml:space="preserve">,” </w:t>
      </w:r>
      <w:r>
        <w:rPr>
          <w:rStyle w:val="StyleUnderline"/>
        </w:rPr>
        <w:t>meaning the federal government and the states are competing with each other for leadership in domestic policy</w:t>
      </w:r>
      <w:r>
        <w:rPr>
          <w:sz w:val="14"/>
        </w:rPr>
        <w:t xml:space="preserve">. During each of these periods, federalism was at the center of national political discourse: analyzed, debated, labeled and litigated. President Roosevelt’s grand battles with the Supreme Court in 1937 were essentially over federalist divisions of power. President Nixon used the term “New Federalism” to describe his ambitious mix of agency formation, program consolidation and management reforms. One of President Reagan’s earliest acts was to create a Presidential Advisory Committee on Federalism that included governors, state legislators, mayors, county officials and members of the U.S. House and Senate. As befits a former law professor, President Obama’s approach to federalism is studied and multi-dimensional, defying simple categorization. On one level, the severity of the economic crisis required aggressive federal action to, among other things, stimulate the economy, mitigate the fiscal impact of the Great Recession on states and localities, rescue the auto sector and provide a new regulatory regime for the financial industry. The first 18 months of the administration rivaled the New Deal in the economic scope and reach of federal actions. Beyond the urgent economic response, however, the Obama approach to federalism has been situational, bold and directional in some areas of domestic policy, permissive and supportive in others. The </w:t>
      </w:r>
      <w:r>
        <w:rPr>
          <w:rStyle w:val="Emphasis"/>
        </w:rPr>
        <w:t>Race to the Top</w:t>
      </w:r>
      <w:r>
        <w:rPr>
          <w:sz w:val="14"/>
        </w:rPr>
        <w:t xml:space="preserve"> effort in elementary and secondary education </w:t>
      </w:r>
      <w:r>
        <w:rPr>
          <w:rStyle w:val="Emphasis"/>
        </w:rPr>
        <w:t>shows</w:t>
      </w:r>
      <w:r>
        <w:rPr>
          <w:sz w:val="14"/>
        </w:rPr>
        <w:t xml:space="preserve"> President </w:t>
      </w:r>
      <w:r>
        <w:rPr>
          <w:rStyle w:val="StyleUnderline"/>
        </w:rPr>
        <w:t xml:space="preserve">Obama at his most ambitious. States were asked to </w:t>
      </w:r>
      <w:r>
        <w:rPr>
          <w:rStyle w:val="Emphasis"/>
        </w:rPr>
        <w:t>compete</w:t>
      </w:r>
      <w:r>
        <w:rPr>
          <w:rStyle w:val="StyleUnderline"/>
        </w:rPr>
        <w:t xml:space="preserve"> for a comparatively tiny amount of federal education resources. In exchange for these funds, states were required to undertake a series of significant and controversial undertakings:</w:t>
      </w:r>
      <w:r>
        <w:rPr>
          <w:sz w:val="14"/>
        </w:rPr>
        <w:t xml:space="preserve"> raise the caps on charter schools; use one of four prescribed strategies to improve the performance of low-achieving schools; and develop promotion standards for teachers based on student achievement. </w:t>
      </w:r>
      <w:r>
        <w:rPr>
          <w:rStyle w:val="StyleUnderline"/>
        </w:rPr>
        <w:t xml:space="preserve">Race to the Top is a </w:t>
      </w:r>
      <w:r>
        <w:rPr>
          <w:rStyle w:val="Emphasis"/>
        </w:rPr>
        <w:t>clear example</w:t>
      </w:r>
      <w:r>
        <w:rPr>
          <w:rStyle w:val="StyleUnderline"/>
        </w:rPr>
        <w:t xml:space="preserve"> of how the carrot of federal spending can </w:t>
      </w:r>
      <w:r>
        <w:rPr>
          <w:rStyle w:val="Emphasis"/>
        </w:rPr>
        <w:t>reinvent how states carry out a critical role of government</w:t>
      </w:r>
      <w:r>
        <w:rPr>
          <w:sz w:val="14"/>
        </w:rPr>
        <w:t xml:space="preserve">. </w:t>
      </w:r>
      <w:r>
        <w:rPr>
          <w:rStyle w:val="StyleUnderline"/>
        </w:rPr>
        <w:t xml:space="preserve">Tennessee, New York, Florida and Ohio won competitive grants in the range of $400 million to $700 million, awards that are a mere fraction of these state’s annual education budgets, which range from $5.2 billion to $19.4 billion. </w:t>
      </w:r>
      <w:r>
        <w:rPr>
          <w:rStyle w:val="Emphasis"/>
        </w:rPr>
        <w:t>This provides a new twist on the conventional notion of state innovation</w:t>
      </w:r>
      <w:r>
        <w:rPr>
          <w:sz w:val="14"/>
        </w:rPr>
        <w:t xml:space="preserve">. As Marcia Howard, executive director of Federal Funds Information for States stated, “Rather than states being the laboratories of democracy [by] themselves, some of them will become the federal government’s laboratories of democracy.” In other areas of domestic policy, President Obama has used a softer, more subtle touch. On the programmatic front, President Obama has worked to enable states and localities to tackle structural challenges in integrated ways. The administration’s Sustainable Communities Initiative—a partnership among the Department of Transportation, Department of Housing and Urban Development (HUD) and Environmental Protection Agency (EPA)— has, for example, given cities and metropolitan areas resources, information and tools to make sharper connections between housing, transportation and environmental resources. On regulatory matters, President Obama has used federal actions to set a “floor rather than a ceiling” on a range of consumer protection, clean energy and environmental matters. This has left room for the states to innovate on auto emission standards in California, for example, and to seek redress for mortgage abuses through the States Attorney Generals. To date, President </w:t>
      </w:r>
      <w:r>
        <w:rPr>
          <w:rStyle w:val="StyleUnderline"/>
        </w:rPr>
        <w:t>Obama’s approach to economic restructuring has tended toward the more permissive, enabling end of the federalist spectrum.</w:t>
      </w:r>
      <w:r>
        <w:rPr>
          <w:sz w:val="14"/>
        </w:rPr>
        <w:t xml:space="preserve"> The administration has, for example, set a national goal of doubling exports, but it has not sought to influence the way states organize themselves to engage globally. The American Recovery and Reinvestment Act made sizable investments in the clean economy but left states and localities alone to set their own platforms for clean economy growth. Other </w:t>
      </w:r>
      <w:r>
        <w:rPr>
          <w:rStyle w:val="StyleUnderline"/>
        </w:rPr>
        <w:t xml:space="preserve">efforts to catalyze and leverage regional innovation clusters, </w:t>
      </w:r>
      <w:r>
        <w:rPr>
          <w:rStyle w:val="Emphasis"/>
        </w:rPr>
        <w:t>using competitive grant programs</w:t>
      </w:r>
      <w:r>
        <w:rPr>
          <w:sz w:val="14"/>
        </w:rPr>
        <w:t xml:space="preserve">, </w:t>
      </w:r>
      <w:r>
        <w:rPr>
          <w:rStyle w:val="StyleUnderline"/>
        </w:rPr>
        <w:t>have been relatively small in size and scope</w:t>
      </w:r>
      <w:r>
        <w:rPr>
          <w:sz w:val="14"/>
        </w:rPr>
        <w:t xml:space="preserve">. Perhaps most tellingly, President Obama has almost exclusively populated a fairly robust group of White House advisory councils on jobs and the economy, exports, advanced manufacturing and entrepreneurs with business, civic and university leaders. The failure to engage state and local elected officials—governors, county executives, mayors, state and local legislators—in these economy-shaping efforts is shortsighted, given how much influence the states and localities have on every aspect of economic life. Other efforts to involve cities and metropolitan areas through a special White House Office have been understaffed and unfocused. President </w:t>
      </w:r>
      <w:r>
        <w:rPr>
          <w:rStyle w:val="StyleUnderline"/>
        </w:rPr>
        <w:t>Obama’s federalism, while varied, is nonetheless definable</w:t>
      </w:r>
      <w:r>
        <w:rPr>
          <w:sz w:val="14"/>
        </w:rPr>
        <w:t xml:space="preserve">. The federalist views of the Republican presidential candidates, by contrast, have been a bit of a muddle. On one hand, the Republican candidates have been predictably uniform in their condemnation of President Obama for federal over-reach in the responses taken during the height of the economic crisis in 2009-2010 and in the health care bill. Beyond that, however, their federalist philosophies cover a broader spectrum, illustrative not only of their disparate professional experiences but also the shifting federalist position and perspective of the Republican Party. In prior decades, the federalist stances of the two political parties were easy to discern. For several decades, Democrats were the party advocating strong federal powers, Republicans the party upholding the Tenth Amendment’s reservation of unenumerated powers to the states. This clear ideological division has not held in the past 20 years. As the states (and their cities and metropolitan areas) have grown in capacity and intent, Democrats have seen the wisdom of preserving state prerogatives and respecting state and metro innovation. Republicans, for their part, appear torn between their traditional philosophy of states’ rights (e.g., repeating calls to eliminate the U.S. Department of Education) and newer commitments under President George W. Bush to enhance federal power to impose social views, respond to terrorist threats and expand popular entitlements. These internal inconsistencies are best exemplified by Mitt Romney, the Republican front runner as of this writing. As Massachusetts governor, Romney embraced the role of state as innovator and, ironically, his key achievements have driven Obama’s agenda. Massachusetts’s health care law became the blueprint for federal action under Obama. Romney’s effort on sustainable development became a model for other states and a forerunner of Obama’s multi-agency Sustainable Communities Initiative. And as a candidate, Romney has expressed strong support for Obama’s Race to the Top program, reflecting a view that the federal government needs to set a strong direction in areas of national significance that are co-produced with the states and localities. At the same time, he has opposed President Obama’s health care reform, saying that the enactment of a similar law in Massachusetts was intended to be a “state solution” to a “state problem.” Still further, he has argued that states should not have the right to enact laws to enable same-sex marriage equality, hewing to the strong federal role now embraced by social conservatives. For now, Governor Romney’s approach to federalism is a shifting tableau, owing to the complicated politics of the Republican Party. A FEDERALIST ROADMAP FOR THE NEXT PRESIDENT As the 2012 presidential election unfolds, and the debate over the future of the American economy comes into sharper relief, it is essential that both candidates articulate a federalist vision for economic renewal. While past federalist eras have been defined by their means—the way that different levels of government interact—the current economic imperative necessitates federalism that is defined by co-delivering particular ends, specifically a new vision for the national economy. Over the past three years, a growing chorus of business leaders and mainstream economists has embraced a post-recession growth model, a “next economy,” where the United States exports more and wastes less, innovates in what matters, produces more of what we invent and ensures that the economy actually works for working families. In summary terms, the next economy should be fuelled by innovation, to spur growth not only through idea generation but the virtuous interplay of invention, commercialization and manufacturing. It should increasingly be powered by low-carbon energy, to position the United States at the vanguard of the next, innovation-led industrial revolution. It should be driven by exports, to take advantage of rising global demand for quality products and services. And, it should be opportunity rich, so that working families can earn wages sufficient to attain a middleclass life. This ambitious macro vision largely comes to ground in the nation’s 100 largest metropolitan areas, which already generate more than three-quarters of the nation’s gross domestic product. These communities dominate economically, since they concentrate and agglomerate the innovative firms, talented workers, risk-taking entrepreneurs and supportive ecosystems of universities, community colleges and business associations that drive modern economies. While Washington dithers and delays, metros and their states are embracing the next-economy model and innovating in ways that build on their distinctive competitive assets and advantages: With federal innovation funding at risk, metros like New York and states like Ohio and Tennessee are making sizable commitments to attract innovative research institutions, commercialize research and grow innovative firms. With the future of federal trade policy unclear, metros like Los Angeles and Minneapolis/St. Paul and states like Colorado and New York are reorienting their economic development strategies toward exports, foreign direct investment and skilled immigration. With federal energy policy in shambles, metros like Seattle and Philadelphia are cementing their niches in energy-efficient technologies, and states like Connecticut are experimenting with Green Banks to help deploy clean technologies at scale. With federal transportation policy in limbo, metros like Jacksonville and Savannah and states like Michigan are modernizing their air, rail and sea freight hubs to position themselves for an expansion in global trade. What unites these disparate efforts are intentionality and purpose. After decades of pursuing fanciful illusions (becoming “the next Silicon Valley”) or engaging in copycat strategies, states and metros are deliberately building on their special assets, attributes and advantages, using business planning techniques honed in the private sector. The bubbling of state and metro innovation is pervasive and viral—crossing political, regional, jurisdictional and sectoral lines. It offers an affirmative and practical counterpoint to a Washington that has increasingly become hyper-partisan and overly ideological and gives the next President an opportunity to engage states and metropolitan areas as true, working partners in the quest to restructure the economy. Three actions are of most importance. First, the federal government should lead where it must and set a strong, clear national platform for productive and innovative growth. This requires a level of focus and discipline that has been sorely missing in Washington, D.C. In other words, the federal government should do less, better. What matters? It is clear that companies, states and localities crave predictable rules of the game on the fundamentals—budget, trade, taxes and immigration—so that they can invest and govern with confidence and certainty. Yet pragmatic leaders are also demanding that the federal government invest, at scale, in economy-driving assets over a sustained period. The list of target areas for recommended investments, and even the institutional vehicles for investments, is remarkably similar and consistent across a broad cross-section of corporate, political, civic and university leaders. Last year, the American Energy Innovation Council, an organization founded by seven major corporate leaders (including Bill Gates, Jeff Immelt and John Doerr) recommended scaling clean-energy R&amp;D investments from $5 billion to $16 billion annually. The investments would be “focused on technologies that can achieve significant scale, and be freed from political interference and earmarking.” Felix Rohaytn, a respected investment banker and former chairman of the New York City Municipal Assistance Corporation, has been a long-time champion of a National Infrastructure Bank. Rohatyn’s design, backed by a diverse set of political and corporate leaders, would initially capitalize a bank at $60 billion to leverage $250 billion of new capital in the private sector during its first few years and as much as $1 trillion over the next decade. Finally, a plethora of business, university and philanthropic leaders have argued for aggressive steps to upgrade the education and skills of the American workforce. Andrew Liveris, the CEO of Dow Chemical Co, has, for instance, called for significant investment in STEM (science, technology, engineering and mathematics) education and improved skills training programs at community colleges so that workers can learn the skills necessary for high-paying advanced manufacturing jobs in the United States. In many respects, the question is not what to invest in, but how? In a fiscally constrained environment, where will the resources come from? The answer: “cut and invest.” The Simpson-Bowles Commission recommended creating a bipartisan Cut-and-Invest Committee to be charged each year with identifying two percent of the discretionary budget that should be cut and identifying how to redirect half of that savings, or one percent, into high-value investment—exactly the same priority areas identified for investment above. The Commission’s recommendation is technically feasible, because the federal tax code is replete with provisions that subsidize excessive consumption, rather than production, and wasteful, rather than sustainable, growth. The worst offender, the federal mortgage interest deduction, is scheduled to grow steadily over the next five fiscal years. The single act of capping this deduction at current levels would save $177 billion during this period, more than enough to contribute to deficit reduction and finance every market-shaping solution mentioned above. Second, states and metropolitan areas must innovate where they should to drive and enable bottom-up economic strategies that fully align with the distinctive competitive assets and advantages of disparate places. That will require a radical restructuring of the federal government. As Mark Muro wrote in his seminal MetroPolicy treatise in 2008: New technologies, globalization, and deregulation, ha[ve] brought a new era of speed, entrepreneurship, innovation, flux and complexity—as well as new challenges—for organizations. . . . Compelled by the new conditions, firms, governments and organizations of all types have embarked upon an urgent search for new, more flexible and effective forms of organization out of which the outlines of a distinctive 21st century style of governance have begun to emerge. </w:t>
      </w:r>
      <w:r>
        <w:rPr>
          <w:rStyle w:val="StyleUnderline"/>
        </w:rPr>
        <w:t xml:space="preserve">Top-down planning and control structures are giving way to decentralized, “federated” systems —because pre-set central plans cannot encompass the complexity and variation of contemporary reality—to build in space for decisive front-line responsiveness, problem-solving, experimentation, and learning (emphasis added). </w:t>
      </w:r>
      <w:r>
        <w:rPr>
          <w:sz w:val="14"/>
        </w:rPr>
        <w:t xml:space="preserve">Against this backdrop, the federal government largely remains a legacy government rooted in a different era. </w:t>
      </w:r>
      <w:r>
        <w:rPr>
          <w:rStyle w:val="StyleUnderline"/>
        </w:rPr>
        <w:t>The current federal agencies are siloed and stove-piped, highly compartmentalized and specialized, allergic to risk in the face of challenges that are multi-dimensional and multi-layered. Most federal structures, policies, programs and rules are prescriptive and technocratic, narrowly defined, poorly coordinated and, in general</w:t>
      </w:r>
      <w:r>
        <w:rPr>
          <w:rStyle w:val="Emphasis"/>
        </w:rPr>
        <w:t xml:space="preserve">, ill-suited to support creative state </w:t>
      </w:r>
      <w:r>
        <w:rPr>
          <w:rStyle w:val="StyleUnderline"/>
        </w:rPr>
        <w:t xml:space="preserve">and metropolitan </w:t>
      </w:r>
      <w:r>
        <w:rPr>
          <w:rStyle w:val="Emphasis"/>
        </w:rPr>
        <w:t>problem-solving</w:t>
      </w:r>
      <w:r>
        <w:rPr>
          <w:rStyle w:val="StyleUnderline"/>
        </w:rPr>
        <w:t xml:space="preserve">. </w:t>
      </w:r>
      <w:r>
        <w:rPr>
          <w:sz w:val="14"/>
        </w:rPr>
        <w:t xml:space="preserve">The proliferation of federal programs is alarming. The Simpson-Bowles Commission, for example, found that there are over 44 job training programs across nine different federal agencies, and 105 programs meant to encourage STEM education. </w:t>
      </w:r>
      <w:r>
        <w:rPr>
          <w:rStyle w:val="StyleUnderline"/>
        </w:rPr>
        <w:t>Throughout the federal government, an inspector-general culture prevails, stifling innovation and limiting latitude for invention and experimentation. Despite the diversity of the country, a “one size fits all” categorical approach drives national investment, enticing different regions to compete for discrete federal funds whether they need them or not. One can imagine multiple ways</w:t>
      </w:r>
      <w:r>
        <w:rPr>
          <w:sz w:val="14"/>
        </w:rPr>
        <w:t xml:space="preserve">—for example, </w:t>
      </w:r>
      <w:r>
        <w:rPr>
          <w:rStyle w:val="StyleUnderline"/>
        </w:rPr>
        <w:t>consolidating trade agencies with similar missions, consolidating workforce programs under a performance block grant—to modernize the federal government to leverage the possibilities of a differentiated economy</w:t>
      </w:r>
      <w:r>
        <w:rPr>
          <w:rStyle w:val="Emphasis"/>
        </w:rPr>
        <w:t xml:space="preserve">. The most direct way might be to apply a variant of the Race to the Top education competition to the economic restructuring arena. </w:t>
      </w:r>
      <w:r>
        <w:rPr>
          <w:rStyle w:val="StyleUnderline"/>
        </w:rPr>
        <w:t>The federal government could challenge states and metropolitan regions to articulate how they would attain a critical economic goal</w:t>
      </w:r>
      <w:r>
        <w:rPr>
          <w:sz w:val="14"/>
        </w:rPr>
        <w:t xml:space="preserve"> (say, doubling exports) over a set period of time. A consolidated competition could then be held to group together federal programs across a broad and diverse range of activities and policy areas. An export competition could group together programs that fund advanced manufacturing, workforce, freight infrastructure, brownfield remediation and export promotion and financing. The competition could challenge a broad cross-section of leaders in states and metropolitan areas to: (a) articulate a bold economic vision that builds from their special assets and advantages; (b) design strategies that carry out that vision through tangible projects and investments; (c) reform state and local policies and governance in support of these strategies; and (d) hold themselves accountable on a regular basis through transparent performance measures. Finally, a nonpartisan group of business, state and regional leaders could be tasked to recommend the goals and parameters of the competition and could even be designated to assess disparate applications. </w:t>
      </w:r>
      <w:r>
        <w:rPr>
          <w:rStyle w:val="StyleUnderline"/>
        </w:rPr>
        <w:t>This proposal would differ from Race to the Top in one critical dimension.</w:t>
      </w:r>
      <w:r>
        <w:rPr>
          <w:sz w:val="14"/>
        </w:rPr>
        <w:t xml:space="preserve"> </w:t>
      </w:r>
      <w:r>
        <w:rPr>
          <w:rStyle w:val="StyleUnderline"/>
        </w:rPr>
        <w:t xml:space="preserve">The focus would be on </w:t>
      </w:r>
      <w:r>
        <w:rPr>
          <w:rStyle w:val="Emphasis"/>
        </w:rPr>
        <w:t>catalyzing innovation</w:t>
      </w:r>
      <w:r>
        <w:rPr>
          <w:rStyle w:val="StyleUnderline"/>
        </w:rPr>
        <w:t>,</w:t>
      </w:r>
      <w:r>
        <w:rPr>
          <w:sz w:val="14"/>
        </w:rPr>
        <w:t xml:space="preserve"> rather than using competitive resources to drive adoption of a series of predetermined and preferred reforms. Race to the Top followed 20 years of school reform at the state and local levels. Yet no state “has it right” on maximizing the elements of the next economy and pursuing an integrated approach between, say, advanced research and development, advanced manufacturing, clean technology, foreign direct investment, skilled workers, infrastructure and exports. </w:t>
      </w:r>
      <w:r>
        <w:rPr>
          <w:rStyle w:val="StyleUnderline"/>
        </w:rPr>
        <w:t xml:space="preserve">With the national and global economy in a period of disruptive change, now is a good time to challenge states and metropolitan areas to invent the next growth model. </w:t>
      </w:r>
      <w:r>
        <w:rPr>
          <w:sz w:val="14"/>
        </w:rPr>
        <w:t xml:space="preserve">Several states and metros might, for example, pioneer a new way of supporting advanced manufacturing. Others might do the same with exports and foreign direct investment or with upgrading the skills of key advanced industry workers. With federal direction, this could be a golden period of state and metropolitan innovation in shaping a more productive, sustainable and inclusive economy. </w:t>
      </w:r>
      <w:r>
        <w:rPr>
          <w:rStyle w:val="StyleUnderline"/>
        </w:rPr>
        <w:t>On technique, the federal government can learn from states like New York, Colorado, Tennessee and Nevada, as they work to incentivize bottom-up economy shaping.</w:t>
      </w:r>
      <w:r>
        <w:rPr>
          <w:sz w:val="14"/>
        </w:rPr>
        <w:t xml:space="preserve"> New York state, for example, challenged 10 regional councils—public-private partnerships of corporate, civic, university, labor, environmental and local governmental leaders—to craft economic development plans for their regions. The New York competition flipped traditional economic development on its head, rewarding strategies rather than transactions and local investment priorities rather than state solutions dictated by inflexible bureaucracies and fragmented programs. Finally, the federal government needs a new array of permanent institutions and time-limited commissions and task forces to advance and steward the new federalist order. Such institutions once existed. The Advisory Commission on Intergovernmental Relations (“ACIR”), for example, was an independent agency established in 1959 but disbanded in September 1996 during an early round of federal budget cutting. ACIR’s mission was “to strengthen the American federal system and improve the ability of federal, state and local governments to work together cooperatively, efficiently and effectively.” In its prime, ACIR provided timely data on government finance as well as an independent forum for information exchange among federal, state and local officials. Several options are worth pursuing. As described above, existing White House task forces on economic policy could be expanded to include governors, mayors and other state and local officials. President Obama recently made a start by announcing that membership on the President’s Export Council, currently co-chaired by the CEOs of Boeing and Xerox, would be increased to include designees from the National Governors Association and U.S. Conference of Mayors. The next president could also appoint a separate Task Force on Federalism and the Economy, comprised of government, corporate, university and civic leaders, to examine ways in which the federal government, states and localities could collaborate on creating jobs in the near term and retooling the economy for the long haul, perhaps even designing a Race to the Top-style competition, as described above. Special focus would be given to collaborative efforts that further the growth of advanced industries that are central to U.S. competitiveness. Finally, the federal government, in conjunction with the states and localities, could create a National Laboratory on Federalism and Competitiveness. The laboratory would have three separate missions: (a) capture and disseminate the best economy-shaping innovations under way in states and metropolitan areas, to speed replication and improvement; (b) capture and disseminate the best innovations under way in other nations, particularly countries where key powers are shared among different levels of government; and (c) report periodically to the federal, state and local governments on ways in which policies at all levels could be refined to enable or scale up the most promising innovations. A biennial Federalist Forum could be held to debate the recommendations, bringing together, for the first time in decades, key representatives of each level of government and key corporate, civic and academic institutions. A CONCLUDING FEDERALIST THOUGHT Federalism is not a gift that Washington bestows on state houses and city halls. Rather, it is a special, often dormant, vehicle for galvanizing and unleashing the talents and energies of an entrepreneurial nation. The president has an historic opportunity to usher in a new era of pragmatic, collaborative federalism that capitalizes on the economic power of metros and the policy creativity of state and local leaders</w:t>
      </w:r>
      <w:r>
        <w:rPr>
          <w:rStyle w:val="StyleUnderline"/>
        </w:rPr>
        <w:t>. Remaking federalism is the path toward an economy that is productive, sustainable and inclusive. More broadly, it can be a vehicle for economic prosperity, fiscal solvency and political comity—if the next president is willing to take it.</w:t>
      </w:r>
    </w:p>
    <w:p w:rsidR="002A5800" w:rsidRDefault="002A5800" w:rsidP="002A5800">
      <w:pPr>
        <w:rPr>
          <w:rStyle w:val="StyleUnderline"/>
        </w:rPr>
      </w:pPr>
    </w:p>
    <w:p w:rsidR="002A5800" w:rsidRDefault="002A5800" w:rsidP="002A5800">
      <w:pPr>
        <w:pStyle w:val="Heading3"/>
        <w:rPr>
          <w:sz w:val="32"/>
        </w:rPr>
      </w:pPr>
      <w:r>
        <w:t>Spending/Formula Follow-on NB</w:t>
      </w:r>
    </w:p>
    <w:p w:rsidR="002A5800" w:rsidRDefault="002A5800" w:rsidP="002A5800">
      <w:pPr>
        <w:pStyle w:val="Heading4"/>
      </w:pPr>
      <w:r>
        <w:t>Squo programs and administrative mechanisms are excessive – hinders innovation and triggers comparitively larger spending</w:t>
      </w:r>
    </w:p>
    <w:p w:rsidR="002A5800" w:rsidRDefault="002A5800" w:rsidP="002A5800">
      <w:pPr>
        <w:rPr>
          <w:rStyle w:val="Style13ptBold"/>
          <w:b w:val="0"/>
          <w:sz w:val="22"/>
        </w:rPr>
      </w:pPr>
      <w:r>
        <w:rPr>
          <w:rStyle w:val="Style13ptBold"/>
        </w:rPr>
        <w:t xml:space="preserve">Lazarín 10 </w:t>
      </w:r>
      <w:r>
        <w:rPr>
          <w:rStyle w:val="Style13ptBold"/>
          <w:b w:val="0"/>
        </w:rPr>
        <w:t xml:space="preserve">--- </w:t>
      </w:r>
      <w:r>
        <w:rPr>
          <w:rStyle w:val="Style13ptBold"/>
          <w:b w:val="0"/>
          <w:sz w:val="22"/>
        </w:rPr>
        <w:t xml:space="preserve">Associate Director of Education Policy at the Center for American Progress. </w:t>
      </w:r>
      <w:r>
        <w:rPr>
          <w:rStyle w:val="Style13ptBold"/>
          <w:b w:val="0"/>
          <w:sz w:val="18"/>
        </w:rPr>
        <w:t>(</w:t>
      </w:r>
      <w:r>
        <w:rPr>
          <w:rStyle w:val="Style13ptBold"/>
          <w:b w:val="0"/>
          <w:sz w:val="22"/>
        </w:rPr>
        <w:t xml:space="preserve">Melissa, 4/7/10, “Status Quo vs. Innovation”, Center for American Progress. </w:t>
      </w:r>
      <w:hyperlink r:id="rId24" w:history="1">
        <w:r>
          <w:rPr>
            <w:rStyle w:val="Hyperlink"/>
          </w:rPr>
          <w:t>https://www.americanprogress.org/issues/education/reports/2010/04/07/7695/status-quo-vs-innovation/)//ET</w:t>
        </w:r>
      </w:hyperlink>
    </w:p>
    <w:p w:rsidR="002A5800" w:rsidRDefault="002A5800" w:rsidP="002A5800">
      <w:pPr>
        <w:rPr>
          <w:rStyle w:val="StyleUnderline"/>
        </w:rPr>
      </w:pPr>
      <w:r>
        <w:rPr>
          <w:rStyle w:val="Style13ptBold"/>
          <w:b w:val="0"/>
        </w:rPr>
        <w:t xml:space="preserve">President Barack </w:t>
      </w:r>
      <w:r>
        <w:rPr>
          <w:rStyle w:val="StyleUnderline"/>
        </w:rPr>
        <w:t>Obama delivered a budget to Congress</w:t>
      </w:r>
      <w:r>
        <w:rPr>
          <w:rStyle w:val="Style13ptBold"/>
          <w:b w:val="0"/>
        </w:rPr>
        <w:t xml:space="preserve"> in February that </w:t>
      </w:r>
      <w:r>
        <w:rPr>
          <w:rStyle w:val="StyleUnderline"/>
        </w:rPr>
        <w:t xml:space="preserve">prioritized innovation and targeted new federal dollars in </w:t>
      </w:r>
      <w:r>
        <w:rPr>
          <w:rStyle w:val="Emphasis"/>
        </w:rPr>
        <w:t>competitive funding</w:t>
      </w:r>
      <w:r>
        <w:rPr>
          <w:rStyle w:val="StyleUnderline"/>
        </w:rPr>
        <w:t xml:space="preserve"> to drive education reforms</w:t>
      </w:r>
      <w:r>
        <w:rPr>
          <w:rStyle w:val="Style13ptBold"/>
          <w:b w:val="0"/>
        </w:rPr>
        <w:t xml:space="preserve">. And Congress will soon have the opportunity to act on the president’s priorities when it takes up the fiscal year 2011 education funding bill known as the Labor, Health and Human Services, and Education appropriations. </w:t>
      </w:r>
      <w:r>
        <w:rPr>
          <w:rStyle w:val="StyleUnderline"/>
        </w:rPr>
        <w:t>Policymakers and education advocates</w:t>
      </w:r>
      <w:r>
        <w:t xml:space="preserve"> may question whether the focus on innovation and the competitive investments that drive it are misguided or whether it’s the right time given our burdened economy. But they </w:t>
      </w:r>
      <w:r>
        <w:rPr>
          <w:rStyle w:val="StyleUnderline"/>
        </w:rPr>
        <w:t xml:space="preserve">can’t ignore that the status quo as evidenced by persistent academic achievement gaps and low-performing schools—is clearly not working. </w:t>
      </w:r>
      <w:r>
        <w:t xml:space="preserve">Federal investments in educational innovation can help transform our schools to meet the demands of the 21st century. Here’s a brief look at why we need to shake up the status quo and invest in innovation, and why the right time is now. </w:t>
      </w:r>
      <w:r>
        <w:rPr>
          <w:rStyle w:val="StyleUnderline"/>
        </w:rPr>
        <w:t>STATUS QUO: We can’t afford to invest in new reforms</w:t>
      </w:r>
      <w:r>
        <w:t xml:space="preserve"> and innovation while our economy is in dire straits. INNOVATION: </w:t>
      </w:r>
      <w:r>
        <w:rPr>
          <w:rStyle w:val="StyleUnderline"/>
        </w:rPr>
        <w:t>The need for innovation has never been greater.</w:t>
      </w:r>
      <w:r>
        <w:t xml:space="preserve"> </w:t>
      </w:r>
      <w:r>
        <w:rPr>
          <w:rStyle w:val="StyleUnderline"/>
        </w:rPr>
        <w:t>Our education system is failing to adequately prepare the 21st century workforce that we need for a healthy economy.</w:t>
      </w:r>
      <w:r>
        <w:t xml:space="preserve"> Only about a third of eighth graders are proficient in math and reading, and black and Latino students have a 50 percent chance of earning a high school diploma. </w:t>
      </w:r>
      <w:r>
        <w:rPr>
          <w:rStyle w:val="StyleUnderline"/>
        </w:rPr>
        <w:t>New ways of schooling are needed</w:t>
      </w:r>
      <w:r>
        <w:t xml:space="preserve"> to ensure that American students and schools keep their competitive edge with students in countries where investment in innovation has been paramount. Innovation will help dig our economy out of these trying times and put our country on a path to economic prosperity. STATUS QUO: </w:t>
      </w:r>
      <w:r>
        <w:rPr>
          <w:rStyle w:val="StyleUnderline"/>
        </w:rPr>
        <w:t xml:space="preserve">We should not level fund major formula education grant programs like Title I and increase investments in competitive grant programs at a time when schools are burdened and cash-strapped. </w:t>
      </w:r>
      <w:r>
        <w:t xml:space="preserve">INNOVATION: </w:t>
      </w:r>
      <w:r>
        <w:rPr>
          <w:rStyle w:val="StyleUnderline"/>
        </w:rPr>
        <w:t>A strained economy requires</w:t>
      </w:r>
      <w:r>
        <w:t xml:space="preserve"> responsible and </w:t>
      </w:r>
      <w:r>
        <w:rPr>
          <w:rStyle w:val="StyleUnderline"/>
        </w:rPr>
        <w:t>effective public spending</w:t>
      </w:r>
      <w:r>
        <w:rPr>
          <w:rStyle w:val="Emphasis"/>
        </w:rPr>
        <w:t>. Competitive grant funding can inspire innovative and new ways of schooling</w:t>
      </w:r>
      <w:r>
        <w:t xml:space="preserve">, </w:t>
      </w:r>
      <w:r>
        <w:rPr>
          <w:rStyle w:val="Emphasis"/>
        </w:rPr>
        <w:t>which can in turn inform how major formula education grants, such as Title I and Title II, are spent in the future.</w:t>
      </w:r>
      <w:r>
        <w:t xml:space="preserve"> </w:t>
      </w:r>
      <w:r>
        <w:rPr>
          <w:rStyle w:val="StyleUnderline"/>
        </w:rPr>
        <w:t xml:space="preserve">Activities that lead to improved educational outcomes and results could be identified and rigorously evaluated, and future spending across major formula grant education programs could then help support such reforms across all high-poverty schools. </w:t>
      </w:r>
      <w:r>
        <w:t xml:space="preserve">A </w:t>
      </w:r>
      <w:r>
        <w:rPr>
          <w:rStyle w:val="StyleUnderline"/>
        </w:rPr>
        <w:t xml:space="preserve">shift toward investing new dollars in competitive grants would be </w:t>
      </w:r>
      <w:r>
        <w:rPr>
          <w:rStyle w:val="Emphasis"/>
        </w:rPr>
        <w:t>balanced</w:t>
      </w:r>
      <w:r>
        <w:rPr>
          <w:rStyle w:val="StyleUnderline"/>
        </w:rPr>
        <w:t xml:space="preserve"> by the essential formula grant investments that Congress and the administration made under the American Recovery and Reinvestment Act.</w:t>
      </w:r>
      <w:r>
        <w:t xml:space="preserve"> The </w:t>
      </w:r>
      <w:r>
        <w:rPr>
          <w:rStyle w:val="StyleUnderline"/>
        </w:rPr>
        <w:t>recovery package added $10 billion in Title I funding, $12.2 billion for the Individuals with Disabilities Act, $3 billion in school improvement grants, and $39.8 billion in State Fiscal Stabilization Fund education dollars, all of which were allocated to states as formula grants.</w:t>
      </w:r>
      <w:r>
        <w:t xml:space="preserve"> STATUS QUO: The administration’s </w:t>
      </w:r>
      <w:r>
        <w:rPr>
          <w:rStyle w:val="StyleUnderline"/>
        </w:rPr>
        <w:t>proposed investments in competitive grants will increase educational inequities</w:t>
      </w:r>
      <w:r>
        <w:t xml:space="preserve"> by putting high-poverty and rural school districts at a disadvantage. INNOVATION: Hallmark federal education funding streams that were established to level the field—such as Title I dollars for the country’s poorest schools and the Title II teacher improvement state grants—remain as formula-based programs in the administration’s proposal. In fact, more than three-fourths of the proposed education budget would continue to be formula based. What’s more, some of </w:t>
      </w:r>
      <w:r>
        <w:rPr>
          <w:rStyle w:val="StyleUnderline"/>
        </w:rPr>
        <w:t>the competitive grant programs,</w:t>
      </w:r>
      <w:r>
        <w:t xml:space="preserve"> such as the Teacher and Leader Innovation Fund, </w:t>
      </w:r>
      <w:r>
        <w:rPr>
          <w:rStyle w:val="StyleUnderline"/>
        </w:rPr>
        <w:t>are targeted to high-need areas, and the current Investing in Innovation Fund, or i3 fund, includes a special priority for rural schools.</w:t>
      </w:r>
    </w:p>
    <w:p w:rsidR="002A5800" w:rsidRDefault="002A5800" w:rsidP="002A5800">
      <w:pPr>
        <w:pStyle w:val="Heading2"/>
        <w:rPr>
          <w:sz w:val="44"/>
        </w:rPr>
      </w:pPr>
      <w:bookmarkStart w:id="4" w:name="_Hlk487901006"/>
      <w:bookmarkEnd w:id="0"/>
      <w:r>
        <w:t>--SEA cohesion DA</w:t>
      </w:r>
    </w:p>
    <w:p w:rsidR="002A5800" w:rsidRDefault="002A5800" w:rsidP="002A5800">
      <w:pPr>
        <w:pStyle w:val="Heading3"/>
      </w:pPr>
      <w:r>
        <w:t>1NC</w:t>
      </w:r>
    </w:p>
    <w:p w:rsidR="002A5800" w:rsidRDefault="002A5800" w:rsidP="002A5800">
      <w:pPr>
        <w:pStyle w:val="Heading4"/>
      </w:pPr>
      <w:r>
        <w:t>Formula grants fragment state education agencies --- competitive programs key to cohesion</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(Julie Kirsten Meredith, “State policy diffusion and Race to the Top: The impact of federal competitive grants on state policymaking”, Accessed on ProQuest. https://search.proquest.com/openview/88381ffcebc95268f7c955f994497a5e/1?pq-origsite=gscholar&amp;cbl=18750&amp;diss=y)//ET</w:t>
      </w:r>
    </w:p>
    <w:p w:rsidR="002A5800" w:rsidRDefault="002A5800" w:rsidP="002A5800">
      <w:pPr>
        <w:rPr>
          <w:rStyle w:val="StyleUnderline"/>
        </w:rPr>
      </w:pPr>
      <w:r>
        <w:rPr>
          <w:rStyle w:val="StyleUnderline"/>
        </w:rPr>
        <w:t>RTTT program</w:t>
      </w:r>
      <w:r>
        <w:t xml:space="preserve"> guidelines and the </w:t>
      </w:r>
      <w:r>
        <w:rPr>
          <w:rStyle w:val="StyleUnderline"/>
        </w:rPr>
        <w:t>form</w:t>
      </w:r>
      <w:r>
        <w:t xml:space="preserve"> of the program itself</w:t>
      </w:r>
      <w:r>
        <w:rPr>
          <w:rStyle w:val="StyleUnderline"/>
        </w:rPr>
        <w:t xml:space="preserve">, a competitive grant, </w:t>
      </w:r>
      <w:r>
        <w:t xml:space="preserve">represented the Obama administration’s attempt </w:t>
      </w:r>
      <w:r>
        <w:rPr>
          <w:rStyle w:val="StyleUnderline"/>
        </w:rPr>
        <w:t>to improve NCLB’s less effective accountability measures.</w:t>
      </w:r>
      <w:r>
        <w:t xml:space="preserve"> As Manna (2011) argues, NLCB’s over-specification of consequences and underspecification of uniform state goals created a perverse incentive for states to create low standards which could be easily met by schools. Congress, the President, and the Secretary of Education conceived of RTTT as a competition under which state plans would be judged on the basis of the rigor and quality of their existing and proposed policies and standards. </w:t>
      </w:r>
      <w:r>
        <w:rPr>
          <w:rStyle w:val="StyleUnderline"/>
        </w:rPr>
        <w:t>In designing RTTT as a competitive gran</w:t>
      </w:r>
      <w:r>
        <w:t xml:space="preserve">t, the </w:t>
      </w:r>
      <w:r>
        <w:rPr>
          <w:rStyle w:val="StyleUnderline"/>
        </w:rPr>
        <w:t>USDOE made a distinct choice to break from the formula grant mechanism used to distribute federal Title I and similar program funds, such as those associated with Special Education</w:t>
      </w:r>
      <w:r>
        <w:t xml:space="preserve"> (McGuinn, 2012). Scholars and policy makers suggest that </w:t>
      </w:r>
      <w:r>
        <w:rPr>
          <w:rStyle w:val="StyleUnderline"/>
        </w:rPr>
        <w:t xml:space="preserve">multiple </w:t>
      </w:r>
      <w:r>
        <w:rPr>
          <w:rStyle w:val="Emphasis"/>
        </w:rPr>
        <w:t>federal formula grant funding streams</w:t>
      </w:r>
      <w:r>
        <w:rPr>
          <w:rStyle w:val="StyleUnderline"/>
        </w:rPr>
        <w:t xml:space="preserve"> have lead to fragmentation in state education agencies; they describe </w:t>
      </w:r>
      <w:r>
        <w:rPr>
          <w:rStyle w:val="Emphasis"/>
        </w:rPr>
        <w:t>a lack of coordination</w:t>
      </w:r>
      <w:r>
        <w:t xml:space="preserve"> </w:t>
      </w:r>
      <w:r>
        <w:rPr>
          <w:rStyle w:val="StyleUnderline"/>
        </w:rPr>
        <w:t xml:space="preserve">within departments of education that </w:t>
      </w:r>
      <w:r>
        <w:rPr>
          <w:rStyle w:val="Emphasis"/>
        </w:rPr>
        <w:t>limits the capacities of the agencies</w:t>
      </w:r>
      <w:r>
        <w:rPr>
          <w:rStyle w:val="StyleUnderline"/>
        </w:rPr>
        <w:t xml:space="preserve"> to assist schools and districts </w:t>
      </w:r>
      <w:r>
        <w:t xml:space="preserve">(Brown, Hess, Lautzenheiser, and Owen, 2011; Unger, Lane, Cutler, Lee, Whitney, Arruda, and Silva, 2008). The </w:t>
      </w:r>
      <w:r>
        <w:rPr>
          <w:rStyle w:val="Emphasis"/>
        </w:rPr>
        <w:t>intent of RTTT</w:t>
      </w:r>
      <w:r>
        <w:t xml:space="preserve"> was for</w:t>
      </w:r>
      <w:r>
        <w:rPr>
          <w:rStyle w:val="Emphasis"/>
        </w:rPr>
        <w:t xml:space="preserve"> states to develop comprehensive, coordinated plans to avoid this sort of “silo-fication.”</w:t>
      </w:r>
      <w:r>
        <w:t xml:space="preserve"> </w:t>
      </w:r>
      <w:r>
        <w:rPr>
          <w:rStyle w:val="StyleUnderline"/>
        </w:rPr>
        <w:t>Rather than designating a process for improving systems and schools without specifying the goals for school and system improvement,</w:t>
      </w:r>
      <w:r>
        <w:t xml:space="preserve"> as was the case for NCLB, in RTTT the </w:t>
      </w:r>
      <w:r>
        <w:rPr>
          <w:rStyle w:val="StyleUnderline"/>
        </w:rPr>
        <w:t xml:space="preserve">USDOE appears to have intended to set the goal for states, leaving them to develop their own plans for reaching those goals. </w:t>
      </w:r>
    </w:p>
    <w:p w:rsidR="002A5800" w:rsidRDefault="002A5800" w:rsidP="002A5800">
      <w:pPr>
        <w:pStyle w:val="Heading4"/>
        <w:rPr>
          <w:rStyle w:val="StyleUnderline"/>
          <w:sz w:val="26"/>
          <w:szCs w:val="26"/>
        </w:rPr>
      </w:pPr>
      <w:r>
        <w:rPr>
          <w:rStyle w:val="StyleUnderline"/>
          <w:sz w:val="26"/>
          <w:szCs w:val="26"/>
        </w:rPr>
        <w:t>Strong state education agencies are key to create effect social capital across populations through education policy</w:t>
      </w:r>
    </w:p>
    <w:p w:rsidR="002A5800" w:rsidRDefault="002A5800" w:rsidP="002A5800">
      <w:pPr>
        <w:rPr>
          <w:sz w:val="22"/>
        </w:rPr>
      </w:pPr>
      <w:r>
        <w:rPr>
          <w:rStyle w:val="Style13ptBold"/>
        </w:rPr>
        <w:t xml:space="preserve">Goertz et al. 13 </w:t>
      </w:r>
      <w:r>
        <w:rPr>
          <w:rStyle w:val="Style13ptBold"/>
          <w:b w:val="0"/>
        </w:rPr>
        <w:t xml:space="preserve">--- </w:t>
      </w:r>
      <w:r>
        <w:rPr>
          <w:rStyle w:val="Style13ptBold"/>
          <w:b w:val="0"/>
          <w:sz w:val="22"/>
        </w:rPr>
        <w:t>Goertz is a professor emerita of education and a senior researcher at the Consortium for Policy Research in Education (CPRE) in the University of Pennsylvania. Carol Barnes is a senior researcher at CPRE at the University of Michigan. Diane Massell is a senior researcher at CPRE at the University of Michigan. Ryan Fink is a researcher at CPRE at the University of Pennsylvania. Anthony Tuf Francis is an assistant professor of Teacher Development and Educational Studies at Oakland University in Rochester, Michigan. (Margaret, “State Education Agencies’ Acquisition and Use of Research Knowledge in School Improvement Strategies”, CPRE. http://files.eric.ed.gov/fulltext/ED547655.pdf)//ET</w:t>
      </w:r>
    </w:p>
    <w:p w:rsidR="002A5800" w:rsidRDefault="002A5800" w:rsidP="002A5800">
      <w:pPr>
        <w:rPr>
          <w:sz w:val="14"/>
        </w:rPr>
      </w:pPr>
      <w:r>
        <w:rPr>
          <w:sz w:val="14"/>
        </w:rPr>
        <w:t xml:space="preserve">Core Networks and Social Capital: </w:t>
      </w:r>
      <w:r>
        <w:rPr>
          <w:rStyle w:val="Emphasis"/>
        </w:rPr>
        <w:t xml:space="preserve">Collective Efficacy and Trust </w:t>
      </w:r>
      <w:r>
        <w:rPr>
          <w:sz w:val="14"/>
        </w:rPr>
        <w:t xml:space="preserve">These </w:t>
      </w:r>
      <w:r>
        <w:rPr>
          <w:rStyle w:val="StyleUnderline"/>
        </w:rPr>
        <w:t xml:space="preserve">kinds of highly </w:t>
      </w:r>
      <w:r>
        <w:rPr>
          <w:rStyle w:val="Emphasis"/>
        </w:rPr>
        <w:t>interactive</w:t>
      </w:r>
      <w:r>
        <w:rPr>
          <w:rStyle w:val="StyleUnderline"/>
        </w:rPr>
        <w:t xml:space="preserve"> networks with strong ties among the members are associated with more of the relational qualities </w:t>
      </w:r>
      <w:r>
        <w:rPr>
          <w:sz w:val="14"/>
        </w:rPr>
        <w:t xml:space="preserve">that Coleman (1988, 1990) and Putnam (1995, 2000) </w:t>
      </w:r>
      <w:r>
        <w:rPr>
          <w:rStyle w:val="Emphasis"/>
        </w:rPr>
        <w:t>describe as “social capital.” Social capital takes the form of mutual trust or collective efficacy</w:t>
      </w:r>
      <w:r>
        <w:rPr>
          <w:sz w:val="14"/>
        </w:rPr>
        <w:t xml:space="preserve">, among many other forms, </w:t>
      </w:r>
      <w:r>
        <w:rPr>
          <w:rStyle w:val="Emphasis"/>
        </w:rPr>
        <w:t>and can improve productivity and outcomes in organizations such as schools</w:t>
      </w:r>
      <w:r>
        <w:rPr>
          <w:sz w:val="14"/>
        </w:rPr>
        <w:t xml:space="preserve"> or business firms (Bryk &amp; Schneider, 2002; Dutton &amp; Heaphy, 2003; Goddard, 2001; Goddard, Salloum, &amp; Berebitsky, 2009</w:t>
      </w:r>
      <w:r>
        <w:rPr>
          <w:rStyle w:val="StyleUnderline"/>
        </w:rPr>
        <w:t>). Survey data from measures of collective trust and efficacy,</w:t>
      </w:r>
      <w:r>
        <w:rPr>
          <w:sz w:val="14"/>
        </w:rPr>
        <w:t xml:space="preserve"> in combination with interview data, </w:t>
      </w:r>
      <w:r>
        <w:rPr>
          <w:rStyle w:val="StyleUnderline"/>
        </w:rPr>
        <w:t>describe the extent to which respondents in this study perceived these positive qualities to exist in their relationships with network sources during the search and incorporation process, and especially how social capital functioned as knowledge brokers pulled knowledge from across these networks into core groups</w:t>
      </w:r>
      <w:r>
        <w:rPr>
          <w:sz w:val="14"/>
        </w:rPr>
        <w:t xml:space="preserve">.3 Table 4.1 shows that, on average, respondents in States B and C perceived the levels of social capital in their direct networks for research, data, and practitioner advice to be quite high. Trust scores for example ranged from 5.4 to 5.6 on a six-point scale, suggesting respondents found their network sources to be trustworthy and able to provide valid information. Average collective efficacy scores are slightly lower, especially in State B, ranging from 4.8 to 4.9, and in State C’s research network, with a score of 5 compared to trust in that network at 5.6. We also found more variation in efficacy scores than in trust scores, especially in the research and practitioner networks for State B. The collective efficacy measure captures respondents’ views about their own capacity, together with that of their direct network members, to reach school improvement goals. This measure includes constraints that respondents and their direct network sources perceive, the resources they have, and the extent to which they believe the information they receive will actually help them meet their school improvement goals. In State B, 14% of the respondents’ efficacy scores in the research network and 18% of the scores in the practitioner network are lower than 4, showing they disagreed with the efficacy statements (Table 4.2). But in State C, only 9 % of the research network respondents disagreed with the efficacy statements, and 8% of the practitioner network members disagreed. Thus, a not insignificant proportion of respondents in State B perceived that research and practitioner advice, as well as their network sources of it, would not lead to the desired outcomes or, perhaps, they felt constrained in what they could do. Interview data suggests that respondents in this state felt short-staffed and under pressure to respond to rapidly changing accountability measures and other mandates. But most influential </w:t>
      </w:r>
      <w:r>
        <w:rPr>
          <w:rStyle w:val="StyleUnderline"/>
        </w:rPr>
        <w:t>SEA respondents</w:t>
      </w:r>
      <w:r>
        <w:rPr>
          <w:sz w:val="14"/>
        </w:rPr>
        <w:t xml:space="preserve"> we interviewed across the states </w:t>
      </w:r>
      <w:r>
        <w:rPr>
          <w:rStyle w:val="StyleUnderline"/>
        </w:rPr>
        <w:t>perceived information, decision-making, evolving improvement strategies and ideas to be more trustworthy and efficacious within the context of strong network relationships and collective work</w:t>
      </w:r>
      <w:r>
        <w:rPr>
          <w:sz w:val="14"/>
        </w:rPr>
        <w:t xml:space="preserve">. 4 For example, respondents reported an enhanced sense of efficacy from collective thinking and group work. When asked if the people in his core work network had the expertise to find and then use evidence to successfully improve low-performing schools, an office director in State B reported: There is no one individual that holds all the information, which is why we have a group… all of those different people hold enough pieces that we can have conversations and share information across the table that can…push us along… to that ideal goal at the end. </w:t>
      </w:r>
      <w:r>
        <w:rPr>
          <w:rStyle w:val="StyleUnderline"/>
        </w:rPr>
        <w:t xml:space="preserve">Thus, resources such as communal memory and distributed expertise created a collective sense of efficacy and supported core network members during the search and incorporation process, such that no one person had to know everything. </w:t>
      </w:r>
      <w:r>
        <w:rPr>
          <w:sz w:val="14"/>
        </w:rPr>
        <w:t xml:space="preserve">Indeed, </w:t>
      </w:r>
      <w:r>
        <w:rPr>
          <w:rStyle w:val="StyleUnderline"/>
        </w:rPr>
        <w:t xml:space="preserve">while these </w:t>
      </w:r>
      <w:r>
        <w:rPr>
          <w:rStyle w:val="Emphasis"/>
        </w:rPr>
        <w:t>social resources</w:t>
      </w:r>
      <w:r>
        <w:rPr>
          <w:rStyle w:val="StyleUnderline"/>
        </w:rPr>
        <w:t xml:space="preserve"> and </w:t>
      </w:r>
      <w:r>
        <w:rPr>
          <w:rStyle w:val="Emphasis"/>
        </w:rPr>
        <w:t>trust in information</w:t>
      </w:r>
      <w:r>
        <w:rPr>
          <w:sz w:val="14"/>
        </w:rPr>
        <w:t xml:space="preserve"> sometimes </w:t>
      </w:r>
      <w:r>
        <w:rPr>
          <w:rStyle w:val="Emphasis"/>
        </w:rPr>
        <w:t>developed out of the interactive incorporation process over time,</w:t>
      </w:r>
      <w:r>
        <w:rPr>
          <w:sz w:val="14"/>
        </w:rPr>
        <w:t xml:space="preserve"> </w:t>
      </w:r>
      <w:r>
        <w:rPr>
          <w:rStyle w:val="StyleUnderline"/>
        </w:rPr>
        <w:t xml:space="preserve">some groups were formed to intentionally take advantage of a collective efficacy surpassing the capacity that any one member in the network would have. </w:t>
      </w:r>
      <w:r>
        <w:rPr>
          <w:sz w:val="14"/>
        </w:rPr>
        <w:t xml:space="preserve">A knowledge broker in State C said, for example: It really starts with people who come together for the same purpose. They like this idea of improving schools, and they’re good at it. We all have our own expertise, and we bring that to the table….You don’t build your team with all the same kind of players. You build your team with different areas of experience . . . outside and inside [the agency]. In State A, a respondent explained: The first person I pulled in was the accountability person. . . Then I pulled in the evaluation person …from our Research and Evaluation Unit because. . . I’m the first one to say that…there’s too much I don’t know….Then the three of us looked at what data that we thought we would have to collect. </w:t>
      </w:r>
      <w:r>
        <w:rPr>
          <w:rStyle w:val="StyleUnderline"/>
        </w:rPr>
        <w:t xml:space="preserve">Research in other settings shows that more efficacious organizations are able to not only defer to varied kinds of expertise, but also take advantage of its shifting locations </w:t>
      </w:r>
      <w:r>
        <w:rPr>
          <w:sz w:val="14"/>
        </w:rPr>
        <w:t xml:space="preserve">(Weick &amp; Sutcliffe, 2001). </w:t>
      </w:r>
      <w:r>
        <w:rPr>
          <w:rStyle w:val="Emphasis"/>
        </w:rPr>
        <w:t>Core networks allowed some SEA staff to tap into such expertise</w:t>
      </w:r>
      <w:r>
        <w:rPr>
          <w:rStyle w:val="StyleUnderline"/>
        </w:rPr>
        <w:t xml:space="preserve"> within and across the boundaries of the SEAs,</w:t>
      </w:r>
      <w:r>
        <w:rPr>
          <w:sz w:val="14"/>
        </w:rPr>
        <w:t xml:space="preserve"> </w:t>
      </w:r>
      <w:r>
        <w:rPr>
          <w:rStyle w:val="Emphasis"/>
        </w:rPr>
        <w:t>and to benefit from the accompanying social capital</w:t>
      </w:r>
      <w:r>
        <w:rPr>
          <w:sz w:val="14"/>
        </w:rPr>
        <w:t xml:space="preserve"> </w:t>
      </w:r>
      <w:r>
        <w:rPr>
          <w:rStyle w:val="StyleUnderline"/>
        </w:rPr>
        <w:t>during the incorporation process. Collective trust in information and the expertise of others was also present during the research incorporation process, thus enabling core group members to “share ideas, expose ignorance, ask difficult questions and listen carefully.</w:t>
      </w:r>
      <w:r>
        <w:rPr>
          <w:sz w:val="14"/>
        </w:rPr>
        <w:t xml:space="preserve"> . .” (Wenger, McDermott, &amp; Snyder, 2002, p. 27). When asked if and why she trusted research and other school improvement information exchanged within a core network, one influential office director in State B said: “Because we digest it together. And people challenge each other.” She continued with an example of a similar process: “We solve problems. What are we going to do about this?. . ..And people bring in research and we’ll table things and [then] come back to them with the research, and then we’ll challenge the research.” An influential leader in State C said: “I want to validate what [researchers are] saying. When you have those strong networks, you build upon that professional knowledge and practice….We’re not afraid to tell people we don’t know something, either.” </w:t>
      </w:r>
      <w:r>
        <w:rPr>
          <w:rStyle w:val="StyleUnderline"/>
        </w:rPr>
        <w:t>Strongly connected social networks are more likely to generate or possess positive working beliefs and behaviors than traditional forms of control over adult work, such as hierarchical, bureaucratic authorit</w:t>
      </w:r>
      <w:r>
        <w:rPr>
          <w:sz w:val="14"/>
        </w:rPr>
        <w:t xml:space="preserve">y. </w:t>
      </w:r>
      <w:r>
        <w:rPr>
          <w:rStyle w:val="StyleUnderline"/>
        </w:rPr>
        <w:t>In the</w:t>
      </w:r>
      <w:r>
        <w:rPr>
          <w:sz w:val="14"/>
        </w:rPr>
        <w:t xml:space="preserve"> three </w:t>
      </w:r>
      <w:r>
        <w:rPr>
          <w:rStyle w:val="Emphasis"/>
        </w:rPr>
        <w:t>SEAs</w:t>
      </w:r>
      <w:r>
        <w:rPr>
          <w:sz w:val="14"/>
        </w:rPr>
        <w:t xml:space="preserve">, </w:t>
      </w:r>
      <w:r>
        <w:rPr>
          <w:rStyle w:val="Emphasis"/>
        </w:rPr>
        <w:t>we found that social capital existed within the stronger network relationships</w:t>
      </w:r>
      <w:r>
        <w:rPr>
          <w:rStyle w:val="StyleUnderline"/>
        </w:rPr>
        <w:t>, but also functioned in multiple ways during the search and incorporation process</w:t>
      </w:r>
      <w:r>
        <w:rPr>
          <w:sz w:val="14"/>
        </w:rPr>
        <w:t xml:space="preserve">. </w:t>
      </w:r>
      <w:r>
        <w:rPr>
          <w:rStyle w:val="StyleUnderline"/>
        </w:rPr>
        <w:t xml:space="preserve">Our examples provide insights into how SEAs were taking advantage of distributed expertise, </w:t>
      </w:r>
      <w:r>
        <w:rPr>
          <w:sz w:val="14"/>
        </w:rPr>
        <w:t>warranting the use of research and incorporating it into their problem-solving, not directly, but through a process of social sense-making within strong core networks. Relational trust allowed network members to ask challenging questions of one another, share knowledge, exchange ideas, and expose what they did not know, as well as what they did.</w:t>
      </w:r>
    </w:p>
    <w:p w:rsidR="002A5800" w:rsidRDefault="002A5800" w:rsidP="002A5800">
      <w:pPr>
        <w:rPr>
          <w:sz w:val="14"/>
        </w:rPr>
      </w:pPr>
    </w:p>
    <w:p w:rsidR="002A5800" w:rsidRDefault="002A5800" w:rsidP="002A5800">
      <w:pPr>
        <w:pStyle w:val="Heading4"/>
        <w:rPr>
          <w:sz w:val="26"/>
        </w:rPr>
      </w:pPr>
      <w:r>
        <w:t xml:space="preserve">Social capital is key to environmental progress and collaboration </w:t>
      </w:r>
      <w:r>
        <w:rPr>
          <w:u w:val="single"/>
        </w:rPr>
        <w:t>spills over nationally</w:t>
      </w:r>
      <w:r>
        <w:t xml:space="preserve"> and mitigates warming, water, and soil damage</w:t>
      </w:r>
    </w:p>
    <w:p w:rsidR="002A5800" w:rsidRDefault="002A5800" w:rsidP="002A5800">
      <w:r>
        <w:rPr>
          <w:rStyle w:val="Style13ptBold"/>
        </w:rPr>
        <w:t>Dulal 11</w:t>
      </w:r>
      <w:r>
        <w:t xml:space="preserve"> --- Dulal, PhD in environmental policy, consultant for clean energy at World Bank. Roberto Foa – PhD in government from Harvard. Stephen Knowles – Associate Professor of Otago Business School. (Hari Bansha, “Social Capital and Cross Country Environmental Performance”, </w:t>
      </w:r>
      <w:hyperlink r:id="rId25" w:history="1">
        <w:r>
          <w:rPr>
            <w:rStyle w:val="Hyperlink"/>
          </w:rPr>
          <w:t>http://journals.sagepub.com.proxy.lib.umich.edu/doi/pdf/10.1177/1070496511405153)//ET</w:t>
        </w:r>
      </w:hyperlink>
    </w:p>
    <w:p w:rsidR="002A5800" w:rsidRDefault="002A5800" w:rsidP="002A5800">
      <w:pPr>
        <w:rPr>
          <w:sz w:val="10"/>
        </w:rPr>
      </w:pPr>
      <w:r>
        <w:rPr>
          <w:sz w:val="10"/>
        </w:rPr>
        <w:t xml:space="preserve">Why Social Capital May Affect Environmental Performance? </w:t>
      </w:r>
      <w:r>
        <w:rPr>
          <w:rStyle w:val="StyleUnderline"/>
        </w:rPr>
        <w:t>Economic theory suggests that poor environmental performance is the result of market failures such as the overuse of common pool resources or failure to take the external costs of pollution into account</w:t>
      </w:r>
      <w:r>
        <w:rPr>
          <w:sz w:val="10"/>
        </w:rPr>
        <w:t xml:space="preserve">. Such </w:t>
      </w:r>
      <w:r>
        <w:rPr>
          <w:rStyle w:val="Emphasis"/>
        </w:rPr>
        <w:t>market failures can be mitigated by collective action.</w:t>
      </w:r>
      <w:r>
        <w:rPr>
          <w:sz w:val="10"/>
        </w:rPr>
        <w:t xml:space="preserve"> </w:t>
      </w:r>
      <w:r>
        <w:rPr>
          <w:rStyle w:val="Emphasis"/>
        </w:rPr>
        <w:t>This is more likely to occur when social capital is high</w:t>
      </w:r>
      <w:r>
        <w:rPr>
          <w:sz w:val="10"/>
        </w:rPr>
        <w:t xml:space="preserve">. </w:t>
      </w:r>
      <w:r>
        <w:rPr>
          <w:rStyle w:val="StyleUnderline"/>
        </w:rPr>
        <w:t>When members of a society interact with each other regularly</w:t>
      </w:r>
      <w:r>
        <w:rPr>
          <w:sz w:val="10"/>
        </w:rPr>
        <w:t xml:space="preserve"> (for example, as a result of membership of the same associational groups or clubs), </w:t>
      </w:r>
      <w:r>
        <w:rPr>
          <w:rStyle w:val="StyleUnderline"/>
        </w:rPr>
        <w:t xml:space="preserve">have a high degree of trust in each other, and are used to acting cooperatively, it is more likely that those societies will be able to act collectively to overcome environmental market failures, </w:t>
      </w:r>
      <w:r>
        <w:rPr>
          <w:rStyle w:val="Emphasis"/>
        </w:rPr>
        <w:t>especially at the local level</w:t>
      </w:r>
      <w:r>
        <w:rPr>
          <w:sz w:val="10"/>
        </w:rPr>
        <w:t xml:space="preserve">. For example, </w:t>
      </w:r>
      <w:r>
        <w:rPr>
          <w:rStyle w:val="StyleUnderline"/>
        </w:rPr>
        <w:t>norms may develop in a society regarding the management of a common pool resourc</w:t>
      </w:r>
      <w:r>
        <w:rPr>
          <w:sz w:val="10"/>
        </w:rPr>
        <w:t xml:space="preserve">e (e.g., it is only acceptable to harvest fish over a certain size) or that people should take the external costs of their actions to others (e.g., pollution) into account, but for </w:t>
      </w:r>
      <w:r>
        <w:rPr>
          <w:rStyle w:val="StyleUnderline"/>
        </w:rPr>
        <w:t>these norms to be sustained requires a high degree of trust that others in society will abide by these norms.</w:t>
      </w:r>
      <w:r>
        <w:rPr>
          <w:sz w:val="10"/>
        </w:rPr>
        <w:t xml:space="preserve"> </w:t>
      </w:r>
      <w:r>
        <w:rPr>
          <w:rStyle w:val="Emphasis"/>
        </w:rPr>
        <w:t>Even in cases where access to</w:t>
      </w:r>
      <w:r>
        <w:rPr>
          <w:sz w:val="10"/>
        </w:rPr>
        <w:t xml:space="preserve"> common pool </w:t>
      </w:r>
      <w:r>
        <w:rPr>
          <w:rStyle w:val="Emphasis"/>
        </w:rPr>
        <w:t>resources</w:t>
      </w:r>
      <w:r>
        <w:rPr>
          <w:sz w:val="10"/>
        </w:rPr>
        <w:t xml:space="preserve">, such as fisheries, </w:t>
      </w:r>
      <w:r>
        <w:rPr>
          <w:rStyle w:val="Emphasis"/>
        </w:rPr>
        <w:t>is regulated by the government, such regulations are likely to be more successful when social capital is high,</w:t>
      </w:r>
      <w:r>
        <w:rPr>
          <w:sz w:val="10"/>
        </w:rPr>
        <w:t xml:space="preserve"> </w:t>
      </w:r>
      <w:r>
        <w:rPr>
          <w:rStyle w:val="StyleUnderline"/>
        </w:rPr>
        <w:t>given the high enforcement costs typically involved with policing these regulations</w:t>
      </w:r>
      <w:r>
        <w:rPr>
          <w:sz w:val="10"/>
        </w:rPr>
        <w:t xml:space="preserve">. </w:t>
      </w:r>
      <w:r>
        <w:rPr>
          <w:rStyle w:val="StyleUnderline"/>
        </w:rPr>
        <w:t>If individuals actively engage with the political process</w:t>
      </w:r>
      <w:r>
        <w:rPr>
          <w:sz w:val="10"/>
        </w:rPr>
        <w:t xml:space="preserve"> at the national level, the </w:t>
      </w:r>
      <w:r>
        <w:rPr>
          <w:rStyle w:val="Emphasis"/>
        </w:rPr>
        <w:t>positive benefits of social capital for environmental performance may well extend to the national level</w:t>
      </w:r>
      <w:r>
        <w:rPr>
          <w:sz w:val="10"/>
        </w:rPr>
        <w:t xml:space="preserve">. </w:t>
      </w:r>
      <w:r>
        <w:rPr>
          <w:rStyle w:val="StyleUnderline"/>
        </w:rPr>
        <w:t>It is also likely to be important that all segments of society feel included</w:t>
      </w:r>
      <w:r>
        <w:rPr>
          <w:sz w:val="10"/>
        </w:rPr>
        <w:t xml:space="preserve">. If there are segments of society who have a greater tendency to care about environmental issues, but these groups are excluded from the decision-making process, this will have obvious consequences for environmental performance. We now discuss specific examples of how high levels of social capital may improve environmental performance, following the arguments made in the above paragraph. An example of how social capital makes it easier to manage common pool resources, even when governments are actively involved in the process, is conserving a town’s water supply during times of drought. Many towns and cities around the world are confronted with water shortages during the height of summer. Responses often include requesting (or ordering) that citizens do not wash their cars or water their gardens on certain days of the week. Although there are sometimes fines for noncompliance, universal enforcement would be incredibly costly. For such restrictions to work successfully, local government is relying largely on the goodwill of citizens to put the common interest (the need to conserve water for essential purposes and to report those who do not) ahead of their own nonessential wants (to wash their car or water their garden every day). In other words, local government is hoping the degree of social capital is high enough that the conservation scheme will work. Examples of community-based management of communal resources, which require high degrees of social capital, are documented in Ostrom (1990). For example, for many centuries, Spanish farmers have formed organizations to manage irrigation canals (huertas). Irrigation canals typically provide water to a number of farms, but the more water one farmer takes, the less water there is for others. The collective action problem that needs to be solved is determining how much water each farmer is allowed to take from the irrigation canal. There are also collective action issues regarding maintenance of the canals. These collective action problems are resolved by the farmers electing officials, whose job it is to determine who may draw water at what time, to police the system, and to settle disputes between members. The details of these schemes differ from region to region. For example, in some parts of Spain, water is allocated by the tanda system, whereby each farmer is given a fixed period of time during which they can draw water. In other areas, the turno system operates. Under this system, those at the head of the canal get to draw water first, those at the tail last. Each farmer is permitted to take as much water as they need, as long as it is not wasted (which is where trust is important); it is then the turn of the next farmer along the canal to follow suit. The successful operation of these schemes requires a high degree of trust and cooperation between farmers. These schemes are also an example of group memberships that are likely to have positive environmental outcomes. Ostrom documents how similar community-based institutions have evolved to manage common grazing lands and common forests in parts of Switzerland and Japan. A </w:t>
      </w:r>
      <w:r>
        <w:rPr>
          <w:rStyle w:val="StyleUnderline"/>
        </w:rPr>
        <w:t>number of studies present micro-level empirical results consistent with the arguments advanced at the start of this section.</w:t>
      </w:r>
      <w:r>
        <w:rPr>
          <w:sz w:val="10"/>
        </w:rPr>
        <w:t xml:space="preserve"> </w:t>
      </w:r>
      <w:r>
        <w:rPr>
          <w:rStyle w:val="StyleUnderline"/>
        </w:rPr>
        <w:t>Isham</w:t>
      </w:r>
      <w:r>
        <w:rPr>
          <w:sz w:val="10"/>
        </w:rPr>
        <w:t xml:space="preserve"> (2002) </w:t>
      </w:r>
      <w:r>
        <w:rPr>
          <w:rStyle w:val="StyleUnderline"/>
        </w:rPr>
        <w:t xml:space="preserve">demonstrates that differences in the provision of </w:t>
      </w:r>
      <w:r>
        <w:rPr>
          <w:rStyle w:val="Emphasis"/>
        </w:rPr>
        <w:t>clean water</w:t>
      </w:r>
      <w:r>
        <w:rPr>
          <w:rStyle w:val="StyleUnderline"/>
        </w:rPr>
        <w:t xml:space="preserve"> can be explained, in part, by differences in the level of group memberships and the degree of community interaction</w:t>
      </w:r>
      <w:r>
        <w:rPr>
          <w:sz w:val="10"/>
        </w:rPr>
        <w:t xml:space="preserve">. Gebremedhin, Pender, and Tesfay (2003) empirically demonstrate that </w:t>
      </w:r>
      <w:r>
        <w:rPr>
          <w:rStyle w:val="StyleUnderline"/>
        </w:rPr>
        <w:t>connectedness in the community, in the sense of the extent to which members of the community interact with each other, plays an important role in redressing resource degradation and increasing community wealth</w:t>
      </w:r>
      <w:r>
        <w:rPr>
          <w:sz w:val="10"/>
        </w:rPr>
        <w:t xml:space="preserve">. </w:t>
      </w:r>
      <w:r>
        <w:rPr>
          <w:rStyle w:val="StyleUnderline"/>
        </w:rPr>
        <w:t>Cramb</w:t>
      </w:r>
      <w:r>
        <w:rPr>
          <w:sz w:val="10"/>
        </w:rPr>
        <w:t xml:space="preserve"> (2005) </w:t>
      </w:r>
      <w:r>
        <w:rPr>
          <w:rStyle w:val="StyleUnderline"/>
        </w:rPr>
        <w:t xml:space="preserve">finds that group membership in a Philippine village significantly promotes the adoption of </w:t>
      </w:r>
      <w:r>
        <w:rPr>
          <w:rStyle w:val="Emphasis"/>
        </w:rPr>
        <w:t>soil conservation</w:t>
      </w:r>
      <w:r>
        <w:rPr>
          <w:rStyle w:val="StyleUnderline"/>
        </w:rPr>
        <w:t xml:space="preserve"> practices.</w:t>
      </w:r>
      <w:r>
        <w:rPr>
          <w:sz w:val="10"/>
        </w:rPr>
        <w:t xml:space="preserve"> </w:t>
      </w:r>
      <w:r>
        <w:rPr>
          <w:sz w:val="6"/>
        </w:rPr>
        <w:t xml:space="preserve">With respect to gender inclusiveness, Westermann, Ashby, and Pretty (2005) compare the performance of 46 natural resource management (NRM) groups across 20 countries in Latin America, Africa, and Asia. They find that women’s groups tend to behave more collaboratively and have greater capacity to sustain collective action than groups made up entirely of men or mixed groups containing both men and women. Turning to evidence from the experimental economics literature, Andersen, Bulte, Gneezy, and List (2008) play a public goods game in three different regions in India and find that fewer people free ride in regions where women are more empowered. Differences in the extent of free riding were greater across regions (with different levels of female empowerment) than they were between men and women within the same region.1 This is an important finding, as it suggests that studies using micro-level data on individuals from the same region may not provide enough variation in the data to identify the full effect of female empowerment on environmental issues. Cross-regional or cross-country studies may be more likely to provide the required variation in the data. The next section of the article reviews the existing cross-country empirical evidence. A Review of the Cross-Country Empirical Literature on Social Capital and the Environment Grafton and Knowles (2004) analyze the relationship between social capital and national environmental performance, as measured by the ESI, for a sample of 35 countries, with their data sample being made up largely of high-income countries. Their social capital data are taken from the third wave of the World Values Survey (Inglehart et al., 2000). They employ three different proxies of social capital: WVSTRUST, WVSCIVIC, and WVSASSOC. WVSTRUST measures the proportion of the population who answer “most people can be trusted” to the question “generally speaking do you think that most people can be trusted, or that you can’t be too careful in dealing with people?” WVSCIVIC is an index measuring the extent to which people think certain behaviors (such as cheating on your taxes or avoiding a fare on public transport, if you had the chance) cannot be justified. WVSASSOC measures the extent of membership of different voluntary groups (such as church or religious groups and sports clubs). These social capital proxies were first used in cross-country empirical work by Knack and Keefer (1997), in the context of explaining cross-country differences in the rate of economic growth. Grafton and Knowles find a significant negative correlation between both WVSTRUST and WVSASSOC and the ESI, which is counter to expectations, but a significant positive correlation between WVSCIVIC and the ESI. Grafton and Knowles also analyze the relationship between what they term public social capital and the environment. Public social capital is proxied by a measure of democratic accountability and a measure of the extent of corruption. Both proxies are generally insignificant. Of the other control variables they 126 Journal of Environment &amp; Development 20(2) include (such as income per capita, measures of ethnic and religious diversity and population density), only population density (with a negative sign) and income per capita (with a positive sign) are significant in the majority of specifications. Grafton and Knowles (2004) argue that their “findings provide very little empirical support for the hypothesis that higher levels of social capital and related variables improve cross-national environmental quality” (p. 366) but note that these results should be regarded as preliminary, given the difficulties associated with measuring social capital. The Social Capital Data As noted above, previous empirical work on the link between social capital and the environment has been hampered by a lack of data on social capital of sufficient quality and cross-country coverage. In our empirical work, we proxy for social capital using five indices of social development (International Institute of Social Studies, 2011). These indices combine 200 items, from some 25 sources, into five social institutional clusters: gender equity (GENDER), intergroup cohesion (COHESION), interpersonal trust (TRUST), clubs and associations (ASSOC), and civic activism (CIVIC). These clusters are very closely related to the key components of our definition of social capital. For each cluster, items are combined using a latent variables approach, as adopted in the generation of the Worldwide Governance Indicators and Transparency International’s Corruptions Perceptions Index (Kaufmann, Kraay, &amp; Mastruzzi, 2007; Kaufmann, Kraay, &amp; Ziodo-Lobatόn, 1999; Lambsdorff, 2006). The intuition behind these procedures is that each set of indicators represents some implicit value of the underlying phenomenon in each society, on differing scales, with differing country samples, and with varying degrees of measurement error. Assuming that errors are uncorrelated across sources, indicators can be combined to reduce the aggregate level of error. The first cluster, gender equity (GENDER), estimates levels of discrimination against women. Included in this cluster are data on health, educational, and wage related gender disparities as well as data on the norms of discrimination that sustain these over time, such as the proportion of managers who believe men have more right to a job than women or the proportion of parents who believe that boys should be prioritized in access to education. The second area, intergroup cohesion (COHESION), reflects the extent of social tensions among ethnic, religious, or other social identity groups, using data on overt conflict, such as the number of riots, assassinations, and acts of terrorism as well as indicators of “conflict potential” such as expressions of intolerance toward other groups in public opinion surveys. The third area, interpersonal safety and trust (TRUST), is an enhanced measure of general social trust and brings together standard social trust items with data on the “trustworthiness” of others, based on criminal and related activity. The fourth area, clubs and associations (ASSOC) measures the level of engagement in local associations and networks. The clubs and associations measure is derived Dulal et al. 127 using data on levels of engagement in local voluntary associations, time spent socializing in community groups, and membership of developmental organizations. Finally, the fifth area is the level of civic activism (CIVIC), which measures the extent to which social practices encourage a more active and critical interaction with political authorities. The strength of civil society is measured using survey data on participation in civic activities such as petitions or marches, access to media through newspaper and radio, and the density of international civil society organizations. Civic activism differs from measures of formal political institutions, such as the DEMOC measure produced as part of the Polity data set, as it measures the specifically social practices and norms that “make democracy work.” High levels of CIVIC are indicative of a high level of civic informedness regarding political debates and policies, a willingness among citizens to express their views through civic forums such as community meetings or the press, and mobilization to place pressure on officials to deliver better public services, for example, via protest or petition. Studies such as Putnam et al. (1993) have identified these practices as essential for maintaining government efficacy, in addition to the existence of formal rules such as elections and constitutional guarantees of civil liberties, which are measured by the DEMOC variable. These five variables are closely aligned with our definition of social capital. TRUST proxies the extent of trust within society, with ASSOC measuring the extent to which individuals interact with each other. COHESION proxies for the absence of divisions or tensions within society and GENDER measures the degree of inclusiveness of women in society. Finally, CIVIC measures the extent to which people engage with the political process. Before formally analyzing the statistical relationship between social capital and environmental performance using multivariate regression equations, which we do in the next section, it is useful to take an informal look at the data with reference to the best and worst performing countries in terms of the EPI. Table 1 shows the highest 10 and lowest 10 ranked countries in terms of the EPI, of the countries included in our empirical analysis.2 The highest ranked countries are predominantly European although the category includes Costa Rica, Mauritius, and Colombia. Sweden, Norway, and Finland all feature in the top 10. These three Scandinavian countries are often considered to have high levels of social capital, and, in the data set we use, they rank highly on the various social capital measures. Note that Sweden is the highest ranked country for the GENDER variable. In general, the countries that rank highly in terms of gender inclusiveness are typically high-income countries (with the Scandinavian countries featuring prominently) or Eastern European. Countries with high GENDER scores tend to be countries where female educational outcomes are at least as high as those for males, where there is reasonable gender equity in terms of labor market outcomes, where women are active in the political process, and where attitudes toward women are no different than those toward men. Sweden, Norway, and Finland are also all in the top five countries with respect to the CIVIC variable. Turning our attention to the countries with the lowest EPIs, all but one of these countries (the United Arab Emirates) is in Africa. As can be seen from Table 1, many of these countries rank poorly in terms of the social capital proxies, especially with respect to GENDER. The Empirical Model There is evidence of a relationship between social capital and environmental performance at the micro level. The key focus of this article is whether differences in social capital can explain cross-country differences in environmental performance.3 Given that differences in social capital may be more pronounced between countries than between groups within the same country, cross-country differences may be more likely than more disaggregated data to pick up any correlation between social capital and the environment. The equation to be estimated is given by ENVi = a + b1 SOCi + b2 INDUSTi + b3 lnPOPi + b4 DEMOCi + b5 GDPi + b6 GDP2 i + e i Table 1. Countries With the Highest and Lowest EPIs Country EPI CIVIC GENDER ASSOC COHESION TRUST Ten highest ranked countries in terms of EPI Costa Rica 86.4 0.516 0.614 0.412 0.601 0.463 Sweden 86.0 0.860 0.715 0.737 0.655 0.623 Norway 81.1 0.807 0.657 0.583 0.667 0.653 Mauritius 80.6 0.580 0.569 0.622 France 78.2 0.721 0.654 0.685 0.496 0.596 Austria 78.1 0.720 0.649 0.554 0.636 0.613 Colombia 76.8 0.532 0.595 0.408 0.383 0.244 Finland 74.7 0.760 0.667 0.575 0.652 0.657 Slovak Republic 74.5 0.563 0.627 0.459 0.594 0.571 United Kingdom 74.2 0.752 0.673 0.639 0.599 0.632 Ten lowest ranked countries in terms of EPI Botswana 41.3 0.484 0.420 0.506 0.568 0.445 Chad 40.8 0.271 0.486 UAE 40.7 0.539 0.512 0.608 0.636 Nigeria 40.2 0.447 0.312 0.711 0.273 0.354 Benin 39.6 0.506 0.366 0.460 Mali 39.4 0.427 0.403 0.626 0.544 0.445 Togo 36.4 0.387 0.304 0.601 Angola 36.3 0.336 0.457 0.422 Mauritania 33.7 0.441 0.431 0.473 Central African Republic 33.3 0.343 Note: EPI = Environmental Performance Index. Dulal et al. 129 where ENV is a measure of environmental performance. For the sake of making comparisons with previous studies, especially Grafton and Knowles (2004), we begin in Table 2 by presenting results with the Environmental Sustainability Index (ESI) as our dependent variable. In Table 3, the EPI is the dependent variable. In Tables 4 and 5, our dependent variables are the two main components of the EPI: environmental sustainability and ecosystem vitality. We disaggregated the EPI in this way to test whether social capital has a differing effect on different components of environmental performance. SOC is an indicator of social capital. In addition, we include a number of control variables: INDUST is the share of industry in GDP, POP is population density, DEMOC is a measure of the extent of democracy, GDP is GDP per capita measured in international dollars, e is the country-specific error term, and i is country i. All data are for 2005, except for the EPI, which is for 2010. Full definitions of all variables and information on data sources are given in Appendix A, with the data for the EPI, ESI and Social variables reported for all countries in Appendix D. To avoid potential problems with multicollinearity, we include only one of the five measures (CIVIC, GENDER, ASSOC, TRUST, COHESION) at a time. We also construct an index of social development (SDINDEX) by calculating the average of the five measures of social institutions, for the countries that have data on all five measures. Our choice of control variables is largely guided by past cross-country empirical work on environmental outcomes (see, for example, Grafton &amp; Knowles, 2004; Midlarsky, 1998). GDP and GDP2 are included to control for the (potentially nonlinear) effects of income per capita on environmental outcomes (see, for example, Torras &amp; Boyce, 1998). It also seems likely that countries that are more densely populated are likely to suffer from more environmental pressure, all else equal. Hence, we include the log of population density as a control variable. We also include industry value added as a share of GDP (INDUST) to control for the possibility that industrial activity places more pressure on the environment than does either the agricultural or services sectors of the economy. Measures of democracy have been found to be significantly correlated with environmental outcomes in past empirical work (see, for example, Fredriksson, Neumayer, Damania, &amp; Gates, 2005; Fredriksson &amp; Wollscheid, 2007; Midlarsky, 1998; Neumayer, 2002; Scruggs, 1999; Torras &amp; Boyce, 1998), with some studies finding a positive correlation and others a negative correlation. Hence, we control for DEMOC but without any strong priors as to whether this variable will have a positive or negative effect on environmental performance. Empirical Results The empirical results obtained from OLS estimation of Equation 1, with the ESI as the dependent variable, are reported in Table 2, with each column of the table including a different social capital measure. Preliminary testing suggested some problems with heteroscedasticity, hence the t statistics reported are based on heteroscedasticity consistent standard errors, following White (1980). CIVIC and GENDER are both statistically significant, with the expected positive sign. The remaining three social capital indicators are all statistically insignificant. The Social Development Index, which is an average of the five measures of social capital, is positive and statistically significant. Grafton and Knowles (2004) found a surprising negative correlation between measures of trust and group membership and the ESI. By contrast, our measures of trust and group membership (TRUST and ASSOC) are statistically insignificant. Turning to the results for the other control variables, population density is negative and significant at the 1% level in all specifications, confirming that densely populated countries tend to have poor environmental outcomes, all else equal. The democracy variable is also positive and significant in all specifications, suggesting more democratic countries have higher levels of environmental sustainability, all else equal. GDP and GDP2 are always insignificant. INDUST is only significant, at the 10% level, when GENDER is the social institutions proxy. The R2 ranges from .487 to .551, depending on which of the social institutions measures are included. Hence, approximately half of the cross-country variation in the ESI can be explained by the variables included in our regression model. Our main focus is on the results obtained when the EPI is the dependent variable. These results are reported in Table 3. CIVIC is now statistically insignificant, although it is very close to being significant at the 10% level with a p value of .109. GENDER has the expected positive sign and is statistically significant at the 1% level. ASSOC has a surprisingly negative coefficient, which is statistically significant at the 10% level. This result, which is consistent with Grafton and Knowles (2004), perhaps indicates that at least some forms of group membership do not have positive consequences for the environment. The results for many of the control variables differ to those in Table 2, when the ESI was the dependent variable. lnPOP and DEMOC are now statistically insignificant, whereas the coefficients on GDP and GDP2 indicate a positive, but diminishing, correlation between income per capita and the EPI. The R2 s suggest that the model explains about half the cross-country variation in the EPI. In Tables 4 and 5, we disaggregate the EPI into its two main components: environmental health and ecosystem vitality. The results with environmental health as the dependent variable are reported in Table 4. As was the case in Table 3, GENDER is significantly positive and ASSOC significantly negative. In contrast to the Table 3 results, TRUST is now positive and significant at the 5% level. This implies that countries with higher levels of trust enjoy higher levels of environmental health. The results for the other control variables are similar to those in Table 3. Table 5 shows none of the social institutions variables to be significantly correlated with ecosystem vitality. The results for other variables are similar to those in Tables 3 and 4, with the exception that INDUST is now negative and significant. Also in contrast to the previous two tables, income per capita is now negatively correlated with ecosystem vitality, whereas it was positively correlated with environmental health and the EPI. Dulal et al. 135 It is possible that the results discussed above are affected by multicollinearity. A matrix reporting the pairwise correlations between the explanatory variables is presented in Appendix B. Some of these correlations are reasonably high, with some of the highest being between the social capital proxies and the income measures. If multicollinearity is present, this will inflate the standard errors and hence reduce the t statistics. As a sensitivity analysis, we report results in Appendix C when the EPI is the dependent variable and GDP and GDP2 are omitted. Note that these results need to be interpreted with caution, as omission of these terms will likely introduce omitted variables bias. All of the social capital variables are now statistically significant, with the same signs as reported in Table 3. The tables of results discussed above imply that some forms of social institutions are significantly correlated with some aspects of environmental performance, whereas others are not. The positive correlation between GENDER and environmental performance may be evidence of the fact that women tend to be more protective of the environment than are men, which means that in countries where women have a greater say in society, this is associated with better environmental performance. GENDER is measured on a 0-1 scale, as are all the social institutions measures. Based on the coefficient on GENDER from Table 3, a one–standard deviation (0.11 point) increase in GENDER is associated with an increase in the ESI of 3.62 percentage points. Alternatively, consider the following thought experiment. The country with the lowest EPI (Sierra Leone) would have an EPI 12 percentage points higher, if its GENDER score could be increased to that of the country with the highest EPI score (Iceland), based on the coefficient on GENDER from Table 3. There was also evidence in Table 4 that countries with higher levels of TRUST have higher levels of environmental health. ASSOC, which proxies for group memberships, was, however, negatively correlated with both the EPI and environmental health. It would seem that not all forms of social capital are good for the environment. Interestingly, whether many of the control variables are correlated with the dependent variable depends on whether the dependent variable is the ESI or the EPI (or its components). POPDEN was negatively correlated with the ESI but not the other dependent variables. INDUST was correlated (negatively) with ecosystem vitality but not the other dependent variables, suggesting a high share of industry in GDP damages ecosystems but not environmental health. Income per capita is positively correlated with environmental health but negatively correlated with ecosystem vitality Conclusions and Policy Implications </w:t>
      </w:r>
      <w:r>
        <w:rPr>
          <w:sz w:val="10"/>
        </w:rPr>
        <w:t xml:space="preserve">This </w:t>
      </w:r>
      <w:r>
        <w:rPr>
          <w:rStyle w:val="StyleUnderline"/>
        </w:rPr>
        <w:t xml:space="preserve">article has analyzed whether different </w:t>
      </w:r>
      <w:r>
        <w:rPr>
          <w:rStyle w:val="Emphasis"/>
        </w:rPr>
        <w:t>dimensions of social capital can explain cross-country differences in environmental performance</w:t>
      </w:r>
      <w:r>
        <w:rPr>
          <w:rStyle w:val="StyleUnderline"/>
        </w:rPr>
        <w:t>.</w:t>
      </w:r>
      <w:r>
        <w:rPr>
          <w:sz w:val="10"/>
        </w:rPr>
        <w:t xml:space="preserve"> Grafton and Knowles (2004) found that a measure of civic norms was significantly positively correlated with the ESI but that measures of trust and group memberships were not. </w:t>
      </w:r>
      <w:r>
        <w:rPr>
          <w:rStyle w:val="StyleUnderline"/>
        </w:rPr>
        <w:t>We find evidence that other forms of social capital/institutions are also correlated with environmental performance, as proxied by either the ESI or the EPI, for a much larger sample of countries</w:t>
      </w:r>
      <w:r>
        <w:rPr>
          <w:sz w:val="10"/>
        </w:rPr>
        <w:t>. Our most consistent result is that gender inclusiveness is associated with cross-country differences in environmental performance. Taken at face value, our empirical results suggest that countries in which women fully participate in society, perform better environmentally. There is weaker evidence that environmental performance is higher in countries where trust is higher and where group membership is lower</w:t>
      </w:r>
    </w:p>
    <w:p w:rsidR="002A5800" w:rsidRDefault="002A5800" w:rsidP="002A5800">
      <w:pPr>
        <w:pStyle w:val="Heading4"/>
        <w:rPr>
          <w:rStyle w:val="Style13ptBold"/>
          <w:b/>
        </w:rPr>
      </w:pPr>
      <w:r>
        <w:rPr>
          <w:rStyle w:val="Style13ptBold"/>
          <w:b/>
        </w:rPr>
        <w:t xml:space="preserve">Environmental destruction and warming risk extinction </w:t>
      </w:r>
    </w:p>
    <w:p w:rsidR="002A5800" w:rsidRDefault="002A5800" w:rsidP="002A5800">
      <w:pPr>
        <w:rPr>
          <w:sz w:val="22"/>
        </w:rPr>
      </w:pPr>
      <w:r>
        <w:rPr>
          <w:rStyle w:val="Style13ptBold"/>
        </w:rPr>
        <w:t>Torres 2016</w:t>
      </w:r>
      <w:r>
        <w:t xml:space="preserve"> -Director of the X-Risks Institute</w:t>
      </w:r>
      <w:r>
        <w:br/>
        <w:t>Phil and Peter Boghossian [prof of philosophy @ Portland State], "The Looming Extinction of Humankind, Explained," Aug 18, motherboard.vice.com/en_au/read/armageddon-comma-explained</w:t>
      </w:r>
    </w:p>
    <w:p w:rsidR="002A5800" w:rsidRDefault="002A5800" w:rsidP="002A5800">
      <w:r>
        <w:t>*Rees – Sir Martin Rees, co-founder of the Centre for the Study of Existential Risk</w:t>
      </w:r>
    </w:p>
    <w:p w:rsidR="002A5800" w:rsidRDefault="002A5800" w:rsidP="002A5800">
      <w:r>
        <w:t xml:space="preserve">This leads to the final category of risks, which includes </w:t>
      </w:r>
      <w:r>
        <w:rPr>
          <w:rStyle w:val="StyleUnderline"/>
          <w:highlight w:val="cyan"/>
        </w:rPr>
        <w:t>anthropogenic disasters like climate change</w:t>
      </w:r>
      <w:r>
        <w:rPr>
          <w:rStyle w:val="StyleUnderline"/>
        </w:rPr>
        <w:t xml:space="preserve"> and biodiversity loss.</w:t>
      </w:r>
      <w:r>
        <w:t xml:space="preserve"> While neither of these are likely to result in our extinction, they </w:t>
      </w:r>
      <w:r>
        <w:rPr>
          <w:rStyle w:val="StyleUnderline"/>
          <w:highlight w:val="cyan"/>
        </w:rPr>
        <w:t>are</w:t>
      </w:r>
      <w:r>
        <w:rPr>
          <w:rStyle w:val="StyleUnderline"/>
        </w:rPr>
        <w:t xml:space="preserve"> both potent “</w:t>
      </w:r>
      <w:r>
        <w:rPr>
          <w:rStyle w:val="StyleUnderline"/>
          <w:highlight w:val="cyan"/>
        </w:rPr>
        <w:t>conflict multipliers” that will push societies to their limits,</w:t>
      </w:r>
      <w:r>
        <w:rPr>
          <w:rStyle w:val="StyleUnderline"/>
        </w:rPr>
        <w:t xml:space="preserve"> and in doing so will </w:t>
      </w:r>
      <w:r>
        <w:rPr>
          <w:rStyle w:val="StyleUnderline"/>
          <w:highlight w:val="cyan"/>
        </w:rPr>
        <w:t>increase the probability of</w:t>
      </w:r>
      <w:r>
        <w:rPr>
          <w:rStyle w:val="StyleUnderline"/>
        </w:rPr>
        <w:t xml:space="preserve"> advanced technologies being misused and abused. </w:t>
      </w:r>
      <w:r>
        <w:t xml:space="preserve">To put this in stark terms, </w:t>
      </w:r>
      <w:r>
        <w:rPr>
          <w:rStyle w:val="StyleUnderline"/>
        </w:rPr>
        <w:t>ask yourself</w:t>
      </w:r>
      <w:r>
        <w:t xml:space="preserve"> this: </w:t>
      </w:r>
      <w:r>
        <w:rPr>
          <w:rStyle w:val="StyleUnderline"/>
        </w:rPr>
        <w:t xml:space="preserve">is a </w:t>
      </w:r>
      <w:r>
        <w:rPr>
          <w:rStyle w:val="StyleUnderline"/>
          <w:highlight w:val="cyan"/>
        </w:rPr>
        <w:t>nuclear war</w:t>
      </w:r>
      <w:r>
        <w:rPr>
          <w:rStyle w:val="StyleUnderline"/>
        </w:rPr>
        <w:t xml:space="preserve"> more or less likely in a world of </w:t>
      </w:r>
      <w:r>
        <w:rPr>
          <w:rStyle w:val="StyleUnderline"/>
          <w:highlight w:val="cyan"/>
        </w:rPr>
        <w:t>extreme weather, mega-droughts, mass migrations, and</w:t>
      </w:r>
      <w:r>
        <w:rPr>
          <w:rStyle w:val="StyleUnderline"/>
        </w:rPr>
        <w:t xml:space="preserve"> social/political </w:t>
      </w:r>
      <w:r>
        <w:rPr>
          <w:rStyle w:val="StyleUnderline"/>
          <w:highlight w:val="cyan"/>
        </w:rPr>
        <w:t>instability</w:t>
      </w:r>
      <w:r>
        <w:rPr>
          <w:rStyle w:val="StyleUnderline"/>
        </w:rPr>
        <w:t>?</w:t>
      </w:r>
      <w:r>
        <w:t xml:space="preserve"> </w:t>
      </w:r>
      <w:r>
        <w:rPr>
          <w:rStyle w:val="StyleUnderline"/>
        </w:rPr>
        <w:t>Is an eco-terrorist attack involving nanotechnology more or less likely in a world of widespread environmental degradation?</w:t>
      </w:r>
      <w:r>
        <w:t xml:space="preserve"> Is a terrorist attack involving apocalyptic fanatics more or less likely in a world of wars and natural disasters that appear to be prophesied in ancient texts? </w:t>
      </w:r>
      <w:r>
        <w:rPr>
          <w:rStyle w:val="StyleUnderline"/>
        </w:rPr>
        <w:t>Climate change and biodiversity loss will almost certainly exacerbate current geopolitical tensions and foment entirely new struggles between state and nonstate actors</w:t>
      </w:r>
      <w:r>
        <w:t>. This is not only worrisome in itself, but with the advent of advanced technologies</w:t>
      </w:r>
      <w:r>
        <w:rPr>
          <w:rStyle w:val="StyleUnderline"/>
        </w:rPr>
        <w:t xml:space="preserve">, </w:t>
      </w:r>
      <w:r>
        <w:rPr>
          <w:rStyle w:val="StyleUnderline"/>
          <w:highlight w:val="cyan"/>
        </w:rPr>
        <w:t>it could be existentially disastrous</w:t>
      </w:r>
      <w:r>
        <w:rPr>
          <w:rStyle w:val="StyleUnderline"/>
        </w:rPr>
        <w:t xml:space="preserve">. </w:t>
      </w:r>
      <w:r>
        <w:t xml:space="preserve">It’s considerations like these that have lead the experts surveyed above, Rees, and other scholars to their less-than-optimistic claims about the future. </w:t>
      </w:r>
      <w:r>
        <w:rPr>
          <w:rStyle w:val="StyleUnderline"/>
        </w:rPr>
        <w:t xml:space="preserve">The fact is that there are far more ways for our species to perish today than ever before, and the best current estimates suggest that dying from an existential catastrophe is more likely than dying in a car accident. </w:t>
      </w:r>
      <w: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rsidR="002A5800" w:rsidRDefault="002A5800" w:rsidP="002A5800">
      <w:pPr>
        <w:pStyle w:val="Heading3"/>
        <w:rPr>
          <w:sz w:val="32"/>
        </w:rPr>
      </w:pPr>
      <w:r>
        <w:t>2NC environment impact</w:t>
      </w:r>
    </w:p>
    <w:p w:rsidR="002A5800" w:rsidRDefault="002A5800" w:rsidP="002A5800">
      <w:pPr>
        <w:pStyle w:val="Heading4"/>
      </w:pPr>
      <w:r>
        <w:t>Turns case --- Domestic pollution alone in the U.S. causes mass death and violence, has unique disparate impacts on minority communities</w:t>
      </w:r>
    </w:p>
    <w:p w:rsidR="002A5800" w:rsidRDefault="002A5800" w:rsidP="002A5800">
      <w:r>
        <w:rPr>
          <w:rStyle w:val="Style13ptBold"/>
        </w:rPr>
        <w:t xml:space="preserve">Toomey 13 </w:t>
      </w:r>
      <w:r>
        <w:rPr>
          <w:rStyle w:val="Style13ptBold"/>
          <w:b w:val="0"/>
        </w:rPr>
        <w:t xml:space="preserve">--- </w:t>
      </w:r>
      <w:r>
        <w:rPr>
          <w:rStyle w:val="Style13ptBold"/>
          <w:b w:val="0"/>
          <w:sz w:val="22"/>
        </w:rPr>
        <w:t>public radio journalist and NOVA researcher.</w:t>
      </w:r>
      <w:r>
        <w:rPr>
          <w:sz w:val="18"/>
        </w:rPr>
        <w:t xml:space="preserve"> </w:t>
      </w:r>
      <w:r>
        <w:t>(DIANE TOOMEY, 6/19/13, “Coal Pollution and the Fight For Environmental Justice”, Yale 360. http://e360.yale.edu/features/naacp_jacqueline_patterson_coal_pollution_and_fight_for_environmental_justice)//ET</w:t>
      </w:r>
    </w:p>
    <w:p w:rsidR="002A5800" w:rsidRDefault="002A5800" w:rsidP="002A5800">
      <w:pPr>
        <w:rPr>
          <w:sz w:val="14"/>
        </w:rPr>
      </w:pPr>
      <w:r>
        <w:rPr>
          <w:sz w:val="14"/>
        </w:rPr>
        <w:t xml:space="preserve">When the NAACP recently released a report on the disproportionate effects of coal-fired plants on minorities, Jacqueline Patterson led the efforts to spread its message that these facilities were “killing low-income communities and communities of color.” Patterson is the Environmental and Climate Justice Director for the venerable civil rights organization — a job whose purpose is sometimes questioned by the NAACP’s own constituents. As Patterson puts it, “Some of the communities I work in were like, ‘Well, we’re dealing with double digit unemployment and people dying of AIDS, people being racially profiled, high murder rates. How is melting ice caps and polar bear extinction going to become a priority for us?’” In an interview with Yale Environment 360 contributor Diane Toomey, </w:t>
      </w:r>
      <w:r>
        <w:rPr>
          <w:rStyle w:val="StyleUnderline"/>
        </w:rPr>
        <w:t>Patterson discusses how she answers that thorny question and outlines the reasons behind the NAACP’s campaign to shut down coal-fired plants</w:t>
      </w:r>
      <w:r>
        <w:rPr>
          <w:sz w:val="14"/>
        </w:rPr>
        <w:t xml:space="preserve">. She also talks about the often-difficult relationship between environmental justice organizations and major U.S. green groups. “We need to have tough conversations around organizational culture,” she says. “And we need more joint strategizing on how we can collaborate more effectively.” Yale Environment 360: A few months ago, the </w:t>
      </w:r>
      <w:r>
        <w:rPr>
          <w:rStyle w:val="StyleUnderline"/>
        </w:rPr>
        <w:t>NAACP released a report entitled “Coal Blooded: Putting Profits Before People.”</w:t>
      </w:r>
      <w:r>
        <w:rPr>
          <w:sz w:val="14"/>
        </w:rPr>
        <w:t xml:space="preserve"> It </w:t>
      </w:r>
      <w:r>
        <w:rPr>
          <w:rStyle w:val="StyleUnderline"/>
        </w:rPr>
        <w:t xml:space="preserve">examined the effects of coal-fired plants on minority communities in the U.S. Paint a picture of who is most likely to live near these power plants. </w:t>
      </w:r>
      <w:r>
        <w:rPr>
          <w:sz w:val="14"/>
        </w:rPr>
        <w:t xml:space="preserve">Jacqueline Patterson: </w:t>
      </w:r>
      <w:r>
        <w:rPr>
          <w:rStyle w:val="Emphasis"/>
        </w:rPr>
        <w:t>Thirty-nine percent</w:t>
      </w:r>
      <w:r>
        <w:rPr>
          <w:sz w:val="14"/>
        </w:rPr>
        <w:t xml:space="preserve"> of </w:t>
      </w:r>
      <w:r>
        <w:rPr>
          <w:rStyle w:val="StyleUnderline"/>
        </w:rPr>
        <w:t>the people living near coal-fired power plants are people of color, so what’s absolutely true is that there are a disproportionate number of people of color living next to these plants.</w:t>
      </w:r>
      <w:r>
        <w:rPr>
          <w:sz w:val="14"/>
        </w:rPr>
        <w:t xml:space="preserve"> </w:t>
      </w:r>
      <w:r>
        <w:rPr>
          <w:rStyle w:val="Emphasis"/>
        </w:rPr>
        <w:t>Seventy-eight percent of African Americans live within 30 miles of a coal-fired power plant</w:t>
      </w:r>
      <w:r>
        <w:rPr>
          <w:sz w:val="14"/>
        </w:rPr>
        <w:t xml:space="preserve">. </w:t>
      </w:r>
      <w:r>
        <w:rPr>
          <w:rStyle w:val="StyleUnderline"/>
        </w:rPr>
        <w:t xml:space="preserve">We also discovered that Latino communities, as well as indigenous communities and low-income communities, are more likely to live next to coal-fired plants. </w:t>
      </w:r>
      <w:r>
        <w:rPr>
          <w:sz w:val="14"/>
        </w:rPr>
        <w:t xml:space="preserve">e360: </w:t>
      </w:r>
      <w:r>
        <w:rPr>
          <w:rStyle w:val="StyleUnderline"/>
        </w:rPr>
        <w:t>The report assigned a so-called environmental justice performance score to 378 coal-fired power plants in the U.S. The score was based on the amount of sulfur dioxide and NOx</w:t>
      </w:r>
      <w:r>
        <w:rPr>
          <w:sz w:val="14"/>
        </w:rPr>
        <w:t xml:space="preserve"> [nitrogen oxide] </w:t>
      </w:r>
      <w:r>
        <w:rPr>
          <w:rStyle w:val="StyleUnderline"/>
        </w:rPr>
        <w:t>emissions, the number of people living within three miles of the plant, and the median income and percentage of people of color in that population. Seventy</w:t>
      </w:r>
      <w:r>
        <w:rPr>
          <w:sz w:val="14"/>
        </w:rPr>
        <w:t xml:space="preserve">-five of these plants were found to be failing. Define “failure” for me in this context. Patterson: We used an algorithm based on those five factors, and then we ranked them according to the score they received. The ones that were failing were the ones that had the worst EJ [environmental justice] score, the ones that were emitting the most sulfur dioxide and nitrous oxide to the most people, and with the greatest proportion of people who are of color and low-income. e360: The </w:t>
      </w:r>
      <w:r>
        <w:rPr>
          <w:rStyle w:val="StyleUnderline"/>
        </w:rPr>
        <w:t>report focuses on the effects of three pollutants coming from these plants</w:t>
      </w:r>
      <w:r>
        <w:rPr>
          <w:sz w:val="14"/>
        </w:rPr>
        <w:t xml:space="preserve">: </w:t>
      </w:r>
      <w:r>
        <w:rPr>
          <w:rStyle w:val="StyleUnderline"/>
        </w:rPr>
        <w:t>sulfur dioxide, NOx, and particulates — all of which have known health consequences, including asthma and</w:t>
      </w:r>
      <w:r>
        <w:rPr>
          <w:sz w:val="14"/>
        </w:rPr>
        <w:t xml:space="preserve"> other </w:t>
      </w:r>
      <w:r>
        <w:rPr>
          <w:rStyle w:val="StyleUnderline"/>
        </w:rPr>
        <w:t>respiratory problems</w:t>
      </w:r>
      <w:r>
        <w:rPr>
          <w:sz w:val="14"/>
        </w:rPr>
        <w:t xml:space="preserve">. Talk about the incident rate of these illnesses in minority communities compared to white communities. Patterson: </w:t>
      </w:r>
      <w:r>
        <w:rPr>
          <w:rStyle w:val="Emphasis"/>
        </w:rPr>
        <w:t>An African American child is three times more likely to go into the emergency room for an asthma attack than a white child and twice as likely to die from asthma attacks than a white child.</w:t>
      </w:r>
      <w:r>
        <w:rPr>
          <w:sz w:val="14"/>
        </w:rPr>
        <w:t xml:space="preserve"> </w:t>
      </w:r>
      <w:r>
        <w:rPr>
          <w:rStyle w:val="StyleUnderline"/>
        </w:rPr>
        <w:t>African Americans are more likely to die from lung disease, but less likely to smoke.</w:t>
      </w:r>
      <w:r>
        <w:rPr>
          <w:sz w:val="14"/>
        </w:rPr>
        <w:t xml:space="preserve"> When we did a road tour to visit the communities that were impacted by coal pollution, we found many anecdotal stories of people saying, yes, my husband, my father, my wife died of lung cancer and never smoked a day in her life. And these are people who are living within three miles of the coal-fired power plants we visited. So both </w:t>
      </w:r>
      <w:r>
        <w:rPr>
          <w:rStyle w:val="StyleUnderline"/>
        </w:rPr>
        <w:t>statistically</w:t>
      </w:r>
      <w:r>
        <w:rPr>
          <w:sz w:val="14"/>
        </w:rPr>
        <w:t xml:space="preserve">, in terms of health surveillance data, </w:t>
      </w:r>
      <w:r>
        <w:rPr>
          <w:rStyle w:val="StyleUnderline"/>
        </w:rPr>
        <w:t>and anecdotally</w:t>
      </w:r>
      <w:r>
        <w:rPr>
          <w:sz w:val="14"/>
        </w:rPr>
        <w:t xml:space="preserve">, in terms of what you’re hearing from community members, </w:t>
      </w:r>
      <w:r>
        <w:rPr>
          <w:rStyle w:val="StyleUnderline"/>
        </w:rPr>
        <w:t>we see that there is a higher incident of the very diseases that are impacted by these pollutants in African American communities</w:t>
      </w:r>
      <w:r>
        <w:rPr>
          <w:sz w:val="14"/>
        </w:rPr>
        <w:t xml:space="preserve">. e360: Have there been enough well-designed studies done on the health of communities living in very close proximity to coal-fired plants? Patterson: We definitely need more in the way of these studies — that was one of the recommendations from the report. The Harvard School of Public Health did a study specifically on the Fisk and Crawford plants in Chicago, which was instrumental in helping to garner public support for shutting down those two plants [which were closed last year]. But we need more sophisticated studies. e360: There have been a number of coal-fired plant closures in recent years thanks in part to cheaper and more abundant natural gas, and new stricter [U.S.] pollution regulations that will kick in by 2016 will make coal-fired plants more expensive to operate. In fact, five of the 12 of the power plants that received the lowest rating in your report have closed or have announced plans to close. How do you tease out the effect of activism versus other factors that are leading to these plant closures? Patterson: We’ve long acknowledged that activism alone hasn’t been responsible for closing down these plants. We certainly say in all of our conversations that the boom in natural gas has had a significant effect on the cost of running these plants. There’s no denying that. I think that you can really only tell on a plant-by-plant basis the extent to which the community activism is going to have a significant impact. e360: Since the report has been released what kind of feedback or outreach have you received from the owners of any of these plants? Patterson: Some plant owners have said that the plants aren’t harmful to human health, that there are too many other pollutants in the area to be able to tease out the effects of the plants and that there’s no alternative to running these plants or the alternatives are too expensive and the rate payers would be the ones that would have to pay for that. e360: For you, I would imagine nothing trumps the issue of health in the communities that live near these plants. Patterson: I wouldn’t go as far as to say that. We don’t want to say, “Who cares if a hundred people lose their jobs?” We look hard at what the contribution of the plant is to the tax base of the community, and we look hard at who is being employed by the plant. Is the electricity being “You can only tell on a plant-by-plant basis the extent to which community activism is going to have an impact.” generated by the plant being used by the community that is suffering these ill health effects? So I wouldn’t necessarily say that we are absolutely saying that health trumps all because we don’t want to impose that on the community when they might not necessarily believe that. They might say, “Well, OK, my life might be 10 years shorter, but at least I’ll be working the whole time.” It’s a community-by-community calculation, conversation, and strategy. e360: You just referenced working with the community at the grassroots level. </w:t>
      </w:r>
      <w:r>
        <w:rPr>
          <w:rStyle w:val="StyleUnderline"/>
        </w:rPr>
        <w:t>How would you describe the working relationship between grassroots environmental justice activists and major anti-coal advocate groups</w:t>
      </w:r>
      <w:r>
        <w:rPr>
          <w:sz w:val="14"/>
        </w:rPr>
        <w:t xml:space="preserve">? Patterson: I think </w:t>
      </w:r>
      <w:r>
        <w:rPr>
          <w:rStyle w:val="StyleUnderline"/>
        </w:rPr>
        <w:t>it varies from place to place</w:t>
      </w:r>
      <w:r>
        <w:rPr>
          <w:sz w:val="14"/>
        </w:rPr>
        <w:t xml:space="preserve"> depending on how well those national organizations put in the work and relationship building and the how open the grassroots organizations are to receiving it. I know that </w:t>
      </w:r>
      <w:r>
        <w:rPr>
          <w:rStyle w:val="StyleUnderline"/>
        </w:rPr>
        <w:t>in Chicago, with the Fisk and Crawford</w:t>
      </w:r>
      <w:r>
        <w:rPr>
          <w:sz w:val="14"/>
        </w:rPr>
        <w:t xml:space="preserve"> [coal-fired] </w:t>
      </w:r>
      <w:r>
        <w:rPr>
          <w:rStyle w:val="StyleUnderline"/>
        </w:rPr>
        <w:t>plants</w:t>
      </w:r>
      <w:r>
        <w:rPr>
          <w:sz w:val="14"/>
        </w:rPr>
        <w:t xml:space="preserve"> [which were shut down last year], </w:t>
      </w:r>
      <w:r>
        <w:rPr>
          <w:rStyle w:val="StyleUnderline"/>
        </w:rPr>
        <w:t>the Little Village Environmental Justice organization was at the head of the work that was being done.</w:t>
      </w:r>
      <w:r>
        <w:rPr>
          <w:sz w:val="14"/>
        </w:rPr>
        <w:t xml:space="preserve"> And they </w:t>
      </w:r>
      <w:r>
        <w:rPr>
          <w:rStyle w:val="StyleUnderline"/>
        </w:rPr>
        <w:t>did partner with groups like Greenpeace and the Sierra Club and the Rainforest Action Network</w:t>
      </w:r>
      <w:r>
        <w:rPr>
          <w:sz w:val="14"/>
        </w:rPr>
        <w:t xml:space="preserve">, who brought new resources — be it skills or other technical assistance or organizing experience. And </w:t>
      </w:r>
      <w:r>
        <w:rPr>
          <w:rStyle w:val="StyleUnderline"/>
        </w:rPr>
        <w:t>they had a successful collaboration</w:t>
      </w:r>
      <w:r>
        <w:rPr>
          <w:sz w:val="14"/>
        </w:rPr>
        <w:t>.</w:t>
      </w:r>
    </w:p>
    <w:p w:rsidR="002A5800" w:rsidRDefault="002A5800" w:rsidP="002A5800">
      <w:pPr>
        <w:pStyle w:val="Heading4"/>
        <w:rPr>
          <w:sz w:val="26"/>
        </w:rPr>
      </w:pPr>
      <w:r>
        <w:t>Air pollution alone causes 200,000 premature deaths in the U.S. annually</w:t>
      </w:r>
    </w:p>
    <w:p w:rsidR="002A5800" w:rsidRDefault="002A5800" w:rsidP="002A5800">
      <w:r>
        <w:rPr>
          <w:rStyle w:val="Style13ptBold"/>
        </w:rPr>
        <w:t xml:space="preserve">Chu 13 </w:t>
      </w:r>
      <w:r>
        <w:rPr>
          <w:rStyle w:val="Style13ptBold"/>
          <w:b w:val="0"/>
        </w:rPr>
        <w:t xml:space="preserve">--- </w:t>
      </w:r>
      <w:r>
        <w:rPr>
          <w:rStyle w:val="Style13ptBold"/>
          <w:b w:val="0"/>
          <w:sz w:val="22"/>
        </w:rPr>
        <w:t>MIT News Office</w:t>
      </w:r>
      <w:r>
        <w:rPr>
          <w:rStyle w:val="Style13ptBold"/>
          <w:sz w:val="22"/>
        </w:rPr>
        <w:t xml:space="preserve"> </w:t>
      </w:r>
      <w:r>
        <w:t>(Jennifer Chu, 8/29/13,“Study: Air pollution causes 200,000 early deaths each year in the U.S.”, MIT News. http://news.mit.edu/2013/study-air-pollution-causes-200000-early-deaths-each-year-in-the-us-0829)//ET</w:t>
      </w:r>
    </w:p>
    <w:p w:rsidR="002A5800" w:rsidRDefault="002A5800" w:rsidP="002A5800">
      <w:pPr>
        <w:rPr>
          <w:rStyle w:val="StyleUnderline"/>
        </w:rPr>
      </w:pPr>
      <w:r>
        <w:rPr>
          <w:sz w:val="14"/>
        </w:rPr>
        <w:t xml:space="preserve">Researchers from MIT’s Laboratory for Aviation and the Environment have come out with some </w:t>
      </w:r>
      <w:r>
        <w:rPr>
          <w:rStyle w:val="StyleUnderline"/>
        </w:rPr>
        <w:t xml:space="preserve">sobering new data on air pollution’s impact on Americans’ health. </w:t>
      </w:r>
      <w:r>
        <w:rPr>
          <w:sz w:val="14"/>
        </w:rPr>
        <w:t xml:space="preserve">The </w:t>
      </w:r>
      <w:r>
        <w:rPr>
          <w:rStyle w:val="StyleUnderline"/>
        </w:rPr>
        <w:t>group tracked ground-level emissions from sources such as industrial smokestacks, vehicle tailpipes, marine and rail operations, and commercial and residential heating throughout the United States</w:t>
      </w:r>
      <w:r>
        <w:rPr>
          <w:sz w:val="14"/>
        </w:rPr>
        <w:t xml:space="preserve">, and found that </w:t>
      </w:r>
      <w:r>
        <w:rPr>
          <w:rStyle w:val="Emphasis"/>
        </w:rPr>
        <w:t>such air pollution causes about 200,000 early deaths each year</w:t>
      </w:r>
      <w:r>
        <w:rPr>
          <w:sz w:val="14"/>
        </w:rPr>
        <w:t xml:space="preserve">. Emissions from road transportation are the most significant contributor, causing 53,000 premature deaths, followed closely by power generation, with 52,000. In a state-by-state analysis, the researchers found that California suffers the worst health impacts from air pollution, with about 21,000 early deaths annually, mostly attributed to road transportation and to commercial and residential emissions from heating and cooking. The researchers also mapped local emissions in 5,695 U.S. cities, finding the highest emissions-related mortality rate </w:t>
      </w:r>
      <w:r>
        <w:rPr>
          <w:rStyle w:val="Emphasis"/>
        </w:rPr>
        <w:t>in</w:t>
      </w:r>
      <w:r>
        <w:rPr>
          <w:sz w:val="14"/>
        </w:rPr>
        <w:t xml:space="preserve"> </w:t>
      </w:r>
      <w:r>
        <w:rPr>
          <w:rStyle w:val="Emphasis"/>
        </w:rPr>
        <w:t>Baltimore</w:t>
      </w:r>
      <w:r>
        <w:rPr>
          <w:sz w:val="14"/>
        </w:rPr>
        <w:t xml:space="preserve">, where </w:t>
      </w:r>
      <w:r>
        <w:rPr>
          <w:rStyle w:val="Emphasis"/>
        </w:rPr>
        <w:t xml:space="preserve">130 out of every 100,000 residents likely die in a given year due to long-term exposure to air pollution. </w:t>
      </w:r>
      <w:r>
        <w:rPr>
          <w:sz w:val="14"/>
        </w:rPr>
        <w:t>“</w:t>
      </w:r>
      <w:r>
        <w:rPr>
          <w:rStyle w:val="StyleUnderline"/>
        </w:rPr>
        <w:t>In the past five to 10 years, the evidence linking air-pollution exposure to risk of early death has really solidified and gained scientific and political traction,</w:t>
      </w:r>
      <w:r>
        <w:rPr>
          <w:sz w:val="14"/>
        </w:rPr>
        <w:t>” says Steven Barrett, an assistant professor of aeronautics and astronautics at MIT. “</w:t>
      </w:r>
      <w:r>
        <w:rPr>
          <w:rStyle w:val="StyleUnderline"/>
        </w:rPr>
        <w:t>There’s a realization that air pollution is a major problem in any city, and there’s a desire to do something about it.”</w:t>
      </w:r>
    </w:p>
    <w:p w:rsidR="002A5800" w:rsidRDefault="007A4C05" w:rsidP="002A5800">
      <w:pPr>
        <w:pStyle w:val="Heading1"/>
        <w:rPr>
          <w:sz w:val="52"/>
        </w:rPr>
      </w:pPr>
      <w:r>
        <w:t>VS REGS</w:t>
      </w:r>
    </w:p>
    <w:p w:rsidR="002A5800" w:rsidRDefault="002A5800" w:rsidP="002A5800">
      <w:pPr>
        <w:pStyle w:val="Heading2"/>
      </w:pPr>
      <w:r>
        <w:t>Top shelf</w:t>
      </w:r>
    </w:p>
    <w:p w:rsidR="002A5800" w:rsidRDefault="002A5800" w:rsidP="002A5800">
      <w:pPr>
        <w:pStyle w:val="Heading3"/>
      </w:pPr>
      <w:r>
        <w:t>1NC</w:t>
      </w:r>
    </w:p>
    <w:p w:rsidR="002A5800" w:rsidRDefault="002A5800" w:rsidP="002A5800">
      <w:pPr>
        <w:pStyle w:val="Heading4"/>
      </w:pPr>
      <w:r>
        <w:t xml:space="preserve">Competitive grants solve – facilitate implementation and compliance that have the same </w:t>
      </w:r>
      <w:r>
        <w:rPr>
          <w:u w:val="single"/>
        </w:rPr>
        <w:t>effect</w:t>
      </w:r>
      <w:r>
        <w:t xml:space="preserve"> of the plan</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 xml:space="preserve">(Julie Kirsten Meredith, “State policy diffusion and Race to the Top: The impact of federal competitive grants on state policymaking”, Accessed on ProQuest. </w:t>
      </w:r>
      <w:hyperlink r:id="rId26" w:history="1">
        <w:r>
          <w:rPr>
            <w:rStyle w:val="Hyperlink"/>
          </w:rPr>
          <w:t>https://search.proquest.com/openview/88381ffcebc95268f7c955f994497a5e/1?pq-origsite=gscholar&amp;cbl=18750&amp;diss=y)//ET</w:t>
        </w:r>
      </w:hyperlink>
    </w:p>
    <w:p w:rsidR="002A5800" w:rsidRDefault="002A5800" w:rsidP="002A5800"/>
    <w:p w:rsidR="002A5800" w:rsidRDefault="002A5800" w:rsidP="002A5800">
      <w:r>
        <w:rPr>
          <w:rStyle w:val="StyleUnderline"/>
        </w:rPr>
        <w:t>While federal programs have historically relied on mandates and categorical funding streams to influence state policy, this analysis suggests that competitive grant programs</w:t>
      </w:r>
      <w:r>
        <w:t xml:space="preserve"> like Race to the Top </w:t>
      </w:r>
      <w:r>
        <w:rPr>
          <w:rStyle w:val="StyleUnderline"/>
        </w:rPr>
        <w:t>may be useful in moving state policies to be in line with federal preference</w:t>
      </w:r>
      <w:r>
        <w:t xml:space="preserve">s. The model building process, the </w:t>
      </w:r>
      <w:r>
        <w:rPr>
          <w:rStyle w:val="Emphasis"/>
        </w:rPr>
        <w:t>results</w:t>
      </w:r>
      <w:r>
        <w:t xml:space="preserve"> for the final model (in particular the significant effects and directions of the intercepts of the slopes of Time 1 and Time 2 and the indicator for Round 1 winner), </w:t>
      </w:r>
      <w:r>
        <w:rPr>
          <w:rStyle w:val="StyleUnderline"/>
        </w:rPr>
        <w:t>and</w:t>
      </w:r>
      <w:r>
        <w:t xml:space="preserve"> the </w:t>
      </w:r>
      <w:r>
        <w:rPr>
          <w:rStyle w:val="Emphasis"/>
        </w:rPr>
        <w:t>media reports</w:t>
      </w:r>
      <w:r>
        <w:t xml:space="preserve"> from states </w:t>
      </w:r>
      <w:r>
        <w:rPr>
          <w:rStyle w:val="StyleUnderline"/>
        </w:rPr>
        <w:t xml:space="preserve">provide evidence that </w:t>
      </w:r>
      <w:r>
        <w:rPr>
          <w:rStyle w:val="Emphasis"/>
        </w:rPr>
        <w:t>states responded to implicit and explicit information about federal preferences.</w:t>
      </w:r>
      <w:r>
        <w:t xml:space="preserve"> In pursuit of the grant money, </w:t>
      </w:r>
      <w:r>
        <w:rPr>
          <w:rStyle w:val="StyleUnderline"/>
        </w:rPr>
        <w:t xml:space="preserve">states were willing to make significant policy changes </w:t>
      </w:r>
      <w:r>
        <w:rPr>
          <w:rStyle w:val="Emphasis"/>
        </w:rPr>
        <w:t xml:space="preserve">to even the most politically contentious </w:t>
      </w:r>
      <w:r>
        <w:rPr>
          <w:rStyle w:val="StyleUnderline"/>
        </w:rPr>
        <w:t>of their education policies, specifically to teacher evaluation, compensation, and tenure systems, in order to make their RTTT applications more competitive</w:t>
      </w:r>
      <w:r>
        <w:t xml:space="preserve">. </w:t>
      </w:r>
      <w:r>
        <w:rPr>
          <w:rStyle w:val="StyleUnderline"/>
        </w:rPr>
        <w:t>Though the amount of the awards to states was relatively small</w:t>
      </w:r>
      <w:r>
        <w:t xml:space="preserve">—the largest awards were $700 million over the course of four years to Florida and New York—and there was no guarantee that states would receive funding regardless of the policy changes they made, </w:t>
      </w:r>
      <w:r>
        <w:rPr>
          <w:rStyle w:val="StyleUnderline"/>
        </w:rPr>
        <w:t xml:space="preserve">states made policy changes with </w:t>
      </w:r>
      <w:r>
        <w:rPr>
          <w:rStyle w:val="Emphasis"/>
        </w:rPr>
        <w:t xml:space="preserve">tremendous speed. </w:t>
      </w:r>
      <w:r>
        <w:rPr>
          <w:rStyle w:val="StyleUnderline"/>
        </w:rPr>
        <w:t xml:space="preserve">Competitive grants have </w:t>
      </w:r>
      <w:r>
        <w:rPr>
          <w:rStyle w:val="Emphasis"/>
        </w:rPr>
        <w:t>advantages over</w:t>
      </w:r>
      <w:r>
        <w:rPr>
          <w:rStyle w:val="StyleUnderline"/>
        </w:rPr>
        <w:t xml:space="preserve"> mandates and </w:t>
      </w:r>
      <w:r>
        <w:rPr>
          <w:rStyle w:val="Emphasis"/>
        </w:rPr>
        <w:t>categorical funding</w:t>
      </w:r>
      <w:r>
        <w:t xml:space="preserve">, </w:t>
      </w:r>
      <w:r>
        <w:rPr>
          <w:rStyle w:val="StyleUnderline"/>
        </w:rPr>
        <w:t>both for states and for the federal government.</w:t>
      </w:r>
      <w:r>
        <w:t xml:space="preserve"> Though states are not guaranteed funding, </w:t>
      </w:r>
      <w:r>
        <w:rPr>
          <w:rStyle w:val="StyleUnderline"/>
        </w:rPr>
        <w:t>competitive programs designed in the manner of RTTT</w:t>
      </w:r>
      <w:r>
        <w:t>, with clear goals but no strict requirements for implementation of those goals</w:t>
      </w:r>
      <w:r>
        <w:rPr>
          <w:rStyle w:val="StyleUnderline"/>
        </w:rPr>
        <w:t xml:space="preserve">, could allow states to design their proposals in keeping with their contexts and capacities. </w:t>
      </w:r>
      <w:r>
        <w:t xml:space="preserve">Whether or not states did this for their RTTT applications is somewhat debatable, but that </w:t>
      </w:r>
      <w:r>
        <w:rPr>
          <w:rStyle w:val="StyleUnderline"/>
        </w:rPr>
        <w:t>core principal of goals without implementation mandates remains</w:t>
      </w:r>
      <w:r>
        <w:t xml:space="preserve">. </w:t>
      </w:r>
      <w:r>
        <w:rPr>
          <w:rStyle w:val="StyleUnderline"/>
        </w:rPr>
        <w:t xml:space="preserve">This approach to federal policy </w:t>
      </w:r>
      <w:r>
        <w:rPr>
          <w:rStyle w:val="Emphasis"/>
        </w:rPr>
        <w:t>may be more suitable then mandates for deterring states from establishing low standards</w:t>
      </w:r>
      <w:r>
        <w:rPr>
          <w:rStyle w:val="StyleUnderline"/>
        </w:rPr>
        <w:t xml:space="preserve"> in order to ensure that they do not suffer the consequences of failure</w:t>
      </w:r>
      <w:r>
        <w:t xml:space="preserve">, </w:t>
      </w:r>
      <w:r>
        <w:rPr>
          <w:rStyle w:val="StyleUnderline"/>
        </w:rPr>
        <w:t>as was the case for many states’ responses to NCLB. It is reasonable to counter this argument by noting</w:t>
      </w:r>
      <w:r>
        <w:t xml:space="preserve"> that </w:t>
      </w:r>
      <w:r>
        <w:rPr>
          <w:rStyle w:val="StyleUnderline"/>
        </w:rPr>
        <w:t>states</w:t>
      </w:r>
      <w:r>
        <w:t xml:space="preserve"> appear to </w:t>
      </w:r>
      <w:r>
        <w:rPr>
          <w:rStyle w:val="StyleUnderline"/>
        </w:rPr>
        <w:t xml:space="preserve">have passed policies and written their proposals with the intent of appealing to RTTT reviewers, regardless of </w:t>
      </w:r>
      <w:r>
        <w:t xml:space="preserve">their </w:t>
      </w:r>
      <w:r>
        <w:rPr>
          <w:rStyle w:val="StyleUnderline"/>
        </w:rPr>
        <w:t>capacity</w:t>
      </w:r>
      <w:r>
        <w:t xml:space="preserve"> to implement the reforms. The findings of this study suggest that, for teacher policy, states reacted to the federal preferences without significant consideration of their implementation capacities. The effects of this apparent lack of consideration of their capacity and the context for implementation can be seen in the progress reports released by the USDOE (“Race to the Top annual performance report,” n.d.; McNeil, 2013). </w:t>
      </w:r>
      <w:r>
        <w:rPr>
          <w:rStyle w:val="Emphasis"/>
        </w:rPr>
        <w:t>However</w:t>
      </w:r>
      <w:r>
        <w:t xml:space="preserve">, </w:t>
      </w:r>
      <w:r>
        <w:rPr>
          <w:rStyle w:val="StyleUnderline"/>
        </w:rPr>
        <w:t>it may be</w:t>
      </w:r>
      <w:r>
        <w:t xml:space="preserve"> </w:t>
      </w:r>
      <w:r>
        <w:rPr>
          <w:rStyle w:val="StyleUnderline"/>
        </w:rPr>
        <w:t xml:space="preserve">important to remember that state implementation of NCLB was also </w:t>
      </w:r>
      <w:r>
        <w:rPr>
          <w:rStyle w:val="Emphasis"/>
        </w:rPr>
        <w:t>inconsistent, though implementation was much more clearly delineated</w:t>
      </w:r>
      <w:r>
        <w:rPr>
          <w:rStyle w:val="StyleUnderline"/>
        </w:rPr>
        <w:t xml:space="preserve"> in NCLB regulations</w:t>
      </w:r>
      <w:r>
        <w:t xml:space="preserve">. The difficulties that states have had in implementing their RTTT proposals are, perhaps, a reflection of their inability to articulate internal capacity. As other researchers have noted (Brown, Hess, Lautzenheiser, and Owen, 2011), this may be an unintended consequence of the categorical funding streams, like ESEA/NCLB, through which money flows through state departments of education to local districts. While RTTT may not be the solution to state and district capacity issues, one can make a plausible argument that the competitive grant aspect of the program was not the cause of states’ difficulties. </w:t>
      </w:r>
      <w:r>
        <w:rPr>
          <w:rStyle w:val="StyleUnderline"/>
        </w:rPr>
        <w:t>For the federal government, the advantages of competitive grant making over mandates or categorical funding are clearer than for states</w:t>
      </w:r>
      <w:r>
        <w:t xml:space="preserve">. </w:t>
      </w:r>
      <w:r>
        <w:rPr>
          <w:rStyle w:val="StyleUnderline"/>
        </w:rPr>
        <w:t>Without the guarantee of funding, states made significant policy changes seemingly in response to this federal program and, in teacher policy, at least, largely in line with federal preferences.</w:t>
      </w:r>
      <w:r>
        <w:t xml:space="preserve"> That the effects of the program were somewhat muted in states with an elected Chief State School Officer may also hint that </w:t>
      </w:r>
      <w:r>
        <w:rPr>
          <w:rStyle w:val="StyleUnderline"/>
        </w:rPr>
        <w:t>appealing to the competitive nature of statewide politicians</w:t>
      </w:r>
      <w:r>
        <w:t xml:space="preserve"> whose election prospects are not solely influenced by state education policy</w:t>
      </w:r>
      <w:r>
        <w:rPr>
          <w:rStyle w:val="StyleUnderline"/>
        </w:rPr>
        <w:t>, like governors</w:t>
      </w:r>
      <w:r>
        <w:t xml:space="preserve">, </w:t>
      </w:r>
      <w:r>
        <w:rPr>
          <w:rStyle w:val="StyleUnderline"/>
        </w:rPr>
        <w:t xml:space="preserve">may be an advantage of the competitive aspect of RTTT. </w:t>
      </w:r>
      <w:r>
        <w:t xml:space="preserve">Further, </w:t>
      </w:r>
      <w:r>
        <w:rPr>
          <w:rStyle w:val="StyleUnderline"/>
        </w:rPr>
        <w:t xml:space="preserve">states made these changes </w:t>
      </w:r>
      <w:r>
        <w:rPr>
          <w:rStyle w:val="Emphasis"/>
        </w:rPr>
        <w:t xml:space="preserve">willingly and across political and ideological lines. </w:t>
      </w:r>
      <w:r>
        <w:rPr>
          <w:rStyle w:val="StyleUnderline"/>
        </w:rPr>
        <w:t xml:space="preserve">Georgia was the most ideologically conservative state in this analysis, and, yet, the state’s Republican governor heaped praise on RTTT and worked fervently to pass policies he and legislative sponsors believed would make the state more competitive. </w:t>
      </w:r>
      <w:r>
        <w:t xml:space="preserve">Similarly, </w:t>
      </w:r>
      <w:r>
        <w:rPr>
          <w:rStyle w:val="StyleUnderline"/>
        </w:rPr>
        <w:t>Governor Pawlenty, in Minnesota, who ran for the Republican nomination for President in 2012 and actively supported President Obama’s opponents in 2008 and 2012, put forth significant effort to pass policies that would put the state in a better position to receive funding</w:t>
      </w:r>
      <w:r>
        <w:t xml:space="preserve">. And yet, of the states 179 discussed in Chapter 4, only the Democratic governors managed to pass significant teacher reforms (and neither of these states won RTTT funding). </w:t>
      </w:r>
      <w:r>
        <w:rPr>
          <w:rStyle w:val="StyleUnderline"/>
        </w:rPr>
        <w:t xml:space="preserve">These cases are illustrative of the crosspartisan state policymaking that RTTT inspired. </w:t>
      </w:r>
      <w:r>
        <w:t xml:space="preserve">While categorical grants and mandates have, historically, been the means through which the federal government moves state education policy, </w:t>
      </w:r>
      <w:r>
        <w:rPr>
          <w:rStyle w:val="Emphasis"/>
        </w:rPr>
        <w:t>the success of RTTT in spurring state policy change suggests competitive grants as a viable mechanism through which the federal government can influence state policy.</w:t>
      </w:r>
      <w:r>
        <w:t xml:space="preserve"> Whether RTTT or future as-yet-not-conceived grant competitions can impact long-term state capacity for reform remains an unanswered question. </w:t>
      </w:r>
    </w:p>
    <w:p w:rsidR="002A5800" w:rsidRDefault="002A5800" w:rsidP="002A5800">
      <w:pPr>
        <w:pStyle w:val="Heading4"/>
        <w:rPr>
          <w:sz w:val="26"/>
        </w:rPr>
      </w:pPr>
      <w:r>
        <w:t>The counterplan solves ‘federal key’ arguments without undue regulation</w:t>
      </w:r>
    </w:p>
    <w:p w:rsidR="002A5800" w:rsidRDefault="002A5800" w:rsidP="002A5800">
      <w:r>
        <w:rPr>
          <w:rStyle w:val="Style13ptBold"/>
        </w:rPr>
        <w:t>Robinson 16</w:t>
      </w:r>
      <w:r>
        <w:t xml:space="preserve"> - Professor, University of Richmond School of Law (Kimberly, “FEATURE: No Quick Fix for Equity and Excellence: The Virtues of Incremental Shifts in Education Federalism,” </w:t>
      </w:r>
      <w:r>
        <w:rPr>
          <w:i/>
        </w:rPr>
        <w:t>27 Stan. L. &amp; Pol'y Rev 201, *202</w:t>
      </w:r>
      <w:r>
        <w:t>, Lexis)</w:t>
      </w:r>
    </w:p>
    <w:p w:rsidR="002A5800" w:rsidRDefault="002A5800" w:rsidP="002A5800">
      <w:r>
        <w:t>A. Inviting Incentives</w:t>
      </w:r>
    </w:p>
    <w:p w:rsidR="002A5800" w:rsidRDefault="002A5800" w:rsidP="002A5800">
      <w:r>
        <w:t xml:space="preserve">The first set of </w:t>
      </w:r>
      <w:r>
        <w:rPr>
          <w:rStyle w:val="StyleUnderline"/>
        </w:rPr>
        <w:t>federal actions</w:t>
      </w:r>
      <w:r>
        <w:t xml:space="preserve"> that influence state funding systems </w:t>
      </w:r>
      <w:r>
        <w:rPr>
          <w:rStyle w:val="StyleUnderline"/>
        </w:rPr>
        <w:t xml:space="preserve">should </w:t>
      </w:r>
      <w:r>
        <w:rPr>
          <w:rStyle w:val="Emphasis"/>
        </w:rPr>
        <w:t>invite</w:t>
      </w:r>
      <w:r>
        <w:rPr>
          <w:rStyle w:val="StyleUnderline"/>
        </w:rPr>
        <w:t xml:space="preserve"> state reform</w:t>
      </w:r>
      <w:r>
        <w:t xml:space="preserve">. An invitation sends a message that the federal government is encouraging state reform of funding systems but has not yet decided to insist on state reform. Such an invitation could most effectively be offered in several ways. First, </w:t>
      </w:r>
      <w:r>
        <w:rPr>
          <w:rStyle w:val="StyleUnderline"/>
        </w:rPr>
        <w:t>the federal government should increase public understanding of this issue</w:t>
      </w:r>
      <w:r>
        <w:t xml:space="preserve"> by focusing attention on the scope and nature of the disparities in funding and their effects on children, families, and ultimately the nation. 142 </w:t>
      </w:r>
      <w:r>
        <w:rPr>
          <w:rStyle w:val="StyleUnderline"/>
        </w:rPr>
        <w:t xml:space="preserve">This will require the federal government to create and publish studies, reports, news articles, and press releases that explain </w:t>
      </w:r>
      <w:r>
        <w:t xml:space="preserve">in an uncomplicated fashion where and </w:t>
      </w:r>
      <w:r>
        <w:rPr>
          <w:rStyle w:val="StyleUnderline"/>
        </w:rPr>
        <w:t>how state funding systems are creating disparities in educational opportunity</w:t>
      </w:r>
      <w:r>
        <w:t xml:space="preserve">. [*222] </w:t>
      </w:r>
      <w:r>
        <w:rPr>
          <w:rStyle w:val="StyleUnderline"/>
        </w:rPr>
        <w:t>The importance of a clear and cohesive presentation of these issues is essential for the American public to understand why this information is relevant and warrants a response</w:t>
      </w:r>
      <w:r>
        <w:t xml:space="preserve">. State school funding systems are oftentimes complex labyrinths that can sometimes cause even the most astute social scientist to become lost. Yet, the impacts of funding disparities on children are straightforward and comprehensible by the American public. </w:t>
      </w:r>
      <w:r>
        <w:rPr>
          <w:rStyle w:val="StyleUnderline"/>
        </w:rPr>
        <w:t>Historically, the federal government has established a strong record of employing a variety of mediums to convey a message regarding reforms that are in the national interest</w:t>
      </w:r>
      <w:r>
        <w:t xml:space="preserve">. 143 In addition, </w:t>
      </w:r>
      <w:r>
        <w:rPr>
          <w:rStyle w:val="StyleUnderline"/>
        </w:rPr>
        <w:t xml:space="preserve">the executive branch could undertake this effort without legislative action and thus could initiate this critical first step at any time. </w:t>
      </w:r>
      <w:r>
        <w:t xml:space="preserve">Second, </w:t>
      </w:r>
      <w:r>
        <w:rPr>
          <w:rStyle w:val="StyleUnderline"/>
        </w:rPr>
        <w:t>the federal government should provide incentives for reform by offering the states rigorous research and high-quality technical assistance on models of funding systems that help to promote equal access to an excellent education</w:t>
      </w:r>
      <w:r>
        <w:t xml:space="preserve">. 144 </w:t>
      </w:r>
      <w:r>
        <w:rPr>
          <w:rStyle w:val="StyleUnderline"/>
        </w:rPr>
        <w:t>This research would draw upon the superior federal research capacity</w:t>
      </w:r>
      <w:r>
        <w:t xml:space="preserve">. 145 Research and technical assistance also prevent the states from starting from scratch as they search for effective reforms. 146 In addition, research and technical assistance addresses the capacity limitations that state departments of education experienced as they tried to implement the reforms within NCLB. 147 </w:t>
      </w:r>
      <w:r>
        <w:rPr>
          <w:rStyle w:val="StyleUnderline"/>
        </w:rPr>
        <w:t>Third, federal incentives also should include funding available for grants</w:t>
      </w:r>
      <w:r>
        <w:t xml:space="preserve"> that serve at least two purposes. </w:t>
      </w:r>
      <w:r>
        <w:rPr>
          <w:rStyle w:val="StyleUnderline"/>
        </w:rPr>
        <w:t>Federal grants could support expert analysis of state funding systems to identify the weaknesses and strengths of the funding systems</w:t>
      </w:r>
      <w:r>
        <w:t>, 148 just as experts are often employed in state funding litigation to identify strengths and weaknesses, and recommend potential reforms. Most state funding systems have evolved over time, and as demographics and circumstances have evolved some legislatures may be unaware of the adverse effects of their funding systems</w:t>
      </w:r>
      <w:r>
        <w:rPr>
          <w:rStyle w:val="StyleUnderline"/>
        </w:rPr>
        <w:t>. Federal grants could provide the funding to pay education experts to work with states to increase understanding of funding systems, including who is advantaged and disadvantaged by the systems, how the systems are affecting the state economy, and the potential costs for reforms. State lawmakers and policymakers could share this information with those living within the state</w:t>
      </w:r>
      <w:r>
        <w:t xml:space="preserve"> so that residents understand the reasons that reforms are being considered and eventually adopted. </w:t>
      </w:r>
      <w:r>
        <w:rPr>
          <w:rStyle w:val="StyleUnderline"/>
        </w:rPr>
        <w:t>Federal grants also could provide compensation to experts to recommend a menu of possible reforms, just as they do in state school finance litigation</w:t>
      </w:r>
      <w:r>
        <w:t xml:space="preserve">. </w:t>
      </w:r>
      <w:r>
        <w:rPr>
          <w:rStyle w:val="StyleUnderline"/>
        </w:rPr>
        <w:t>In addition, federal funding could reward innovation in state reform of funding systems</w:t>
      </w:r>
      <w:r>
        <w:t xml:space="preserve">. Such a grant program should require submission of a high-quality and comprehensive plan that is supported by rigorous research and expert analysis. The plan should provide such analyses as: how the current funding approach benefits and harms children; how harmful aspects of the system will be reformed to reduce inequities and promote educational achievement and excellence; how the proposed funding reforms are linked to desired educational outcomes, including how funding is linked to standards; research supporting the effectiveness of the proposed reforms; a roadmap for raising any additional necessary funding; and, accountability measures to help ensure that the money under the revised system is well spent. </w:t>
      </w:r>
      <w:r>
        <w:rPr>
          <w:rStyle w:val="StyleUnderline"/>
        </w:rPr>
        <w:t>The complexity that such plans would necessarily require warrants substantial technical assistance and support from the U.S. Department of Education</w:t>
      </w:r>
      <w:r>
        <w:t xml:space="preserve">. </w:t>
      </w:r>
      <w:r>
        <w:rPr>
          <w:rStyle w:val="StyleUnderline"/>
        </w:rPr>
        <w:t>The additional advantage of grants to reward innovation in designing state funding systems is that they help to spark state and local dialogues about existing systems</w:t>
      </w:r>
      <w:r>
        <w:t xml:space="preserve">. This dialogue must be informed by expert analysis regarding the ways that each state's funding system affects state and national economic, political and national security interests, and privileges some children while shortchanging others. </w:t>
      </w:r>
      <w:r>
        <w:rPr>
          <w:rStyle w:val="StyleUnderline"/>
        </w:rPr>
        <w:t>Such dialogues should encourage state lawmakers and governors to take up the mantle of funding reform</w:t>
      </w:r>
      <w:r>
        <w:t xml:space="preserve">. Federal grant funding that rewards innovation would build on lessons learned from past Race to the Top (RTTT) initiatives. RTTT sparked reform of state education laws and policies that enabled states to earn higher scores on their Race to the Top applications. 149 However, states have begun to pull back from some of these new reforms because of their failure to receive the anticipated funding and political opposition to the reforms. The most notable example of this is the Common Core Standards, which states were encouraged to adopt to strengthen their RTTT applications. 150 Forty-eight states originally agreed to adopt the Common Core Standards. 151 Since the original overwhelming support, the number of adopting states has dropped to forty-two as opposition to the swift implementation and common assessments has grown. 152 Those states that did not receive substantial RTTT funding [*224] undoubtedly will be wary of undertaking meaningful reform in the future on the mere hope of being financially rewarded by the federal government. Furthermore, Congress appears to have grown weary of funding the RTTT effort. In the 2015 omnibus spending bill, 153 Congress refused to fund President Obama's proposed $ 300 million for a Race to the Top-Equity and Opportunity initiative. 154 An additional lesson from RTTT is that federal grants should avoid the winners-losers paradigm of competitive grant funding. This aspect of RTTT received substantial criticism, in part because often the states that most need the assistance lose in a competitive grant program. 155 Furthermore, the existence of rejected grant applicants can cause a competitive grant program to lose congressional support by those within Congress who do not like funding a program with rejected applicants or who do not receive funding for their state. 156 </w:t>
      </w:r>
      <w:r>
        <w:rPr>
          <w:rStyle w:val="StyleUnderline"/>
        </w:rPr>
        <w:t>A program to reward innovation in designing and implementing a state funding system that promotes equal access to an excellent education need not produce a substantial number of rejected applicants. Instead, funding should be available to all states that design and implement comprehensive plans with the elements noted above.</w:t>
      </w:r>
      <w:r>
        <w:t xml:space="preserve"> Undoubtedly, all states would not submit an effective plan, perhaps due to political opposition from those who benefit from the status quo, or a state's unwillingness to prioritize educational equity and excellence. Nevertheless, any state that meets the established criteria should be rewarded for taking this important initial step. Another lesson from RTTT is that the funding should not be given through a one-time payment or even occur only over a year or two. Such one-time payments limit the federal government's ability to hold states accountable for the commitments that enabled them to receive the initial grant. This reduction in federal influence should be avoided given the historical track record of states seeking ways to take federal money while avoiding federal reforms. 157 [*225] Ultimately, RTTT has shown the importance of sustaining long-term and meaningful reforms that are effectively implemented. 158 Therefore, </w:t>
      </w:r>
      <w:r>
        <w:rPr>
          <w:rStyle w:val="StyleUnderline"/>
        </w:rPr>
        <w:t>federal grant funding should be provided over several years and include clear guidance on what conditions must be met for subsequent grant payments to be made</w:t>
      </w:r>
      <w:r>
        <w:t xml:space="preserve">. Even if additional measures are subsequently added, the incentives that are adopted should remain in place. </w:t>
      </w:r>
      <w:r>
        <w:rPr>
          <w:rStyle w:val="StyleUnderline"/>
        </w:rPr>
        <w:t>The incentives can provide ongoing encouragement to states that initially reject reform to join in a growing national effort to adopt funding systems that promote equity and excellence</w:t>
      </w:r>
      <w:r>
        <w:t>.</w:t>
      </w:r>
    </w:p>
    <w:p w:rsidR="002A5800" w:rsidRDefault="002A5800" w:rsidP="002A5800"/>
    <w:p w:rsidR="002A5800" w:rsidRDefault="002A5800" w:rsidP="002A5800"/>
    <w:p w:rsidR="002A5800" w:rsidRDefault="002A5800" w:rsidP="002A5800">
      <w:pPr>
        <w:pStyle w:val="Heading3"/>
        <w:rPr>
          <w:sz w:val="32"/>
        </w:rPr>
      </w:pPr>
      <w:r>
        <w:t>--1NC text vs. Deseg</w:t>
      </w:r>
    </w:p>
    <w:p w:rsidR="002A5800" w:rsidRDefault="002A5800" w:rsidP="002A5800">
      <w:pPr>
        <w:pStyle w:val="Heading4"/>
        <w:rPr>
          <w:rFonts w:asciiTheme="minorHAnsi" w:hAnsiTheme="minorHAnsi"/>
        </w:rPr>
      </w:pPr>
      <w:r>
        <w:rPr>
          <w:rFonts w:asciiTheme="minorHAnsi" w:hAnsiTheme="minorHAnsi"/>
        </w:rPr>
        <w:t>The United States federal government should publicly acknowledge that school segregation is a significant problem and announce that it will prioritize this issue. The United States federal government, including the Department of Education and Department of Justice, should create a competitive grant program that rewards states that address disparate impact schooling, school segregation, and isolation by race and income.</w:t>
      </w:r>
    </w:p>
    <w:p w:rsidR="002A5800" w:rsidRDefault="002A5800" w:rsidP="002A5800">
      <w:pPr>
        <w:pStyle w:val="Heading3"/>
        <w:rPr>
          <w:rFonts w:ascii="Calibri" w:hAnsi="Calibri"/>
        </w:rPr>
      </w:pPr>
      <w:r>
        <w:t>--1NC text vs. School Discipline – agency regs</w:t>
      </w:r>
    </w:p>
    <w:p w:rsidR="002A5800" w:rsidRDefault="002A5800" w:rsidP="002A5800">
      <w:pPr>
        <w:pStyle w:val="Heading4"/>
      </w:pPr>
      <w:r>
        <w:t>The United States federal government should publicly acknowledge that school punitive measures have a disparate impact on minority students and affirm that resolving this issue is a priority. The United States federal government, including the Department of Education, should create a competition that incentivizes school districts to prohibit disciplinary policies which have a disparate impact on racial minorities.</w:t>
      </w:r>
    </w:p>
    <w:p w:rsidR="002A5800" w:rsidRDefault="002A5800" w:rsidP="002A5800">
      <w:pPr>
        <w:pStyle w:val="Heading3"/>
      </w:pPr>
      <w:r>
        <w:t>--1NC text vs. School Discipline – CERD-based regs</w:t>
      </w:r>
    </w:p>
    <w:p w:rsidR="002A5800" w:rsidRDefault="002A5800" w:rsidP="002A5800">
      <w:pPr>
        <w:pStyle w:val="Heading4"/>
      </w:pPr>
      <w:r>
        <w:t>The United States federal government, including the Department of Education and Department of Justice, should recognize that school discipline which has a disparate impact violates the Convention on the Elimination of Racial Discrimination, and create a competition that incentivizes schools to adopt a replacement to the zero tolerance discipline model.</w:t>
      </w:r>
    </w:p>
    <w:p w:rsidR="002A5800" w:rsidRDefault="002A5800" w:rsidP="002A5800">
      <w:pPr>
        <w:pStyle w:val="Heading3"/>
      </w:pPr>
      <w:r>
        <w:t>--1NC text vs. Vaccines</w:t>
      </w:r>
    </w:p>
    <w:p w:rsidR="002A5800" w:rsidRDefault="002A5800" w:rsidP="002A5800">
      <w:pPr>
        <w:pStyle w:val="Heading4"/>
      </w:pPr>
      <w:r>
        <w:t>The United States federal government should publicly announce that vaccination of children is effective and should be prioritized. The United States federal government should create a competition that incentivizes states and school districts to implement mandatory vaccination programs for elementary and secondary schools according to the Advisory Committee on Immunization Practices schedule with stringent exemption standards.</w:t>
      </w:r>
    </w:p>
    <w:p w:rsidR="002A5800" w:rsidRDefault="002A5800" w:rsidP="002A5800">
      <w:pPr>
        <w:pStyle w:val="Heading3"/>
      </w:pPr>
      <w:r>
        <w:t>2NC General solvency</w:t>
      </w:r>
    </w:p>
    <w:p w:rsidR="002A5800" w:rsidRDefault="002A5800" w:rsidP="002A5800">
      <w:pPr>
        <w:pStyle w:val="Heading4"/>
      </w:pPr>
      <w:r>
        <w:t xml:space="preserve">Competitive grants are </w:t>
      </w:r>
      <w:r>
        <w:rPr>
          <w:u w:val="single"/>
        </w:rPr>
        <w:t xml:space="preserve">comparatively </w:t>
      </w:r>
      <w:r>
        <w:t xml:space="preserve">the best policy option – incentivizes innovation where best practices proven </w:t>
      </w:r>
      <w:r>
        <w:rPr>
          <w:u w:val="single"/>
        </w:rPr>
        <w:t>effective</w:t>
      </w:r>
      <w:r>
        <w:t xml:space="preserve"> and </w:t>
      </w:r>
      <w:r>
        <w:rPr>
          <w:u w:val="single"/>
        </w:rPr>
        <w:t>replicable</w:t>
      </w:r>
      <w:r>
        <w:t xml:space="preserve"> are modeled</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27" w:history="1">
        <w:r>
          <w:rPr>
            <w:rStyle w:val="Hyperlink"/>
          </w:rPr>
          <w:t>http://educationdidactique.revues.org/334</w:t>
        </w:r>
      </w:hyperlink>
      <w:r>
        <w:t>) AAB</w:t>
      </w:r>
    </w:p>
    <w:p w:rsidR="002A5800" w:rsidRDefault="002A5800" w:rsidP="002A5800"/>
    <w:p w:rsidR="002A5800" w:rsidRDefault="002A5800" w:rsidP="002A5800">
      <w:pPr>
        <w:rPr>
          <w:rStyle w:val="StyleUnderline"/>
        </w:rPr>
      </w:pPr>
      <w:r>
        <w:t xml:space="preserve">20Perhaps </w:t>
      </w:r>
      <w:r>
        <w:rPr>
          <w:rStyle w:val="StyleUnderline"/>
        </w:rPr>
        <w:t>the most important requirement for</w:t>
      </w:r>
      <w:r>
        <w:t xml:space="preserve"> evidence-based </w:t>
      </w:r>
      <w:r>
        <w:rPr>
          <w:rStyle w:val="StyleUnderline"/>
        </w:rPr>
        <w:t>reform is the development of a substantial set of replicable programs and practices with strong evidence of effectiveness</w:t>
      </w:r>
      <w:r>
        <w:t xml:space="preserve">. Educators and policymakers must have a variety of programs they can choose among with confidence. This means that </w:t>
      </w:r>
      <w:r>
        <w:rPr>
          <w:rStyle w:val="StyleUnderline"/>
        </w:rPr>
        <w:t>governments must fund a wide range of research and development projects designed to create innovations capable of significantly improving the outcomes of education at all levels and in all subjects.</w:t>
      </w:r>
    </w:p>
    <w:p w:rsidR="002A5800" w:rsidRDefault="002A5800" w:rsidP="002A5800">
      <w:r>
        <w:t>21Th</w:t>
      </w:r>
      <w:r>
        <w:rPr>
          <w:rStyle w:val="StyleUnderline"/>
        </w:rPr>
        <w:t>e development process might use</w:t>
      </w:r>
      <w:r>
        <w:t xml:space="preserve"> a series of “design </w:t>
      </w:r>
      <w:r>
        <w:rPr>
          <w:rStyle w:val="Emphasis"/>
        </w:rPr>
        <w:t>competitions</w:t>
      </w:r>
      <w:r>
        <w:rPr>
          <w:rStyle w:val="StyleUnderline"/>
        </w:rPr>
        <w:t xml:space="preserve">,” in which government sets out what it wants and then funds a variety of entities to develop and evaluate competing alternatives </w:t>
      </w:r>
      <w:r>
        <w:t xml:space="preserve">(Slavin, 1997). For example, a funding agency might ask Research &amp; Developpment organizations to develop an approach to teaching algebra to pupils aged 14-16 capable of increasing their performance on national or international measures by at least 25 % of a standard deviation. </w:t>
      </w:r>
      <w:r>
        <w:rPr>
          <w:rStyle w:val="StyleUnderline"/>
        </w:rPr>
        <w:t>The most promising applicants could be chosen in a competition, and this number might be winnowed down over time if some designs turn out not to be effective or practical</w:t>
      </w:r>
      <w:r>
        <w:t xml:space="preserve">. The </w:t>
      </w:r>
      <w:r>
        <w:rPr>
          <w:rStyle w:val="StyleUnderline"/>
        </w:rPr>
        <w:t>New American Schools Development Corporation</w:t>
      </w:r>
      <w:r>
        <w:t xml:space="preserve"> (NASDC), </w:t>
      </w:r>
      <w:r>
        <w:rPr>
          <w:rStyle w:val="StyleUnderline"/>
        </w:rPr>
        <w:t>funded by</w:t>
      </w:r>
      <w:r>
        <w:t xml:space="preserve"> large </w:t>
      </w:r>
      <w:r>
        <w:rPr>
          <w:rStyle w:val="StyleUnderline"/>
        </w:rPr>
        <w:t xml:space="preserve">corporations rather than government, did exactly this to create comprehensive school reform models in the 1990’s </w:t>
      </w:r>
      <w:r>
        <w:t>(Kearns &amp; Anderson, 1996). Initially, 11 design teams were chosen from almost 700 applications. Over time, four of the teams were dropped. Some of the remaining seven, plus a handful of similar programs funded in other ways, ultimately developed strong research bases (CSRQ, 2006a, b). As noted earlier, CSR models were used at their peak in more than 6000 schools in the U.S. (see Slavin, in press ; Aladjem &amp; Borman, 2006 ; Stringfield, Ross &amp; Smith, 1996). Comprehensive school reform models such as Success for All (Slavin &amp; Madden, 2001), America’s Choice (Supovitz, Poglinco, &amp; Snyder, 2001), Direct Instruction (Adams &amp; Engelmann, 1996), Modern Red Schoolhouse (Kilgore et al., 1996), and the School Development Program (Comer, Haynes, Joyner, &amp; Ben-Arie, 1996) have been extensively evaluated and found to be effective, and continue to be used in thousands of U.S. schools, even in the absence of government support.</w:t>
      </w:r>
    </w:p>
    <w:p w:rsidR="002A5800" w:rsidRDefault="002A5800" w:rsidP="002A5800">
      <w:pPr>
        <w:rPr>
          <w:rStyle w:val="StyleUnderline"/>
        </w:rPr>
      </w:pPr>
      <w:r>
        <w:t>22</w:t>
      </w:r>
      <w:r>
        <w:rPr>
          <w:rStyle w:val="StyleUnderline"/>
        </w:rPr>
        <w:t>The design competition process that produced comprehensive school reform models could be applied to any subject and grade level</w:t>
      </w:r>
      <w:r>
        <w:t xml:space="preserve">. </w:t>
      </w:r>
      <w:r>
        <w:rPr>
          <w:rStyle w:val="StyleUnderline"/>
        </w:rPr>
        <w:t>Imagine design teams working on the design and evaluation of programs capable of accelerating achievement in beginning reading, upper elementary math, algebra, and physical science, programs for second language learners, dropout-prevention, early childhood, and so on</w:t>
      </w:r>
      <w:r>
        <w:t xml:space="preserve">. </w:t>
      </w:r>
      <w:r>
        <w:rPr>
          <w:rStyle w:val="StyleUnderline"/>
        </w:rPr>
        <w:t>In each case the goal would be to build on the best that currently exists, and to end up with numerous programs</w:t>
      </w:r>
      <w:r>
        <w:t xml:space="preserve">, </w:t>
      </w:r>
      <w:r>
        <w:rPr>
          <w:rStyle w:val="StyleUnderline"/>
        </w:rPr>
        <w:t>all of which have been proven to increase achievement by at least 25 % of a standard deviation</w:t>
      </w:r>
      <w:r>
        <w:t xml:space="preserve">. </w:t>
      </w:r>
      <w:r>
        <w:rPr>
          <w:rStyle w:val="StyleUnderline"/>
        </w:rPr>
        <w:t>These programs could be highly diverse</w:t>
      </w:r>
      <w:r>
        <w:t xml:space="preserve">. Some would involve technology, others not. Some would require extensive training, others less so. Some would challenge current conceptions of curriculum, others might be traditional. </w:t>
      </w:r>
      <w:r>
        <w:rPr>
          <w:rStyle w:val="StyleUnderline"/>
        </w:rPr>
        <w:t xml:space="preserve">All that matters is that they are </w:t>
      </w:r>
      <w:r>
        <w:rPr>
          <w:rStyle w:val="Emphasis"/>
        </w:rPr>
        <w:t>proven effective</w:t>
      </w:r>
      <w:r>
        <w:rPr>
          <w:rStyle w:val="StyleUnderline"/>
        </w:rPr>
        <w:t xml:space="preserve"> and are </w:t>
      </w:r>
      <w:r>
        <w:rPr>
          <w:rStyle w:val="Emphasis"/>
        </w:rPr>
        <w:t>replicable</w:t>
      </w:r>
      <w:r>
        <w:rPr>
          <w:rStyle w:val="StyleUnderline"/>
        </w:rPr>
        <w:t xml:space="preserve"> in many schools.</w:t>
      </w:r>
    </w:p>
    <w:p w:rsidR="002A5800" w:rsidRDefault="002A5800" w:rsidP="002A5800">
      <w:pPr>
        <w:rPr>
          <w:rStyle w:val="StyleUnderline"/>
        </w:rPr>
      </w:pPr>
    </w:p>
    <w:p w:rsidR="002A5800" w:rsidRDefault="002A5800" w:rsidP="002A5800">
      <w:pPr>
        <w:pStyle w:val="Heading4"/>
        <w:rPr>
          <w:sz w:val="26"/>
        </w:rPr>
      </w:pPr>
      <w:r>
        <w:t>Competitive grants solve – they provide an extra carrot for innovation which enhances reform</w:t>
      </w:r>
    </w:p>
    <w:p w:rsidR="002A5800" w:rsidRDefault="002A5800" w:rsidP="002A5800">
      <w:r>
        <w:rPr>
          <w:rStyle w:val="Style13ptBold"/>
        </w:rPr>
        <w:t>Kane 15</w:t>
      </w:r>
      <w:r>
        <w:t xml:space="preserve"> economist and Walter H. Gale Professor of Education at the Harvard Graduate School of Education (Thomas, January 15, “To Empower State and Local Leaders, ESEA Reauthorization Should Include Competitive Grants,” Brookings, </w:t>
      </w:r>
      <w:hyperlink r:id="rId28" w:history="1">
        <w:r>
          <w:rPr>
            <w:rStyle w:val="Hyperlink"/>
          </w:rPr>
          <w:t>https://www.brookings.edu/research/to-empower-state-and-local-leaders-esea-reauthorization-should-include-competitive-grants/</w:t>
        </w:r>
      </w:hyperlink>
      <w:r>
        <w:t>) AAB</w:t>
      </w:r>
    </w:p>
    <w:p w:rsidR="002A5800" w:rsidRDefault="002A5800" w:rsidP="002A5800"/>
    <w:p w:rsidR="002A5800" w:rsidRDefault="002A5800" w:rsidP="002A5800">
      <w:r>
        <w:t xml:space="preserve">In the current re-authorization of the Elementary and Secondary Education Act, </w:t>
      </w:r>
      <w:r>
        <w:rPr>
          <w:rStyle w:val="StyleUnderline"/>
        </w:rPr>
        <w:t>many in Congress are eager to reduce the role of the federal government in education and restore power to states.  However, simply removing the accountability requirements under Title I</w:t>
      </w:r>
      <w:r>
        <w:t>, as many have proposed</w:t>
      </w:r>
      <w:r>
        <w:rPr>
          <w:rStyle w:val="StyleUnderline"/>
        </w:rPr>
        <w:t xml:space="preserve">, will not foster state and local leadership </w:t>
      </w:r>
      <w:r>
        <w:rPr>
          <w:rStyle w:val="Emphasis"/>
        </w:rPr>
        <w:t>nearly as well as a competitive grant program would</w:t>
      </w:r>
      <w:r>
        <w:t xml:space="preserve">.  As long as U.S. students lag our international competitors, </w:t>
      </w:r>
      <w:r>
        <w:rPr>
          <w:rStyle w:val="StyleUnderline"/>
        </w:rPr>
        <w:t xml:space="preserve">the federal government should tilt the scale in favor of </w:t>
      </w:r>
      <w:r>
        <w:rPr>
          <w:rStyle w:val="Emphasis"/>
        </w:rPr>
        <w:t>reform and innovation</w:t>
      </w:r>
      <w:r>
        <w:rPr>
          <w:rStyle w:val="StyleUnderline"/>
        </w:rPr>
        <w:t xml:space="preserve">. </w:t>
      </w:r>
      <w:r>
        <w:t xml:space="preserve"> </w:t>
      </w:r>
      <w:r>
        <w:rPr>
          <w:rStyle w:val="StyleUnderline"/>
        </w:rPr>
        <w:t>Block grants</w:t>
      </w:r>
      <w:r>
        <w:t xml:space="preserve"> simply </w:t>
      </w:r>
      <w:r>
        <w:rPr>
          <w:rStyle w:val="StyleUnderline"/>
        </w:rPr>
        <w:t>subsidize the status quo</w:t>
      </w:r>
      <w:r>
        <w:t>.</w:t>
      </w:r>
    </w:p>
    <w:p w:rsidR="002A5800" w:rsidRDefault="002A5800" w:rsidP="002A5800">
      <w:r>
        <w:t xml:space="preserve">It’s simple economics:  </w:t>
      </w:r>
      <w:r>
        <w:rPr>
          <w:rStyle w:val="StyleUnderline"/>
        </w:rPr>
        <w:t>A block grant is</w:t>
      </w:r>
      <w:r>
        <w:t xml:space="preserve"> just like </w:t>
      </w:r>
      <w:r>
        <w:rPr>
          <w:rStyle w:val="StyleUnderline"/>
        </w:rPr>
        <w:t>a permanent increase in revenue from state income or sales taxes.  It does nothing to change a potential leader’s bargaining position; it does nothing to lower the financial or political barriers to reform which paralyze our school systems</w:t>
      </w:r>
      <w:r>
        <w:t xml:space="preserve">.  For instance, with a block grant, any district leader wanting to improve the tenure review process needs to bargain with his or her union to find ways to pay for it.  </w:t>
      </w:r>
      <w:r>
        <w:rPr>
          <w:rStyle w:val="StyleUnderline"/>
        </w:rPr>
        <w:t xml:space="preserve">A competitive grant program would provide an </w:t>
      </w:r>
      <w:r>
        <w:rPr>
          <w:rStyle w:val="Emphasis"/>
        </w:rPr>
        <w:t xml:space="preserve">external carrot </w:t>
      </w:r>
      <w:r>
        <w:rPr>
          <w:rStyle w:val="StyleUnderline"/>
        </w:rPr>
        <w:t xml:space="preserve">that would allow the same leader to </w:t>
      </w:r>
      <w:r>
        <w:rPr>
          <w:rStyle w:val="Emphasis"/>
        </w:rPr>
        <w:t>bargain more successfully</w:t>
      </w:r>
      <w:r>
        <w:t>.</w:t>
      </w:r>
    </w:p>
    <w:p w:rsidR="002A5800" w:rsidRDefault="002A5800" w:rsidP="002A5800">
      <w:r>
        <w:t xml:space="preserve">   </w:t>
      </w:r>
    </w:p>
    <w:p w:rsidR="002A5800" w:rsidRDefault="002A5800" w:rsidP="002A5800">
      <w:pPr>
        <w:pStyle w:val="Heading4"/>
      </w:pPr>
      <w:r>
        <w:t xml:space="preserve">Competitive grants rely on </w:t>
      </w:r>
      <w:r>
        <w:rPr>
          <w:u w:val="single"/>
        </w:rPr>
        <w:t>incentives</w:t>
      </w:r>
      <w:r>
        <w:t xml:space="preserve"> as opposed to </w:t>
      </w:r>
      <w:r>
        <w:rPr>
          <w:u w:val="single"/>
        </w:rPr>
        <w:t>sanctions</w:t>
      </w:r>
      <w:r>
        <w:t xml:space="preserve"> – provides </w:t>
      </w:r>
      <w:r>
        <w:rPr>
          <w:u w:val="single"/>
        </w:rPr>
        <w:t>political cover</w:t>
      </w:r>
      <w:r>
        <w:t xml:space="preserve"> for education reformers and allows states to construct the </w:t>
      </w:r>
      <w:r>
        <w:rPr>
          <w:u w:val="single"/>
        </w:rPr>
        <w:t xml:space="preserve">administrative capacity </w:t>
      </w:r>
      <w:r>
        <w:t>to implement innovations effectively</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The</w:t>
      </w:r>
      <w:r>
        <w:t xml:space="preserve"> Obama administration’s </w:t>
      </w:r>
      <w:r>
        <w:rPr>
          <w:rStyle w:val="StyleUnderline"/>
        </w:rPr>
        <w:t xml:space="preserve">Race to the Top (RTTT) competitive grant program has been heralded for </w:t>
      </w:r>
      <w:r>
        <w:rPr>
          <w:rStyle w:val="Emphasis"/>
        </w:rPr>
        <w:t>revolutionizing</w:t>
      </w:r>
      <w:r>
        <w:rPr>
          <w:rStyle w:val="StyleUnderline"/>
        </w:rPr>
        <w:t xml:space="preserve"> the federal role in education and transforming state school reform efforts.</w:t>
      </w:r>
      <w:r>
        <w:t xml:space="preserve"> RTTT has received an extraordinary amount of media coverage and think tank analysis, yet, the vast majority of the discussion to date has focused on the program’s design, application, and award process. Much less attention has been devoted to analyzing the broader historical, institutional, and political contexts that led to RTTT’s creation and within which it will operate over the longer term. This article represents an attempt to provide this context and analyze the origins, evolution, and impact of RTTT. In particular, it will address the following questions: (a) What is the theory of action behind the design of RTTT? (b) What impact has RTTT had on state education politics and policy to date? (c) What have we learned that can enhance the implementation of RTTT going forward and inform future RTTT competitions? and (d) What does RTTT tell us about the Obama administration’s education agenda and the status of intergovernmental relationships in education today?</w:t>
      </w:r>
    </w:p>
    <w:p w:rsidR="002A5800" w:rsidRDefault="002A5800" w:rsidP="002A5800">
      <w:r>
        <w:rPr>
          <w:rStyle w:val="StyleUnderline"/>
        </w:rPr>
        <w:t xml:space="preserve">RTTT is fundamentally about two things: creating </w:t>
      </w:r>
      <w:r>
        <w:rPr>
          <w:rStyle w:val="Emphasis"/>
        </w:rPr>
        <w:t>political cover</w:t>
      </w:r>
      <w:r>
        <w:rPr>
          <w:rStyle w:val="StyleUnderline"/>
        </w:rPr>
        <w:t xml:space="preserve"> for state education reformers to innovate and helping states construct the administrative </w:t>
      </w:r>
      <w:r>
        <w:rPr>
          <w:rStyle w:val="Emphasis"/>
        </w:rPr>
        <w:t>capacity to implement these innovations effectively</w:t>
      </w:r>
      <w:r>
        <w:rPr>
          <w:rStyle w:val="StyleUnderline"/>
        </w:rPr>
        <w:t>.</w:t>
      </w:r>
      <w:r>
        <w:t xml:space="preserve"> </w:t>
      </w:r>
      <w:r>
        <w:rPr>
          <w:rStyle w:val="StyleUnderline"/>
        </w:rPr>
        <w:t>Although</w:t>
      </w:r>
      <w:r>
        <w:t xml:space="preserve"> the Elementary and Secondary Education Act (ESEA) and </w:t>
      </w:r>
      <w:r>
        <w:rPr>
          <w:rStyle w:val="StyleUnderline"/>
        </w:rPr>
        <w:t>other traditional federal formula grant programs direct funds</w:t>
      </w:r>
      <w:r>
        <w:t xml:space="preserve"> on the basis of demographics or educational need without regard to reform or achievement, </w:t>
      </w:r>
      <w:r>
        <w:rPr>
          <w:rStyle w:val="StyleUnderline"/>
        </w:rPr>
        <w:t>RTTT supports only those states that have</w:t>
      </w:r>
      <w:r>
        <w:t xml:space="preserve"> strong track </w:t>
      </w:r>
      <w:r>
        <w:rPr>
          <w:rStyle w:val="StyleUnderline"/>
        </w:rPr>
        <w:t>records and plans for</w:t>
      </w:r>
      <w:r>
        <w:t xml:space="preserve"> </w:t>
      </w:r>
      <w:r>
        <w:rPr>
          <w:rStyle w:val="StyleUnderline"/>
        </w:rPr>
        <w:t>innovation and</w:t>
      </w:r>
      <w:r>
        <w:t xml:space="preserve"> can </w:t>
      </w:r>
      <w:r>
        <w:rPr>
          <w:rStyle w:val="StyleUnderline"/>
        </w:rPr>
        <w:t>demonstrate</w:t>
      </w:r>
      <w:r>
        <w:t xml:space="preserve"> key stakeholder </w:t>
      </w:r>
      <w:r>
        <w:rPr>
          <w:rStyle w:val="Emphasis"/>
        </w:rPr>
        <w:t>commitment to reform</w:t>
      </w:r>
      <w:r>
        <w:t>. RTTT has thus shifted the focus of federal policy from the laggards to the leaders in state educational performance and reform. This shift carries with it two challenges over the long haul: how to sustain the reform push in the winning states and how to disseminate and motivate reform among the losing states.</w:t>
      </w:r>
    </w:p>
    <w:p w:rsidR="002A5800" w:rsidRDefault="002A5800" w:rsidP="002A5800">
      <w:r>
        <w:t xml:space="preserve">RTTT will not single-handedly solve the problems of American education, and some of its initial achievements may well be undone over time. Nonetheless, RTTT’s importance should not be understated. </w:t>
      </w:r>
      <w:r>
        <w:rPr>
          <w:rStyle w:val="StyleUnderline"/>
        </w:rPr>
        <w:t>The program has articulated a promising new approach to federal education policy in the competitive grant program, and it has generated a substantial amount of state policy change in a short period of time,</w:t>
      </w:r>
      <w:r>
        <w:t xml:space="preserve"> </w:t>
      </w:r>
      <w:r>
        <w:rPr>
          <w:rStyle w:val="StyleUnderline"/>
        </w:rPr>
        <w:t>particularly for a program of its</w:t>
      </w:r>
      <w:r>
        <w:t xml:space="preserve"> relatively </w:t>
      </w:r>
      <w:r>
        <w:rPr>
          <w:rStyle w:val="StyleUnderline"/>
        </w:rPr>
        <w:t>small size.</w:t>
      </w:r>
      <w:r>
        <w:t xml:space="preserve"> Perhaps most important, </w:t>
      </w:r>
      <w:r>
        <w:rPr>
          <w:rStyle w:val="StyleUnderline"/>
        </w:rPr>
        <w:t>it has had a sizable impact on the intensity and character of school reform discourse across the country</w:t>
      </w:r>
      <w:r>
        <w:t>. As a result, regardless of whether RTTT continues beyond 2012 or whether states fulfill all of the reform commitments in their applications, the program’s legacy on both education politics and policy is likely to be considerable.</w:t>
      </w:r>
    </w:p>
    <w:p w:rsidR="002A5800" w:rsidRDefault="002A5800" w:rsidP="002A5800">
      <w:r>
        <w:t>Part I: The Design and Operation of RTTT</w:t>
      </w:r>
    </w:p>
    <w:p w:rsidR="002A5800" w:rsidRDefault="002A5800" w:rsidP="002A5800">
      <w:r>
        <w:t xml:space="preserve">In many ways, </w:t>
      </w:r>
      <w:r>
        <w:rPr>
          <w:rStyle w:val="StyleUnderline"/>
        </w:rPr>
        <w:t>RTTT is an attempt to circumvent</w:t>
      </w:r>
      <w:r>
        <w:t xml:space="preserve"> the perceived failings of No Child Left Behind (</w:t>
      </w:r>
      <w:r>
        <w:rPr>
          <w:rStyle w:val="StyleUnderline"/>
        </w:rPr>
        <w:t>NCLB</w:t>
      </w:r>
      <w:r>
        <w:t xml:space="preserve">), </w:t>
      </w:r>
      <w:r>
        <w:rPr>
          <w:rStyle w:val="StyleUnderline"/>
        </w:rPr>
        <w:t>and</w:t>
      </w:r>
      <w:r>
        <w:t xml:space="preserve"> in particular, </w:t>
      </w:r>
      <w:r>
        <w:rPr>
          <w:rStyle w:val="StyleUnderline"/>
        </w:rPr>
        <w:t>the law’s reliance on coercive federal mandates and the compliance culture</w:t>
      </w:r>
      <w:r>
        <w:t xml:space="preserve"> that it fostered at the state level (McGuinn, 2006). </w:t>
      </w:r>
      <w:r>
        <w:rPr>
          <w:rStyle w:val="StyleUnderline"/>
        </w:rPr>
        <w:t>NCLB forced states to change many of their educational practices, but political resistance and capacity gaps at the state level meant that these changes were often more superficial than substantive.</w:t>
      </w:r>
      <w:r>
        <w:t xml:space="preserve"> As a result, </w:t>
      </w:r>
      <w:r>
        <w:rPr>
          <w:rStyle w:val="StyleUnderline"/>
        </w:rPr>
        <w:t>the law did not generate</w:t>
      </w:r>
      <w:r>
        <w:t xml:space="preserve"> as much </w:t>
      </w:r>
      <w:r>
        <w:rPr>
          <w:rStyle w:val="StyleUnderline"/>
        </w:rPr>
        <w:t>meaningful school improvement</w:t>
      </w:r>
      <w:r>
        <w:t xml:space="preserve"> or progress in closing student-achievement gaps as was originally hoped (Mintrop &amp; Sunderman, 2009). </w:t>
      </w:r>
      <w:r>
        <w:rPr>
          <w:rStyle w:val="StyleUnderline"/>
        </w:rPr>
        <w:t>RTTT’s</w:t>
      </w:r>
      <w:r>
        <w:t xml:space="preserve"> design—and specifically its </w:t>
      </w:r>
      <w:r>
        <w:rPr>
          <w:rStyle w:val="StyleUnderline"/>
        </w:rPr>
        <w:t xml:space="preserve">use of a competitive grant process—was intended to avoid these problems by relying </w:t>
      </w:r>
      <w:r>
        <w:rPr>
          <w:rStyle w:val="Emphasis"/>
        </w:rPr>
        <w:t>on incentives instead of sanctions</w:t>
      </w:r>
      <w:r>
        <w:rPr>
          <w:rStyle w:val="StyleUnderline"/>
        </w:rPr>
        <w:t xml:space="preserve"> to drive state reform</w:t>
      </w:r>
      <w:r>
        <w:t>. Three facts in particular should shape our understanding of the design and impact of RTTT: the enormously difficult task of driving systemic change in a fragmented and decentralized education system, the newness of and political opposition to federal efforts to push systemic education reform on the states, and the weakness of state and federal administrative capacity in education.</w:t>
      </w:r>
    </w:p>
    <w:p w:rsidR="002A5800" w:rsidRDefault="002A5800" w:rsidP="002A5800">
      <w:r>
        <w:t>RTTT’s creative and complex design reflects the Obama administration’s need to navigate a difficult political situation—deep inter- and intraparty division over school reform—as well as a difficult institutional situation—the limited capacity of federal and state education agencies to push reform down to the school level. This is what might be called the 50/14,000/130,000 problem in American education reform—we have 50 different state education systems that collectively contain approximately 14,000 school districts and almost 130,000 schools. States have developed vastly different education systems, and tremendous variation in school quality exists within and among states. Although the United States now has clear national goals in education, it lacks a national system of education within which to pursue these goals, and the federal government can only indirectly attempt to drive reform through the grant-in-aid system (Shelly, 2008).</w:t>
      </w:r>
    </w:p>
    <w:p w:rsidR="002A5800" w:rsidRDefault="002A5800" w:rsidP="002A5800">
      <w:r>
        <w:t xml:space="preserve">As Cohen and Susan (2009) have observed, this has greatly limited the federal government’s ability to effect change in education and stymied its pursuit of educational equality. </w:t>
      </w:r>
      <w:r>
        <w:rPr>
          <w:rStyle w:val="StyleUnderline"/>
        </w:rPr>
        <w:t xml:space="preserve">Although the federal government can sometimes use incentives to coerce states into adopting certain policies, it has struggled to get states to implement them faithfully or effectively, and they have, therefore, often </w:t>
      </w:r>
      <w:r>
        <w:rPr>
          <w:rStyle w:val="Emphasis"/>
        </w:rPr>
        <w:t>failed to achieve their aims</w:t>
      </w:r>
      <w:r>
        <w:t xml:space="preserve"> (Manna, 2010). The experience of </w:t>
      </w:r>
      <w:r>
        <w:rPr>
          <w:rStyle w:val="StyleUnderline"/>
        </w:rPr>
        <w:t>NCLB implementation made it abundantly clear that most state departments of education were ill-equipped to monitor compliance with their own policies or engage in district- and school-level interventions</w:t>
      </w:r>
      <w:r>
        <w:t xml:space="preserve"> (Hess &amp; Finn, 2007). </w:t>
      </w:r>
      <w:r>
        <w:rPr>
          <w:rStyle w:val="StyleUnderline"/>
        </w:rPr>
        <w:t>RTTT represents something new</w:t>
      </w:r>
      <w:r>
        <w:t>, but it is an innovation largely built on an inadequate administrative foundation (Minnici &amp; Hill, 2007).</w:t>
      </w:r>
    </w:p>
    <w:p w:rsidR="002A5800" w:rsidRDefault="002A5800" w:rsidP="002A5800"/>
    <w:p w:rsidR="002A5800" w:rsidRDefault="002A5800" w:rsidP="002A5800">
      <w:pPr>
        <w:pStyle w:val="Heading4"/>
      </w:pPr>
      <w:r>
        <w:t xml:space="preserve">Competitive grants change the </w:t>
      </w:r>
      <w:r>
        <w:rPr>
          <w:u w:val="single"/>
        </w:rPr>
        <w:t>political climate</w:t>
      </w:r>
      <w:r>
        <w:t xml:space="preserve"> of controversial education reform – encourages organizing around a new federal vision while also affording capacity for innovation</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The competition attracted a tremendous amount of media attention to the issue of school reform, shone a bright light on ineffective state policies, and helped create new political coalitions to drive reform.</w:t>
      </w:r>
      <w:r>
        <w:t xml:space="preserve"> The Washington Post (“Editorial,” 2010b) declared that </w:t>
      </w:r>
      <w:r>
        <w:rPr>
          <w:rStyle w:val="StyleUnderline"/>
        </w:rPr>
        <w:t>RTTT “helped transform the national discussion on education</w:t>
      </w:r>
      <w:r>
        <w:t xml:space="preserve">,” whereas Michelle McNeil (2009) from Education Week believes that </w:t>
      </w:r>
      <w:r>
        <w:rPr>
          <w:rStyle w:val="StyleUnderline"/>
        </w:rPr>
        <w:t>it stimulated an unprecedented “national conversation” on school reform. It also stimulated many state and local conversations—particularly in the context of the economic crisis and debates over budget cuts, tax increases, and teacher layoffs that brought education spending and collective bargaining policies into stark relief</w:t>
      </w:r>
      <w:r>
        <w:t>. Numerous governors pushed state legislatures to change laws to increase their RTTT prospects, most prominently in California where Governor Arnold Schwarzenegger called the legislature into special session to debate a package of education reforms (Cavanagh, 2011).</w:t>
      </w:r>
    </w:p>
    <w:p w:rsidR="002A5800" w:rsidRDefault="002A5800" w:rsidP="002A5800">
      <w:r>
        <w:t xml:space="preserve">There is evidence that </w:t>
      </w:r>
      <w:r>
        <w:rPr>
          <w:rStyle w:val="StyleUnderline"/>
        </w:rPr>
        <w:t xml:space="preserve">RTTT’s emphasis on expanding charter schools and revamping teacher evaluations has helped </w:t>
      </w:r>
      <w:r>
        <w:rPr>
          <w:rStyle w:val="Emphasis"/>
        </w:rPr>
        <w:t>change the political climate</w:t>
      </w:r>
      <w:r>
        <w:rPr>
          <w:rStyle w:val="StyleUnderline"/>
        </w:rPr>
        <w:t xml:space="preserve"> around these controversial issues, thus paving the way for reform</w:t>
      </w:r>
      <w:r>
        <w:t xml:space="preserve">. Shelley Skinner of the New Jersey Charter Schools Association observed that “the political environment in the state legislature and around the country has become much more favorable for charters, thanks in large part to the Race to the Top competition encouraging them” (Cavanagh, 2010a). </w:t>
      </w:r>
      <w:r>
        <w:rPr>
          <w:rStyle w:val="StyleUnderline"/>
        </w:rPr>
        <w:t xml:space="preserve">Federal rhetorical leadership on these issues provided crucial </w:t>
      </w:r>
      <w:r>
        <w:rPr>
          <w:rStyle w:val="Emphasis"/>
        </w:rPr>
        <w:t>political cover</w:t>
      </w:r>
      <w:r>
        <w:rPr>
          <w:rStyle w:val="StyleUnderline"/>
        </w:rPr>
        <w:t xml:space="preserve"> for school reformers advocating change on the ground in states by creating an environment in which it was easier or safer for them to advance their agenda.</w:t>
      </w:r>
      <w:r>
        <w:t xml:space="preserve"> Democrats for education reform (2010) declared that,</w:t>
      </w:r>
    </w:p>
    <w:p w:rsidR="002A5800" w:rsidRDefault="002A5800" w:rsidP="002A5800">
      <w:r>
        <w:rPr>
          <w:rStyle w:val="StyleUnderline"/>
        </w:rPr>
        <w:t>The change unleashed by conditioning federal funding on bold and forward-looking state education policies is indisputable</w:t>
      </w:r>
      <w:r>
        <w:t>. Under the president’s leadership, local civil rights, child advocacy, business, and education reform groups, in collaboration with those states and local teacher unions ready for change, sprung into action to achieve things that they had been waiting and wanting to do for years. (Slevin, 2010)</w:t>
      </w:r>
    </w:p>
    <w:p w:rsidR="002A5800" w:rsidRDefault="002A5800" w:rsidP="002A5800">
      <w:r>
        <w:t>RTTT’s focus on teacher accountability has also drawn attention to a number of long-ignored labor issues in education and has had a major impact on the relationship between the Democratic Party and the two major teachers’ unions.</w:t>
      </w:r>
    </w:p>
    <w:p w:rsidR="002A5800" w:rsidRDefault="002A5800" w:rsidP="002A5800">
      <w:r>
        <w:rPr>
          <w:rStyle w:val="StyleUnderline"/>
        </w:rPr>
        <w:t>RTTT is empowering new actors and organizations and creating new political alliances</w:t>
      </w:r>
      <w:r>
        <w:t xml:space="preserve">. </w:t>
      </w:r>
      <w:r>
        <w:rPr>
          <w:rStyle w:val="StyleUnderline"/>
        </w:rPr>
        <w:t>One of the most interesting and effective elements in RTTT’s design was how it selectively empowered institutions that are more reform oriented</w:t>
      </w:r>
      <w:r>
        <w:t xml:space="preserve">. At the state level, legislatures tend to be unduly influenced by narrow special interests and have been slow to embrace the kind of reforms the Obama administration advocated. However, RTTT put governors and chief state school officers—who are generally more inclined to endorse systemic school reforms irrespective of party affiliation—in charge of drafting state applications. By empowering these “education executives,” </w:t>
      </w:r>
      <w:r>
        <w:rPr>
          <w:rStyle w:val="StyleUnderline"/>
        </w:rPr>
        <w:t>RTTT may be speeding up</w:t>
      </w:r>
      <w:r>
        <w:t xml:space="preserve"> what political scientist Jeffrey Henig (2009) calls “the end of </w:t>
      </w:r>
      <w:r>
        <w:rPr>
          <w:rStyle w:val="StyleUnderline"/>
        </w:rPr>
        <w:t>educational exceptionalism</w:t>
      </w:r>
      <w:r>
        <w:t xml:space="preserve">” </w:t>
      </w:r>
      <w:r>
        <w:rPr>
          <w:rStyle w:val="StyleUnderline"/>
        </w:rPr>
        <w:t>and bringing school reform debates back into mainstream politics.</w:t>
      </w:r>
      <w:r>
        <w:t xml:space="preserve"> One of the most important long-term effects of </w:t>
      </w:r>
      <w:r>
        <w:rPr>
          <w:rStyle w:val="StyleUnderline"/>
        </w:rPr>
        <w:t>RTTT will</w:t>
      </w:r>
      <w:r>
        <w:t xml:space="preserve"> thus likely be continuing the </w:t>
      </w:r>
      <w:r>
        <w:rPr>
          <w:rStyle w:val="StyleUnderline"/>
        </w:rPr>
        <w:t>trend toward greater centralization of education responsibility and policy making at the state level and, in particular, greater involvement of governors in school reform</w:t>
      </w:r>
      <w:r>
        <w:t xml:space="preserve"> (Fusarelli &amp; Cooper, 2009; Malen, 2003).</w:t>
      </w:r>
    </w:p>
    <w:p w:rsidR="002A5800" w:rsidRDefault="002A5800" w:rsidP="002A5800">
      <w:r>
        <w:rPr>
          <w:rStyle w:val="StyleUnderline"/>
        </w:rPr>
        <w:t>RTTT has also galvanized a variety of private-sector actors on behalf of reform: foundations</w:t>
      </w:r>
      <w:r>
        <w:t xml:space="preserve"> (particularly the Bill and Melinda Gates Foundation), </w:t>
      </w:r>
      <w:r>
        <w:rPr>
          <w:rStyle w:val="StyleUnderline"/>
        </w:rPr>
        <w:t>think tanks</w:t>
      </w:r>
      <w:r>
        <w:t xml:space="preserve"> (Center for American Progress), </w:t>
      </w:r>
      <w:r>
        <w:rPr>
          <w:rStyle w:val="StyleUnderline"/>
        </w:rPr>
        <w:t xml:space="preserve">and private philanthropists </w:t>
      </w:r>
      <w:r>
        <w:t xml:space="preserve">(Marc Zuckerberg) </w:t>
      </w:r>
      <w:r>
        <w:rPr>
          <w:rStyle w:val="StyleUnderline"/>
        </w:rPr>
        <w:t>are using private dollars and expertise to support and extend federal RTTT reform efforts</w:t>
      </w:r>
      <w:r>
        <w:t>. One such organization—the Policy Innovators in Education network—chronicled the ways in which “</w:t>
      </w:r>
      <w:r>
        <w:rPr>
          <w:rStyle w:val="StyleUnderline"/>
        </w:rPr>
        <w:t>the competition spurred dramatic shifts in political will” and “created tremendous pressure on states to develop bold plans for school reform</w:t>
      </w:r>
      <w:r>
        <w:t xml:space="preserve">” (Colvin &amp; Suzanne, 2010). </w:t>
      </w:r>
      <w:r>
        <w:rPr>
          <w:rStyle w:val="StyleUnderline"/>
        </w:rPr>
        <w:t>Federal grant competitions like RTTT and I3 can benefit private entrepreneurs in helping to build and sustain a political coalition</w:t>
      </w:r>
      <w:r>
        <w:t xml:space="preserve"> that is </w:t>
      </w:r>
      <w:r>
        <w:rPr>
          <w:rStyle w:val="StyleUnderline"/>
        </w:rPr>
        <w:t>dependent on</w:t>
      </w:r>
      <w:r>
        <w:t>—and inclined to advocate for—</w:t>
      </w:r>
      <w:r>
        <w:rPr>
          <w:rStyle w:val="StyleUnderline"/>
        </w:rPr>
        <w:t xml:space="preserve">a robust federal innovation-oriented role in education. </w:t>
      </w:r>
      <w:r>
        <w:t xml:space="preserve">These “new schools” folks, as they are sometimes called, comprise a broad array of charter school networks (such as the Knowledge is Power Program, Green Dot, Aspire, and SEED), education management organizations (Edison, K12 Inc., and Victory), tutoring providers (Kaplan), and education consultants and service providers (New Teachers for New Schools, Teach for America, and Wireless Generation). As Stephen Brill (2010) has observed, the number, size, and variety of these groups has increased dramatically in the past decade. </w:t>
      </w:r>
      <w:r>
        <w:rPr>
          <w:rStyle w:val="StyleUnderline"/>
        </w:rPr>
        <w:t>RTTT represented a coming-out party of sorts for these groups, and an opportunity for them to</w:t>
      </w:r>
      <w:r>
        <w:rPr>
          <w:rStyle w:val="Emphasis"/>
        </w:rPr>
        <w:t xml:space="preserve"> organize around a new federal vision</w:t>
      </w:r>
      <w:r>
        <w:rPr>
          <w:rStyle w:val="StyleUnderline"/>
        </w:rPr>
        <w:t xml:space="preserve"> of school reform</w:t>
      </w:r>
      <w:r>
        <w:t>.</w:t>
      </w:r>
    </w:p>
    <w:p w:rsidR="002A5800" w:rsidRDefault="002A5800" w:rsidP="002A5800"/>
    <w:p w:rsidR="002A5800" w:rsidRDefault="002A5800" w:rsidP="002A5800">
      <w:pPr>
        <w:pStyle w:val="Heading4"/>
      </w:pPr>
      <w:r>
        <w:t xml:space="preserve">Competition creates a </w:t>
      </w:r>
      <w:r>
        <w:rPr>
          <w:u w:val="single"/>
        </w:rPr>
        <w:t>coalition of the willing</w:t>
      </w:r>
      <w:r>
        <w:t xml:space="preserve"> – states with track records for reform serve as laboratories and are modeled</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RTTT has had a significant impact on the national political discourse around education and pushed many states to enact important policy changes</w:t>
      </w:r>
      <w:r>
        <w:t xml:space="preserve">. Despite its imperfections, </w:t>
      </w:r>
      <w:r>
        <w:rPr>
          <w:rStyle w:val="StyleUnderline"/>
        </w:rPr>
        <w:t>it has clearly generated considerable momentum behind education reform</w:t>
      </w:r>
      <w:r>
        <w:t xml:space="preserve"> in the United States </w:t>
      </w:r>
      <w:r>
        <w:rPr>
          <w:rStyle w:val="StyleUnderline"/>
        </w:rPr>
        <w:t>and pressed states into very public deliberations over thorny education reforms they have long resisted</w:t>
      </w:r>
      <w:r>
        <w:t xml:space="preserve">, such as the adoption of common academic standards and assessments and changing teacher evaluation and tenure. </w:t>
      </w:r>
      <w:r>
        <w:rPr>
          <w:rStyle w:val="StyleUnderline"/>
        </w:rPr>
        <w:t>By pushing these issues into the spotlight, RTTT has spurred new conversations and stirred the political pot around education helping to forge new alliances and creating political cover for reformers in state legislatures.</w:t>
      </w:r>
      <w:r>
        <w:t xml:space="preserve"> </w:t>
      </w:r>
      <w:r>
        <w:rPr>
          <w:rStyle w:val="StyleUnderline"/>
        </w:rPr>
        <w:t>The focus on competition</w:t>
      </w:r>
      <w:r>
        <w:t xml:space="preserve"> has </w:t>
      </w:r>
      <w:r>
        <w:rPr>
          <w:rStyle w:val="StyleUnderline"/>
        </w:rPr>
        <w:t>created a “</w:t>
      </w:r>
      <w:r>
        <w:rPr>
          <w:rStyle w:val="Emphasis"/>
        </w:rPr>
        <w:t>coalition of the willing</w:t>
      </w:r>
      <w:r>
        <w:rPr>
          <w:rStyle w:val="StyleUnderline"/>
        </w:rPr>
        <w:t>” by enlisting states with</w:t>
      </w:r>
      <w:r>
        <w:t xml:space="preserve"> proven </w:t>
      </w:r>
      <w:r>
        <w:rPr>
          <w:rStyle w:val="StyleUnderline"/>
        </w:rPr>
        <w:t>track records of reform or ambitious reform agendas to serve as role models and laboratories for other states.</w:t>
      </w:r>
      <w:r>
        <w:t xml:space="preserve"> The key question is how the federal government can sustain this momentum and the reforms it generates over the long term, particularly when the RTTT competitions end.</w:t>
      </w:r>
    </w:p>
    <w:p w:rsidR="002A5800" w:rsidRDefault="002A5800" w:rsidP="002A5800"/>
    <w:p w:rsidR="002A5800" w:rsidRDefault="002A5800" w:rsidP="002A5800">
      <w:pPr>
        <w:pStyle w:val="Heading4"/>
        <w:rPr>
          <w:u w:val="single"/>
        </w:rPr>
      </w:pPr>
      <w:r>
        <w:t xml:space="preserve">The CP operates under a model of </w:t>
      </w:r>
      <w:r>
        <w:rPr>
          <w:u w:val="single"/>
        </w:rPr>
        <w:t>evidence-based reform</w:t>
      </w:r>
      <w:r>
        <w:t xml:space="preserve"> where beneficiaries have to prove effectiveness and growth – ensures meaningful progress</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29" w:history="1">
        <w:r>
          <w:rPr>
            <w:rStyle w:val="Hyperlink"/>
          </w:rPr>
          <w:t>http://educationdidactique.revues.org/334</w:t>
        </w:r>
      </w:hyperlink>
      <w:r>
        <w:t>) AAB</w:t>
      </w:r>
    </w:p>
    <w:p w:rsidR="002A5800" w:rsidRDefault="002A5800" w:rsidP="002A5800"/>
    <w:p w:rsidR="002A5800" w:rsidRDefault="002A5800" w:rsidP="002A5800">
      <w:r>
        <w:t>Consequences of Evidence-Based Reform</w:t>
      </w:r>
    </w:p>
    <w:p w:rsidR="002A5800" w:rsidRDefault="002A5800" w:rsidP="002A5800">
      <w:pPr>
        <w:rPr>
          <w:rStyle w:val="StyleUnderline"/>
        </w:rPr>
      </w:pPr>
      <w:r>
        <w:t>34</w:t>
      </w:r>
      <w:r>
        <w:rPr>
          <w:rStyle w:val="StyleUnderline"/>
        </w:rPr>
        <w:t xml:space="preserve">The consequences of evidence-based reform would be profound. If government policies began to favor programs with strong evidence, developers including publishers, software developers, university researchers, and entrepreneurs of all kinds would have an incentive to engage in </w:t>
      </w:r>
      <w:r>
        <w:rPr>
          <w:rStyle w:val="Emphasis"/>
        </w:rPr>
        <w:t>serious development and evaluation efforts</w:t>
      </w:r>
      <w:r>
        <w:rPr>
          <w:rStyle w:val="StyleUnderline"/>
        </w:rPr>
        <w:t>.</w:t>
      </w:r>
      <w:r>
        <w:t xml:space="preserve"> </w:t>
      </w:r>
      <w:r>
        <w:rPr>
          <w:rStyle w:val="StyleUnderline"/>
        </w:rPr>
        <w:t xml:space="preserve">Seeing the immediate impact of research and development, policy makers might provide </w:t>
      </w:r>
      <w:r>
        <w:rPr>
          <w:rStyle w:val="Emphasis"/>
        </w:rPr>
        <w:t>substantially greater funding</w:t>
      </w:r>
      <w:r>
        <w:rPr>
          <w:rStyle w:val="StyleUnderline"/>
        </w:rPr>
        <w:t xml:space="preserve"> for these activities</w:t>
      </w:r>
      <w:r>
        <w:t xml:space="preserve">. </w:t>
      </w:r>
      <w:r>
        <w:rPr>
          <w:rStyle w:val="StyleUnderline"/>
        </w:rPr>
        <w:t>Developers would</w:t>
      </w:r>
      <w:r>
        <w:t xml:space="preserve"> have a </w:t>
      </w:r>
      <w:r>
        <w:rPr>
          <w:rStyle w:val="StyleUnderline"/>
        </w:rPr>
        <w:t>reason to invest in more effective innovative strategies, knowing that if they turn out to be effective in rigorous evaluations, they will be successful in the marketplace.</w:t>
      </w:r>
    </w:p>
    <w:p w:rsidR="002A5800" w:rsidRDefault="002A5800" w:rsidP="002A5800">
      <w:r>
        <w:t xml:space="preserve">35Evidence-based </w:t>
      </w:r>
      <w:r>
        <w:rPr>
          <w:rStyle w:val="StyleUnderline"/>
        </w:rPr>
        <w:t>reform would finally apply to education the process that led to dramatic developments in medicine, agriculture, and technology in the 20th century</w:t>
      </w:r>
      <w:r>
        <w:t>, where every solution that meets evidence standards supersedes less effective products, and a vast research and development enterprise works to improve on the best we have available today. Our experience with cooperative learning, Success for All, and other comprehensive reform models show what such an enterprise might look like, but similar initiatives need to be support in all subjects, all grade levels, and for all types of educational outcomes.</w:t>
      </w:r>
    </w:p>
    <w:p w:rsidR="002A5800" w:rsidRDefault="002A5800" w:rsidP="002A5800">
      <w:r>
        <w:rPr>
          <w:rStyle w:val="StyleUnderline"/>
        </w:rPr>
        <w:t>36The winners in this would be millions of children, especially those who are least well served by the current system, the teachers who yearn for more effective tools to help them do their job well, and society as a whole, which would come to expect progress in education as confidently as it currently expects progress in other fields</w:t>
      </w:r>
      <w:r>
        <w:t xml:space="preserve">. </w:t>
      </w:r>
      <w:r>
        <w:rPr>
          <w:rStyle w:val="StyleUnderline"/>
        </w:rPr>
        <w:t>Education research would gain the respect and the resources it has never had</w:t>
      </w:r>
      <w:r>
        <w:t xml:space="preserve">. Even the </w:t>
      </w:r>
      <w:r>
        <w:rPr>
          <w:rStyle w:val="StyleUnderline"/>
        </w:rPr>
        <w:t>publishing companies that currently rely on marketing would benefit</w:t>
      </w:r>
      <w:r>
        <w:t xml:space="preserve"> if they embrace innovation, </w:t>
      </w:r>
      <w:r>
        <w:rPr>
          <w:rStyle w:val="StyleUnderline"/>
        </w:rPr>
        <w:t>as they would have the resources to do the necessary research and development</w:t>
      </w:r>
      <w:r>
        <w:t>, just as large drug companies benefit from evidence-based practice in medicine.</w:t>
      </w:r>
    </w:p>
    <w:p w:rsidR="002A5800" w:rsidRDefault="002A5800" w:rsidP="002A5800">
      <w:r>
        <w:t xml:space="preserve">37Recent developments in research and policy make it possible to finally put education on the road to genuine reform. The experience of cooperative learning, Success for All, and comprehensive school reform show that </w:t>
      </w:r>
      <w:r>
        <w:rPr>
          <w:rStyle w:val="StyleUnderline"/>
        </w:rPr>
        <w:t>under the right conditions, proven, effective models of school and classroom reform can be developed, rigorously evaluated, and disseminated, benefitting hundreds of thousands of children.</w:t>
      </w:r>
      <w:r>
        <w:t xml:space="preserve"> It remains for policymakers and our profession to take the necessary steps.</w:t>
      </w:r>
    </w:p>
    <w:p w:rsidR="002A5800" w:rsidRDefault="002A5800" w:rsidP="002A5800"/>
    <w:p w:rsidR="002A5800" w:rsidRDefault="002A5800" w:rsidP="002A5800"/>
    <w:p w:rsidR="002A5800" w:rsidRDefault="002A5800" w:rsidP="002A5800">
      <w:pPr>
        <w:pStyle w:val="Heading4"/>
        <w:rPr>
          <w:sz w:val="26"/>
          <w:u w:val="single"/>
        </w:rPr>
      </w:pPr>
      <w:r>
        <w:t xml:space="preserve">Competitive grant programs spur diffusion of </w:t>
      </w:r>
      <w:r>
        <w:rPr>
          <w:u w:val="single"/>
        </w:rPr>
        <w:t>best practices</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(Julie Kirsten Meredith, “State policy diffusion and Race to the Top: The impact of federal competitive grants on state policymaking”, Accessed on ProQuest. https://search.proquest.com/openview/88381ffcebc95268f7c955f994497a5e/1?pq-origsite=gscholar&amp;cbl=18750&amp;diss=y)//ET</w:t>
      </w:r>
    </w:p>
    <w:p w:rsidR="002A5800" w:rsidRDefault="002A5800" w:rsidP="002A5800">
      <w:r>
        <w:rPr>
          <w:rStyle w:val="StyleUnderline"/>
        </w:rPr>
        <w:t>Increasing federal attention to policy areas that have historically been the domains of states suggests that we may see increasingly rapid</w:t>
      </w:r>
      <w:r>
        <w:t xml:space="preserve"> and complex </w:t>
      </w:r>
      <w:r>
        <w:rPr>
          <w:rStyle w:val="StyleUnderline"/>
        </w:rPr>
        <w:t>diffusion</w:t>
      </w:r>
      <w:r>
        <w:t xml:space="preserve"> of state policy. However, much of the diffusion literature examines the spread of policies across states over many years, if not decades. </w:t>
      </w:r>
      <w:r>
        <w:rPr>
          <w:rStyle w:val="StyleUnderline"/>
        </w:rPr>
        <w:t>Attention from the federal government</w:t>
      </w:r>
      <w:r>
        <w:t xml:space="preserve"> has the potential to put policy areas and ideas on states’ agendas, and policy pressures, or</w:t>
      </w:r>
      <w:r>
        <w:rPr>
          <w:rStyle w:val="StyleUnderline"/>
        </w:rPr>
        <w:t>, in the case of RTTT, incentives</w:t>
      </w:r>
      <w:r>
        <w:t xml:space="preserve">, </w:t>
      </w:r>
      <w:r>
        <w:rPr>
          <w:rStyle w:val="Emphasis"/>
        </w:rPr>
        <w:t>can lead states to rapidly adopt similar policies</w:t>
      </w:r>
      <w:r>
        <w:t xml:space="preserve">. </w:t>
      </w:r>
      <w:r>
        <w:rPr>
          <w:rStyle w:val="StyleUnderline"/>
        </w:rPr>
        <w:t xml:space="preserve">The small segment of state diffusion literature that has examined vertical diffusion processes has noted the rapid diffusion of policies when federal preferences are clear and unambiguous. </w:t>
      </w:r>
      <w:r>
        <w:t xml:space="preserve">Additionally, </w:t>
      </w:r>
      <w:r>
        <w:rPr>
          <w:rStyle w:val="Emphasis"/>
        </w:rPr>
        <w:t xml:space="preserve">the means of communication and the rapid dissemination of information </w:t>
      </w:r>
      <w:r>
        <w:rPr>
          <w:rStyle w:val="StyleUnderline"/>
        </w:rPr>
        <w:t>across states has allowed policymakers to learn from other states more quickly</w:t>
      </w:r>
      <w:r>
        <w:rPr>
          <w:rStyle w:val="Emphasis"/>
        </w:rPr>
        <w:t xml:space="preserve">, </w:t>
      </w:r>
      <w:r>
        <w:rPr>
          <w:rStyle w:val="StyleUnderline"/>
        </w:rPr>
        <w:t>which will most likely influence the speed with which policies diffuse.</w:t>
      </w:r>
      <w:r>
        <w:t xml:space="preserve"> The</w:t>
      </w:r>
      <w:r>
        <w:rPr>
          <w:rStyle w:val="StyleUnderline"/>
        </w:rPr>
        <w:t xml:space="preserve"> acceleration of diffusion processes, the influence of isomorphic pressures to conform to the policies of other states, and the influence of federal pressure given states’ contexts and characteristics may necessitate considering more </w:t>
      </w:r>
      <w:r>
        <w:t xml:space="preserve">complex forms of the dependent variable, beyond dichotomous or event count </w:t>
      </w:r>
      <w:r>
        <w:rPr>
          <w:rStyle w:val="StyleUnderline"/>
        </w:rPr>
        <w:t>representations</w:t>
      </w:r>
      <w:r>
        <w:t xml:space="preserve">. </w:t>
      </w:r>
    </w:p>
    <w:p w:rsidR="002A5800" w:rsidRDefault="002A5800" w:rsidP="002A5800">
      <w:pPr>
        <w:pStyle w:val="Heading2"/>
        <w:rPr>
          <w:sz w:val="44"/>
        </w:rPr>
      </w:pPr>
      <w:r>
        <w:t>Aff specific solvency</w:t>
      </w:r>
    </w:p>
    <w:p w:rsidR="002A5800" w:rsidRDefault="002A5800" w:rsidP="002A5800">
      <w:pPr>
        <w:pStyle w:val="Heading3"/>
      </w:pPr>
      <w:r>
        <w:t>2NC Deseg/Equal Access Solvency</w:t>
      </w:r>
    </w:p>
    <w:p w:rsidR="002A5800" w:rsidRDefault="002A5800" w:rsidP="002A5800">
      <w:pPr>
        <w:pStyle w:val="Heading4"/>
      </w:pPr>
      <w:r>
        <w:t>Competitive grants solve desegregation and equal opportunity</w:t>
      </w:r>
    </w:p>
    <w:p w:rsidR="002A5800" w:rsidRDefault="002A5800" w:rsidP="002A5800">
      <w:pPr>
        <w:rPr>
          <w:rStyle w:val="Style13ptBold"/>
          <w:b w:val="0"/>
          <w:sz w:val="22"/>
        </w:rPr>
      </w:pPr>
      <w:r>
        <w:rPr>
          <w:rStyle w:val="Style13ptBold"/>
        </w:rPr>
        <w:t xml:space="preserve">National Coalition on School Diversity 17 </w:t>
      </w:r>
      <w:r>
        <w:rPr>
          <w:rStyle w:val="Style13ptBold"/>
          <w:b w:val="0"/>
          <w:sz w:val="22"/>
        </w:rPr>
        <w:t>(January 2017, “Federal Support for School Integration:</w:t>
      </w:r>
    </w:p>
    <w:p w:rsidR="002A5800" w:rsidRDefault="002A5800" w:rsidP="002A5800">
      <w:pPr>
        <w:rPr>
          <w:rStyle w:val="Style13ptBold"/>
          <w:b w:val="0"/>
          <w:sz w:val="22"/>
        </w:rPr>
      </w:pPr>
      <w:r>
        <w:rPr>
          <w:rStyle w:val="Style13ptBold"/>
          <w:b w:val="0"/>
          <w:sz w:val="22"/>
        </w:rPr>
        <w:t>An Obama Administration Review”, http://school-diversity.org/pdf/DiversityIssueBriefNo8.pdf)//ET</w:t>
      </w:r>
    </w:p>
    <w:p w:rsidR="002A5800" w:rsidRDefault="002A5800" w:rsidP="002A5800">
      <w:pPr>
        <w:rPr>
          <w:rStyle w:val="StyleUnderline"/>
        </w:rPr>
      </w:pPr>
      <w:r>
        <w:t xml:space="preserve">2. </w:t>
      </w:r>
      <w:r>
        <w:rPr>
          <w:rStyle w:val="StyleUnderline"/>
        </w:rPr>
        <w:t xml:space="preserve">School diversity language and incentives in USDOE </w:t>
      </w:r>
      <w:r>
        <w:rPr>
          <w:rStyle w:val="Emphasis"/>
        </w:rPr>
        <w:t>competitive grant programs</w:t>
      </w:r>
      <w:r>
        <w:rPr>
          <w:rStyle w:val="StyleUnderline"/>
        </w:rPr>
        <w:t xml:space="preserve"> for K-12 education Although the </w:t>
      </w:r>
      <w:r>
        <w:rPr>
          <w:rStyle w:val="Emphasis"/>
        </w:rPr>
        <w:t xml:space="preserve">Obama Administration missed a huge early opportunity to include school diversity as a priority in the “Race to the Top” funding programs, </w:t>
      </w:r>
      <w:r>
        <w:rPr>
          <w:rStyle w:val="StyleUnderline"/>
        </w:rPr>
        <w:t>Secretaries Duncan and King embedded incentives for school diversity in several other important grant programs,</w:t>
      </w:r>
      <w:r>
        <w:t xml:space="preserve"> discussed below. A. </w:t>
      </w:r>
      <w:r>
        <w:rPr>
          <w:rStyle w:val="StyleUnderline"/>
        </w:rPr>
        <w:t>Supplemental Priorities for Discretionary Grant Programs</w:t>
      </w:r>
      <w:r>
        <w:t xml:space="preserve">: In 2010 </w:t>
      </w:r>
      <w:r>
        <w:rPr>
          <w:rStyle w:val="StyleUnderline"/>
        </w:rPr>
        <w:t>USDOE included in the supplemental priorities for discretionary grant programs a preference for “projects that are designed to promote student diversity, including racial and ethnic diversity, or avoid racial isolation,”</w:t>
      </w:r>
      <w:r>
        <w:t xml:space="preserve"> in order </w:t>
      </w:r>
      <w:r>
        <w:rPr>
          <w:rStyle w:val="StyleUnderline"/>
        </w:rPr>
        <w:t>to “promote cross-racial understanding, break down racial stereotypes, and prepare students for an increasingly diverse workforce and society</w:t>
      </w:r>
      <w:r>
        <w:t xml:space="preserve">.”15 In 2014 USDOE updated its supplemental priorities for discretionary grant programs, this time expanding the existing diversity preference to include “racial, ethnic, and socioeconomic diversity” for the purpose of “decreasing the racial, ethnic, or socioeconomic isolation of students who are served by the project.”16 The </w:t>
      </w:r>
      <w:r>
        <w:rPr>
          <w:rStyle w:val="StyleUnderline"/>
        </w:rPr>
        <w:t xml:space="preserve">updated diversity preference is 1 of 15 competitive funding priorities listed, and </w:t>
      </w:r>
      <w:r>
        <w:rPr>
          <w:rStyle w:val="Emphasis"/>
        </w:rPr>
        <w:t>permits</w:t>
      </w:r>
      <w:r>
        <w:rPr>
          <w:rStyle w:val="StyleUnderline"/>
        </w:rPr>
        <w:t xml:space="preserve">, </w:t>
      </w:r>
      <w:r>
        <w:rPr>
          <w:rStyle w:val="Emphasis"/>
        </w:rPr>
        <w:t>but does not require</w:t>
      </w:r>
      <w:r>
        <w:rPr>
          <w:rStyle w:val="StyleUnderline"/>
        </w:rPr>
        <w:t xml:space="preserve">, school diversity to be included in the point system for competitive grants. </w:t>
      </w:r>
      <w:r>
        <w:t xml:space="preserve">The programs that are listed in this section are all competitive or discretionary grant programs. On June 8, 2016, </w:t>
      </w:r>
      <w:r>
        <w:rPr>
          <w:rStyle w:val="StyleUnderline"/>
        </w:rPr>
        <w:t xml:space="preserve">USDOE proposed an additional supplemental priority focused on supporting socioeconomic integration strategies. </w:t>
      </w:r>
      <w:r>
        <w:t xml:space="preserve">17 </w:t>
      </w:r>
      <w:r>
        <w:rPr>
          <w:rStyle w:val="StyleUnderline"/>
        </w:rPr>
        <w:t xml:space="preserve">This proposed priority would supplement, rather than replace, the 2014 diversity priority for discretionary grant programs. </w:t>
      </w:r>
      <w:r>
        <w:t xml:space="preserve">Specifically, </w:t>
      </w:r>
      <w:r>
        <w:rPr>
          <w:rStyle w:val="StyleUnderline"/>
        </w:rPr>
        <w:t xml:space="preserve">the new priority supports </w:t>
      </w:r>
      <w:r>
        <w:t xml:space="preserve">the </w:t>
      </w:r>
      <w:r>
        <w:rPr>
          <w:rStyle w:val="Emphasis"/>
        </w:rPr>
        <w:t>identification of socioeconomic isolation and barriers to integration, developing technical assistance regarding socioeconomic integration strategies, the design and implementation of alternative funding strategies, and evidence-based strategies to be carried out intra-district, interdistrict, or regionally, in coordination with other relevant governmental entities.</w:t>
      </w:r>
      <w:r>
        <w:t xml:space="preserve"> In conjunction with a recent letter released by the U.S. Departments of Education, Transportation, and Housing and Urban Development, 18 the inter-agency </w:t>
      </w:r>
      <w:r>
        <w:rPr>
          <w:rStyle w:val="StyleUnderline"/>
        </w:rPr>
        <w:t xml:space="preserve">cooperation supported </w:t>
      </w:r>
      <w:r>
        <w:t xml:space="preserve">by this proposed supplemental priority </w:t>
      </w:r>
      <w:r>
        <w:rPr>
          <w:rStyle w:val="StyleUnderline"/>
        </w:rPr>
        <w:t>indicates</w:t>
      </w:r>
      <w:r>
        <w:t xml:space="preserve"> </w:t>
      </w:r>
      <w:r>
        <w:rPr>
          <w:rStyle w:val="StyleUnderline"/>
        </w:rPr>
        <w:t>the Obama Administration’s recognition that socioeconomic segregation must be addressed through multiple avenues to meet with sustained success.</w:t>
      </w:r>
    </w:p>
    <w:p w:rsidR="002A5800" w:rsidRDefault="002A5800" w:rsidP="002A5800">
      <w:pPr>
        <w:pStyle w:val="Heading4"/>
        <w:rPr>
          <w:sz w:val="26"/>
        </w:rPr>
      </w:pPr>
      <w:r>
        <w:t>Competitive grants solve deseg ---  incentivize compliance</w:t>
      </w:r>
    </w:p>
    <w:p w:rsidR="002A5800" w:rsidRDefault="002A5800" w:rsidP="002A5800">
      <w:r>
        <w:rPr>
          <w:rStyle w:val="Style13ptBold"/>
        </w:rPr>
        <w:t xml:space="preserve">Brown 15 – </w:t>
      </w:r>
      <w:r>
        <w:rPr>
          <w:rStyle w:val="Style13ptBold"/>
          <w:b w:val="0"/>
          <w:sz w:val="22"/>
        </w:rPr>
        <w:t xml:space="preserve">wash post journalist. </w:t>
      </w:r>
      <w:r>
        <w:t>(Emma Brown, 12/11/15, “Will the Obama administration now focus on desegregating schools?”, Washington Post. https://www.washingtonpost.com/local/education/will-the-obama-administration-now-focus-on-desegregating-schools/2015/10/11/625a0f8a-6e27-11e5-9bfe-e59f5e244f92_story.html?utm_term=.60e3f687d551)//Et</w:t>
      </w:r>
    </w:p>
    <w:p w:rsidR="002A5800" w:rsidRDefault="002A5800" w:rsidP="002A5800">
      <w:r>
        <w:rPr>
          <w:rStyle w:val="StyleUnderline"/>
        </w:rPr>
        <w:t>Kahlenberg has written frequently about the power of socioeconomic integration</w:t>
      </w:r>
      <w:r>
        <w:t xml:space="preserve">; research has shown that poor children do better in mixed-income classrooms than in segregated ones, and middle-class children are no worse off. He said he met with King privately and was convinced </w:t>
      </w:r>
      <w:r>
        <w:rPr>
          <w:rStyle w:val="StyleUnderline"/>
        </w:rPr>
        <w:t xml:space="preserve">that the next education secretary is serious about trying to encourage school integration. </w:t>
      </w:r>
      <w:r>
        <w:t xml:space="preserve">“President Obama has been taking on issues toward the end of his term that he wouldn’t touch in earlier years. So to me, the moment is ripe for the administration to take some important steps on integration,” Kahlenberg said. “You have a new secretary of education who is deeply committed to the issue. You have a president who appears willing to expend some political capital toward the end of his term to address issues that are important to him. And you have the backdrop of unrest in a number of segregated urban areas. There’s more focus on this issue than there has been in a long time.” Journalist Nikole Hannah-Jones has chronicled </w:t>
      </w:r>
      <w:r>
        <w:rPr>
          <w:rStyle w:val="StyleUnderline"/>
        </w:rPr>
        <w:t>a resurgence of segregated schools as courts have released districts from desegregation orders over the past several decades.</w:t>
      </w:r>
      <w:r>
        <w:t xml:space="preserve"> She wondered why </w:t>
      </w:r>
      <w:r>
        <w:rPr>
          <w:rStyle w:val="StyleUnderline"/>
        </w:rPr>
        <w:t>Duncan</w:t>
      </w:r>
      <w:r>
        <w:t xml:space="preserve">, arguably the most powerful education secretary in history, </w:t>
      </w:r>
      <w:r>
        <w:rPr>
          <w:rStyle w:val="StyleUnderline"/>
        </w:rPr>
        <w:t>didn’t use the tools at his disposal</w:t>
      </w:r>
      <w:r>
        <w:t xml:space="preserve"> </w:t>
      </w:r>
      <w:r>
        <w:rPr>
          <w:rStyle w:val="Emphasis"/>
        </w:rPr>
        <w:t>— such as the multibillion-dollar Race to the Top grant program</w:t>
      </w:r>
      <w:r>
        <w:t xml:space="preserve"> — </w:t>
      </w:r>
      <w:r>
        <w:rPr>
          <w:rStyle w:val="StyleUnderline"/>
        </w:rPr>
        <w:t xml:space="preserve">to encourage school integration. </w:t>
      </w:r>
      <w:r>
        <w:t xml:space="preserve">In an August episode of the radio show “This American Life,” Hannah-Jones and fellow journalist Chana Joffe-Walt asked Duncan to explain, especially given that he said the administration cared deeply about addressing the problem of segregated classrooms. “I think it would have been very difficult to get that through Congress at that point,” Duncan said in response. “Congress had to approve this. And there were other tools to try and get at this.” Activists’ hopes that King will move more aggressively on this front were stoked last month when he spoke at a conference of the National Coalition on School Diversity in Washington. Must Reads 5 stories you can't afford to miss, every Saturday. Sign up </w:t>
      </w:r>
      <w:r>
        <w:rPr>
          <w:rStyle w:val="StyleUnderline"/>
        </w:rPr>
        <w:t>King told t</w:t>
      </w:r>
      <w:r>
        <w:t xml:space="preserve">he </w:t>
      </w:r>
      <w:r>
        <w:rPr>
          <w:rStyle w:val="StyleUnderline"/>
        </w:rPr>
        <w:t>audience</w:t>
      </w:r>
      <w:r>
        <w:t xml:space="preserve"> of several hundred </w:t>
      </w:r>
      <w:r>
        <w:rPr>
          <w:rStyle w:val="StyleUnderline"/>
        </w:rPr>
        <w:t>that he hopes Congress will take concrete steps to encourage school diversity</w:t>
      </w:r>
      <w:r>
        <w:t xml:space="preserve"> as it works toward a deal to revise No Child Left Behind, the nation’s main federal education law. “I remain hopeful that there are opportunities in the reauthorization to specifically incentivize socioeconomic integration, to take steps that will improve the racial integration of our schools,” he said at the Sept. 25 conference at Howard University Law School. King also said that the </w:t>
      </w:r>
      <w:r>
        <w:rPr>
          <w:rStyle w:val="StyleUnderline"/>
        </w:rPr>
        <w:t xml:space="preserve">department will use </w:t>
      </w:r>
      <w:r>
        <w:rPr>
          <w:rStyle w:val="Emphasis"/>
        </w:rPr>
        <w:t>competitive grants</w:t>
      </w:r>
      <w:r>
        <w:t xml:space="preserve"> </w:t>
      </w:r>
      <w:r>
        <w:rPr>
          <w:rStyle w:val="StyleUnderline"/>
        </w:rPr>
        <w:t>to encourage diversity</w:t>
      </w:r>
      <w:r>
        <w:t xml:space="preserve">, </w:t>
      </w:r>
      <w:r>
        <w:rPr>
          <w:rStyle w:val="StyleUnderline"/>
        </w:rPr>
        <w:t xml:space="preserve">and — nodding to the links between housing and school segregation — said the department is working with other federal agencies on a partnership to create more integrated schools and communities. </w:t>
      </w:r>
      <w:r>
        <w:t>“One thing I think he’s begun to make clear in his own voice is his interest in the subject of integration,” said David M. Steiner, who preceded King as education commissioner of New York. “I think that’s something new. “I’m not saying that no one’s ever mentioned it,” Steiner continued. “But to have someone at that senior level is both brave and timely and complicated. I would never try to guess how John is going to take that issue and run with it, that’s obviously going to be up to him. But it’s clear from the signals that he’s going to focus on it.”</w:t>
      </w:r>
    </w:p>
    <w:p w:rsidR="002A5800" w:rsidRDefault="002A5800" w:rsidP="002A5800">
      <w:pPr>
        <w:pStyle w:val="Heading3"/>
        <w:rPr>
          <w:sz w:val="32"/>
        </w:rPr>
      </w:pPr>
      <w:r>
        <w:t>2NC School Discipline Solvency</w:t>
      </w:r>
    </w:p>
    <w:p w:rsidR="002A5800" w:rsidRDefault="002A5800" w:rsidP="002A5800">
      <w:pPr>
        <w:pStyle w:val="Heading4"/>
      </w:pPr>
      <w:r>
        <w:t xml:space="preserve">Competitive grants successfully incentivize school discipline changes </w:t>
      </w:r>
    </w:p>
    <w:p w:rsidR="002A5800" w:rsidRDefault="002A5800" w:rsidP="002A5800">
      <w:pPr>
        <w:rPr>
          <w:rStyle w:val="Style13ptBold"/>
          <w:b w:val="0"/>
          <w:sz w:val="22"/>
        </w:rPr>
      </w:pPr>
      <w:r>
        <w:rPr>
          <w:rStyle w:val="Style13ptBold"/>
        </w:rPr>
        <w:t xml:space="preserve">Center for Civil Rights Remedies 2013 </w:t>
      </w:r>
      <w:r>
        <w:rPr>
          <w:rStyle w:val="Style13ptBold"/>
          <w:b w:val="0"/>
        </w:rPr>
        <w:t xml:space="preserve">--- </w:t>
      </w:r>
      <w:r>
        <w:rPr>
          <w:rStyle w:val="Style13ptBold"/>
          <w:b w:val="0"/>
          <w:sz w:val="22"/>
        </w:rPr>
        <w:t xml:space="preserve">civil rights research initiative started by former Harvard professors. (1/10/13, “Summary of New Research Closing the School Discipline Gap: Research to Policy”, Civil Rights Project. </w:t>
      </w:r>
      <w:hyperlink r:id="rId30" w:history="1">
        <w:r>
          <w:rPr>
            <w:rStyle w:val="Hyperlink"/>
          </w:rPr>
          <w:t>https://storage.googleapis.com/cbma/downloads/Research_Summary_Closing_the_School_Discipline_Gap-1.pdf)//ET</w:t>
        </w:r>
      </w:hyperlink>
    </w:p>
    <w:p w:rsidR="002A5800" w:rsidRDefault="002A5800" w:rsidP="002A5800">
      <w:pPr>
        <w:rPr>
          <w:rStyle w:val="Emphasis"/>
        </w:rPr>
      </w:pPr>
      <w:r>
        <w:rPr>
          <w:rStyle w:val="Style13ptBold"/>
          <w:b w:val="0"/>
        </w:rPr>
        <w:t xml:space="preserve">3. </w:t>
      </w:r>
      <w:r>
        <w:rPr>
          <w:rStyle w:val="StyleUnderline"/>
        </w:rPr>
        <w:t xml:space="preserve">Some popular, well-intended interventions could be counterproductive. </w:t>
      </w:r>
      <w:r>
        <w:rPr>
          <w:rStyle w:val="Style13ptBold"/>
          <w:b w:val="0"/>
        </w:rPr>
        <w:t xml:space="preserve">• </w:t>
      </w:r>
      <w:r>
        <w:rPr>
          <w:rStyle w:val="StyleUnderline"/>
        </w:rPr>
        <w:t xml:space="preserve">Investing resources in </w:t>
      </w:r>
      <w:r>
        <w:rPr>
          <w:rStyle w:val="Style13ptBold"/>
          <w:b w:val="0"/>
        </w:rPr>
        <w:t>high-</w:t>
      </w:r>
      <w:r>
        <w:rPr>
          <w:rStyle w:val="StyleUnderline"/>
        </w:rPr>
        <w:t>security measures, such</w:t>
      </w:r>
      <w:r>
        <w:rPr>
          <w:rStyle w:val="Style13ptBold"/>
          <w:b w:val="0"/>
        </w:rPr>
        <w:t xml:space="preserve"> as school police and metal detectors, </w:t>
      </w:r>
      <w:r>
        <w:rPr>
          <w:rStyle w:val="StyleUnderline"/>
        </w:rPr>
        <w:t>could be counterproductive</w:t>
      </w:r>
      <w:r>
        <w:rPr>
          <w:rStyle w:val="Style13ptBold"/>
          <w:b w:val="0"/>
        </w:rPr>
        <w:t xml:space="preserve">, especially for students of color. In Cleveland, a package of supportive programs, counselors, and positive interventions succeeded where more police and metal detectors did not (Osher). Another districtwide study demonstrated that, after controlling for race and poverty, high-security elements such as metal detectors and school police were associated with higher use of out-of-school suspensions, especially for Black and Latino students (Finn). • Alternative disciplinary schools may be making matters worse (Vanderhaar). Alternative disciplinary schools could help persistently misbehaving students stay in school if they were to receive academic instruction and interventions that teach successful behaviors. However, disciplinary alternatives that lack the necessary supports and an engaging curriculum can be gateways to prison. One longitudinal analysis of alternative schools in a large urban district suggests that the schools contributed to racial disparities in disciplinary exclusion and found a strong relationship between disciplinary alternative school placement and subsequent juvenile detention. </w:t>
      </w:r>
      <w:r>
        <w:rPr>
          <w:rStyle w:val="StyleUnderline"/>
        </w:rPr>
        <w:t xml:space="preserve">These findings raise serious doubts about the efficacy of disciplinary alternative schools as a strategy for improving the behavior of disruptive youth. </w:t>
      </w:r>
      <w:r>
        <w:rPr>
          <w:rStyle w:val="Emphasis"/>
        </w:rPr>
        <w:t xml:space="preserve">Policy Recommendations </w:t>
      </w:r>
      <w:r>
        <w:t xml:space="preserve">1. Annually collect, publicly report, and use discipline data. • Require states and districts to publicly report disaggregated data annually, including the number of students suspended, the number of incidents, reasons for out-of-school suspensions, and days of lost instruction, and do so by school level (elementary, middle, and high). Ensure that the reported data are disaggregated by race/ethnicity, gender, English learner status, and disability status. 6 • Ensure better monitoring and public reporting of discipline reporting requirements of the Individuals with Disabilities Education Act. These include incidents and their duration, and require disaggregation by race/ethnicity, gender, and English learner status. Expand these statutory requirements to the Elementary and Secondary Education Act. 2. </w:t>
      </w:r>
      <w:r>
        <w:rPr>
          <w:rStyle w:val="Emphasis"/>
        </w:rPr>
        <w:t>Encourage alignment of discipline policies with educational mission and goals.</w:t>
      </w:r>
      <w:r>
        <w:t xml:space="preserve"> • </w:t>
      </w:r>
      <w:r>
        <w:rPr>
          <w:rStyle w:val="StyleUnderline"/>
        </w:rPr>
        <w:t>Include suspension rates among the factors schools and districts use to measure the performance of secondary schools, and as “early warning” systems to target supportive interventions</w:t>
      </w:r>
      <w:r>
        <w:t xml:space="preserve">. </w:t>
      </w:r>
      <w:r>
        <w:rPr>
          <w:rStyle w:val="Emphasis"/>
        </w:rPr>
        <w:t>Include incentives in competitive grant programs</w:t>
      </w:r>
      <w:r>
        <w:t xml:space="preserve"> </w:t>
      </w:r>
      <w:r>
        <w:rPr>
          <w:rStyle w:val="StyleUnderline"/>
        </w:rPr>
        <w:t>for districts to develop early warning indicators for both schools and students.</w:t>
      </w:r>
      <w:r>
        <w:t xml:space="preserve"> </w:t>
      </w:r>
      <w:r>
        <w:rPr>
          <w:rStyle w:val="Emphasis"/>
        </w:rPr>
        <w:t>• Leverage competitive grants to incentivize revisions of school discipline codes to align with the principles of PBIS, social and emotional learning, and restorative practices.</w:t>
      </w:r>
    </w:p>
    <w:p w:rsidR="002A5800" w:rsidRDefault="002A5800" w:rsidP="002A5800">
      <w:pPr>
        <w:pStyle w:val="Heading4"/>
        <w:rPr>
          <w:rStyle w:val="Emphasis"/>
          <w:b/>
          <w:szCs w:val="26"/>
          <w:u w:val="none"/>
        </w:rPr>
      </w:pPr>
      <w:r>
        <w:rPr>
          <w:rStyle w:val="Emphasis"/>
          <w:b/>
          <w:iCs/>
          <w:szCs w:val="26"/>
        </w:rPr>
        <w:t>Competitive grants overcome any deficits --- improve capacity, enforcement, and accountability</w:t>
      </w:r>
    </w:p>
    <w:p w:rsidR="002A5800" w:rsidRDefault="002A5800" w:rsidP="002A5800">
      <w:pPr>
        <w:rPr>
          <w:rStyle w:val="Style13ptBold"/>
          <w:b w:val="0"/>
          <w:sz w:val="22"/>
        </w:rPr>
      </w:pPr>
      <w:r>
        <w:rPr>
          <w:rStyle w:val="Style13ptBold"/>
        </w:rPr>
        <w:t xml:space="preserve">DOE 14 </w:t>
      </w:r>
      <w:r>
        <w:rPr>
          <w:rStyle w:val="Style13ptBold"/>
          <w:b w:val="0"/>
          <w:sz w:val="22"/>
        </w:rPr>
        <w:t>(10/3/14, “School Climate Transformation Grant - Local Educational Agency Grants”, https://www2.ed.gov/programs/schoolclimatelea/index.html?exp=0)//ET</w:t>
      </w:r>
    </w:p>
    <w:p w:rsidR="002A5800" w:rsidRDefault="002A5800" w:rsidP="002A5800">
      <w:pPr>
        <w:rPr>
          <w:rStyle w:val="StyleUnderline"/>
        </w:rPr>
      </w:pPr>
      <w:r>
        <w:t xml:space="preserve">PROGRAM DESCRIPTION The </w:t>
      </w:r>
      <w:r>
        <w:rPr>
          <w:rStyle w:val="StyleUnderline"/>
        </w:rPr>
        <w:t>School Climate Transformation Grant</w:t>
      </w:r>
      <w:r>
        <w:t xml:space="preserve">—Local Educational Agency </w:t>
      </w:r>
      <w:r>
        <w:rPr>
          <w:rStyle w:val="Emphasis"/>
        </w:rPr>
        <w:t xml:space="preserve">Program provides competitive grants </w:t>
      </w:r>
      <w:r>
        <w:rPr>
          <w:rStyle w:val="StyleUnderline"/>
        </w:rPr>
        <w:t xml:space="preserve">to local educational agencies (LEAs) to develop, enhance, or expand systems of support for, and technical assistance to, schools implementing an evidence-based multi-tiered behavioral framework for improving behavioral outcomes and learning conditions for all students. </w:t>
      </w:r>
      <w:r>
        <w:t xml:space="preserve">TYPES OF PROJECTS </w:t>
      </w:r>
      <w:r>
        <w:rPr>
          <w:rStyle w:val="StyleUnderline"/>
        </w:rPr>
        <w:t>Projects</w:t>
      </w:r>
      <w:r>
        <w:t xml:space="preserve"> should: (1) </w:t>
      </w:r>
      <w:r>
        <w:rPr>
          <w:rStyle w:val="StyleUnderline"/>
        </w:rPr>
        <w:t xml:space="preserve">build capacity for implementing a </w:t>
      </w:r>
      <w:r>
        <w:rPr>
          <w:rStyle w:val="Emphasis"/>
        </w:rPr>
        <w:t>sustained</w:t>
      </w:r>
      <w:r>
        <w:rPr>
          <w:rStyle w:val="StyleUnderline"/>
        </w:rPr>
        <w:t>,</w:t>
      </w:r>
      <w:r>
        <w:t xml:space="preserve"> </w:t>
      </w:r>
      <w:r>
        <w:rPr>
          <w:rStyle w:val="StyleUnderline"/>
        </w:rPr>
        <w:t>school-wide multi-tiered behavioral framework</w:t>
      </w:r>
      <w:r>
        <w:rPr>
          <w:rStyle w:val="Emphasis"/>
        </w:rPr>
        <w:t>;</w:t>
      </w:r>
      <w:r>
        <w:t xml:space="preserve"> (2) </w:t>
      </w:r>
      <w:r>
        <w:rPr>
          <w:rStyle w:val="StyleUnderline"/>
        </w:rPr>
        <w:t xml:space="preserve">enhance capacity by </w:t>
      </w:r>
      <w:r>
        <w:rPr>
          <w:rStyle w:val="Emphasis"/>
        </w:rPr>
        <w:t>providing training and technical assistance</w:t>
      </w:r>
      <w:r>
        <w:rPr>
          <w:rStyle w:val="StyleUnderline"/>
        </w:rPr>
        <w:t xml:space="preserve"> to schools</w:t>
      </w:r>
      <w:r>
        <w:t>; and (3</w:t>
      </w:r>
      <w:r>
        <w:rPr>
          <w:rStyle w:val="StyleUnderline"/>
        </w:rPr>
        <w:t>) include an assurance that the applicant will work with a technical assistance provider, such as the PBIS Technical Assistance Center funded by the Department, to ensure that technical assistance related to implementing program activities is provided.</w:t>
      </w:r>
    </w:p>
    <w:p w:rsidR="002A5800" w:rsidRDefault="002A5800" w:rsidP="002A5800"/>
    <w:p w:rsidR="002A5800" w:rsidRDefault="002A5800" w:rsidP="002A5800"/>
    <w:p w:rsidR="002A5800" w:rsidRDefault="002A5800" w:rsidP="002A5800">
      <w:pPr>
        <w:pStyle w:val="Heading2"/>
      </w:pPr>
      <w:r>
        <w:t>AT solvency deficits</w:t>
      </w:r>
    </w:p>
    <w:p w:rsidR="002A5800" w:rsidRDefault="002A5800" w:rsidP="002A5800">
      <w:pPr>
        <w:pStyle w:val="Heading3"/>
      </w:pPr>
      <w:r>
        <w:t>AT generic deficits</w:t>
      </w:r>
    </w:p>
    <w:p w:rsidR="002A5800" w:rsidRDefault="002A5800" w:rsidP="002A5800">
      <w:pPr>
        <w:pStyle w:val="Heading4"/>
      </w:pPr>
      <w:r>
        <w:t xml:space="preserve">None of their ev assumes the distinct funding and review mechanism of the cp which avoids all their deficits </w:t>
      </w:r>
    </w:p>
    <w:p w:rsidR="002A5800" w:rsidRDefault="002A5800" w:rsidP="002A5800">
      <w:pPr>
        <w:rPr>
          <w:bCs/>
        </w:rPr>
      </w:pPr>
      <w:r>
        <w:rPr>
          <w:rStyle w:val="Style13ptBold"/>
        </w:rPr>
        <w:t>West 15</w:t>
      </w:r>
      <w:r>
        <w:rPr>
          <w:rStyle w:val="Style13ptBold"/>
          <w:b w:val="0"/>
        </w:rPr>
        <w:t xml:space="preserve"> --- </w:t>
      </w:r>
      <w:r>
        <w:rPr>
          <w:rStyle w:val="Style13ptBold"/>
          <w:b w:val="0"/>
          <w:sz w:val="22"/>
        </w:rPr>
        <w:t>nonresident senior fellow in Economic Studies at Brookings.</w:t>
      </w:r>
      <w:r>
        <w:rPr>
          <w:rStyle w:val="Style13ptBold"/>
        </w:rPr>
        <w:t xml:space="preserve"> </w:t>
      </w:r>
      <w:r>
        <w:rPr>
          <w:rStyle w:val="Style13ptBold"/>
          <w:b w:val="0"/>
          <w:sz w:val="22"/>
        </w:rPr>
        <w:t>(Martin, 2/19/15, “Preserving the federal role in encouraging and evaluating education innovation”, Brookings. https://www.brookings.edu/research/preserving-the-federal-role-in-encouraging-and-evaluating-education-innovation/)//ET</w:t>
      </w:r>
    </w:p>
    <w:p w:rsidR="002A5800" w:rsidRDefault="002A5800" w:rsidP="002A5800">
      <w:pPr>
        <w:rPr>
          <w:rStyle w:val="StyleUnderline"/>
        </w:rPr>
      </w:pPr>
      <w:r>
        <w:rPr>
          <w:sz w:val="14"/>
        </w:rPr>
        <w:t xml:space="preserve">Those bills do not, however, include </w:t>
      </w:r>
      <w:r>
        <w:rPr>
          <w:rStyle w:val="StyleUnderline"/>
        </w:rPr>
        <w:t>the Investing in Innovation fund</w:t>
      </w:r>
      <w:r>
        <w:rPr>
          <w:sz w:val="14"/>
        </w:rPr>
        <w:t xml:space="preserve"> (i3), </w:t>
      </w:r>
      <w:r>
        <w:rPr>
          <w:rStyle w:val="StyleUnderline"/>
        </w:rPr>
        <w:t>the second major competitive grant program created through the stimulus package.</w:t>
      </w:r>
      <w:r>
        <w:rPr>
          <w:sz w:val="14"/>
        </w:rPr>
        <w:t xml:space="preserve"> Initially funded at $650 million, i3 allowed school districts, charter schools, and non-profit organizations working in partnership with one of those entities to apply for grants to support innovative programs aligned with one of four broadly defined federal priorities (e.g., supporting effective teachers and principals or improving the use of data). In other words, i3 was broad in its focus but avoided prescription with respect to the design of the programs eligible for federal support. The origins and implementation of i3 have been ably chronicled by Ron Haskins and Greg Margolis, who present </w:t>
      </w:r>
      <w:r>
        <w:rPr>
          <w:rStyle w:val="StyleUnderline"/>
        </w:rPr>
        <w:t>the program</w:t>
      </w:r>
      <w:r>
        <w:rPr>
          <w:sz w:val="14"/>
        </w:rPr>
        <w:t xml:space="preserve"> as a </w:t>
      </w:r>
      <w:r>
        <w:rPr>
          <w:rStyle w:val="StyleUnderline"/>
        </w:rPr>
        <w:t>cornerstone of the Obama administration’s broader efforts to base spending on social programs on rigorous evidence</w:t>
      </w:r>
      <w:r>
        <w:rPr>
          <w:sz w:val="14"/>
        </w:rPr>
        <w:t xml:space="preserve">. Two specific aspects of the design of i3 are especially noteworthy. First, </w:t>
      </w:r>
      <w:r>
        <w:rPr>
          <w:rStyle w:val="StyleUnderline"/>
        </w:rPr>
        <w:t>the competition used a tiered evidence model to align the amount of funding a program could receive to the strength of the evidence to support its effectiveness</w:t>
      </w:r>
      <w:r>
        <w:rPr>
          <w:sz w:val="14"/>
        </w:rPr>
        <w:t xml:space="preserve">. Second, </w:t>
      </w:r>
      <w:r>
        <w:rPr>
          <w:rStyle w:val="StyleUnderline"/>
        </w:rPr>
        <w:t>grant winners were required to conduct rigorous evaluations and were selected in part based on the quality of their proposed evaluation design.</w:t>
      </w:r>
      <w:r>
        <w:rPr>
          <w:sz w:val="14"/>
        </w:rPr>
        <w:t xml:space="preserve">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 A competitive grant program that includes these design elements need not be called i3. Indeed, it need not be drafted as a standalone program at all. The </w:t>
      </w:r>
      <w:r>
        <w:rPr>
          <w:rStyle w:val="StyleUnderline"/>
        </w:rPr>
        <w:t>Coalition for Evidence-Based Policy</w:t>
      </w:r>
      <w:r>
        <w:rPr>
          <w:sz w:val="14"/>
        </w:rPr>
        <w:t xml:space="preserve"> </w:t>
      </w:r>
      <w:r>
        <w:rPr>
          <w:rStyle w:val="StyleUnderline"/>
        </w:rPr>
        <w:t>has proposed language that would simply allow the Department of Education to reserve up to one percent of funding of all ESEA programs</w:t>
      </w:r>
      <w:r>
        <w:rPr>
          <w:sz w:val="14"/>
        </w:rPr>
        <w:t xml:space="preserve"> (except Title I) </w:t>
      </w:r>
      <w:r>
        <w:rPr>
          <w:rStyle w:val="StyleUnderline"/>
        </w:rPr>
        <w:t>to award grants for innovation and research, with grant amounts based on the tiered evidence model used in i3. The proposal is modeled on the Small Business Innovation Research program under which 11 federal agencies since 1982 have set aside a small percentage of their budgets to award grants to small companies engaged in the development</w:t>
      </w:r>
      <w:r>
        <w:rPr>
          <w:sz w:val="14"/>
        </w:rPr>
        <w:t xml:space="preserve"> and evaluation </w:t>
      </w:r>
      <w:r>
        <w:rPr>
          <w:rStyle w:val="StyleUnderline"/>
        </w:rPr>
        <w:t>of new technologies.</w:t>
      </w:r>
      <w:r>
        <w:rPr>
          <w:sz w:val="14"/>
        </w:rPr>
        <w:t xml:space="preserve"> As the Coalition notes, </w:t>
      </w:r>
      <w:r>
        <w:rPr>
          <w:rStyle w:val="StyleUnderline"/>
        </w:rPr>
        <w:t xml:space="preserve">both the </w:t>
      </w:r>
      <w:r>
        <w:rPr>
          <w:rStyle w:val="Emphasis"/>
        </w:rPr>
        <w:t>G</w:t>
      </w:r>
      <w:r>
        <w:rPr>
          <w:rStyle w:val="StyleUnderline"/>
        </w:rPr>
        <w:t xml:space="preserve">overnment </w:t>
      </w:r>
      <w:r>
        <w:rPr>
          <w:rStyle w:val="Emphasis"/>
        </w:rPr>
        <w:t>A</w:t>
      </w:r>
      <w:r>
        <w:rPr>
          <w:rStyle w:val="StyleUnderline"/>
        </w:rPr>
        <w:t>ccountability</w:t>
      </w:r>
      <w:r>
        <w:rPr>
          <w:rStyle w:val="Emphasis"/>
        </w:rPr>
        <w:t xml:space="preserve"> o</w:t>
      </w:r>
      <w:r>
        <w:rPr>
          <w:rStyle w:val="StyleUnderline"/>
        </w:rPr>
        <w:t xml:space="preserve">ffice and the National Academy of Sciences have offered consistently </w:t>
      </w:r>
      <w:r>
        <w:rPr>
          <w:rStyle w:val="Emphasis"/>
        </w:rPr>
        <w:t>positive assessments of the program’s success</w:t>
      </w:r>
      <w:r>
        <w:rPr>
          <w:sz w:val="14"/>
        </w:rPr>
        <w:t xml:space="preserve">. Importantly, </w:t>
      </w:r>
      <w:r>
        <w:rPr>
          <w:rStyle w:val="StyleUnderline"/>
        </w:rPr>
        <w:t xml:space="preserve">the proposal like SBIR would </w:t>
      </w:r>
      <w:r>
        <w:rPr>
          <w:rStyle w:val="Emphasis"/>
        </w:rPr>
        <w:t>include small businesses as eligible grantees, addressing</w:t>
      </w:r>
      <w:r>
        <w:rPr>
          <w:rStyle w:val="StyleUnderline"/>
        </w:rPr>
        <w:t xml:space="preserve"> a </w:t>
      </w:r>
      <w:r>
        <w:rPr>
          <w:rStyle w:val="Emphasis"/>
        </w:rPr>
        <w:t>shortcoming</w:t>
      </w:r>
      <w:r>
        <w:rPr>
          <w:rStyle w:val="StyleUnderline"/>
        </w:rPr>
        <w:t xml:space="preserve"> of the original i3 program that arguably limited the types of innovations proposed. </w:t>
      </w:r>
      <w:r>
        <w:rPr>
          <w:sz w:val="14"/>
        </w:rPr>
        <w:t xml:space="preserve">The </w:t>
      </w:r>
      <w:r>
        <w:rPr>
          <w:rStyle w:val="StyleUnderline"/>
        </w:rPr>
        <w:t>Coalition’s proposal could be strengthened by giving the Institute of Education Sciences the lead role in assessing the strength of applicants’ evidence of effectiveness</w:t>
      </w:r>
      <w:r>
        <w:rPr>
          <w:sz w:val="14"/>
        </w:rPr>
        <w:t xml:space="preserve"> and in supporting required evaluation activities. The </w:t>
      </w:r>
      <w:r>
        <w:rPr>
          <w:rStyle w:val="StyleUnderline"/>
        </w:rPr>
        <w:t>risk with these competitions when carried out by the Office of the Secretary is that they become politicized</w:t>
      </w:r>
      <w:r>
        <w:rPr>
          <w:sz w:val="14"/>
        </w:rPr>
        <w:t xml:space="preserve">, that they </w:t>
      </w:r>
      <w:r>
        <w:rPr>
          <w:rStyle w:val="StyleUnderline"/>
        </w:rPr>
        <w:t>are judged by review panels without methodological competence, and that they are overseen, once awarded, by career staff in program offices that do not have the background to monitor what is, at root, a program evaluation grant</w:t>
      </w:r>
      <w:r>
        <w:rPr>
          <w:sz w:val="14"/>
        </w:rPr>
        <w:t xml:space="preserve">. </w:t>
      </w:r>
      <w:r>
        <w:rPr>
          <w:rStyle w:val="Emphasis"/>
        </w:rPr>
        <w:t>These</w:t>
      </w:r>
      <w:r>
        <w:rPr>
          <w:sz w:val="14"/>
        </w:rPr>
        <w:t xml:space="preserve"> risks </w:t>
      </w:r>
      <w:r>
        <w:rPr>
          <w:rStyle w:val="Emphasis"/>
        </w:rPr>
        <w:t>could be substantially reduced if the competition were funded as a line item in the IES budget, with statutory language requiring that review panels include both practitioners and researchers. Properly designed competitive grant programs</w:t>
      </w:r>
      <w:r>
        <w:rPr>
          <w:sz w:val="14"/>
        </w:rPr>
        <w:t xml:space="preserve"> </w:t>
      </w:r>
      <w:r>
        <w:rPr>
          <w:rStyle w:val="StyleUnderline"/>
        </w:rPr>
        <w:t>provide an opportunity for Congress to target resources at federal priorities and encourage innovative problem-solving while avoiding federal mandates</w:t>
      </w:r>
      <w:r>
        <w:rPr>
          <w:sz w:val="14"/>
        </w:rPr>
        <w:t xml:space="preserve">. </w:t>
      </w:r>
      <w:r>
        <w:rPr>
          <w:rStyle w:val="StyleUnderline"/>
        </w:rPr>
        <w:t>They should</w:t>
      </w:r>
      <w:r>
        <w:rPr>
          <w:sz w:val="14"/>
        </w:rPr>
        <w:t xml:space="preserve"> avoid prescription and both </w:t>
      </w:r>
      <w:r>
        <w:rPr>
          <w:rStyle w:val="StyleUnderline"/>
        </w:rPr>
        <w:t>reward and produce rigorous evidence</w:t>
      </w:r>
      <w:r>
        <w:rPr>
          <w:sz w:val="14"/>
        </w:rPr>
        <w:t xml:space="preserve">, thus </w:t>
      </w:r>
      <w:r>
        <w:rPr>
          <w:rStyle w:val="StyleUnderline"/>
        </w:rPr>
        <w:t xml:space="preserve">increasing the share of education dollars spent on evidence-based programs </w:t>
      </w:r>
      <w:r>
        <w:rPr>
          <w:sz w:val="14"/>
        </w:rPr>
        <w:t>while at the same time fulf</w:t>
      </w:r>
      <w:r>
        <w:rPr>
          <w:rStyle w:val="StyleUnderline"/>
        </w:rPr>
        <w:t>illing the federal government’s unique responsibility for producing and disseminating high-quality evidence on the best ways to improve American schools.</w:t>
      </w:r>
      <w:r>
        <w:rPr>
          <w:sz w:val="14"/>
        </w:rPr>
        <w:t xml:space="preserve"> The i3 program was a promising step in this direction. </w:t>
      </w:r>
      <w:r>
        <w:rPr>
          <w:rStyle w:val="StyleUnderline"/>
        </w:rPr>
        <w:t>It would be unfortunate if Congress were to miss the opportunity to make something similar a permanent feature of ESEA.</w:t>
      </w:r>
    </w:p>
    <w:p w:rsidR="002A5800" w:rsidRDefault="002A5800" w:rsidP="002A5800">
      <w:pPr>
        <w:pStyle w:val="Heading3"/>
        <w:rPr>
          <w:sz w:val="32"/>
        </w:rPr>
      </w:pPr>
      <w:r>
        <w:t>AT equity deficit</w:t>
      </w:r>
    </w:p>
    <w:p w:rsidR="002A5800" w:rsidRDefault="002A5800" w:rsidP="002A5800">
      <w:pPr>
        <w:pStyle w:val="Heading4"/>
      </w:pPr>
      <w:r>
        <w:t xml:space="preserve">States budgets are </w:t>
      </w:r>
      <w:r>
        <w:rPr>
          <w:u w:val="single"/>
        </w:rPr>
        <w:t xml:space="preserve">cash strapped </w:t>
      </w:r>
      <w:r>
        <w:t xml:space="preserve">and they’ll latch onto </w:t>
      </w:r>
      <w:r>
        <w:rPr>
          <w:u w:val="single"/>
        </w:rPr>
        <w:t xml:space="preserve">any federal education grants </w:t>
      </w:r>
      <w:r>
        <w:t>for help</w:t>
      </w:r>
    </w:p>
    <w:p w:rsidR="002A5800" w:rsidRDefault="002A5800" w:rsidP="002A5800">
      <w:r>
        <w:rPr>
          <w:rStyle w:val="Style13ptBold"/>
        </w:rPr>
        <w:t xml:space="preserve">Lav and Leachman 2017 </w:t>
      </w:r>
      <w:r>
        <w:rPr>
          <w:rStyle w:val="Style13ptBold"/>
          <w:b w:val="0"/>
        </w:rPr>
        <w:t xml:space="preserve">– </w:t>
      </w:r>
      <w:r>
        <w:rPr>
          <w:rStyle w:val="Style13ptBold"/>
          <w:b w:val="0"/>
          <w:sz w:val="22"/>
        </w:rPr>
        <w:t xml:space="preserve">Lav, senior fellow at CBPP. Leachman, director of state fiscal research at CBPP. </w:t>
      </w:r>
      <w:r>
        <w:t>(IRIS J. LAV  and MICHAEL LEACHMAN, 3/13/17, “At Risk: Federal Grants to State and Local Governments”, Center on Budget and Policy Priorities. https://www.cbpp.org/research/state-budget-and-tax/at-risk-federal-grants-to-state-and-local-governments)//ET</w:t>
      </w:r>
    </w:p>
    <w:p w:rsidR="002A5800" w:rsidRDefault="002A5800" w:rsidP="002A5800">
      <w:pPr>
        <w:rPr>
          <w:u w:val="single"/>
        </w:rPr>
      </w:pPr>
      <w:r>
        <w:rPr>
          <w:rStyle w:val="StyleUnderline"/>
        </w:rPr>
        <w:t>Federal funds that go to state and local governments as grants help finance critical programs and services on which residents of every state rely.</w:t>
      </w:r>
      <w:r>
        <w:rPr>
          <w:sz w:val="12"/>
        </w:rPr>
        <w:t xml:space="preserve">[1] </w:t>
      </w:r>
      <w:r>
        <w:rPr>
          <w:rStyle w:val="StyleUnderline"/>
        </w:rPr>
        <w:t xml:space="preserve">These </w:t>
      </w:r>
      <w:r>
        <w:rPr>
          <w:rStyle w:val="Emphasis"/>
        </w:rPr>
        <w:t>grants</w:t>
      </w:r>
      <w:r>
        <w:rPr>
          <w:rStyle w:val="StyleUnderline"/>
        </w:rPr>
        <w:t>,</w:t>
      </w:r>
      <w:r>
        <w:rPr>
          <w:sz w:val="12"/>
        </w:rPr>
        <w:t xml:space="preserve"> and the programs they support, </w:t>
      </w:r>
      <w:r>
        <w:rPr>
          <w:rStyle w:val="Emphasis"/>
        </w:rPr>
        <w:t>are at serious risk of being substantially diminished</w:t>
      </w:r>
      <w:r>
        <w:rPr>
          <w:sz w:val="12"/>
        </w:rPr>
        <w:t xml:space="preserve"> or eliminated, </w:t>
      </w:r>
      <w:r>
        <w:rPr>
          <w:rStyle w:val="StyleUnderline"/>
        </w:rPr>
        <w:t>based on proposals from President Trump and congressional Republicans.</w:t>
      </w:r>
      <w:r>
        <w:rPr>
          <w:sz w:val="12"/>
        </w:rPr>
        <w:t xml:space="preserve"> </w:t>
      </w:r>
      <w:r>
        <w:rPr>
          <w:rStyle w:val="StyleUnderline"/>
        </w:rPr>
        <w:t>These programs are too important</w:t>
      </w:r>
      <w:r>
        <w:rPr>
          <w:sz w:val="12"/>
        </w:rPr>
        <w:t xml:space="preserve">, particularly to low- and moderate-income people, to be considered as available resources that can be cut — either immediately or over time — </w:t>
      </w:r>
      <w:r>
        <w:rPr>
          <w:rStyle w:val="StyleUnderline"/>
        </w:rPr>
        <w:t>to reduce the overall budget</w:t>
      </w:r>
      <w:r>
        <w:rPr>
          <w:sz w:val="12"/>
        </w:rPr>
        <w:t xml:space="preserve">, to pay for greater defense spending, or to finance other Administration priorities such as deep tax cuts for high-income people. </w:t>
      </w:r>
      <w:r>
        <w:rPr>
          <w:rStyle w:val="StyleUnderline"/>
        </w:rPr>
        <w:t>Grants matter to state and local budgets. Federal spending in the form of mandatory and discretionary grants accounts for a large share of state and local government revenues.</w:t>
      </w:r>
      <w:r>
        <w:rPr>
          <w:sz w:val="12"/>
        </w:rPr>
        <w:t xml:space="preserve"> </w:t>
      </w:r>
      <w:r>
        <w:rPr>
          <w:rStyle w:val="Emphasis"/>
        </w:rPr>
        <w:t>Federal grants provide approximately 31 percent of state budgets.</w:t>
      </w:r>
      <w:r>
        <w:rPr>
          <w:sz w:val="12"/>
        </w:rPr>
        <w:t xml:space="preserve"> </w:t>
      </w:r>
      <w:r>
        <w:rPr>
          <w:rStyle w:val="StyleUnderline"/>
        </w:rPr>
        <w:t>Considering state and local budgets together, federal funding provides 22 percent of spending</w:t>
      </w:r>
      <w:r>
        <w:rPr>
          <w:sz w:val="12"/>
        </w:rPr>
        <w:t xml:space="preserve">.[2] The grants support health care, public education, housing, community development, child care, job training, transportation, and clean water, among other programs. </w:t>
      </w:r>
      <w:r>
        <w:rPr>
          <w:rStyle w:val="StyleUnderline"/>
        </w:rPr>
        <w:t xml:space="preserve">Grants are already at </w:t>
      </w:r>
      <w:r>
        <w:rPr>
          <w:rStyle w:val="Emphasis"/>
        </w:rPr>
        <w:t>historically low levels.</w:t>
      </w:r>
      <w:r>
        <w:rPr>
          <w:sz w:val="12"/>
        </w:rPr>
        <w:t xml:space="preserve"> Grants from the mandatory (ongoing) portion of the federal budget for purposes other than Medicaid and the Children’s Health Insurance Program (CHIP) were at a lower share of the economy in 2015, at 0.42 percent of gross domestic product (GDP), than in any year since 1980. Similarly, discretionary (annually appropriated) grants to state and local governments in federal fiscal year 2015 were 1.05 percent of GDP, lower than in all but one year since 1980. If the caps in the 2011 Budget Control Act (BCA), which were lowered by sequestration, remain in place, these grants will likely be cut further. The proposals expected this year to reduce domestic discretionary spending are likely to be in addition to the BCA reductions. </w:t>
      </w:r>
      <w:r>
        <w:rPr>
          <w:rStyle w:val="StyleUnderline"/>
        </w:rPr>
        <w:t xml:space="preserve">Grants are at risk, and </w:t>
      </w:r>
      <w:r>
        <w:rPr>
          <w:rStyle w:val="Emphasis"/>
        </w:rPr>
        <w:t>states cannot absorb the magnitude of the potential cuts</w:t>
      </w:r>
      <w:r>
        <w:rPr>
          <w:rStyle w:val="StyleUnderline"/>
        </w:rPr>
        <w:t xml:space="preserve"> without reducing services</w:t>
      </w:r>
      <w:r>
        <w:rPr>
          <w:sz w:val="12"/>
        </w:rPr>
        <w:t xml:space="preserve">. President Trump and Congress have proposed steep cuts in federal support for programs and services delivered by states and localities. Congressional Republicans are considering proposals that would cap Medicaid funding per beneficiary or under a block grant, as well as end the Affordable Care Act’s Medicaid expansion. These proposals are designed to make deep funding cuts that grow steeply over time, which would force states to limit eligibility or covered services for families, seniors, and people with disabilities now covered by Medicaid. The President’s forthcoming budget is reported to cut non-defense discretionary spending — the source of state and local discretionary grants — by $54 billion, and the 2017 budget that the Republican majority on the House Budget Committee approved last year would have cut $1 trillion out of non-defense discretionary spending over ten years. Grants to state and local governments make up nearly one-third of non-defense discretionary spending, and consequently would be severely reduced under these or similar scenarios. FIGURE 1 Federal Grants Make Up Nearly One-third of State Budgets Federal Grants Provide Large Share of State and Local Revenue Following federal budget convention, the funding for grants to state and local governments comes from two parts of the federal budget: mandatory and discretionary. Combined, these federal grants provide approximately 31 percent of state budgets. (See Figure 1.) Considering state and local budgets together, federal funding provides 22 percent of spending. Mandatory programs are set in ongoing federal law that remains in place until changed. Funding depends on formulas and eligibility requirements set in the law. Mandatory grants to state and local governments totaled $467 billion in federal fiscal year 2016. The vast majority — $385 billion, or 82 percent — was for Medicaid and CHIP. The remainder, $86 billion, funded a number of other programs important to families and children, some of which are described below. </w:t>
      </w:r>
      <w:r>
        <w:rPr>
          <w:rStyle w:val="StyleUnderline"/>
        </w:rPr>
        <w:t xml:space="preserve">Federal spending for </w:t>
      </w:r>
      <w:r>
        <w:rPr>
          <w:rStyle w:val="Emphasis"/>
        </w:rPr>
        <w:t>discretionary programs</w:t>
      </w:r>
      <w:r>
        <w:rPr>
          <w:rStyle w:val="StyleUnderline"/>
        </w:rPr>
        <w:t xml:space="preserve"> is appropriated annually</w:t>
      </w:r>
      <w:r>
        <w:rPr>
          <w:sz w:val="12"/>
        </w:rPr>
        <w:t xml:space="preserve">. </w:t>
      </w:r>
      <w:r>
        <w:rPr>
          <w:rStyle w:val="StyleUnderline"/>
        </w:rPr>
        <w:t>Grants to state and local governments come from the category known as non-defense discretionary programs.</w:t>
      </w:r>
      <w:r>
        <w:rPr>
          <w:sz w:val="12"/>
        </w:rPr>
        <w:t xml:space="preserve"> </w:t>
      </w:r>
      <w:r>
        <w:rPr>
          <w:rStyle w:val="StyleUnderline"/>
        </w:rPr>
        <w:t>Discretionary grants</w:t>
      </w:r>
      <w:r>
        <w:rPr>
          <w:sz w:val="12"/>
        </w:rPr>
        <w:t xml:space="preserve"> to state and local governments </w:t>
      </w:r>
      <w:r>
        <w:rPr>
          <w:rStyle w:val="StyleUnderline"/>
        </w:rPr>
        <w:t>are estimated to have totaled $199 billion in federal fiscal year 2016.</w:t>
      </w:r>
      <w:r>
        <w:rPr>
          <w:sz w:val="12"/>
        </w:rPr>
        <w:t xml:space="preserve"> The largest discretionary grant areas are transportation, including grants for highways, airports, and mass transit; education, including support to improve outcomes for low-income students and students with special needs; and programs to subsidize housing for low-income families and seniors and foster community development. Mandatory Grants to States and Localities Include Critical Low-Income Programs Mandatory grants provide funding for programs of particular importance to low- and moderate-income households, including children, seniors, and people with disabilities. Also known as entitlement programs, their benefits or services are available to anyone who meets their strict eligibility criteria, and funding increases automatically and immediately to respond to increased need. These programs include: Medicaid, which provides health coverage to low-income families and individuals, including children, parents, pregnant women, seniors, and people with disabilities. In general, the federal government picks up a fixed percentage of the cost — 57 percent, on average — although the federal percentage ranges from 50 percent in wealthier states to 75 percent in states with lower per-capita income. (For the Medicaid expansion, however, the federal government pays no less than 90 percent of the cost on a permanent basis). States pay the remainder. Approximately 74 million low-income Americans receive health insurance coverage through Medicaid.[3] Children make up one-half of Medicaid recipients, non-elderly adults are one-quarter, and seniors and people with disabilities another quarter. Three-quarters of non-elderly enrollees are in working families. CHIP, which covers uninsured children up to age 19 in families with incomes too high to qualify for Medicaid. In general, the federal government picks up 70 percent of the cost, on average (although the federal government is currently paying for 88 percent of the cost, on average, through 2019). More than 8 million children were enrolled in CHIP in 2015.[4] Child nutrition programs, which provide breakfast and lunch to low-income students in schools. During fiscal year 2015, some 30 million children ate a school lunch on a typical day, and 14 million children ate a school breakfast.[5] Child support enforcement and family support programs, which provide grants to states and tribes to engage in outreach, referral, case management, and other activities to increase parents’ ability and willingness to support their children. State and local child support agencies and the tribal child support agencies coordinate their work with other state or local programs, including Temporary Assistance for Needy Families (TANF), the Supplemental Nutrition Assistance Program (SNAP, formerly the Food Stamp Program), child welfare, workforce, veterans’, fatherhood, domestic violence, and prisoner re-entry programs. The Office of Child Support Enforcement calculates that every dollar spent resulted in $5.26 in child support collections in 2015.[6] Adoption and Foster Care Program, which helps to provide safe and stable out-of-home care for children until the children are safely returned home, placed permanently with adoptive families, or placed in other permanent arrangements. Funds awarded to states and tribes are available for monthly maintenance payments for the daily care and supervision of eligible children; administrative costs to manage the program; training of staff and foster care providers; recruitment of foster parents; and costs related to the design, implementation, and operation of a state-wide data collection system. Approximately 428,000 children nationwide were in foster care on September 30, 2015.[7] Child Care and Development Block Grant, which provides funds to states to finance high-quality child care for children with very low incomes whose parents work, are training for work, or attend school, and for children with special needs. There is both a mandatory and discretionary portion of this federal funding stream, and states provide matching funds. Together both funding streams provided child care services for 1.4 million children in 870,000 families in June 2016.[8] TANF, through which states provide cash assistance or other services such as child care to poor families with children or help support related programs such as foster care. Social Services Block Grant, which provides flexible funds states may use to support a wide variety of social services activities. The largest categories of expenditures under this grant are for child care, foster care, and special services for people with disabilities.[9] Mandatory Grants Other Than Medicaid and CHIP Already at Low Level Grants to state and local governments from the mandatory portion of the federal budget — other than for Medicaid and CHIP — are at a lower percentage of the economy than when President Reagan left office. In 1980, mandatory grants for purposes other than Medicaid and CHIP were 0.84 percent of GDP. When Reagan left office in 1989, they were 0.50 percent of GDP. By 2015, they were 0.42 percent of GDP — lower than any year since 1980 (rising only slightly to 0.46 percent of GDP in 2016).[10] (See Figure 2.) FIGURE 2 Federal Grants for States and Localities at Historically Low Levels In other words, investments in many programs critical to children and families’ well-being have already decreased. In part, this is because the funding for some of these programs, such as TANF and the Social Services Block Grant, has been either frozen at a nominal level or not increased over time relative to need. Past proposals from congressional Republicans would have further reduced mandatory grants. And now there are proposals from House Republicans that would impose a per capita cap on Medicaid or convert it into a block grant, both of which would result in deep cuts to the program and shift significant costs and risks to states.[11] The history of block grants for housing, health, and social services shows that when social programs are merged into or created as block grants, funding typically contracts </w:t>
      </w:r>
      <w:r>
        <w:rPr>
          <w:sz w:val="12"/>
        </w:rPr>
        <w:softHyphen/>
        <w:t xml:space="preserve">in subsequent years and decades, with the reductions growing over time. For example, the TANF block grant declined 44 percent, in inflation-adjusted terms, between its first year in 1998 and 2017. Funding for the Social Services Block Grant has declined 81 percent since its creation in 1982, adjusted for inflation.[12] A block grant would cap overall federal funding for a state’s Medicaid program, while a per capita cap would cap federal Medicaid funding per beneficiary. In each case, the state would be responsible for all costs above the cap; neither cap would respond to increased needs, as Medicaid now does. For example, under a per capita cap, states would be responsible for bearing the additional costs from faster-than-expected health care cost growth, a public health emergency, or the growing health care needs of aging baby boomers.[13] Under a block grant, states would also be responsible for increased need for Medicaid during recessions. The magnitude of the federal funding cuts and resulting cost-shift to states would likely be substantial. For example, a preliminary estimate of the House Republican proposal to convert Medicaid to a per capita cap would cut federal Medicaid funding by $116 billion over ten years, relative to current law. Such cuts would likely force states to cut eligibility, benefits, and payments to providers in order to operate their programs with so much less funding.[14] Moreover, repealing the Affordable Care Act’s Medicaid expansion, as some congressional Republicans support, would cut funding for the states that have adopted the expansion, requiring states to pay an estimated $253 billion more over ten years to sustain the expansion. At least 11 million people who receive health insurance through the Medicaid expansion would be at risk of losing their coverage and becoming uninsured.[15] Beyond Medicaid, spending on other mandatory programs could be at risk if Congress uses the budget process known as reconciliation to enact tax cuts and seeks to offset them through reduced spending on mandatory programs. The revenue loss from a tax cut in reconciliation — the use of which requires that the package not increase the deficit after ten years — can be offset in only two ways: by raising other taxes or cutting mandatory programs. The tax plan that President Trump issued during the campaign and the House Republican tax plan would both cut taxes deeply, to the benefit of the wealthy. Under the Trump plan, 48 percent of the tax cut would go to households with income over $1 million in 2025.[16] Under the House GOP “A Better Way” plan, nearly all of the tax cuts would go to households with incomes over $1 million in 2025; low- and middle-income households would gain only slightly. Over the next decade, millionaires would receive an estimated $2.6 trillion in tax cuts.[17] Meanwhile, cuts in mandatory programs to pay for the tax cuts would likely fall heavily on low- and middle-income families with children and on seniors. </w:t>
      </w:r>
      <w:r>
        <w:rPr>
          <w:rStyle w:val="StyleUnderline"/>
        </w:rPr>
        <w:t xml:space="preserve">Vital </w:t>
      </w:r>
      <w:r>
        <w:rPr>
          <w:rStyle w:val="Emphasis"/>
        </w:rPr>
        <w:t>Discretionary Grants</w:t>
      </w:r>
      <w:r>
        <w:rPr>
          <w:rStyle w:val="StyleUnderline"/>
        </w:rPr>
        <w:t xml:space="preserve"> to State and Local Governments Also at Risk </w:t>
      </w:r>
      <w:r>
        <w:rPr>
          <w:sz w:val="12"/>
        </w:rPr>
        <w:t xml:space="preserve">Many </w:t>
      </w:r>
      <w:r>
        <w:rPr>
          <w:rStyle w:val="Emphasis"/>
        </w:rPr>
        <w:t xml:space="preserve">discretionary </w:t>
      </w:r>
      <w:r>
        <w:rPr>
          <w:rStyle w:val="StyleUnderline"/>
        </w:rPr>
        <w:t>grants are important to low- and moderate-income families and communities</w:t>
      </w:r>
      <w:r>
        <w:rPr>
          <w:sz w:val="12"/>
        </w:rPr>
        <w:t xml:space="preserve">. (See Figure 3.) </w:t>
      </w:r>
      <w:r>
        <w:rPr>
          <w:rStyle w:val="StyleUnderline"/>
        </w:rPr>
        <w:t xml:space="preserve">These grants must be appropriated every year. Among the programs these discretionary grants support are: </w:t>
      </w:r>
      <w:r>
        <w:rPr>
          <w:rStyle w:val="Emphasis"/>
        </w:rPr>
        <w:t xml:space="preserve">Education </w:t>
      </w:r>
      <w:r>
        <w:rPr>
          <w:sz w:val="12"/>
        </w:rPr>
        <w:t>High-Poverty Schools (</w:t>
      </w:r>
      <w:r>
        <w:rPr>
          <w:rStyle w:val="Emphasis"/>
        </w:rPr>
        <w:t>Title I),</w:t>
      </w:r>
      <w:r>
        <w:rPr>
          <w:rStyle w:val="StyleUnderline"/>
        </w:rPr>
        <w:t xml:space="preserve"> which are grants for schools with high numbers or proportions of disadvantaged children that help such children meet academic standards</w:t>
      </w:r>
      <w:r>
        <w:rPr>
          <w:sz w:val="12"/>
        </w:rPr>
        <w:t xml:space="preserve">. In state fiscal year 2011-12, </w:t>
      </w:r>
      <w:r>
        <w:rPr>
          <w:rStyle w:val="StyleUnderline"/>
        </w:rPr>
        <w:t>Title 1 served more than 18 million children in more than 51,000 schools.[18] Special Education in the schools</w:t>
      </w:r>
      <w:r>
        <w:rPr>
          <w:sz w:val="12"/>
        </w:rPr>
        <w:t xml:space="preserve"> (Individuals With Disabilities Education Act, or IDEA).[19] In 2013-14</w:t>
      </w:r>
      <w:r>
        <w:rPr>
          <w:rStyle w:val="StyleUnderline"/>
        </w:rPr>
        <w:t xml:space="preserve">, </w:t>
      </w:r>
      <w:r>
        <w:rPr>
          <w:rStyle w:val="Emphasis"/>
        </w:rPr>
        <w:t>IDEA</w:t>
      </w:r>
      <w:r>
        <w:rPr>
          <w:rStyle w:val="StyleUnderline"/>
        </w:rPr>
        <w:t xml:space="preserve"> funds served 6.5 million children, representing 12.9 percent of public school enrollment.[20] Other important education programs include preschool programs provided through Head Start, which enrolled 945,000 children in fiscal year 2015;[</w:t>
      </w:r>
      <w:r>
        <w:rPr>
          <w:sz w:val="12"/>
        </w:rPr>
        <w:t>21]</w:t>
      </w:r>
      <w:r>
        <w:rPr>
          <w:rStyle w:val="StyleUnderline"/>
        </w:rPr>
        <w:t xml:space="preserve">programs to improve </w:t>
      </w:r>
      <w:r>
        <w:rPr>
          <w:rStyle w:val="Emphasis"/>
        </w:rPr>
        <w:t>teacher quality</w:t>
      </w:r>
      <w:r>
        <w:rPr>
          <w:rStyle w:val="StyleUnderline"/>
        </w:rPr>
        <w:t xml:space="preserve">; and </w:t>
      </w:r>
      <w:r>
        <w:rPr>
          <w:rStyle w:val="Emphasis"/>
        </w:rPr>
        <w:t>Impact Aid</w:t>
      </w:r>
      <w:r>
        <w:rPr>
          <w:rStyle w:val="StyleUnderline"/>
        </w:rPr>
        <w:t xml:space="preserve">, which provides support to school districts that include parcels of land that are owned by the federal government or that have been removed from the local tax rolls by the federal government, including </w:t>
      </w:r>
      <w:r>
        <w:rPr>
          <w:rStyle w:val="Emphasis"/>
        </w:rPr>
        <w:t>Native American lands.</w:t>
      </w:r>
    </w:p>
    <w:p w:rsidR="002A5800" w:rsidRDefault="002A5800" w:rsidP="002A5800">
      <w:pPr>
        <w:pStyle w:val="Heading4"/>
      </w:pPr>
      <w:r>
        <w:t xml:space="preserve">States </w:t>
      </w:r>
      <w:r>
        <w:rPr>
          <w:u w:val="single"/>
        </w:rPr>
        <w:t>desperately need</w:t>
      </w:r>
      <w:r>
        <w:t xml:space="preserve"> federal education funds – local resources are limited and budget crises hinder adequate funding</w:t>
      </w:r>
    </w:p>
    <w:p w:rsidR="002A5800" w:rsidRDefault="002A5800" w:rsidP="002A5800">
      <w:r>
        <w:rPr>
          <w:rStyle w:val="Style13ptBold"/>
        </w:rPr>
        <w:t>CEF 7/13/17</w:t>
      </w:r>
      <w:r>
        <w:t xml:space="preserve"> (“President Trump’s 2018 Education Budget Affects Learning and Teaching – CEF Releases FY 2018 Budget Analysis,” Committee for Education Funding, </w:t>
      </w:r>
      <w:hyperlink r:id="rId31" w:history="1">
        <w:r>
          <w:rPr>
            <w:rStyle w:val="Hyperlink"/>
          </w:rPr>
          <w:t>https://cef.org/advocacy/presidents-2018-budget/</w:t>
        </w:r>
      </w:hyperlink>
      <w:r>
        <w:t>) AAB</w:t>
      </w:r>
    </w:p>
    <w:p w:rsidR="002A5800" w:rsidRDefault="002A5800" w:rsidP="002A5800"/>
    <w:p w:rsidR="002A5800" w:rsidRDefault="002A5800" w:rsidP="002A5800">
      <w:r>
        <w:rPr>
          <w:rStyle w:val="StyleUnderline"/>
        </w:rPr>
        <w:t>To illustrate the importance of federal education funding and highlight the local impact</w:t>
      </w:r>
      <w:r>
        <w:t xml:space="preserve"> of the President’s proposed cuts, </w:t>
      </w:r>
      <w:r>
        <w:rPr>
          <w:rStyle w:val="StyleUnderline"/>
        </w:rPr>
        <w:t>CEF hosted a panel</w:t>
      </w:r>
      <w:r>
        <w:t xml:space="preserve"> today on Capitol Hill </w:t>
      </w:r>
      <w:r>
        <w:rPr>
          <w:rStyle w:val="StyleUnderline"/>
        </w:rPr>
        <w:t>of education practitioners with experience implementing education programs</w:t>
      </w:r>
      <w:r>
        <w:t xml:space="preserve"> for early childhood education, elementary and secondary education, adult education and workforce training, and postsecondary student aid, as well as an advocate from PTA. Educators shared today the impact the budget would have locally: “Federal support for special education only covers 15 percent of the additional cost of educating students with disabilities, which is far below the 40 percent promised when Congress enacted IDEA (the Individuals with Disabilities Education Act). </w:t>
      </w:r>
      <w:r>
        <w:rPr>
          <w:rStyle w:val="StyleUnderline"/>
        </w:rPr>
        <w:t>Without an increased federal investment, state and local education budgets have to make up the shortfall, which limits their ability to finance other education services.</w:t>
      </w:r>
      <w:r>
        <w:t xml:space="preserve"> We know that </w:t>
      </w:r>
      <w:r>
        <w:rPr>
          <w:rStyle w:val="StyleUnderline"/>
        </w:rPr>
        <w:t>as a result of</w:t>
      </w:r>
      <w:r>
        <w:t xml:space="preserve"> this </w:t>
      </w:r>
      <w:r>
        <w:rPr>
          <w:rStyle w:val="StyleUnderline"/>
        </w:rPr>
        <w:t>shortfall, local and state funds must cover the costs</w:t>
      </w:r>
      <w:r>
        <w:t xml:space="preserve"> of IDEA programming thus </w:t>
      </w:r>
      <w:r>
        <w:rPr>
          <w:rStyle w:val="StyleUnderline"/>
        </w:rPr>
        <w:t>preventing</w:t>
      </w:r>
      <w:r>
        <w:t xml:space="preserve"> LEAs from </w:t>
      </w:r>
      <w:r>
        <w:rPr>
          <w:rStyle w:val="StyleUnderline"/>
        </w:rPr>
        <w:t>expanding in other areas</w:t>
      </w:r>
      <w:r>
        <w:t>, especially early childhood.” – Phyllis Wolfram, Executive Director of Special Programs for Springfield Public Schools, Springfield, MO, and President-Elect, Council of Administrators of Special Education “</w:t>
      </w:r>
      <w:r>
        <w:rPr>
          <w:rStyle w:val="StyleUnderline"/>
        </w:rPr>
        <w:t>Students</w:t>
      </w:r>
      <w:r>
        <w:t xml:space="preserve"> in WV and all of Appalachia </w:t>
      </w:r>
      <w:r>
        <w:rPr>
          <w:rStyle w:val="Emphasis"/>
        </w:rPr>
        <w:t xml:space="preserve">desperately need the funds provided through federal education funding. </w:t>
      </w:r>
      <w:r>
        <w:t xml:space="preserve">Our </w:t>
      </w:r>
      <w:r>
        <w:rPr>
          <w:rStyle w:val="StyleUnderline"/>
        </w:rPr>
        <w:t>local resources are limited due to a low tax base</w:t>
      </w:r>
      <w:r>
        <w:t xml:space="preserve">; and our children’s needs our great. </w:t>
      </w:r>
      <w:r>
        <w:rPr>
          <w:rStyle w:val="StyleUnderline"/>
        </w:rPr>
        <w:t>Federal dollars help</w:t>
      </w:r>
      <w:r>
        <w:t xml:space="preserve"> us provide some of the specialized help we need for these youngsters.” – Deborah Akers, Superintendent, Mercer County Schools, Mercer County, WV “</w:t>
      </w:r>
      <w:r>
        <w:rPr>
          <w:rStyle w:val="StyleUnderline"/>
        </w:rPr>
        <w:t>The President’s budget would impose devastating cuts to important federal financial aid programs</w:t>
      </w:r>
      <w:r>
        <w:t xml:space="preserve"> that allow low-income students to attend college and attain their degrees. These cuts jeopardize the next generation of young workers. In particular, Federal Work-Study and the Federal Perkins Loan assist low- and middle-income students in different ways in their pursuit of a higher education.” – Heather Boutell, Director of Financial Aid, Bellarmine University, Louisville, KY.</w:t>
      </w:r>
    </w:p>
    <w:p w:rsidR="002A5800" w:rsidRDefault="002A5800" w:rsidP="002A5800"/>
    <w:p w:rsidR="002A5800" w:rsidRDefault="002A5800" w:rsidP="002A5800">
      <w:pPr>
        <w:pStyle w:val="Heading4"/>
        <w:rPr>
          <w:sz w:val="26"/>
        </w:rPr>
      </w:pPr>
      <w:r>
        <w:t xml:space="preserve">States are </w:t>
      </w:r>
      <w:r>
        <w:rPr>
          <w:u w:val="single"/>
        </w:rPr>
        <w:t>desperate for cash</w:t>
      </w:r>
      <w:r>
        <w:t xml:space="preserve"> – they’ll do anything</w:t>
      </w:r>
    </w:p>
    <w:p w:rsidR="002A5800" w:rsidRDefault="002A5800" w:rsidP="002A5800">
      <w:r>
        <w:rPr>
          <w:rStyle w:val="Style13ptBold"/>
        </w:rPr>
        <w:t>Edelson 17</w:t>
      </w:r>
      <w:r>
        <w:t xml:space="preserve"> professional investment forecaster, studied economic anthropology at Columbia University (Larry, March 1, “States Desperate for Revenue … And You’re Next,” The Edelson Institute, </w:t>
      </w:r>
      <w:hyperlink r:id="rId32" w:history="1">
        <w:r>
          <w:rPr>
            <w:rStyle w:val="Hyperlink"/>
          </w:rPr>
          <w:t>https://www.edelsoninstitute.com/real-wealth/states-desperate-revenue-youre-next-84063/</w:t>
        </w:r>
      </w:hyperlink>
      <w:r>
        <w:t>) AAB</w:t>
      </w:r>
    </w:p>
    <w:p w:rsidR="002A5800" w:rsidRDefault="002A5800" w:rsidP="002A5800"/>
    <w:p w:rsidR="002A5800" w:rsidRDefault="002A5800" w:rsidP="002A5800">
      <w:r>
        <w:rPr>
          <w:rStyle w:val="StyleUnderline"/>
        </w:rPr>
        <w:t xml:space="preserve">U.S. states are getting </w:t>
      </w:r>
      <w:r>
        <w:rPr>
          <w:rStyle w:val="Emphasis"/>
        </w:rPr>
        <w:t>desperate for cash</w:t>
      </w:r>
      <w:r>
        <w:rPr>
          <w:rStyle w:val="StyleUnderline"/>
        </w:rPr>
        <w:t xml:space="preserve"> in the face of soaring budget deficits.</w:t>
      </w:r>
      <w:r>
        <w:t xml:space="preserve"> And they’re becoming more creative with ways to continue their out-of-control spending habits. Sure, states could go old-school and up their income taxes or enact them to begin with, like Alaska and Wyoming are considering. </w:t>
      </w:r>
      <w:r>
        <w:rPr>
          <w:rStyle w:val="StyleUnderline"/>
        </w:rPr>
        <w:t>But the rubber is really hitting the road as some states in search of funds</w:t>
      </w:r>
      <w:r>
        <w:t xml:space="preserve"> are looking to pump-up user-based taxes, such as gas taxes, sales taxes and use taxes. Here are a few of the latest examples: Alabama taking advantage of law to collect taxes on Internet use. Tennessee, Oklahoma and Indiana angling to raise gasoline taxes to fund road and bridge repairs. Utah lawmakers consider food tax hike. How’d We Get Here? Fiscal analyst Chris Edwards at the Cato Institute noted that </w:t>
      </w:r>
      <w:r>
        <w:rPr>
          <w:rStyle w:val="StyleUnderline"/>
        </w:rPr>
        <w:t xml:space="preserve">state general fund spending soared 32 percent since 2010. </w:t>
      </w:r>
      <w:r>
        <w:t xml:space="preserve">In the meantime, </w:t>
      </w:r>
      <w:r>
        <w:rPr>
          <w:rStyle w:val="StyleUnderline"/>
        </w:rPr>
        <w:t xml:space="preserve">the situation is made worse by … A decline in tax receipts and slower economic growth. Lower oil revenues in key producing states like Alaska, Kansas, Wyoming, Oklahoma and North Dakota. Payback time after years of playing kick-the-can with liabilities. </w:t>
      </w:r>
      <w:r>
        <w:t>But</w:t>
      </w:r>
      <w:r>
        <w:rPr>
          <w:rStyle w:val="StyleUnderline"/>
        </w:rPr>
        <w:t xml:space="preserve"> </w:t>
      </w:r>
      <w:r>
        <w:t xml:space="preserve">what about the pink elephant in the room … the Affordable Care Act. Talk of repealing and replacing Obamacare has states on pins and needles. That’s because the Federal government currently picks up most of the tab. But a larger portion of the funding becomes the state’s problem in the coming years. And that’s why a growing number of state governors – on both sides of the isle – balk at repealing Obamacare without a good substitute. In addition to dropped insurance coverage for millions, an insufficient alternative to Obamacare would destroy state budgets and hurt hospitals. This point was made clear at the National Governors Association’s winter meeting in Washington last week. A presentation by media company Axios described a sample state that expanded Medicaid would lose $635 million in federal funding, a 65 percent decrease. You read that right: A whopping 65 percent hit to the states. Awful! No wonder the long faces after the meeting! Tax Hikes a Temporary Fix </w:t>
      </w:r>
      <w:r>
        <w:rPr>
          <w:rStyle w:val="StyleUnderline"/>
        </w:rPr>
        <w:t>Connecticut and Illinois have already pursued record tax hikes to boost their coffers</w:t>
      </w:r>
      <w:r>
        <w:t xml:space="preserve">. But the result was a falling tax base as top earners fled the state to avoid higher tax bills. </w:t>
      </w:r>
      <w:r>
        <w:rPr>
          <w:rStyle w:val="StyleUnderline"/>
        </w:rPr>
        <w:t>Now, Connecticut faces a $300 million deficit for the 2017–2018 year. That number for Illinois is an eye-popping $8 billion.</w:t>
      </w:r>
      <w:r>
        <w:rPr>
          <w:u w:val="single"/>
        </w:rPr>
        <w:t xml:space="preserve"> </w:t>
      </w:r>
      <w:r>
        <w:rPr>
          <w:rStyle w:val="StyleUnderline"/>
        </w:rPr>
        <w:t xml:space="preserve">Talk about desperation! </w:t>
      </w:r>
      <w:r>
        <w:t xml:space="preserve">I could go on, but you get the point: </w:t>
      </w:r>
      <w:r>
        <w:rPr>
          <w:rStyle w:val="Emphasis"/>
        </w:rPr>
        <w:t>State spending habits are out of control and the federal purse strings are closing.</w:t>
      </w:r>
      <w:r>
        <w:rPr>
          <w:b/>
          <w:iCs/>
          <w:u w:val="single"/>
        </w:rPr>
        <w:t xml:space="preserve"> </w:t>
      </w:r>
      <w:r>
        <w:t xml:space="preserve">This should come as no surprise to my members: I’ve talked frequently about how </w:t>
      </w:r>
      <w:r>
        <w:rPr>
          <w:rStyle w:val="Emphasis"/>
        </w:rPr>
        <w:t>governments facing revenue shortfalls become desperate</w:t>
      </w:r>
      <w:r>
        <w:t xml:space="preserve"> and ultimately turn against the people, stripping away civil liberties and their pocketbooks in the process. </w:t>
      </w:r>
      <w:r>
        <w:rPr>
          <w:rStyle w:val="StyleUnderline"/>
        </w:rPr>
        <w:t>But in difficult times like these, there will always be opportunities.</w:t>
      </w:r>
      <w:r>
        <w:t xml:space="preserve"> I’ve already advised members to begin protecting their wealth with specific investments. Don’t be left behind in these dynamic times: Join the Real Wealth Report now.</w:t>
      </w:r>
    </w:p>
    <w:p w:rsidR="002A5800" w:rsidRDefault="002A5800" w:rsidP="002A5800">
      <w:pPr>
        <w:rPr>
          <w:sz w:val="22"/>
        </w:rPr>
      </w:pPr>
    </w:p>
    <w:p w:rsidR="002A5800" w:rsidRDefault="002A5800" w:rsidP="002A5800">
      <w:pPr>
        <w:pStyle w:val="Heading3"/>
      </w:pPr>
      <w:r>
        <w:t>AT geographic distribution deficit</w:t>
      </w:r>
    </w:p>
    <w:p w:rsidR="002A5800" w:rsidRDefault="002A5800" w:rsidP="002A5800">
      <w:pPr>
        <w:pStyle w:val="Heading4"/>
      </w:pPr>
      <w:r>
        <w:t>New federal programs solve rural access to competitive grant programs</w:t>
      </w:r>
    </w:p>
    <w:p w:rsidR="002A5800" w:rsidRDefault="002A5800" w:rsidP="002A5800">
      <w:r>
        <w:rPr>
          <w:rStyle w:val="Style13ptBold"/>
        </w:rPr>
        <w:t xml:space="preserve">Brenner 16 </w:t>
      </w:r>
      <w:r>
        <w:rPr>
          <w:rStyle w:val="Style13ptBold"/>
          <w:b w:val="0"/>
        </w:rPr>
        <w:t xml:space="preserve">--- </w:t>
      </w:r>
      <w:r>
        <w:rPr>
          <w:rStyle w:val="Style13ptBold"/>
          <w:b w:val="0"/>
          <w:sz w:val="22"/>
        </w:rPr>
        <w:t xml:space="preserve">Professor of Teacher Education </w:t>
      </w:r>
      <w:r>
        <w:t>at Mississippi State University. (Devon Brenner, “Rural Educator Policy Brief: Rural Education and the Every Student Succeeds Act”, http://epubs.library.msstate.edu/index.php/ruraleducator/article/download/336/333)//ET</w:t>
      </w:r>
    </w:p>
    <w:p w:rsidR="002A5800" w:rsidRDefault="002A5800" w:rsidP="002A5800">
      <w:r>
        <w:t xml:space="preserve">In these and other ways, </w:t>
      </w:r>
      <w:r>
        <w:rPr>
          <w:rStyle w:val="StyleUnderline"/>
        </w:rPr>
        <w:t xml:space="preserve">rural education is becoming an increasing </w:t>
      </w:r>
      <w:r>
        <w:rPr>
          <w:rStyle w:val="Emphasis"/>
        </w:rPr>
        <w:t>focus</w:t>
      </w:r>
      <w:r>
        <w:rPr>
          <w:rStyle w:val="StyleUnderline"/>
        </w:rPr>
        <w:t xml:space="preserve"> of federal education legislation</w:t>
      </w:r>
      <w:r>
        <w:t xml:space="preserve">. The </w:t>
      </w:r>
      <w:r>
        <w:rPr>
          <w:rStyle w:val="StyleUnderline"/>
        </w:rPr>
        <w:t xml:space="preserve">Every Student Succeeds Act explicitly addresses rural education through the REAP program, by </w:t>
      </w:r>
      <w:r>
        <w:rPr>
          <w:rStyle w:val="Emphasis"/>
        </w:rPr>
        <w:t>taking steps to ensure geographic distribution in competitive grants</w:t>
      </w:r>
      <w:r>
        <w:t xml:space="preserve">, by </w:t>
      </w:r>
      <w:r>
        <w:rPr>
          <w:rStyle w:val="StyleUnderline"/>
        </w:rPr>
        <w:t xml:space="preserve">requiring states to consider rural LEAs in the development of state plans, and in </w:t>
      </w:r>
      <w:r>
        <w:rPr>
          <w:rStyle w:val="Emphasis"/>
        </w:rPr>
        <w:t>many other ways</w:t>
      </w:r>
      <w:r>
        <w:t>. The mandated report on rural education is intended to provide data about whether these provisions are sufficient for ensuring that federal policy and funding address the needs of rural schools and students and its impact remains to be seen. The major federal legislation that governs special education, higher education, career and technical education, and education research have expired and are expected to be addressed in the near future. Future columns will address these and other policy issues relevant to rural educators and researchers.</w:t>
      </w:r>
    </w:p>
    <w:p w:rsidR="002A5800" w:rsidRDefault="002A5800" w:rsidP="002A5800">
      <w:pPr>
        <w:pStyle w:val="Heading3"/>
        <w:rPr>
          <w:sz w:val="32"/>
        </w:rPr>
      </w:pPr>
      <w:r>
        <w:t>AT no implementation</w:t>
      </w:r>
    </w:p>
    <w:p w:rsidR="002A5800" w:rsidRDefault="002A5800" w:rsidP="002A5800">
      <w:pPr>
        <w:pStyle w:val="Heading4"/>
      </w:pPr>
      <w:r>
        <w:t>Competitive grants facilitate flexible and accountable implementation</w:t>
      </w:r>
    </w:p>
    <w:p w:rsidR="002A5800" w:rsidRDefault="002A5800" w:rsidP="002A5800">
      <w:r>
        <w:rPr>
          <w:rStyle w:val="Style13ptBold"/>
        </w:rPr>
        <w:t xml:space="preserve">Manna and Ryan 11 </w:t>
      </w:r>
      <w:r>
        <w:rPr>
          <w:rStyle w:val="Style13ptBold"/>
          <w:b w:val="0"/>
        </w:rPr>
        <w:t xml:space="preserve">--- </w:t>
      </w:r>
      <w:r>
        <w:rPr>
          <w:rStyle w:val="Style13ptBold"/>
          <w:b w:val="0"/>
          <w:sz w:val="22"/>
        </w:rPr>
        <w:t xml:space="preserve">Manna, Department of Government chair at William and Mary College. Ryan, Research Assistant at William and Mary College. </w:t>
      </w:r>
      <w:r>
        <w:t>(Paul Manna and Laura L. Ryan, “Competitive Grants and Educational Federalism: President Obama's Race to the Top Program in Theory and Practice”, The State of American Federalism 2010-2011. Oxford University Press. http://www.jstor.org/stable/23015118)//ET</w:t>
      </w:r>
    </w:p>
    <w:p w:rsidR="002A5800" w:rsidRDefault="002A5800" w:rsidP="002A5800">
      <w:r>
        <w:t xml:space="preserve">Competitive Grants in Theory and Practice </w:t>
      </w:r>
      <w:r>
        <w:rPr>
          <w:rStyle w:val="Emphasis"/>
        </w:rPr>
        <w:t>Distinguishing between competitive and formula grants provides a useful heuristic</w:t>
      </w:r>
      <w:r>
        <w:rPr>
          <w:rStyle w:val="StyleUnderline"/>
        </w:rPr>
        <w:t xml:space="preserve"> for understanding how grant programs intersect with American federalism</w:t>
      </w:r>
      <w:r>
        <w:t xml:space="preserve">. One should remember, though, that variation exists within each type and that policies may embrace both approaches simultaneously. In other words, deciding between formulas or competitions is not an either-or choice for legislators or agency administrators. Collins and Gerber (2008) explore these possible combinations in a theoretical model of grant distribution that examines two dimensions: (i) the methods for identifying grant recipients, and (ii) the methods for distributing funds once recipients are declared. Competitions or formulas may be used at either of these stages, or both, with the resulting combinations implying different policy priorities. We already have noted such combinations in the CDBG, which sends funds to states via formulas and then leaves states much flexibility to administer competitions among the localities that ultimately receive funding (Government Accountability Office 2010). In the case of RTTT, an interesting hybrid emerged that partially reversed the logic of typical designs involving state-administered competitions. In RTTT, states competed for funds and were allowed to keep 50 percent for their own state-level initiatives; for the other 50 percent, federally defined formulas determined the dollar amounts flowing to school districts that had agreed to help the winning states implement their RTTT plans. The reason why we indicate that RTTT only partially rather than fully reversed the CDBG logic was because the size of the winning states' awards depended in part on population size, a common variable used in funding formulas. Due to space limitations, our subsequent analysis focuses on the initial state competition for RTTT funds. We recognize that future researchers could derive insights from examining the amounts received by winning states and the distribution patterns to participating school distri President Obama's embrace of competitive approaches with RTTT raises an obvious question: </w:t>
      </w:r>
      <w:r>
        <w:rPr>
          <w:rStyle w:val="StyleUnderline"/>
        </w:rPr>
        <w:t xml:space="preserve">What are the advantages to using </w:t>
      </w:r>
      <w:r>
        <w:rPr>
          <w:rStyle w:val="Emphasis"/>
        </w:rPr>
        <w:t>competitions rather than formulas to distribute grants?</w:t>
      </w:r>
      <w:r>
        <w:rPr>
          <w:rStyle w:val="StyleUnderline"/>
        </w:rPr>
        <w:t xml:space="preserve"> The literature on intergovernmental grants suggests three potential </w:t>
      </w:r>
      <w:r>
        <w:rPr>
          <w:rStyle w:val="Emphasis"/>
        </w:rPr>
        <w:t>benefits of competitive approaches</w:t>
      </w:r>
      <w:r>
        <w:t xml:space="preserve"> (Derthick 1970; Gilbert and Specht 1974; Beam and Conlan 2002; Collins and Gerber 2008). </w:t>
      </w:r>
      <w:r>
        <w:rPr>
          <w:rStyle w:val="Emphasis"/>
        </w:rPr>
        <w:t>First</w:t>
      </w:r>
      <w:r>
        <w:rPr>
          <w:rStyle w:val="StyleUnderline"/>
        </w:rPr>
        <w:t xml:space="preserve">, competitions help to enhance accountability and minimize agency problems by forcing potential recipients to develop specific plans for their use of funds. The proposal process helps to make recipient interests and capabilities more </w:t>
      </w:r>
      <w:r>
        <w:t xml:space="preserve">(although not perfectly) </w:t>
      </w:r>
      <w:r>
        <w:rPr>
          <w:rStyle w:val="StyleUnderline"/>
        </w:rPr>
        <w:t>transparent</w:t>
      </w:r>
      <w:r>
        <w:t xml:space="preserve">, </w:t>
      </w:r>
      <w:r>
        <w:rPr>
          <w:rStyle w:val="StyleUnderline"/>
        </w:rPr>
        <w:t>which can aid</w:t>
      </w:r>
      <w:r>
        <w:t xml:space="preserve"> </w:t>
      </w:r>
      <w:r>
        <w:rPr>
          <w:rStyle w:val="StyleUnderline"/>
        </w:rPr>
        <w:t>program administrators charged with holding recipients accountable</w:t>
      </w:r>
      <w:r>
        <w:t xml:space="preserve">. </w:t>
      </w:r>
      <w:r>
        <w:rPr>
          <w:rStyle w:val="Emphasis"/>
        </w:rPr>
        <w:t>Second</w:t>
      </w:r>
      <w:r>
        <w:t xml:space="preserve">, </w:t>
      </w:r>
      <w:r>
        <w:rPr>
          <w:rStyle w:val="StyleUnderline"/>
        </w:rPr>
        <w:t>competitions can promote policy innovations as applicants develop initiatives that they believe will meet program requirements and that agency officials will find compelling. Officials overseeing RTTT have repeatedly advanced this argument in describing the program to potential competitors</w:t>
      </w:r>
      <w:r>
        <w:t xml:space="preserve">, other public officials, and the media (U.S. Department of Education 2009). </w:t>
      </w:r>
      <w:r>
        <w:rPr>
          <w:rStyle w:val="Emphasis"/>
        </w:rPr>
        <w:t>Finally</w:t>
      </w:r>
      <w:r>
        <w:t xml:space="preserve">, </w:t>
      </w:r>
      <w:r>
        <w:rPr>
          <w:rStyle w:val="StyleUnderline"/>
        </w:rPr>
        <w:t>executives and managers in government agencies may prefer administering competitive grants due to the flexibility they often create. Competitive programs usually delegate more authority over implementation and program design to agency administrators than programs where distribution occurs by formula</w:t>
      </w:r>
      <w:r>
        <w:t>. The very general description of RTTT in the ARRA illustrates this pattern.</w:t>
      </w:r>
    </w:p>
    <w:p w:rsidR="002A5800" w:rsidRDefault="002A5800" w:rsidP="002A5800">
      <w:pPr>
        <w:rPr>
          <w:sz w:val="22"/>
        </w:rPr>
      </w:pPr>
    </w:p>
    <w:p w:rsidR="002A5800" w:rsidRDefault="002A5800" w:rsidP="002A5800">
      <w:pPr>
        <w:pStyle w:val="Heading3"/>
      </w:pPr>
      <w:r>
        <w:t>AT no local follow through</w:t>
      </w:r>
    </w:p>
    <w:p w:rsidR="002A5800" w:rsidRDefault="002A5800" w:rsidP="002A5800">
      <w:pPr>
        <w:pStyle w:val="Heading4"/>
      </w:pPr>
      <w:r>
        <w:t>Competitive grants are key to implementation and local follow through</w:t>
      </w:r>
    </w:p>
    <w:p w:rsidR="002A5800" w:rsidRDefault="002A5800" w:rsidP="002A5800">
      <w:pPr>
        <w:rPr>
          <w:rStyle w:val="Style13ptBold"/>
          <w:b w:val="0"/>
          <w:sz w:val="22"/>
        </w:rPr>
      </w:pPr>
      <w:r>
        <w:rPr>
          <w:rStyle w:val="Style13ptBold"/>
        </w:rPr>
        <w:t xml:space="preserve">Manna 10 </w:t>
      </w:r>
      <w:r>
        <w:rPr>
          <w:rStyle w:val="Style13ptBold"/>
          <w:b w:val="0"/>
          <w:sz w:val="22"/>
        </w:rPr>
        <w:t xml:space="preserve">--- Department of Government chair at William and Mary College. (Paul, Fall 2010, “THE THREE R's OF OBAMA'S RACE TO THE TOP PROGRAM: REFORM, REWARD AND RESISTANCE”, American Quarterly. https://search.proquest.com/openview/f0c9bf50a97aa0fef2181816bfe4d8a5/1?pq-origsite=gscholar&amp;cbl=38980)//ET </w:t>
      </w:r>
    </w:p>
    <w:p w:rsidR="002A5800" w:rsidRDefault="002A5800" w:rsidP="002A5800">
      <w:pPr>
        <w:rPr>
          <w:rStyle w:val="Emphasis"/>
        </w:rPr>
      </w:pPr>
      <w:r>
        <w:t xml:space="preserve">Is All Education Local? </w:t>
      </w:r>
      <w:r>
        <w:rPr>
          <w:rStyle w:val="StyleUnderline"/>
        </w:rPr>
        <w:t xml:space="preserve">One major reason why so </w:t>
      </w:r>
      <w:r>
        <w:rPr>
          <w:rStyle w:val="Emphasis"/>
        </w:rPr>
        <w:t>few federal education initiatives</w:t>
      </w:r>
      <w:r>
        <w:rPr>
          <w:rStyle w:val="StyleUnderline"/>
        </w:rPr>
        <w:t xml:space="preserve"> have succeeded is that,</w:t>
      </w:r>
      <w:r>
        <w:t xml:space="preserve"> in the U.S., </w:t>
      </w:r>
      <w:r>
        <w:rPr>
          <w:rStyle w:val="StyleUnderline"/>
        </w:rPr>
        <w:t xml:space="preserve">elementary and secondary education are primarily a state and local responsibility. </w:t>
      </w:r>
      <w:r>
        <w:t xml:space="preserve">Washington provides only about 10 percent of the revenues for the nation's schools. </w:t>
      </w:r>
      <w:r>
        <w:rPr>
          <w:rStyle w:val="StyleUnderline"/>
        </w:rPr>
        <w:t>With such weak financial leverage, and a correspondingly weak federal education bureaucracy</w:t>
      </w:r>
      <w:r>
        <w:t xml:space="preserve">, </w:t>
      </w:r>
      <w:r>
        <w:rPr>
          <w:rStyle w:val="StyleUnderline"/>
        </w:rPr>
        <w:t>Washington has always relied on lower levels of government to implement</w:t>
      </w:r>
      <w:r>
        <w:t xml:space="preserve"> federal initiatives. That enduring institutional and political reality will powerfully shape how and whether RTT influences daily activities where it counts, namely, in the nation's roughly 14,000 school districts and nearly 100,000 schools. </w:t>
      </w:r>
      <w:r>
        <w:rPr>
          <w:rStyle w:val="StyleUnderline"/>
        </w:rPr>
        <w:t>In</w:t>
      </w:r>
      <w:r>
        <w:t xml:space="preserve"> designing the </w:t>
      </w:r>
      <w:r>
        <w:rPr>
          <w:rStyle w:val="StyleUnderline"/>
        </w:rPr>
        <w:t>guidelines to govern the RTT competition</w:t>
      </w:r>
      <w:r>
        <w:t xml:space="preserve">, federal </w:t>
      </w:r>
      <w:r>
        <w:rPr>
          <w:rStyle w:val="StyleUnderline"/>
        </w:rPr>
        <w:t xml:space="preserve">officials believed that </w:t>
      </w:r>
      <w:r>
        <w:rPr>
          <w:rStyle w:val="Emphasis"/>
        </w:rPr>
        <w:t>states</w:t>
      </w:r>
      <w:r>
        <w:rPr>
          <w:rStyle w:val="StyleUnderline"/>
        </w:rPr>
        <w:t xml:space="preserve"> needed to tackle many issues simultaneously.</w:t>
      </w:r>
      <w:r>
        <w:t xml:space="preserve"> Overall, </w:t>
      </w:r>
      <w:r>
        <w:rPr>
          <w:rStyle w:val="StyleUnderline"/>
        </w:rPr>
        <w:t xml:space="preserve">RTT aimed to support </w:t>
      </w:r>
      <w:r>
        <w:rPr>
          <w:rStyle w:val="Emphasis"/>
        </w:rPr>
        <w:t>major state reforms</w:t>
      </w:r>
      <w:r>
        <w:rPr>
          <w:rStyle w:val="StyleUnderline"/>
        </w:rPr>
        <w:t xml:space="preserve"> to make standards and student assessments more rigorous, develop data systems, improve the work of teachers and principals, and turn around the lowest performing schools. </w:t>
      </w:r>
      <w:r>
        <w:t xml:space="preserve">Independent, nonpartisan peer reviewers were enlisted to judge and score the states' proposals. The selection process was divided into two phases, which meant that states had multiple chances to win the available funds. For each phase, the Department of Education identified a smaller group of states as finalists. Those states came to Washington DC to explain their proposals and answer reviewers' questions. </w:t>
      </w:r>
      <w:r>
        <w:rPr>
          <w:rStyle w:val="StyleUnderline"/>
        </w:rPr>
        <w:t>Even though it was clear that competition would be stiff</w:t>
      </w:r>
      <w:r>
        <w:t xml:space="preserve"> and losers would vastly outnumber winners</w:t>
      </w:r>
      <w:r>
        <w:rPr>
          <w:rStyle w:val="StyleUnderline"/>
        </w:rPr>
        <w:t>, 40 states</w:t>
      </w:r>
      <w:r>
        <w:t xml:space="preserve"> and the District of Columbia </w:t>
      </w:r>
      <w:r>
        <w:rPr>
          <w:rStyle w:val="StyleUnderline"/>
        </w:rPr>
        <w:t>applied</w:t>
      </w:r>
      <w:r>
        <w:t xml:space="preserve"> to Phase 1. Among those applicants, 16 were named as finalists and only two, Delaware and Tennessee, were awarded grants. Some states became discouraged by those results and decided not to reapply in the next phase. Still, the majority clearly liked their chances of winning; 35 states and the District of Columbia applied to Phase 2. Among those applicants, Secretary Duncan announced 19 finalists based on the reviewers' scores. Phase 2 winners were revealed in late August, bestowing nine states and the District of Columbia with grant awards. Influencing the Agenda </w:t>
      </w:r>
      <w:r>
        <w:rPr>
          <w:rStyle w:val="StyleUnderline"/>
        </w:rPr>
        <w:t>The RTT</w:t>
      </w:r>
      <w:r>
        <w:t xml:space="preserve">, like other federal grant programs, </w:t>
      </w:r>
      <w:r>
        <w:rPr>
          <w:rStyle w:val="StyleUnderline"/>
        </w:rPr>
        <w:t xml:space="preserve">was </w:t>
      </w:r>
      <w:r>
        <w:rPr>
          <w:rStyle w:val="Emphasis"/>
        </w:rPr>
        <w:t>aimed at influencing state and local policy agendas</w:t>
      </w:r>
      <w:r>
        <w:rPr>
          <w:rStyle w:val="StyleUnderline"/>
        </w:rPr>
        <w:t xml:space="preserve"> to promote educational equity and academic excellence.</w:t>
      </w:r>
      <w:r>
        <w:t xml:space="preserve"> </w:t>
      </w:r>
      <w:r>
        <w:rPr>
          <w:rStyle w:val="StyleUnderline"/>
        </w:rPr>
        <w:t>By offering important resources on the margins</w:t>
      </w:r>
      <w:r>
        <w:t xml:space="preserve">, </w:t>
      </w:r>
      <w:r>
        <w:rPr>
          <w:rStyle w:val="StyleUnderline"/>
        </w:rPr>
        <w:t xml:space="preserve">federal grants can provide an </w:t>
      </w:r>
      <w:r>
        <w:rPr>
          <w:rStyle w:val="Emphasis"/>
        </w:rPr>
        <w:t>indispensable boost</w:t>
      </w:r>
      <w:r>
        <w:t xml:space="preserve">, </w:t>
      </w:r>
      <w:r>
        <w:rPr>
          <w:rStyle w:val="StyleUnderline"/>
        </w:rPr>
        <w:t>especially during lean economic times, to support new initiatives or expand current ones</w:t>
      </w:r>
      <w:r>
        <w:t xml:space="preserve">. </w:t>
      </w:r>
      <w:r>
        <w:rPr>
          <w:rStyle w:val="StyleUnderline"/>
        </w:rPr>
        <w:t xml:space="preserve">They also offer political cover to would-be reformers, who can use the opportunity to bolster their own arguments in state and local arenas. </w:t>
      </w:r>
      <w:r>
        <w:rPr>
          <w:rStyle w:val="Emphasis"/>
        </w:rPr>
        <w:t>State changes</w:t>
      </w:r>
      <w:r>
        <w:t xml:space="preserve"> </w:t>
      </w:r>
      <w:r>
        <w:rPr>
          <w:rStyle w:val="StyleUnderline"/>
        </w:rPr>
        <w:t xml:space="preserve">leading up to the RTT selection process suggest that the program did </w:t>
      </w:r>
      <w:r>
        <w:rPr>
          <w:rStyle w:val="Emphasis"/>
        </w:rPr>
        <w:t>influence policy</w:t>
      </w:r>
      <w:r>
        <w:rPr>
          <w:rStyle w:val="StyleUnderline"/>
        </w:rPr>
        <w:t>. Several state leaders have agreed that RTT created a sense of urgency that moved them to act. In Tennessee</w:t>
      </w:r>
      <w:r>
        <w:t xml:space="preserve">, for example, </w:t>
      </w:r>
      <w:r>
        <w:rPr>
          <w:rStyle w:val="StyleUnderline"/>
        </w:rPr>
        <w:t xml:space="preserve">which won an RTT grant in Phase 1 of the competition, Governor Phil Bredesen called the legislature into special session in January 2010 to debate several education measures designed to better position the state's application. </w:t>
      </w:r>
      <w:r>
        <w:t xml:space="preserve">A </w:t>
      </w:r>
      <w:r>
        <w:rPr>
          <w:rStyle w:val="StyleUnderline"/>
        </w:rPr>
        <w:t>similar dynamic was evident in Colorado.</w:t>
      </w:r>
      <w:r>
        <w:t xml:space="preserve"> Kelly Hupfeld, an assistant dean at the University of Colorado at Denver, noted in an article in Education Week that RTT provided "a chance for us [in Colorado] to really accelerate all of the things that we've been talking about."3 She added: "We've had a lot of good ideas floating around the state for a long time, but we don't have any money to implement them." In numerous other states, </w:t>
      </w:r>
      <w:r>
        <w:rPr>
          <w:rStyle w:val="StyleUnderline"/>
        </w:rPr>
        <w:t>extra legislative sessions and enhanced conversations appear to have produced the policy changes that federal leaders had hoped would materialize.</w:t>
      </w:r>
      <w:r>
        <w:t xml:space="preserve"> In one study of the Phase 1 application process that tracked state policy changes in areas relevant to RTT, researchers at Learning Point Associates, a nonprofit education consulting firm, found that 18 states made changes in 2009 and early 2010 to their policies governing teachers, in advance of the application deadline. That compared with only four states making similar changes in 2007 and five in 2008.5 The rapid nature of these and other state responses led one observer, former George W. Bush Administration education official Andy Smarick, to call them "the greatest achievement of Secretary Duncan's tenure." </w:t>
      </w:r>
      <w:r>
        <w:rPr>
          <w:rStyle w:val="StyleUnderline"/>
        </w:rPr>
        <w:t>Substantively</w:t>
      </w:r>
      <w:r>
        <w:t xml:space="preserve">, the </w:t>
      </w:r>
      <w:r>
        <w:rPr>
          <w:rStyle w:val="StyleUnderline"/>
        </w:rPr>
        <w:t>states' changes addressed several areas</w:t>
      </w:r>
      <w:r>
        <w:t xml:space="preserve">. These </w:t>
      </w:r>
      <w:r>
        <w:rPr>
          <w:rStyle w:val="StyleUnderline"/>
        </w:rPr>
        <w:t>included</w:t>
      </w:r>
      <w:r>
        <w:t xml:space="preserve"> policies to overhaul </w:t>
      </w:r>
      <w:r>
        <w:rPr>
          <w:rStyle w:val="StyleUnderline"/>
        </w:rPr>
        <w:t>teacher evaluations</w:t>
      </w:r>
      <w:r>
        <w:t xml:space="preserve">, including some that give student achievement </w:t>
      </w:r>
      <w:r>
        <w:rPr>
          <w:rStyle w:val="StyleUnderline"/>
        </w:rPr>
        <w:t>data</w:t>
      </w:r>
      <w:r>
        <w:t xml:space="preserve"> substantial weight in those judgments. Teacher policies governing entry into the profession through traditional or alternative routes also received attention. Those changes were intended to create more options for aspiring teachers, such as those switching careers later in life, whose schedules prevented them from taking traditional teacher preparation programs at universities. Policies to facilitate the development of public charter schools also passed. Charters, although still public schools, can operate with more flexibility than traditional public schools because they are excused from following certain state regulations. (Those exceptions vary widely by state, but typically do not include allowing charters to opt out of regulations concerning civil rights matters or safety.) In some cases, state changes altered the rules governing how charters are opened or can operate while increasing caps defining the number of charters that can exist. </w:t>
      </w:r>
      <w:r>
        <w:rPr>
          <w:rStyle w:val="StyleUnderline"/>
        </w:rPr>
        <w:t>Other changes created additional options for states wishing to intervene in schools that performed poorly for several consecutive years</w:t>
      </w:r>
      <w:r>
        <w:t xml:space="preserve">, including changes that made it easier for states themselves to either take over schools or dictate particular changes in school management. The </w:t>
      </w:r>
      <w:r>
        <w:rPr>
          <w:rStyle w:val="StyleUnderline"/>
        </w:rPr>
        <w:t>state changes highlighted the importance of RTT's competitive design</w:t>
      </w:r>
      <w:r>
        <w:t xml:space="preserve">. By releasing its scoring rubric for state proposals in advance and insisting that not all states were guaranteed funding, the </w:t>
      </w:r>
      <w:r>
        <w:rPr>
          <w:rStyle w:val="StyleUnderline"/>
        </w:rPr>
        <w:t>Department of Education encouraged states to key their policy changes to the specific items in the RTT rubric. State leaders admitted that they did just that</w:t>
      </w:r>
      <w:r>
        <w:t xml:space="preserve">. </w:t>
      </w:r>
      <w:r>
        <w:rPr>
          <w:rStyle w:val="Emphasis"/>
        </w:rPr>
        <w:t>Had RTT been distributed based on predetermined formulas,</w:t>
      </w:r>
      <w:r>
        <w:t xml:space="preserve"> not state reform commitments</w:t>
      </w:r>
      <w:r>
        <w:rPr>
          <w:rStyle w:val="Emphasis"/>
        </w:rPr>
        <w:t>, it is unlikely that the pace and depth of policy change would have occurred.</w:t>
      </w:r>
    </w:p>
    <w:p w:rsidR="002A5800" w:rsidRDefault="002A5800" w:rsidP="002A5800">
      <w:pPr>
        <w:pStyle w:val="Heading3"/>
      </w:pPr>
      <w:r>
        <w:t>AT regs k/t transparency/oversight</w:t>
      </w:r>
    </w:p>
    <w:p w:rsidR="002A5800" w:rsidRDefault="002A5800" w:rsidP="002A5800">
      <w:pPr>
        <w:pStyle w:val="Heading4"/>
      </w:pPr>
      <w:r>
        <w:t>qualifying for a grant requires schools to regulate themselves – solves transparency and oversight</w:t>
      </w:r>
    </w:p>
    <w:p w:rsidR="002A5800" w:rsidRDefault="002A5800" w:rsidP="002A5800">
      <w:r>
        <w:rPr>
          <w:rStyle w:val="Style13ptBold"/>
        </w:rPr>
        <w:t xml:space="preserve">Tepe 17 --- </w:t>
      </w:r>
      <w:r>
        <w:rPr>
          <w:rStyle w:val="Style13ptBold"/>
          <w:b w:val="0"/>
          <w:sz w:val="22"/>
        </w:rPr>
        <w:t xml:space="preserve">Senior Policy Analyst, Education Policy Program at New America. </w:t>
      </w:r>
      <w:r>
        <w:t>(Lindsey Tepe, 1/13/17, “Increasing the Impact of the Department of Education’s Competitive Grants”, https://www.newamerica.org/education-policy/edcentral/increasing-impact-department-educations-competitive-grants/)//ET</w:t>
      </w:r>
    </w:p>
    <w:p w:rsidR="002A5800" w:rsidRDefault="002A5800" w:rsidP="002A5800">
      <w:r>
        <w:t xml:space="preserve">With just 7 days before the end of the Obama Administration's second term, </w:t>
      </w:r>
      <w:r>
        <w:rPr>
          <w:rStyle w:val="StyleUnderline"/>
        </w:rPr>
        <w:t xml:space="preserve">the Department of Education issued a new rule today that tackles an important question: should all learners have the right to access and use educational materials produced with the Department’s public funds? </w:t>
      </w:r>
      <w:r>
        <w:t xml:space="preserve">This rule has long been in the works. Back in November of 2015, the Department announced a proposed regulation based on the idea that, yes, learners should have that right. Nearly 150 organizations submitted feedback on the proposal, including comments from our Learning Technologies Project here at New America. (The rule has been under review by the Office of Management and Budget since last summer.) </w:t>
      </w:r>
      <w:r>
        <w:rPr>
          <w:rStyle w:val="StyleUnderline"/>
        </w:rPr>
        <w:t xml:space="preserve">The final rule requires an </w:t>
      </w:r>
      <w:r>
        <w:rPr>
          <w:rStyle w:val="Emphasis"/>
        </w:rPr>
        <w:t>open license</w:t>
      </w:r>
      <w:r>
        <w:rPr>
          <w:rStyle w:val="StyleUnderline"/>
        </w:rPr>
        <w:t xml:space="preserve"> to be applied to all copyrightable intellectual property produced by organizations who win </w:t>
      </w:r>
      <w:r>
        <w:rPr>
          <w:rStyle w:val="Emphasis"/>
        </w:rPr>
        <w:t>competitive funding</w:t>
      </w:r>
      <w:r>
        <w:rPr>
          <w:rStyle w:val="StyleUnderline"/>
        </w:rPr>
        <w:t xml:space="preserve"> from the Education Department.</w:t>
      </w:r>
      <w:r>
        <w:t xml:space="preserve">* </w:t>
      </w:r>
      <w:r>
        <w:rPr>
          <w:rStyle w:val="StyleUnderline"/>
        </w:rPr>
        <w:t>Much of the funding that the Department administers is awarded in formula grants to states, or through direct funding like student loans</w:t>
      </w:r>
      <w:r>
        <w:t xml:space="preserve">. </w:t>
      </w:r>
      <w:r>
        <w:rPr>
          <w:rStyle w:val="StyleUnderline"/>
        </w:rPr>
        <w:t>But it also funds competitive grants, each with a different goal.</w:t>
      </w:r>
      <w:r>
        <w:t xml:space="preserve"> States, school districts, colleges and universities, and other interested educational organizations submit proposals—only the best applicants receive funding. Under this new rule, </w:t>
      </w:r>
      <w:r>
        <w:rPr>
          <w:rStyle w:val="StyleUnderline"/>
        </w:rPr>
        <w:t>applicants will commit to making the content they produce</w:t>
      </w:r>
      <w:r>
        <w:t>—</w:t>
      </w:r>
      <w:r>
        <w:rPr>
          <w:rStyle w:val="StyleUnderline"/>
        </w:rPr>
        <w:t>any grant deliverable, as well as program support materials that are necessary to use the deliverables</w:t>
      </w:r>
      <w:r>
        <w:t>—</w:t>
      </w:r>
      <w:r>
        <w:rPr>
          <w:rStyle w:val="StyleUnderline"/>
        </w:rPr>
        <w:t>publicly available under an open license as a condition of their grant agreement</w:t>
      </w:r>
      <w:r>
        <w:t xml:space="preserve">. (One key change made to the final rule provides grantees the possibility of using an open license that “limits use [of deliverables] to noncommercial purposes.” More analysis on the implications of this change to come.) This rule will be phased in during 2017, and will be fully implemented by the 2018 fiscal year for all applicable competitive grants. As I wrote when the rule was proposed, </w:t>
      </w:r>
      <w:r>
        <w:rPr>
          <w:rStyle w:val="StyleUnderline"/>
        </w:rPr>
        <w:t>the Department’s stated goals</w:t>
      </w:r>
      <w:r>
        <w:t xml:space="preserve"> were threefold: to allow it to </w:t>
      </w:r>
      <w:r>
        <w:rPr>
          <w:rStyle w:val="StyleUnderline"/>
        </w:rPr>
        <w:t>be more strategic with its limited investments; to allow experts in the field to improve upon and refine resources; and to make materials more readily available to under-resourced school districts</w:t>
      </w:r>
      <w:r>
        <w:t xml:space="preserve">, community colleges, </w:t>
      </w:r>
      <w:r>
        <w:rPr>
          <w:rStyle w:val="StyleUnderline"/>
        </w:rPr>
        <w:t xml:space="preserve">workforce training programs, and other education providers. </w:t>
      </w:r>
      <w:r>
        <w:t xml:space="preserve">In describing the potential impact for the rule, the Department spotlighted recent work completed by the University of Texas at Austin with $200,000 it received from the Department’s National Language Resource Centers (LRC) program. While UT-Austin was not required to do so, it opted to make the educational resources that were developed for 16 languages openly available on its Center for Open Educational Resources and Language Learning (COERLL) website. According to a Department estimate, there are around 500 open educational resources, or OER, that have been made available on the COERLL site, including "curricula, lessons, worksheets, assessments, textbooks, videos, podcasts, research studies, open apps for student learning, and interactive platform materials.” UT-Austin was one of sixteen grantees, who were awarded $2.8 million in total to develop language resources. Imagine the public benefit if all those materials had been made publicly available as a condition of funding. There are several Department programs that are not subject to the rule, notably the Department’s Ready to Learn Television program, which funds public media organizations like PBS to promote early learning and school readiness through educational television and digital media. In response to specific public concerns, the Department also explicitly clarified several other areas where the rule does not apply, including the Small Business Innovation Research Program, peer-reviewed scholarly publications that arise from any scientific research, and others. </w:t>
      </w:r>
      <w:r>
        <w:rPr>
          <w:rStyle w:val="StyleUnderline"/>
        </w:rPr>
        <w:t>Although the rule only applies to Department of Education competitive grants</w:t>
      </w:r>
      <w:r>
        <w:t xml:space="preserve">, </w:t>
      </w:r>
      <w:r>
        <w:rPr>
          <w:rStyle w:val="StyleUnderline"/>
        </w:rPr>
        <w:t>it joins the efforts of several other agencies such as the Departments of Labor and State in moving toward open licensing as a condition of competitive funds</w:t>
      </w:r>
      <w:r>
        <w:t xml:space="preserve">. As the </w:t>
      </w:r>
      <w:r>
        <w:rPr>
          <w:rStyle w:val="Emphasis"/>
        </w:rPr>
        <w:t>evidence base grows demonstrating that open use policies have a positive impact</w:t>
      </w:r>
      <w:r>
        <w:t xml:space="preserve">, other agencies throughout the federal government will hopefully follow suit. </w:t>
      </w:r>
      <w:r>
        <w:rPr>
          <w:rStyle w:val="StyleUnderline"/>
        </w:rPr>
        <w:t>While there has been some concern about the fate of recently enacted regulations under the next Administration</w:t>
      </w:r>
      <w:r>
        <w:t xml:space="preserve">, </w:t>
      </w:r>
      <w:r>
        <w:rPr>
          <w:rStyle w:val="Emphasis"/>
        </w:rPr>
        <w:t>it would take an act of Congress to overturn them</w:t>
      </w:r>
      <w:r>
        <w:t>—a development that I and many other proponents of open licensing will be watching for closely.</w:t>
      </w:r>
    </w:p>
    <w:p w:rsidR="002A5800" w:rsidRDefault="002A5800" w:rsidP="002A5800">
      <w:pPr>
        <w:pStyle w:val="Heading3"/>
        <w:rPr>
          <w:sz w:val="32"/>
        </w:rPr>
      </w:pPr>
      <w:r>
        <w:t>AT RTT empirically failed</w:t>
      </w:r>
    </w:p>
    <w:p w:rsidR="002A5800" w:rsidRDefault="002A5800" w:rsidP="002A5800">
      <w:pPr>
        <w:pStyle w:val="Heading4"/>
      </w:pPr>
      <w:r>
        <w:t>RTT empirics don’t apply, the counterplans competitive grant programs are narrowly tailored and empirically spur implementation</w:t>
      </w:r>
    </w:p>
    <w:p w:rsidR="002A5800" w:rsidRDefault="002A5800" w:rsidP="002A5800">
      <w:pPr>
        <w:rPr>
          <w:rStyle w:val="Style13ptBold"/>
          <w:b w:val="0"/>
          <w:sz w:val="22"/>
        </w:rPr>
      </w:pPr>
      <w:r>
        <w:rPr>
          <w:rStyle w:val="Style13ptBold"/>
        </w:rPr>
        <w:t>West 15</w:t>
      </w:r>
      <w:r>
        <w:rPr>
          <w:rStyle w:val="Style13ptBold"/>
          <w:b w:val="0"/>
        </w:rPr>
        <w:t xml:space="preserve"> --- </w:t>
      </w:r>
      <w:r>
        <w:rPr>
          <w:rStyle w:val="Style13ptBold"/>
          <w:b w:val="0"/>
          <w:sz w:val="22"/>
        </w:rPr>
        <w:t>nonresident senior fellow in Economic Studies at Brookings.</w:t>
      </w:r>
      <w:r>
        <w:rPr>
          <w:rStyle w:val="Style13ptBold"/>
        </w:rPr>
        <w:t xml:space="preserve"> </w:t>
      </w:r>
      <w:r>
        <w:rPr>
          <w:rStyle w:val="Style13ptBold"/>
          <w:b w:val="0"/>
          <w:sz w:val="22"/>
        </w:rPr>
        <w:t>(Martin, 2/19/15, “Preserving the federal role in encouraging and evaluating education innovation”, Brookings. https://www.brookings.edu/research/preserving-the-federal-role-in-encouraging-and-evaluating-education-innovation/)//ET</w:t>
      </w:r>
    </w:p>
    <w:p w:rsidR="002A5800" w:rsidRDefault="002A5800" w:rsidP="002A5800">
      <w:r>
        <w:rPr>
          <w:rStyle w:val="StyleUnderline"/>
        </w:rPr>
        <w:t>RTT epitomized</w:t>
      </w:r>
      <w:r>
        <w:t xml:space="preserve"> the </w:t>
      </w:r>
      <w:r>
        <w:rPr>
          <w:rStyle w:val="StyleUnderline"/>
        </w:rPr>
        <w:t>broad</w:t>
      </w:r>
      <w:r>
        <w:t xml:space="preserve">, prescriptive </w:t>
      </w:r>
      <w:r>
        <w:rPr>
          <w:rStyle w:val="StyleUnderline"/>
        </w:rPr>
        <w:t>approach to competitive grants.</w:t>
      </w:r>
      <w:r>
        <w:t xml:space="preserve"> Although presented by supporters as an opportunity for states to put forward their best and most innovative ideas, in fact the selection criteria amounted to a detailed list of commitments in areas ranging from state standards and data systems to teacher evaluation systems and strategies to turn around low-performing schools. Because funding was based primarily on future commitments, the program did little to alter the compliance-oriented relationship between federal officials and state and local educators once grants were awarded. As Rick Hess of the American Enterprise Institute has written, “the aftermath entailed years of invasive federal monitoring…during which junior staff at the U.S. Department of Education exerted remarkable influence over the states that received RTT funds.” While it is too soon to know whether states awarded RTT grants will see improvements in student outcomes, there is little hope that their efforts will be a source of rigorous evidence on the merits of specific policies they pursued. The sheer number of policies states were required to implement simultaneously makes it all but impossible to isolate the impact of any one. Yet </w:t>
      </w:r>
      <w:r>
        <w:rPr>
          <w:rStyle w:val="Emphasis"/>
        </w:rPr>
        <w:t>RTT was the exception,</w:t>
      </w:r>
      <w:r>
        <w:t xml:space="preserve"> </w:t>
      </w:r>
      <w:r>
        <w:rPr>
          <w:rStyle w:val="StyleUnderline"/>
        </w:rPr>
        <w:t xml:space="preserve">not the rule. Its scale reflected the unique circumstances of the post-financial crisis stimulus package, and maintaining a single competitive grant program at this scale has already proven to be politically infeasible. </w:t>
      </w:r>
      <w:r>
        <w:rPr>
          <w:rStyle w:val="Emphasis"/>
        </w:rPr>
        <w:t>Other competitive grant programs</w:t>
      </w:r>
      <w:r>
        <w:t xml:space="preserve"> </w:t>
      </w:r>
      <w:r>
        <w:rPr>
          <w:rStyle w:val="StyleUnderline"/>
        </w:rPr>
        <w:t xml:space="preserve">are structured </w:t>
      </w:r>
      <w:r>
        <w:rPr>
          <w:rStyle w:val="Emphasis"/>
        </w:rPr>
        <w:t>quite differently</w:t>
      </w:r>
      <w:r>
        <w:t xml:space="preserve">, </w:t>
      </w:r>
      <w:r>
        <w:rPr>
          <w:rStyle w:val="Emphasis"/>
        </w:rPr>
        <w:t>with a narrow focus tied to a distinct federal purpose.</w:t>
      </w:r>
      <w:r>
        <w:t xml:space="preserve"> </w:t>
      </w:r>
      <w:r>
        <w:rPr>
          <w:rStyle w:val="StyleUnderline"/>
        </w:rPr>
        <w:t>For example, the Teacher Incentive Fund created by</w:t>
      </w:r>
      <w:r>
        <w:t xml:space="preserve"> the second </w:t>
      </w:r>
      <w:r>
        <w:rPr>
          <w:rStyle w:val="StyleUnderline"/>
        </w:rPr>
        <w:t>Bush</w:t>
      </w:r>
      <w:r>
        <w:t xml:space="preserve"> administration asks school districts and charter schools to commit </w:t>
      </w:r>
      <w:r>
        <w:rPr>
          <w:rStyle w:val="StyleUnderline"/>
        </w:rPr>
        <w:t>to implement</w:t>
      </w:r>
      <w:r>
        <w:t xml:space="preserve">ing </w:t>
      </w:r>
      <w:r>
        <w:rPr>
          <w:rStyle w:val="StyleUnderline"/>
        </w:rPr>
        <w:t>performance-based teacher compensation systems.</w:t>
      </w:r>
      <w:r>
        <w:t xml:space="preserve"> The rationale is that </w:t>
      </w:r>
      <w:r>
        <w:rPr>
          <w:rStyle w:val="StyleUnderline"/>
        </w:rPr>
        <w:t xml:space="preserve">local officials will be </w:t>
      </w:r>
      <w:r>
        <w:rPr>
          <w:rStyle w:val="Emphasis"/>
        </w:rPr>
        <w:t>more likely to adopt politically controversial changes</w:t>
      </w:r>
      <w:r>
        <w:rPr>
          <w:rStyle w:val="StyleUnderline"/>
        </w:rPr>
        <w:t xml:space="preserve"> to how teachers are compensated when outside resources are available to support their efforts.</w:t>
      </w:r>
      <w:r>
        <w:t xml:space="preserve"> For the past few years, the Department of Education has also offered grants directly to Charter Management Organizations seeking to expand or replicate high-quality schools. Those schools need not adhere to a particular pedagogical model but must instead document a track record of improving student outcomes. The Teacher Incentive Fund and grants to expand and replicate high-quality charter schools have been included in both the House committee’s bill and in Senator Alexander’s initial discussion draft.</w:t>
      </w:r>
    </w:p>
    <w:p w:rsidR="002A5800" w:rsidRDefault="002A5800" w:rsidP="002A5800">
      <w:pPr>
        <w:pStyle w:val="Heading3"/>
        <w:rPr>
          <w:sz w:val="32"/>
        </w:rPr>
      </w:pPr>
      <w:r>
        <w:t>AT too limited</w:t>
      </w:r>
    </w:p>
    <w:p w:rsidR="002A5800" w:rsidRDefault="002A5800" w:rsidP="002A5800">
      <w:pPr>
        <w:pStyle w:val="Heading4"/>
      </w:pPr>
      <w:r>
        <w:t>Even if not every school gets federal money, we create incentives and models for reform</w:t>
      </w:r>
    </w:p>
    <w:p w:rsidR="002A5800" w:rsidRDefault="002A5800" w:rsidP="002A5800">
      <w:r>
        <w:rPr>
          <w:rStyle w:val="Style13ptBold"/>
        </w:rPr>
        <w:t>Slavin 8</w:t>
      </w:r>
      <w:r>
        <w:t xml:space="preserve"> director of the Center for Research and Reform in Education at Johns Hopkins University, director of the Institute for Effective Education at the University of York, and the cofounder and chairman of the Success for All Foundation. (Robert, “Cooperative Learning, Success for All, and Evidence-based Reform in education,” Education Didactique, Vol. 2, No. 2, November 2008, pp. 149-157, </w:t>
      </w:r>
      <w:hyperlink r:id="rId33" w:history="1">
        <w:r>
          <w:rPr>
            <w:rStyle w:val="Hyperlink"/>
          </w:rPr>
          <w:t>http://educationdidactique.revues.org/334</w:t>
        </w:r>
      </w:hyperlink>
      <w:r>
        <w:t>) AAB</w:t>
      </w:r>
    </w:p>
    <w:p w:rsidR="002A5800" w:rsidRDefault="002A5800" w:rsidP="002A5800"/>
    <w:p w:rsidR="002A5800" w:rsidRDefault="002A5800" w:rsidP="002A5800">
      <w:r>
        <w:t>16</w:t>
      </w:r>
      <w:r>
        <w:rPr>
          <w:rStyle w:val="StyleUnderline"/>
        </w:rPr>
        <w:t xml:space="preserve">During the Clinton Administration, </w:t>
      </w:r>
      <w:r>
        <w:t xml:space="preserve">in 1997-2001, </w:t>
      </w:r>
      <w:r>
        <w:rPr>
          <w:rStyle w:val="StyleUnderline"/>
        </w:rPr>
        <w:t>the</w:t>
      </w:r>
      <w:r>
        <w:t xml:space="preserve"> U.S. </w:t>
      </w:r>
      <w:r>
        <w:rPr>
          <w:rStyle w:val="StyleUnderline"/>
        </w:rPr>
        <w:t>D</w:t>
      </w:r>
      <w:r>
        <w:t xml:space="preserve">epartment </w:t>
      </w:r>
      <w:r>
        <w:rPr>
          <w:rStyle w:val="StyleUnderline"/>
        </w:rPr>
        <w:t>o</w:t>
      </w:r>
      <w:r>
        <w:t xml:space="preserve">f </w:t>
      </w:r>
      <w:r>
        <w:rPr>
          <w:rStyle w:val="StyleUnderline"/>
        </w:rPr>
        <w:t>Education developed a means of supporting scale-up of comprehensive school reform models. It provided competitive grants</w:t>
      </w:r>
      <w:r>
        <w:t xml:space="preserve"> </w:t>
      </w:r>
      <w:r>
        <w:rPr>
          <w:rStyle w:val="StyleUnderline"/>
        </w:rPr>
        <w:t>of at least $50,000 per year for up to 3 years to help schools adopt “proven, comprehensive” reform models</w:t>
      </w:r>
      <w:r>
        <w:t xml:space="preserve">. These Comprehensive School Reform (CSR) grants did not generally cover the full costs of the programs, forcing schools to use their own funding to supplement the costs. </w:t>
      </w:r>
      <w:r>
        <w:rPr>
          <w:rStyle w:val="StyleUnderline"/>
        </w:rPr>
        <w:t>Schools received extra points on their applications if they were in high-poverty areas</w:t>
      </w:r>
      <w:r>
        <w:t>, so most funded schools were relatively impoverished.</w:t>
      </w:r>
    </w:p>
    <w:p w:rsidR="002A5800" w:rsidRDefault="002A5800" w:rsidP="002A5800">
      <w:r>
        <w:t>17</w:t>
      </w:r>
      <w:r>
        <w:rPr>
          <w:rStyle w:val="StyleUnderline"/>
        </w:rPr>
        <w:t xml:space="preserve">The CSR funding program had an </w:t>
      </w:r>
      <w:r>
        <w:rPr>
          <w:rStyle w:val="Emphasis"/>
        </w:rPr>
        <w:t>electric</w:t>
      </w:r>
      <w:r>
        <w:t xml:space="preserve"> e</w:t>
      </w:r>
      <w:r>
        <w:rPr>
          <w:rStyle w:val="StyleUnderline"/>
        </w:rPr>
        <w:t>ffect on school reform throughout the U.S. State departments of education and local agencies held “design fairs” in which school staffs could come and learn about various programs available to them</w:t>
      </w:r>
      <w:r>
        <w:t xml:space="preserve">. Ultimately, </w:t>
      </w:r>
      <w:r>
        <w:rPr>
          <w:rStyle w:val="StyleUnderline"/>
        </w:rPr>
        <w:t>thousands of schools adopted CSR programs with the federal grants,</w:t>
      </w:r>
      <w:r>
        <w:t xml:space="preserve"> </w:t>
      </w:r>
      <w:r>
        <w:rPr>
          <w:rStyle w:val="StyleUnderline"/>
        </w:rPr>
        <w:t xml:space="preserve">but thousands more did so </w:t>
      </w:r>
      <w:r>
        <w:rPr>
          <w:rStyle w:val="Emphasis"/>
        </w:rPr>
        <w:t>with their own funds</w:t>
      </w:r>
      <w:r>
        <w:rPr>
          <w:rStyle w:val="StyleUnderline"/>
        </w:rPr>
        <w:t>, after learning about progamms through the CSR process.</w:t>
      </w:r>
      <w:r>
        <w:t xml:space="preserve"> Estimates of the number of schools that used CSR models at the peak of this movement (in 2001) range from 6000 to 10,000. The Bush administration opposed CSR and ultimately pressured Congress to end it, but not before</w:t>
      </w:r>
      <w:r>
        <w:rPr>
          <w:rStyle w:val="StyleUnderline"/>
        </w:rPr>
        <w:t xml:space="preserve"> it demonstrated how research-proven programs could be developed, evaluated, and then disseminated on a substantial scale while maintaining quality and effectiveness</w:t>
      </w:r>
      <w:r>
        <w:t xml:space="preserve"> (see Aladjem &amp; Borman, 2006).</w:t>
      </w:r>
    </w:p>
    <w:p w:rsidR="002A5800" w:rsidRDefault="002A5800" w:rsidP="002A5800"/>
    <w:p w:rsidR="002A5800" w:rsidRDefault="002A5800" w:rsidP="002A5800">
      <w:pPr>
        <w:pStyle w:val="Heading2"/>
      </w:pPr>
      <w:r>
        <w:t>AT Theory</w:t>
      </w:r>
    </w:p>
    <w:p w:rsidR="002A5800" w:rsidRDefault="002A5800" w:rsidP="002A5800">
      <w:pPr>
        <w:pStyle w:val="Heading3"/>
      </w:pPr>
      <w:r>
        <w:t>AT PDCP</w:t>
      </w:r>
    </w:p>
    <w:p w:rsidR="002A5800" w:rsidRDefault="002A5800" w:rsidP="002A5800">
      <w:pPr>
        <w:pStyle w:val="Heading4"/>
        <w:rPr>
          <w:rFonts w:cs="Times New Roman"/>
        </w:rPr>
      </w:pPr>
      <w:r>
        <w:rPr>
          <w:rFonts w:cs="Times New Roman"/>
        </w:rPr>
        <w:t xml:space="preserve">Regulations must be </w:t>
      </w:r>
      <w:r>
        <w:rPr>
          <w:rFonts w:cs="Times New Roman"/>
          <w:u w:val="single"/>
        </w:rPr>
        <w:t>applied uniformly</w:t>
      </w:r>
      <w:r>
        <w:rPr>
          <w:rFonts w:cs="Times New Roman"/>
        </w:rPr>
        <w:t xml:space="preserve"> across all 50 states - comp</w:t>
      </w:r>
    </w:p>
    <w:p w:rsidR="002A5800" w:rsidRDefault="002A5800" w:rsidP="002A5800">
      <w:pPr>
        <w:rPr>
          <w:rFonts w:cstheme="minorBidi"/>
          <w:iCs/>
        </w:rPr>
      </w:pPr>
      <w:r>
        <w:rPr>
          <w:rStyle w:val="Style13ptBold"/>
        </w:rPr>
        <w:t>US Code Title 20</w:t>
      </w:r>
      <w:r>
        <w:t xml:space="preserve"> (United States Code, Title 20. Education; Chapter 31: </w:t>
      </w:r>
      <w:r>
        <w:rPr>
          <w:rStyle w:val="Emphasis"/>
        </w:rPr>
        <w:t>General Provisions Concerning Education</w:t>
      </w:r>
      <w:r>
        <w:rPr>
          <w:rStyle w:val="Emphasis"/>
          <w:b w:val="0"/>
        </w:rPr>
        <w:t>, Lexis) AAB</w:t>
      </w:r>
    </w:p>
    <w:p w:rsidR="002A5800" w:rsidRDefault="002A5800" w:rsidP="002A5800">
      <w:r>
        <w:t xml:space="preserve">§ 1232.  </w:t>
      </w:r>
      <w:r>
        <w:rPr>
          <w:rStyle w:val="Emphasis"/>
        </w:rPr>
        <w:t>Regulations</w:t>
      </w:r>
      <w:r>
        <w:t xml:space="preserve"> </w:t>
      </w:r>
    </w:p>
    <w:p w:rsidR="002A5800" w:rsidRDefault="002A5800" w:rsidP="002A5800">
      <w:pPr>
        <w:rPr>
          <w:rStyle w:val="StyleUnderline"/>
        </w:rPr>
      </w:pPr>
      <w:r>
        <w:t>(a) "</w:t>
      </w:r>
      <w:r>
        <w:rPr>
          <w:rStyle w:val="StyleUnderline"/>
        </w:rPr>
        <w:t xml:space="preserve">Regulation" defined. </w:t>
      </w:r>
      <w:r>
        <w:t>For the purpose of this section,</w:t>
      </w:r>
      <w:r>
        <w:rPr>
          <w:rStyle w:val="StyleUnderline"/>
        </w:rPr>
        <w:t xml:space="preserve"> the term "regulation" means any generally applicable rule, regulation, guideline, interpretation, or other requirement that--</w:t>
      </w:r>
    </w:p>
    <w:p w:rsidR="002A5800" w:rsidRDefault="002A5800" w:rsidP="002A5800">
      <w:pPr>
        <w:rPr>
          <w:rStyle w:val="StyleUnderline"/>
        </w:rPr>
      </w:pPr>
      <w:r>
        <w:rPr>
          <w:rStyle w:val="StyleUnderline"/>
        </w:rPr>
        <w:t xml:space="preserve">   (1) is prescribed by the Secretary or the Department; and</w:t>
      </w:r>
    </w:p>
    <w:p w:rsidR="002A5800" w:rsidRDefault="002A5800" w:rsidP="002A5800">
      <w:r>
        <w:rPr>
          <w:rStyle w:val="StyleUnderline"/>
        </w:rPr>
        <w:t xml:space="preserve">   (2) has legally binding effect in connection with, or affecting, the provision of financial assistance under any applicable program.</w:t>
      </w:r>
    </w:p>
    <w:p w:rsidR="002A5800" w:rsidRDefault="002A5800" w:rsidP="002A5800">
      <w:pPr>
        <w:rPr>
          <w:u w:val="single"/>
        </w:rPr>
      </w:pPr>
      <w:r>
        <w:t xml:space="preserve">(b) Citation of authority. </w:t>
      </w:r>
      <w:r>
        <w:rPr>
          <w:rStyle w:val="StyleUnderline"/>
        </w:rPr>
        <w:t>Regulations shall contain, immediately following each substantive provision of such regulations, citations to the particular section or sections of statutory law or other legal authority on which such provision is based.</w:t>
      </w:r>
    </w:p>
    <w:p w:rsidR="002A5800" w:rsidRDefault="002A5800" w:rsidP="002A5800">
      <w:pPr>
        <w:rPr>
          <w:rStyle w:val="StyleUnderline"/>
        </w:rPr>
      </w:pPr>
      <w:r>
        <w:t xml:space="preserve">(c) </w:t>
      </w:r>
      <w:r>
        <w:rPr>
          <w:rStyle w:val="StyleUnderline"/>
        </w:rPr>
        <w:t>Uniform application. All regulations shall be uniformly applied and enforced throughout the 50 States.</w:t>
      </w:r>
    </w:p>
    <w:p w:rsidR="002A5800" w:rsidRDefault="002A5800" w:rsidP="002A5800"/>
    <w:p w:rsidR="002A5800" w:rsidRDefault="002A5800" w:rsidP="002A5800">
      <w:pPr>
        <w:pStyle w:val="Heading4"/>
        <w:rPr>
          <w:u w:val="single"/>
        </w:rPr>
      </w:pPr>
      <w:r>
        <w:t xml:space="preserve">Competitive grants are non-uniform and facilitate </w:t>
      </w:r>
      <w:r>
        <w:rPr>
          <w:u w:val="single"/>
        </w:rPr>
        <w:t xml:space="preserve">flexibility </w:t>
      </w:r>
      <w:r>
        <w:t xml:space="preserve">and </w:t>
      </w:r>
      <w:r>
        <w:rPr>
          <w:u w:val="single"/>
        </w:rPr>
        <w:t>innovation</w:t>
      </w:r>
    </w:p>
    <w:p w:rsidR="002A5800" w:rsidRDefault="002A5800" w:rsidP="002A5800">
      <w:r>
        <w:rPr>
          <w:rStyle w:val="Style13ptBold"/>
        </w:rPr>
        <w:t xml:space="preserve">Manna and Ryan 11 </w:t>
      </w:r>
      <w:r>
        <w:rPr>
          <w:rStyle w:val="Style13ptBold"/>
          <w:b w:val="0"/>
        </w:rPr>
        <w:t xml:space="preserve">--- </w:t>
      </w:r>
      <w:r>
        <w:rPr>
          <w:rStyle w:val="Style13ptBold"/>
          <w:b w:val="0"/>
          <w:sz w:val="22"/>
        </w:rPr>
        <w:t xml:space="preserve">Manna, Department of Government chair at William and Mary College. Ryan, Research Assistant at William and Mary College. </w:t>
      </w:r>
      <w:r>
        <w:t>(Paul Manna and Laura L. Ryan, “Competitive Grants and Educational Federalism: President Obama's Race to the Top Program in Theory and Practice”, The State of American Federalism 2010-2011. Oxford University Press. http://www.jstor.org/stable/23015118)//ET</w:t>
      </w:r>
    </w:p>
    <w:p w:rsidR="002A5800" w:rsidRDefault="002A5800" w:rsidP="002A5800">
      <w:r>
        <w:t xml:space="preserve">President Obama's embrace of competitive approaches with RTTT raises an obvious question: </w:t>
      </w:r>
      <w:r>
        <w:rPr>
          <w:rStyle w:val="StyleUnderline"/>
        </w:rPr>
        <w:t>What are the advantages to using competitions rather than formulas to distribute grants?</w:t>
      </w:r>
      <w:r>
        <w:t xml:space="preserve"> The literature on intergovernmental grants suggests </w:t>
      </w:r>
      <w:r>
        <w:rPr>
          <w:rStyle w:val="StyleUnderline"/>
        </w:rPr>
        <w:t>three potential benefits of competitive approaches</w:t>
      </w:r>
      <w:r>
        <w:t xml:space="preserve"> (Derthick 1970; Gilbert and Specht 1974; Beam and Conlan 2002; Collins and Gerber 2008). First, competitions help to enhance accountability and minimize agency problems by forcing potential recipients to develop specific plans for their use of funds. The proposal process helps to make recipient interests and capabilities more (although not perfectly) transparent, which can aid program administrators charged with holding recipients accountable. Second, </w:t>
      </w:r>
      <w:r>
        <w:rPr>
          <w:rStyle w:val="Emphasis"/>
        </w:rPr>
        <w:t>competitions can promote policy innovations</w:t>
      </w:r>
      <w:r>
        <w:t xml:space="preserve"> </w:t>
      </w:r>
      <w:r>
        <w:rPr>
          <w:rStyle w:val="StyleUnderline"/>
        </w:rPr>
        <w:t>as applicants develop initiatives that they believe will meet program requirements and that agency officials will find compelling. Officials overseeing RTTT have repeatedly advanced this argument in describing the program</w:t>
      </w:r>
      <w:r>
        <w:t xml:space="preserve"> to potential competitors, other public officials, and the media (U.S. Department of Education 2009). Finally, </w:t>
      </w:r>
      <w:r>
        <w:rPr>
          <w:rStyle w:val="StyleUnderline"/>
        </w:rPr>
        <w:t xml:space="preserve">executives and managers in government agencies may prefer administering competitive grants due to </w:t>
      </w:r>
      <w:r>
        <w:rPr>
          <w:rStyle w:val="Emphasis"/>
        </w:rPr>
        <w:t xml:space="preserve">the flexibility they often create. Competitive programs </w:t>
      </w:r>
      <w:r>
        <w:t xml:space="preserve">usually </w:t>
      </w:r>
      <w:r>
        <w:rPr>
          <w:rStyle w:val="Emphasis"/>
        </w:rPr>
        <w:t>delegate more authority over</w:t>
      </w:r>
      <w:r>
        <w:t xml:space="preserve"> implementation and pr</w:t>
      </w:r>
      <w:r>
        <w:rPr>
          <w:rStyle w:val="Emphasis"/>
        </w:rPr>
        <w:t>ogram design to agency administrators than programs where distribution occurs by formula.</w:t>
      </w:r>
      <w:r>
        <w:t xml:space="preserve"> The very general description of RTTT in the ARRA illustrates this pattern</w:t>
      </w:r>
    </w:p>
    <w:p w:rsidR="002A5800" w:rsidRDefault="002A5800" w:rsidP="002A5800">
      <w:pPr>
        <w:rPr>
          <w:sz w:val="22"/>
        </w:rPr>
      </w:pPr>
    </w:p>
    <w:p w:rsidR="002A5800" w:rsidRDefault="002A5800" w:rsidP="002A5800">
      <w:pPr>
        <w:pStyle w:val="Heading2"/>
      </w:pPr>
      <w:r>
        <w:t>Net benefits</w:t>
      </w:r>
    </w:p>
    <w:p w:rsidR="002A5800" w:rsidRDefault="002A5800" w:rsidP="002A5800">
      <w:pPr>
        <w:pStyle w:val="Heading3"/>
      </w:pPr>
      <w:r>
        <w:t>Trump Good NB</w:t>
      </w:r>
    </w:p>
    <w:p w:rsidR="002A5800" w:rsidRDefault="002A5800" w:rsidP="002A5800">
      <w:pPr>
        <w:pStyle w:val="Heading4"/>
      </w:pPr>
      <w:r>
        <w:t xml:space="preserve">Competitive grants have empirically received </w:t>
      </w:r>
      <w:r>
        <w:rPr>
          <w:u w:val="single"/>
        </w:rPr>
        <w:t>bipartisan support</w:t>
      </w:r>
      <w:r>
        <w:t xml:space="preserve"> – happy medium</w:t>
      </w:r>
    </w:p>
    <w:p w:rsidR="002A5800" w:rsidRDefault="002A5800" w:rsidP="002A5800">
      <w:r>
        <w:rPr>
          <w:rStyle w:val="Style13ptBold"/>
        </w:rPr>
        <w:t>Camera 15</w:t>
      </w:r>
      <w:r>
        <w:t xml:space="preserve"> (Lauren, April 13, “Early Education Will Likely Be Strengthened in Bipartisan ESEA Rewrite,” Education Week, http://blogs.edweek.org/edweek/campaign-k-12/2015/04/early_education_will_likely_be.html) AAB</w:t>
      </w:r>
    </w:p>
    <w:p w:rsidR="002A5800" w:rsidRDefault="002A5800" w:rsidP="002A5800"/>
    <w:p w:rsidR="002A5800" w:rsidRDefault="002A5800" w:rsidP="002A5800">
      <w:r>
        <w:t xml:space="preserve">The amendment would create </w:t>
      </w:r>
      <w:r>
        <w:rPr>
          <w:rStyle w:val="StyleUnderline"/>
        </w:rPr>
        <w:t>a competitive-grant program</w:t>
      </w:r>
      <w:r>
        <w:t xml:space="preserve"> to provide funding for states that propose to improve coordination, quality, and access for early-childhood education. States would apply for three-year grants and provide matching funds to support "sustainable improvements and better coordination" of their early-learning and care systems.</w:t>
      </w:r>
    </w:p>
    <w:p w:rsidR="002A5800" w:rsidRDefault="002A5800" w:rsidP="002A5800">
      <w:r>
        <w:t xml:space="preserve">The measure </w:t>
      </w:r>
      <w:r>
        <w:rPr>
          <w:rStyle w:val="StyleUnderline"/>
        </w:rPr>
        <w:t>plays to Republican sensibilities by allowing states to better coordinate federal education programs that already exist</w:t>
      </w:r>
      <w:r>
        <w:t>, including Head Start and the Child Care Development Block Grant and  Preschool Development Grant programs. Republicans have argued that overlap across the various federal, state, and local early-childhood programs has made it difficult for the programs to be effective.</w:t>
      </w:r>
    </w:p>
    <w:p w:rsidR="002A5800" w:rsidRDefault="002A5800" w:rsidP="002A5800">
      <w:r>
        <w:t xml:space="preserve">Indeed, last month </w:t>
      </w:r>
      <w:r>
        <w:rPr>
          <w:rStyle w:val="StyleUnderline"/>
        </w:rPr>
        <w:t>Sen. Lamar Alexander, R-Tenn., chairman of the education committee</w:t>
      </w:r>
      <w:r>
        <w:t xml:space="preserve"> and co-author of the ESEA rewrite, </w:t>
      </w:r>
      <w:r>
        <w:rPr>
          <w:rStyle w:val="StyleUnderline"/>
        </w:rPr>
        <w:t>said that the $22 billion that the federal government spends on early-education programs is fragmented, stuck in unworkable silos, and often ineffective, and that he'd rather</w:t>
      </w:r>
      <w:r>
        <w:t xml:space="preserve"> find </w:t>
      </w:r>
      <w:r>
        <w:rPr>
          <w:rStyle w:val="StyleUnderline"/>
        </w:rPr>
        <w:t>a way to better coordinate</w:t>
      </w:r>
      <w:r>
        <w:t xml:space="preserve"> all of them than create </w:t>
      </w:r>
      <w:r>
        <w:rPr>
          <w:rStyle w:val="StyleUnderline"/>
        </w:rPr>
        <w:t>a</w:t>
      </w:r>
      <w:r>
        <w:t xml:space="preserve">n entirely </w:t>
      </w:r>
      <w:r>
        <w:rPr>
          <w:rStyle w:val="StyleUnderline"/>
        </w:rPr>
        <w:t>new</w:t>
      </w:r>
      <w:r>
        <w:t xml:space="preserve"> pre-K </w:t>
      </w:r>
      <w:r>
        <w:rPr>
          <w:rStyle w:val="StyleUnderline"/>
        </w:rPr>
        <w:t>program</w:t>
      </w:r>
      <w:r>
        <w:t>.</w:t>
      </w:r>
    </w:p>
    <w:p w:rsidR="002A5800" w:rsidRDefault="002A5800" w:rsidP="002A5800">
      <w:r>
        <w:rPr>
          <w:rStyle w:val="StyleUnderline"/>
        </w:rPr>
        <w:t>The amendment</w:t>
      </w:r>
      <w:r>
        <w:t xml:space="preserve"> will be </w:t>
      </w:r>
      <w:r>
        <w:rPr>
          <w:rStyle w:val="StyleUnderline"/>
        </w:rPr>
        <w:t>offered with</w:t>
      </w:r>
      <w:r>
        <w:t xml:space="preserve"> the support of Republican Sens. Johnny Isakson of Georgia and Mark Kirk of Illinois, likely giving it the </w:t>
      </w:r>
      <w:r>
        <w:rPr>
          <w:rStyle w:val="Emphasis"/>
        </w:rPr>
        <w:t>bipartisan support</w:t>
      </w:r>
      <w:r>
        <w:t xml:space="preserve"> </w:t>
      </w:r>
      <w:r>
        <w:rPr>
          <w:rStyle w:val="StyleUnderline"/>
        </w:rPr>
        <w:t>it needs to clear any hurdles</w:t>
      </w:r>
      <w:r>
        <w:t xml:space="preserve">. Georgia, in particular, has been making a high-profile push to increase access to pre-K programs and won $51.7 million through the Obama administration's Race to the Top-Early Learning Challenge grant to do so. It used that money, in part, to create customized early-learning programs for geographic areas with large numbers of high-need children. </w:t>
      </w:r>
    </w:p>
    <w:p w:rsidR="002A5800" w:rsidRDefault="002A5800" w:rsidP="002A5800">
      <w:r>
        <w:t>"</w:t>
      </w:r>
      <w:r>
        <w:rPr>
          <w:rStyle w:val="StyleUnderline"/>
        </w:rPr>
        <w:t>Republican and Democratic governors and lawmakers across the country already recognize the importance of</w:t>
      </w:r>
      <w:r>
        <w:t xml:space="preserve"> preschool </w:t>
      </w:r>
      <w:r>
        <w:rPr>
          <w:rStyle w:val="StyleUnderline"/>
        </w:rPr>
        <w:t>investments</w:t>
      </w:r>
      <w:r>
        <w:t>, and it's time for Congress to catch up," said Murray in a statement. "</w:t>
      </w:r>
      <w:r>
        <w:rPr>
          <w:rStyle w:val="StyleUnderline"/>
        </w:rPr>
        <w:t>My bipartisan amendment will help us expand access to high quality early childhood education</w:t>
      </w:r>
      <w:r>
        <w:t>, so more kids start kindergarten with a strong foundation for success in school and in the future. I'm hopeful it will get strong support in committee and that we can build on this kind of progress as the work to fix No Child Left Behind continues."</w:t>
      </w:r>
    </w:p>
    <w:p w:rsidR="002A5800" w:rsidRDefault="002A5800" w:rsidP="002A5800"/>
    <w:p w:rsidR="002A5800" w:rsidRDefault="002A5800" w:rsidP="002A5800">
      <w:pPr>
        <w:pStyle w:val="Heading3"/>
      </w:pPr>
      <w:r>
        <w:t>Federalism NB</w:t>
      </w:r>
    </w:p>
    <w:p w:rsidR="002A5800" w:rsidRDefault="002A5800" w:rsidP="002A5800">
      <w:pPr>
        <w:pStyle w:val="Heading4"/>
      </w:pPr>
      <w:r>
        <w:t xml:space="preserve">Federalism is a net benefit – competitive grants represent </w:t>
      </w:r>
      <w:r>
        <w:rPr>
          <w:u w:val="single"/>
        </w:rPr>
        <w:t>limited federal power</w:t>
      </w:r>
      <w:r>
        <w:t xml:space="preserve"> that allow states to innovate</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t xml:space="preserve">Political scientists Peterson, Rabe, and Wong (1986) observed 25 years ago that </w:t>
      </w:r>
      <w:r>
        <w:rPr>
          <w:rStyle w:val="StyleUnderline"/>
        </w:rPr>
        <w:t xml:space="preserve">federal education policy </w:t>
      </w:r>
      <w:r>
        <w:t>tends to</w:t>
      </w:r>
      <w:r>
        <w:rPr>
          <w:rStyle w:val="StyleUnderline"/>
        </w:rPr>
        <w:t xml:space="preserve"> go through </w:t>
      </w:r>
      <w:r>
        <w:t>cycles of</w:t>
      </w:r>
      <w:r>
        <w:rPr>
          <w:rStyle w:val="StyleUnderline"/>
        </w:rPr>
        <w:t xml:space="preserve"> overreach and consolidation</w:t>
      </w:r>
      <w:r>
        <w:t xml:space="preserve">. From this perspective, </w:t>
      </w:r>
      <w:r>
        <w:rPr>
          <w:rStyle w:val="StyleUnderline"/>
        </w:rPr>
        <w:t xml:space="preserve">RTTT may best be understood as an attempt by the Obama administration to respond to the failures of NCLB and adapt federal policy to a role more commensurate with </w:t>
      </w:r>
      <w:r>
        <w:rPr>
          <w:rStyle w:val="Emphasis"/>
        </w:rPr>
        <w:t>limited federal power</w:t>
      </w:r>
      <w:r>
        <w:rPr>
          <w:rStyle w:val="StyleUnderline"/>
        </w:rPr>
        <w:t xml:space="preserve"> and administrative resources</w:t>
      </w:r>
      <w:r>
        <w:t xml:space="preserve">. RTTT’s </w:t>
      </w:r>
      <w:r>
        <w:rPr>
          <w:rStyle w:val="StyleUnderline"/>
        </w:rPr>
        <w:t>competitive grant program represents a promising new approach to using federal funds to drive school reform that may well prove more effective than traditional federal formula grant programs</w:t>
      </w:r>
      <w:r>
        <w:t xml:space="preserve">. The program is also significant because it demonstrates that the Obama administration has an expansive view of the federal role in education and one which builds on the test-based accountability framework put into place by NCLB, even as it seeks to push in some new directions (McDonnell, 2010). </w:t>
      </w:r>
      <w:r>
        <w:rPr>
          <w:rStyle w:val="StyleUnderline"/>
        </w:rPr>
        <w:t>RTTT</w:t>
      </w:r>
      <w:r>
        <w:t xml:space="preserve"> seeks to </w:t>
      </w:r>
      <w:r>
        <w:rPr>
          <w:rStyle w:val="StyleUnderline"/>
        </w:rPr>
        <w:t>change the political discourse around education, provide political cover for state reformers, and construct new administrative capacity at the federal and state levels that can support the implementation of new reforms once enacted</w:t>
      </w:r>
      <w:r>
        <w:t>. However, we should remain realistic in our expectations of what RTTT can accomplish; although the program’s approach may be different from that of earlier federal education programs, many of the political and institutional obstacles to sustaining meaningful reform at the federal and state levels remain largely the same. RTTT will struggle to surmount these obstacles in the short term, even as it hopes to transform them over the longer term.</w:t>
      </w:r>
    </w:p>
    <w:p w:rsidR="002A5800" w:rsidRDefault="002A5800" w:rsidP="002A5800"/>
    <w:p w:rsidR="002A5800" w:rsidRDefault="002A5800" w:rsidP="002A5800">
      <w:pPr>
        <w:pStyle w:val="Heading4"/>
      </w:pPr>
      <w:r>
        <w:t>Formula grants destroy competitive federalism --- that’s key to economic growth and competitiveness --- empirics prove modeling and spillvoer</w:t>
      </w:r>
    </w:p>
    <w:p w:rsidR="002A5800" w:rsidRDefault="002A5800" w:rsidP="002A5800">
      <w:r>
        <w:rPr>
          <w:rStyle w:val="Style13ptBold"/>
        </w:rPr>
        <w:t xml:space="preserve">Katz 12 </w:t>
      </w:r>
      <w:r>
        <w:rPr>
          <w:rStyle w:val="Style13ptBold"/>
          <w:b w:val="0"/>
        </w:rPr>
        <w:t xml:space="preserve">--- </w:t>
      </w:r>
      <w:r>
        <w:rPr>
          <w:rStyle w:val="Style13ptBold"/>
          <w:b w:val="0"/>
          <w:sz w:val="22"/>
        </w:rPr>
        <w:t xml:space="preserve">Visiting Professor at LSE, Centennial Scholar at the Brookings Institution. </w:t>
      </w:r>
      <w:r>
        <w:t>(Bruce Katz, “Remaking Federalism to Remake the American Economy”, Brookings. https://www.brookings.edu/research/remaking-federalism-to-remake-the-american-economy/)//ET</w:t>
      </w:r>
    </w:p>
    <w:p w:rsidR="002A5800" w:rsidRDefault="002A5800" w:rsidP="002A5800">
      <w:pPr>
        <w:rPr>
          <w:rStyle w:val="StyleUnderline"/>
        </w:rPr>
      </w:pPr>
      <w:r>
        <w:rPr>
          <w:sz w:val="14"/>
        </w:rPr>
        <w:t xml:space="preserve">The 2012 </w:t>
      </w:r>
      <w:r>
        <w:rPr>
          <w:rStyle w:val="StyleUnderline"/>
        </w:rPr>
        <w:t>presidential election will be</w:t>
      </w:r>
      <w:r>
        <w:rPr>
          <w:sz w:val="14"/>
        </w:rPr>
        <w:t xml:space="preserve"> defined and </w:t>
      </w:r>
      <w:r>
        <w:rPr>
          <w:rStyle w:val="StyleUnderline"/>
        </w:rPr>
        <w:t xml:space="preserve">dominated by the economic challenges that persist </w:t>
      </w:r>
      <w:r>
        <w:rPr>
          <w:sz w:val="14"/>
        </w:rPr>
        <w:t xml:space="preserve">an incredible 33 months </w:t>
      </w:r>
      <w:r>
        <w:rPr>
          <w:rStyle w:val="StyleUnderline"/>
        </w:rPr>
        <w:t xml:space="preserve">after the formal end of the Great Recession. </w:t>
      </w:r>
      <w:r>
        <w:rPr>
          <w:sz w:val="14"/>
        </w:rPr>
        <w:t xml:space="preserve">At the most basic level, </w:t>
      </w:r>
      <w:r>
        <w:rPr>
          <w:rStyle w:val="Emphasis"/>
        </w:rPr>
        <w:t>the U.S. needs more jobs</w:t>
      </w:r>
      <w:r>
        <w:rPr>
          <w:sz w:val="14"/>
        </w:rPr>
        <w:t xml:space="preserve">— </w:t>
      </w:r>
      <w:r>
        <w:rPr>
          <w:rStyle w:val="StyleUnderline"/>
        </w:rPr>
        <w:t>12.1 million by one estimate</w:t>
      </w:r>
      <w:r>
        <w:rPr>
          <w:sz w:val="14"/>
        </w:rPr>
        <w:t>—</w:t>
      </w:r>
      <w:r>
        <w:rPr>
          <w:rStyle w:val="StyleUnderline"/>
        </w:rPr>
        <w:t>to recover the jobs lost during the downturn and keep pace with population growth and labor market dynamics</w:t>
      </w:r>
      <w:r>
        <w:rPr>
          <w:sz w:val="14"/>
        </w:rPr>
        <w:t xml:space="preserve">. </w:t>
      </w:r>
      <w:r>
        <w:rPr>
          <w:rStyle w:val="StyleUnderline"/>
        </w:rPr>
        <w:t xml:space="preserve">Beyond pure job growth, the U.S. needs better jobs, to grow wages and incomes for lower- and middle-class workers and reverse the troubling decades-long rise in inequality. To achieve these twin goals, the U.S. needs to </w:t>
      </w:r>
      <w:r>
        <w:rPr>
          <w:rStyle w:val="Emphasis"/>
        </w:rPr>
        <w:t>restructure the economy</w:t>
      </w:r>
      <w:r>
        <w:rPr>
          <w:sz w:val="14"/>
        </w:rPr>
        <w:t xml:space="preserve"> from one focused inward and characterized by excessive consumption and debt, to one globally engaged and driven by production and innovation. It must do so while contending with a new cadre of global competitors that aim to best the United States in the next industrial revolution and while leveraging the distinctive assets and advantages of different parts of the country, particularly the major cities and metropolitan areas that are the engines of national prosperity. </w:t>
      </w:r>
      <w:r>
        <w:rPr>
          <w:rStyle w:val="StyleUnderline"/>
        </w:rPr>
        <w:t xml:space="preserve">This is the tallest of economic orders and it is well </w:t>
      </w:r>
      <w:r>
        <w:rPr>
          <w:rStyle w:val="Emphasis"/>
        </w:rPr>
        <w:t>beyond the scope of exclusive federal solutions</w:t>
      </w:r>
      <w:r>
        <w:rPr>
          <w:sz w:val="14"/>
        </w:rPr>
        <w:t xml:space="preserve">, the traditional focus of presidential candidates in both political parties. Rather, </w:t>
      </w:r>
      <w:r>
        <w:rPr>
          <w:rStyle w:val="StyleUnderline"/>
        </w:rPr>
        <w:t>the next President must</w:t>
      </w:r>
      <w:r>
        <w:rPr>
          <w:sz w:val="14"/>
        </w:rPr>
        <w:t xml:space="preserve"> look beyond Washington and </w:t>
      </w:r>
      <w:r>
        <w:rPr>
          <w:rStyle w:val="StyleUnderline"/>
        </w:rPr>
        <w:t>enlist states and metropolitan areas as active co-partners</w:t>
      </w:r>
      <w:r>
        <w:rPr>
          <w:sz w:val="14"/>
        </w:rPr>
        <w:t xml:space="preserve"> in the restructuring of the national economy. </w:t>
      </w:r>
      <w:r>
        <w:rPr>
          <w:rStyle w:val="Emphasis"/>
        </w:rPr>
        <w:t>Remaking the economy</w:t>
      </w:r>
      <w:r>
        <w:rPr>
          <w:rStyle w:val="StyleUnderline"/>
        </w:rPr>
        <w:t xml:space="preserve">, in essence, </w:t>
      </w:r>
      <w:r>
        <w:rPr>
          <w:rStyle w:val="Emphasis"/>
        </w:rPr>
        <w:t>requires</w:t>
      </w:r>
      <w:r>
        <w:rPr>
          <w:rStyle w:val="StyleUnderline"/>
        </w:rPr>
        <w:t xml:space="preserve"> a </w:t>
      </w:r>
      <w:r>
        <w:rPr>
          <w:rStyle w:val="Emphasis"/>
        </w:rPr>
        <w:t>remaking of federalism so that governments at all levels “collaborate to compete</w:t>
      </w:r>
      <w:r>
        <w:rPr>
          <w:sz w:val="14"/>
        </w:rPr>
        <w:t xml:space="preserve">” and work closely with each other and the private and civic sectors to </w:t>
      </w:r>
      <w:r>
        <w:rPr>
          <w:rStyle w:val="StyleUnderline"/>
        </w:rPr>
        <w:t xml:space="preserve">burnish American </w:t>
      </w:r>
      <w:r>
        <w:rPr>
          <w:rStyle w:val="Emphasis"/>
        </w:rPr>
        <w:t>competitiveness in the new global economic order.</w:t>
      </w:r>
      <w:r>
        <w:rPr>
          <w:rStyle w:val="StyleUnderline"/>
        </w:rPr>
        <w:t xml:space="preserve"> </w:t>
      </w:r>
      <w:r>
        <w:rPr>
          <w:sz w:val="14"/>
        </w:rPr>
        <w:t xml:space="preserve">The time for remaking federalism could not be more propitious. With Washington mired in partisan gridlock, the states and metropolitan areas are once again playing their traditional roles as “laboratories of democracy” and centers of economic and policy innovation. </w:t>
      </w:r>
      <w:r>
        <w:rPr>
          <w:rStyle w:val="StyleUnderline"/>
        </w:rPr>
        <w:t xml:space="preserve">An </w:t>
      </w:r>
      <w:r>
        <w:rPr>
          <w:rStyle w:val="Emphasis"/>
        </w:rPr>
        <w:t>enormous opportunity</w:t>
      </w:r>
      <w:r>
        <w:rPr>
          <w:rStyle w:val="StyleUnderline"/>
        </w:rPr>
        <w:t xml:space="preserve"> exists for the next president to mobilize these federalist partners in a focused campaign for national economic renewal. Given global competition, the next president should adopt a vision of </w:t>
      </w:r>
      <w:r>
        <w:rPr>
          <w:rStyle w:val="Emphasis"/>
        </w:rPr>
        <w:t>collaborative federalism</w:t>
      </w:r>
      <w:r>
        <w:rPr>
          <w:sz w:val="14"/>
        </w:rPr>
        <w:t xml:space="preserve"> </w:t>
      </w:r>
      <w:r>
        <w:rPr>
          <w:rStyle w:val="StyleUnderline"/>
        </w:rPr>
        <w:t xml:space="preserve">in which: </w:t>
      </w:r>
      <w:r>
        <w:rPr>
          <w:sz w:val="14"/>
        </w:rPr>
        <w:t xml:space="preserve">the federal government leads where it must and sets a robust platform for productive and innovative growth via a few transformative investments and interventions; states and metropolitan areas innovate where they should to design and implement bottom-up economic strategies that fully align with their distinctive competitive assets and advantages; and a refreshed set of federalist institutions maximize results by accelerating the replication of innovations across the federal, state and metropolitan levels. CURRENT STATE: OBAMA FEDERALISM AND THE REPUBLICAN RESPONSE </w:t>
      </w:r>
      <w:r>
        <w:rPr>
          <w:rStyle w:val="StyleUnderline"/>
        </w:rPr>
        <w:t>Our federal republic diffuses power among different layers of government and across disparate sectors of society</w:t>
      </w:r>
      <w:r>
        <w:rPr>
          <w:sz w:val="14"/>
        </w:rPr>
        <w:t xml:space="preserve">. States are the key constitutional partners, because they have broad powers over such market-shaping policy areas as infrastructure, innovation, energy, education and skills training. But other sub-national units, particularly major cities and metropolitan areas, are also critical, because they concentrate and agglomerate the assets that drive prosperity and share governance with economy-shaping actors in the corporate, civic, university and other spheres. Against this backdrop, federalism has always been a living, ever-evolving practice, a dynamic rather than static arrangement. Alice Rivlin charted three different phases of federalism in her path-breaking 1992 book Reviving the American Dream: From 1789 to about 1933, all levels of government were small by modern standards, but the states were clearly more important than the federal government, except possibly in time of war. Moreover, the two levels of government usually ran on separate tracks, each in control of its own set of activities. Scholars called the arrangement “dual federalism.” From the Great Depression through the 1970s, all levels of government expanded their activities, but power shifted to Washington. The federal government took on new responsibilities, and the distinction between federal and state roles faded. Scholars talked about “cooperative federalism.” By the beginning of the 1980s, the drive for centralization had peaked, and power began shifting back to state capitals. No new concept emerged of how responsibilities should be divided. </w:t>
      </w:r>
      <w:r>
        <w:rPr>
          <w:rStyle w:val="Emphasis"/>
        </w:rPr>
        <w:t>The current era has been called a period of “competitive federalism</w:t>
      </w:r>
      <w:r>
        <w:rPr>
          <w:sz w:val="14"/>
        </w:rPr>
        <w:t xml:space="preserve">,” </w:t>
      </w:r>
      <w:r>
        <w:rPr>
          <w:rStyle w:val="StyleUnderline"/>
        </w:rPr>
        <w:t>meaning the federal government and the states are competing with each other for leadership in domestic policy</w:t>
      </w:r>
      <w:r>
        <w:rPr>
          <w:sz w:val="14"/>
        </w:rPr>
        <w:t xml:space="preserve">. During each of these periods, federalism was at the center of national political discourse: analyzed, debated, labeled and litigated. President Roosevelt’s grand battles with the Supreme Court in 1937 were essentially over federalist divisions of power. President Nixon used the term “New Federalism” to describe his ambitious mix of agency formation, program consolidation and management reforms. One of President Reagan’s earliest acts was to create a Presidential Advisory Committee on Federalism that included governors, state legislators, mayors, county officials and members of the U.S. House and Senate. As befits a former law professor, President Obama’s approach to federalism is studied and multi-dimensional, defying simple categorization. On one level, the severity of the economic crisis required aggressive federal action to, among other things, stimulate the economy, mitigate the fiscal impact of the Great Recession on states and localities, rescue the auto sector and provide a new regulatory regime for the financial industry. The first 18 months of the administration rivaled the New Deal in the economic scope and reach of federal actions. Beyond the urgent economic response, however, the Obama approach to federalism has been situational, bold and directional in some areas of domestic policy, permissive and supportive in others. The </w:t>
      </w:r>
      <w:r>
        <w:rPr>
          <w:rStyle w:val="Emphasis"/>
        </w:rPr>
        <w:t>Race to the Top</w:t>
      </w:r>
      <w:r>
        <w:rPr>
          <w:sz w:val="14"/>
        </w:rPr>
        <w:t xml:space="preserve"> effort in elementary and secondary education </w:t>
      </w:r>
      <w:r>
        <w:rPr>
          <w:rStyle w:val="Emphasis"/>
        </w:rPr>
        <w:t>shows</w:t>
      </w:r>
      <w:r>
        <w:rPr>
          <w:sz w:val="14"/>
        </w:rPr>
        <w:t xml:space="preserve"> President </w:t>
      </w:r>
      <w:r>
        <w:rPr>
          <w:rStyle w:val="StyleUnderline"/>
        </w:rPr>
        <w:t xml:space="preserve">Obama at his most ambitious. States were asked to </w:t>
      </w:r>
      <w:r>
        <w:rPr>
          <w:rStyle w:val="Emphasis"/>
        </w:rPr>
        <w:t>compete</w:t>
      </w:r>
      <w:r>
        <w:rPr>
          <w:rStyle w:val="StyleUnderline"/>
        </w:rPr>
        <w:t xml:space="preserve"> for a comparatively tiny amount of federal education resources. In exchange for these funds, states were required to undertake a series of significant and controversial undertakings:</w:t>
      </w:r>
      <w:r>
        <w:rPr>
          <w:sz w:val="14"/>
        </w:rPr>
        <w:t xml:space="preserve"> raise the caps on charter schools; use one of four prescribed strategies to improve the performance of low-achieving schools; and develop promotion standards for teachers based on student achievement. </w:t>
      </w:r>
      <w:r>
        <w:rPr>
          <w:rStyle w:val="StyleUnderline"/>
        </w:rPr>
        <w:t xml:space="preserve">Race to the Top is a </w:t>
      </w:r>
      <w:r>
        <w:rPr>
          <w:rStyle w:val="Emphasis"/>
        </w:rPr>
        <w:t>clear example</w:t>
      </w:r>
      <w:r>
        <w:rPr>
          <w:rStyle w:val="StyleUnderline"/>
        </w:rPr>
        <w:t xml:space="preserve"> of how the carrot of federal spending can </w:t>
      </w:r>
      <w:r>
        <w:rPr>
          <w:rStyle w:val="Emphasis"/>
        </w:rPr>
        <w:t>reinvent how states carry out a critical role of government</w:t>
      </w:r>
      <w:r>
        <w:rPr>
          <w:sz w:val="14"/>
        </w:rPr>
        <w:t xml:space="preserve">. </w:t>
      </w:r>
      <w:r>
        <w:rPr>
          <w:rStyle w:val="StyleUnderline"/>
        </w:rPr>
        <w:t xml:space="preserve">Tennessee, New York, Florida and Ohio won competitive grants in the range of $400 million to $700 million, awards that are a mere fraction of these state’s annual education budgets, which range from $5.2 billion to $19.4 billion. </w:t>
      </w:r>
      <w:r>
        <w:rPr>
          <w:rStyle w:val="Emphasis"/>
        </w:rPr>
        <w:t>This provides a new twist on the conventional notion of state innovation</w:t>
      </w:r>
      <w:r>
        <w:rPr>
          <w:sz w:val="14"/>
        </w:rPr>
        <w:t xml:space="preserve">. As Marcia Howard, executive director of Federal Funds Information for States stated, “Rather than states being the laboratories of democracy [by] themselves, some of them will become the federal government’s laboratories of democracy.” In other areas of domestic policy, President Obama has used a softer, more subtle touch. On the programmatic front, President Obama has worked to enable states and localities to tackle structural challenges in integrated ways. The administration’s Sustainable Communities Initiative—a partnership among the Department of Transportation, Department of Housing and Urban Development (HUD) and Environmental Protection Agency (EPA)— has, for example, given cities and metropolitan areas resources, information and tools to make sharper connections between housing, transportation and environmental resources. On regulatory matters, President Obama has used federal actions to set a “floor rather than a ceiling” on a range of consumer protection, clean energy and environmental matters. This has left room for the states to innovate on auto emission standards in California, for example, and to seek redress for mortgage abuses through the States Attorney Generals. To date, President </w:t>
      </w:r>
      <w:r>
        <w:rPr>
          <w:rStyle w:val="StyleUnderline"/>
        </w:rPr>
        <w:t>Obama’s approach to economic restructuring has tended toward the more permissive, enabling end of the federalist spectrum.</w:t>
      </w:r>
      <w:r>
        <w:rPr>
          <w:sz w:val="14"/>
        </w:rPr>
        <w:t xml:space="preserve"> The administration has, for example, set a national goal of doubling exports, but it has not sought to influence the way states organize themselves to engage globally. The American Recovery and Reinvestment Act made sizable investments in the clean economy but left states and localities alone to set their own platforms for clean economy growth. Other </w:t>
      </w:r>
      <w:r>
        <w:rPr>
          <w:rStyle w:val="StyleUnderline"/>
        </w:rPr>
        <w:t xml:space="preserve">efforts to catalyze and leverage regional innovation clusters, </w:t>
      </w:r>
      <w:r>
        <w:rPr>
          <w:rStyle w:val="Emphasis"/>
        </w:rPr>
        <w:t>using competitive grant programs</w:t>
      </w:r>
      <w:r>
        <w:rPr>
          <w:sz w:val="14"/>
        </w:rPr>
        <w:t xml:space="preserve">, </w:t>
      </w:r>
      <w:r>
        <w:rPr>
          <w:rStyle w:val="StyleUnderline"/>
        </w:rPr>
        <w:t>have been relatively small in size and scope</w:t>
      </w:r>
      <w:r>
        <w:rPr>
          <w:sz w:val="14"/>
        </w:rPr>
        <w:t xml:space="preserve">. Perhaps most tellingly, President Obama has almost exclusively populated a fairly robust group of White House advisory councils on jobs and the economy, exports, advanced manufacturing and entrepreneurs with business, civic and university leaders. The failure to engage state and local elected officials—governors, county executives, mayors, state and local legislators—in these economy-shaping efforts is shortsighted, given how much influence the states and localities have on every aspect of economic life. Other efforts to involve cities and metropolitan areas through a special White House Office have been understaffed and unfocused. President </w:t>
      </w:r>
      <w:r>
        <w:rPr>
          <w:rStyle w:val="StyleUnderline"/>
        </w:rPr>
        <w:t>Obama’s federalism, while varied, is nonetheless definable</w:t>
      </w:r>
      <w:r>
        <w:rPr>
          <w:sz w:val="14"/>
        </w:rPr>
        <w:t xml:space="preserve">. The federalist views of the Republican presidential candidates, by contrast, have been a bit of a muddle. On one hand, the Republican candidates have been predictably uniform in their condemnation of President Obama for federal over-reach in the responses taken during the height of the economic crisis in 2009-2010 and in the health care bill. Beyond that, however, their federalist philosophies cover a broader spectrum, illustrative not only of their disparate professional experiences but also the shifting federalist position and perspective of the Republican Party. In prior decades, the federalist stances of the two political parties were easy to discern. For several decades, Democrats were the party advocating strong federal powers, Republicans the party upholding the Tenth Amendment’s reservation of unenumerated powers to the states. This clear ideological division has not held in the past 20 years. As the states (and their cities and metropolitan areas) have grown in capacity and intent, Democrats have seen the wisdom of preserving state prerogatives and respecting state and metro innovation. Republicans, for their part, appear torn between their traditional philosophy of states’ rights (e.g., repeating calls to eliminate the U.S. Department of Education) and newer commitments under President George W. Bush to enhance federal power to impose social views, respond to terrorist threats and expand popular entitlements. These internal inconsistencies are best exemplified by Mitt Romney, the Republican front runner as of this writing. As Massachusetts governor, Romney embraced the role of state as innovator and, ironically, his key achievements have driven Obama’s agenda. Massachusetts’s health care law became the blueprint for federal action under Obama. Romney’s effort on sustainable development became a model for other states and a forerunner of Obama’s multi-agency Sustainable Communities Initiative. And as a candidate, Romney has expressed strong support for Obama’s Race to the Top program, reflecting a view that the federal government needs to set a strong direction in areas of national significance that are co-produced with the states and localities. At the same time, he has opposed President Obama’s health care reform, saying that the enactment of a similar law in Massachusetts was intended to be a “state solution” to a “state problem.” Still further, he has argued that states should not have the right to enact laws to enable same-sex marriage equality, hewing to the strong federal role now embraced by social conservatives. For now, Governor Romney’s approach to federalism is a shifting tableau, owing to the complicated politics of the Republican Party. A FEDERALIST ROADMAP FOR THE NEXT PRESIDENT As the 2012 presidential election unfolds, and the debate over the future of the American economy comes into sharper relief, it is essential that both candidates articulate a federalist vision for economic renewal. While past federalist eras have been defined by their means—the way that different levels of government interact—the current economic imperative necessitates federalism that is defined by co-delivering particular ends, specifically a new vision for the national economy. Over the past three years, a growing chorus of business leaders and mainstream economists has embraced a post-recession growth model, a “next economy,” where the United States exports more and wastes less, innovates in what matters, produces more of what we invent and ensures that the economy actually works for working families. In summary terms, the next economy should be fuelled by innovation, to spur growth not only through idea generation but the virtuous interplay of invention, commercialization and manufacturing. It should increasingly be powered by low-carbon energy, to position the United States at the vanguard of the next, innovation-led industrial revolution. It should be driven by exports, to take advantage of rising global demand for quality products and services. And, it should be opportunity rich, so that working families can earn wages sufficient to attain a middleclass life. This ambitious macro vision largely comes to ground in the nation’s 100 largest metropolitan areas, which already generate more than three-quarters of the nation’s gross domestic product. These communities dominate economically, since they concentrate and agglomerate the innovative firms, talented workers, risk-taking entrepreneurs and supportive ecosystems of universities, community colleges and business associations that drive modern economies. While Washington dithers and delays, metros and their states are embracing the next-economy model and innovating in ways that build on their distinctive competitive assets and advantages: With federal innovation funding at risk, metros like New York and states like Ohio and Tennessee are making sizable commitments to attract innovative research institutions, commercialize research and grow innovative firms. With the future of federal trade policy unclear, metros like Los Angeles and Minneapolis/St. Paul and states like Colorado and New York are reorienting their economic development strategies toward exports, foreign direct investment and skilled immigration. With federal energy policy in shambles, metros like Seattle and Philadelphia are cementing their niches in energy-efficient technologies, and states like Connecticut are experimenting with Green Banks to help deploy clean technologies at scale. With federal transportation policy in limbo, metros like Jacksonville and Savannah and states like Michigan are modernizing their air, rail and sea freight hubs to position themselves for an expansion in global trade. What unites these disparate efforts are intentionality and purpose. After decades of pursuing fanciful illusions (becoming “the next Silicon Valley”) or engaging in copycat strategies, states and metros are deliberately building on their special assets, attributes and advantages, using business planning techniques honed in the private sector. The bubbling of state and metro innovation is pervasive and viral—crossing political, regional, jurisdictional and sectoral lines. It offers an affirmative and practical counterpoint to a Washington that has increasingly become hyper-partisan and overly ideological and gives the next President an opportunity to engage states and metropolitan areas as true, working partners in the quest to restructure the economy. Three actions are of most importance. First, the federal government should lead where it must and set a strong, clear national platform for productive and innovative growth. This requires a level of focus and discipline that has been sorely missing in Washington, D.C. In other words, the federal government should do less, better. What matters? It is clear that companies, states and localities crave predictable rules of the game on the fundamentals—budget, trade, taxes and immigration—so that they can invest and govern with confidence and certainty. Yet pragmatic leaders are also demanding that the federal government invest, at scale, in economy-driving assets over a sustained period. The list of target areas for recommended investments, and even the institutional vehicles for investments, is remarkably similar and consistent across a broad cross-section of corporate, political, civic and university leaders. Last year, the American Energy Innovation Council, an organization founded by seven major corporate leaders (including Bill Gates, Jeff Immelt and John Doerr) recommended scaling clean-energy R&amp;D investments from $5 billion to $16 billion annually. The investments would be “focused on technologies that can achieve significant scale, and be freed from political interference and earmarking.” Felix Rohaytn, a respected investment banker and former chairman of the New York City Municipal Assistance Corporation, has been a long-time champion of a National Infrastructure Bank. Rohatyn’s design, backed by a diverse set of political and corporate leaders, would initially capitalize a bank at $60 billion to leverage $250 billion of new capital in the private sector during its first few years and as much as $1 trillion over the next decade. Finally, a plethora of business, university and philanthropic leaders have argued for aggressive steps to upgrade the education and skills of the American workforce. Andrew Liveris, the CEO of Dow Chemical Co, has, for instance, called for significant investment in STEM (science, technology, engineering and mathematics) education and improved skills training programs at community colleges so that workers can learn the skills necessary for high-paying advanced manufacturing jobs in the United States. In many respects, the question is not what to invest in, but how? In a fiscally constrained environment, where will the resources come from? The answer: “cut and invest.” The Simpson-Bowles Commission recommended creating a bipartisan Cut-and-Invest Committee to be charged each year with identifying two percent of the discretionary budget that should be cut and identifying how to redirect half of that savings, or one percent, into high-value investment—exactly the same priority areas identified for investment above. The Commission’s recommendation is technically feasible, because the federal tax code is replete with provisions that subsidize excessive consumption, rather than production, and wasteful, rather than sustainable, growth. The worst offender, the federal mortgage interest deduction, is scheduled to grow steadily over the next five fiscal years. The single act of capping this deduction at current levels would save $177 billion during this period, more than enough to contribute to deficit reduction and finance every market-shaping solution mentioned above. Second, states and metropolitan areas must innovate where they should to drive and enable bottom-up economic strategies that fully align with the distinctive competitive assets and advantages of disparate places. That will require a radical restructuring of the federal government. As Mark Muro wrote in his seminal MetroPolicy treatise in 2008: New technologies, globalization, and deregulation, ha[ve] brought a new era of speed, entrepreneurship, innovation, flux and complexity—as well as new challenges—for organizations. . . . Compelled by the new conditions, firms, governments and organizations of all types have embarked upon an urgent search for new, more flexible and effective forms of organization out of which the outlines of a distinctive 21st century style of governance have begun to emerge. </w:t>
      </w:r>
      <w:r>
        <w:rPr>
          <w:rStyle w:val="StyleUnderline"/>
        </w:rPr>
        <w:t xml:space="preserve">Top-down planning and control structures are giving way to decentralized, “federated” systems —because pre-set central plans cannot encompass the complexity and variation of contemporary reality—to build in space for decisive front-line responsiveness, problem-solving, experimentation, and learning (emphasis added). </w:t>
      </w:r>
      <w:r>
        <w:rPr>
          <w:sz w:val="14"/>
        </w:rPr>
        <w:t xml:space="preserve">Against this backdrop, the federal government largely remains a legacy government rooted in a different era. </w:t>
      </w:r>
      <w:r>
        <w:rPr>
          <w:rStyle w:val="StyleUnderline"/>
        </w:rPr>
        <w:t>The current federal agencies are siloed and stove-piped, highly compartmentalized and specialized, allergic to risk in the face of challenges that are multi-dimensional and multi-layered. Most federal structures, policies, programs and rules are prescriptive and technocratic, narrowly defined, poorly coordinated and, in general</w:t>
      </w:r>
      <w:r>
        <w:rPr>
          <w:rStyle w:val="Emphasis"/>
        </w:rPr>
        <w:t xml:space="preserve">, ill-suited to support creative state </w:t>
      </w:r>
      <w:r>
        <w:rPr>
          <w:rStyle w:val="StyleUnderline"/>
        </w:rPr>
        <w:t xml:space="preserve">and metropolitan </w:t>
      </w:r>
      <w:r>
        <w:rPr>
          <w:rStyle w:val="Emphasis"/>
        </w:rPr>
        <w:t>problem-solving</w:t>
      </w:r>
      <w:r>
        <w:rPr>
          <w:rStyle w:val="StyleUnderline"/>
        </w:rPr>
        <w:t xml:space="preserve">. </w:t>
      </w:r>
      <w:r>
        <w:rPr>
          <w:sz w:val="14"/>
        </w:rPr>
        <w:t xml:space="preserve">The proliferation of federal programs is alarming. The Simpson-Bowles Commission, for example, found that there are over 44 job training programs across nine different federal agencies, and 105 programs meant to encourage STEM education. </w:t>
      </w:r>
      <w:r>
        <w:rPr>
          <w:rStyle w:val="StyleUnderline"/>
        </w:rPr>
        <w:t>Throughout the federal government, an inspector-general culture prevails, stifling innovation and limiting latitude for invention and experimentation. Despite the diversity of the country, a “one size fits all” categorical approach drives national investment, enticing different regions to compete for discrete federal funds whether they need them or not. One can imagine multiple ways</w:t>
      </w:r>
      <w:r>
        <w:rPr>
          <w:sz w:val="14"/>
        </w:rPr>
        <w:t xml:space="preserve">—for example, </w:t>
      </w:r>
      <w:r>
        <w:rPr>
          <w:rStyle w:val="StyleUnderline"/>
        </w:rPr>
        <w:t>consolidating trade agencies with similar missions, consolidating workforce programs under a performance block grant—to modernize the federal government to leverage the possibilities of a differentiated economy</w:t>
      </w:r>
      <w:r>
        <w:rPr>
          <w:rStyle w:val="Emphasis"/>
        </w:rPr>
        <w:t xml:space="preserve">. The most direct way might be to apply a variant of the Race to the Top education competition to the economic restructuring arena. </w:t>
      </w:r>
      <w:r>
        <w:rPr>
          <w:rStyle w:val="StyleUnderline"/>
        </w:rPr>
        <w:t>The federal government could challenge states and metropolitan regions to articulate how they would attain a critical economic goal</w:t>
      </w:r>
      <w:r>
        <w:rPr>
          <w:sz w:val="14"/>
        </w:rPr>
        <w:t xml:space="preserve"> (say, doubling exports) over a set period of time. A consolidated competition could then be held to group together federal programs across a broad and diverse range of activities and policy areas. An export competition could group together programs that fund advanced manufacturing, workforce, freight infrastructure, brownfield remediation and export promotion and financing. The competition could challenge a broad cross-section of leaders in states and metropolitan areas to: (a) articulate a bold economic vision that builds from their special assets and advantages; (b) design strategies that carry out that vision through tangible projects and investments; (c) reform state and local policies and governance in support of these strategies; and (d) hold themselves accountable on a regular basis through transparent performance measures. Finally, a nonpartisan group of business, state and regional leaders could be tasked to recommend the goals and parameters of the competition and could even be designated to assess disparate applications. </w:t>
      </w:r>
      <w:r>
        <w:rPr>
          <w:rStyle w:val="StyleUnderline"/>
        </w:rPr>
        <w:t>This proposal would differ from Race to the Top in one critical dimension.</w:t>
      </w:r>
      <w:r>
        <w:rPr>
          <w:sz w:val="14"/>
        </w:rPr>
        <w:t xml:space="preserve"> </w:t>
      </w:r>
      <w:r>
        <w:rPr>
          <w:rStyle w:val="StyleUnderline"/>
        </w:rPr>
        <w:t xml:space="preserve">The focus would be on </w:t>
      </w:r>
      <w:r>
        <w:rPr>
          <w:rStyle w:val="Emphasis"/>
        </w:rPr>
        <w:t>catalyzing innovation</w:t>
      </w:r>
      <w:r>
        <w:rPr>
          <w:rStyle w:val="StyleUnderline"/>
        </w:rPr>
        <w:t>,</w:t>
      </w:r>
      <w:r>
        <w:rPr>
          <w:sz w:val="14"/>
        </w:rPr>
        <w:t xml:space="preserve"> rather than using competitive resources to drive adoption of a series of predetermined and preferred reforms. Race to the Top followed 20 years of school reform at the state and local levels. Yet no state “has it right” on maximizing the elements of the next economy and pursuing an integrated approach between, say, advanced research and development, advanced manufacturing, clean technology, foreign direct investment, skilled workers, infrastructure and exports. </w:t>
      </w:r>
      <w:r>
        <w:rPr>
          <w:rStyle w:val="StyleUnderline"/>
        </w:rPr>
        <w:t xml:space="preserve">With the national and global economy in a period of disruptive change, now is a good time to challenge states and metropolitan areas to invent the next growth model. </w:t>
      </w:r>
      <w:r>
        <w:rPr>
          <w:sz w:val="14"/>
        </w:rPr>
        <w:t xml:space="preserve">Several states and metros might, for example, pioneer a new way of supporting advanced manufacturing. Others might do the same with exports and foreign direct investment or with upgrading the skills of key advanced industry workers. With federal direction, this could be a golden period of state and metropolitan innovation in shaping a more productive, sustainable and inclusive economy. </w:t>
      </w:r>
      <w:r>
        <w:rPr>
          <w:rStyle w:val="StyleUnderline"/>
        </w:rPr>
        <w:t>On technique, the federal government can learn from states like New York, Colorado, Tennessee and Nevada, as they work to incentivize bottom-up economy shaping.</w:t>
      </w:r>
      <w:r>
        <w:rPr>
          <w:sz w:val="14"/>
        </w:rPr>
        <w:t xml:space="preserve"> New York state, for example, challenged 10 regional councils—public-private partnerships of corporate, civic, university, labor, environmental and local governmental leaders—to craft economic development plans for their regions. The New York competition flipped traditional economic development on its head, rewarding strategies rather than transactions and local investment priorities rather than state solutions dictated by inflexible bureaucracies and fragmented programs. Finally, the federal government needs a new array of permanent institutions and time-limited commissions and task forces to advance and steward the new federalist order. Such institutions once existed. The Advisory Commission on Intergovernmental Relations (“ACIR”), for example, was an independent agency established in 1959 but disbanded in September 1996 during an early round of federal budget cutting. ACIR’s mission was “to strengthen the American federal system and improve the ability of federal, state and local governments to work together cooperatively, efficiently and effectively.” In its prime, ACIR provided timely data on government finance as well as an independent forum for information exchange among federal, state and local officials. Several options are worth pursuing. As described above, existing White House task forces on economic policy could be expanded to include governors, mayors and other state and local officials. President Obama recently made a start by announcing that membership on the President’s Export Council, currently co-chaired by the CEOs of Boeing and Xerox, would be increased to include designees from the National Governors Association and U.S. Conference of Mayors. The next president could also appoint a separate Task Force on Federalism and the Economy, comprised of government, corporate, university and civic leaders, to examine ways in which the federal government, states and localities could collaborate on creating jobs in the near term and retooling the economy for the long haul, perhaps even designing a Race to the Top-style competition, as described above. Special focus would be given to collaborative efforts that further the growth of advanced industries that are central to U.S. competitiveness. Finally, the federal government, in conjunction with the states and localities, could create a National Laboratory on Federalism and Competitiveness. The laboratory would have three separate missions: (a) capture and disseminate the best economy-shaping innovations under way in states and metropolitan areas, to speed replication and improvement; (b) capture and disseminate the best innovations under way in other nations, particularly countries where key powers are shared among different levels of government; and (c) report periodically to the federal, state and local governments on ways in which policies at all levels could be refined to enable or scale up the most promising innovations. A biennial Federalist Forum could be held to debate the recommendations, bringing together, for the first time in decades, key representatives of each level of government and key corporate, civic and academic institutions. A CONCLUDING FEDERALIST THOUGHT Federalism is not a gift that Washington bestows on state houses and city halls. Rather, it is a special, often dormant, vehicle for galvanizing and unleashing the talents and energies of an entrepreneurial nation. The president has an historic opportunity to usher in a new era of pragmatic, collaborative federalism that capitalizes on the economic power of metros and the policy creativity of state and local leaders</w:t>
      </w:r>
      <w:r>
        <w:rPr>
          <w:rStyle w:val="StyleUnderline"/>
        </w:rPr>
        <w:t>. Remaking federalism is the path toward an economy that is productive, sustainable and inclusive. More broadly, it can be a vehicle for economic prosperity, fiscal solvency and political comity—if the next president is willing to take it.</w:t>
      </w:r>
    </w:p>
    <w:p w:rsidR="002A5800" w:rsidRDefault="002A5800" w:rsidP="002A5800">
      <w:pPr>
        <w:pStyle w:val="Heading3"/>
        <w:rPr>
          <w:sz w:val="32"/>
        </w:rPr>
      </w:pPr>
      <w:r>
        <w:t>Spending/Formula Follow-on NB</w:t>
      </w:r>
    </w:p>
    <w:p w:rsidR="002A5800" w:rsidRDefault="002A5800" w:rsidP="002A5800">
      <w:pPr>
        <w:pStyle w:val="Heading4"/>
      </w:pPr>
      <w:r>
        <w:t>Squo regulation mechanisms are excessive – hinders innovation and triggers comparitively larger spending</w:t>
      </w:r>
    </w:p>
    <w:p w:rsidR="002A5800" w:rsidRDefault="002A5800" w:rsidP="002A5800">
      <w:pPr>
        <w:rPr>
          <w:rStyle w:val="Style13ptBold"/>
          <w:b w:val="0"/>
          <w:sz w:val="22"/>
        </w:rPr>
      </w:pPr>
      <w:r>
        <w:rPr>
          <w:rStyle w:val="Style13ptBold"/>
        </w:rPr>
        <w:t xml:space="preserve">Lazarín 10 </w:t>
      </w:r>
      <w:r>
        <w:rPr>
          <w:rStyle w:val="Style13ptBold"/>
          <w:b w:val="0"/>
        </w:rPr>
        <w:t xml:space="preserve">--- </w:t>
      </w:r>
      <w:r>
        <w:rPr>
          <w:rStyle w:val="Style13ptBold"/>
          <w:b w:val="0"/>
          <w:sz w:val="22"/>
        </w:rPr>
        <w:t xml:space="preserve">Associate Director of Education Policy at the Center for American Progress. </w:t>
      </w:r>
      <w:r>
        <w:rPr>
          <w:rStyle w:val="Style13ptBold"/>
          <w:b w:val="0"/>
          <w:sz w:val="18"/>
        </w:rPr>
        <w:t>(</w:t>
      </w:r>
      <w:r>
        <w:rPr>
          <w:rStyle w:val="Style13ptBold"/>
          <w:b w:val="0"/>
          <w:sz w:val="22"/>
        </w:rPr>
        <w:t xml:space="preserve">Melissa, 4/7/10, “Status Quo vs. Innovation”, Center for American Progress. </w:t>
      </w:r>
      <w:hyperlink r:id="rId34" w:history="1">
        <w:r>
          <w:rPr>
            <w:rStyle w:val="Hyperlink"/>
          </w:rPr>
          <w:t>https://www.americanprogress.org/issues/education/reports/2010/04/07/7695/status-quo-vs-innovation/)//ET</w:t>
        </w:r>
      </w:hyperlink>
    </w:p>
    <w:p w:rsidR="002A5800" w:rsidRDefault="002A5800" w:rsidP="002A5800">
      <w:pPr>
        <w:rPr>
          <w:rStyle w:val="StyleUnderline"/>
        </w:rPr>
      </w:pPr>
      <w:r>
        <w:rPr>
          <w:rStyle w:val="Style13ptBold"/>
          <w:b w:val="0"/>
        </w:rPr>
        <w:t xml:space="preserve">President Barack </w:t>
      </w:r>
      <w:r>
        <w:rPr>
          <w:rStyle w:val="StyleUnderline"/>
        </w:rPr>
        <w:t>Obama delivered a budget to Congress</w:t>
      </w:r>
      <w:r>
        <w:rPr>
          <w:rStyle w:val="Style13ptBold"/>
          <w:b w:val="0"/>
        </w:rPr>
        <w:t xml:space="preserve"> in February that </w:t>
      </w:r>
      <w:r>
        <w:rPr>
          <w:rStyle w:val="StyleUnderline"/>
        </w:rPr>
        <w:t xml:space="preserve">prioritized innovation and targeted new federal dollars in </w:t>
      </w:r>
      <w:r>
        <w:rPr>
          <w:rStyle w:val="Emphasis"/>
        </w:rPr>
        <w:t>competitive funding</w:t>
      </w:r>
      <w:r>
        <w:rPr>
          <w:rStyle w:val="StyleUnderline"/>
        </w:rPr>
        <w:t xml:space="preserve"> to drive education reforms</w:t>
      </w:r>
      <w:r>
        <w:rPr>
          <w:rStyle w:val="Style13ptBold"/>
          <w:b w:val="0"/>
        </w:rPr>
        <w:t xml:space="preserve">. And Congress will soon have the opportunity to act on the president’s priorities when it takes up the fiscal year 2011 education funding bill known as the Labor, Health and Human Services, and Education appropriations. </w:t>
      </w:r>
      <w:r>
        <w:rPr>
          <w:rStyle w:val="StyleUnderline"/>
        </w:rPr>
        <w:t>Policymakers and education advocates</w:t>
      </w:r>
      <w:r>
        <w:t xml:space="preserve"> may question whether the focus on innovation and the competitive investments that drive it are misguided or whether it’s the right time given our burdened economy. But they </w:t>
      </w:r>
      <w:r>
        <w:rPr>
          <w:rStyle w:val="StyleUnderline"/>
        </w:rPr>
        <w:t xml:space="preserve">can’t ignore that the status quo as evidenced by persistent academic achievement gaps and low-performing schools—is clearly not working. </w:t>
      </w:r>
      <w:r>
        <w:t xml:space="preserve">Federal investments in educational innovation can help transform our schools to meet the demands of the 21st century. Here’s a brief look at why we need to shake up the status quo and invest in innovation, and why the right time is now. </w:t>
      </w:r>
      <w:r>
        <w:rPr>
          <w:rStyle w:val="StyleUnderline"/>
        </w:rPr>
        <w:t>STATUS QUO: We can’t afford to invest in new reforms</w:t>
      </w:r>
      <w:r>
        <w:t xml:space="preserve"> and innovation while our economy is in dire straits. INNOVATION: </w:t>
      </w:r>
      <w:r>
        <w:rPr>
          <w:rStyle w:val="StyleUnderline"/>
        </w:rPr>
        <w:t>The need for innovation has never been greater.</w:t>
      </w:r>
      <w:r>
        <w:t xml:space="preserve"> </w:t>
      </w:r>
      <w:r>
        <w:rPr>
          <w:rStyle w:val="StyleUnderline"/>
        </w:rPr>
        <w:t>Our education system is failing to adequately prepare the 21st century workforce that we need for a healthy economy.</w:t>
      </w:r>
      <w:r>
        <w:t xml:space="preserve"> Only about a third of eighth graders are proficient in math and reading, and black and Latino students have a 50 percent chance of earning a high school diploma. </w:t>
      </w:r>
      <w:r>
        <w:rPr>
          <w:rStyle w:val="StyleUnderline"/>
        </w:rPr>
        <w:t>New ways of schooling are needed</w:t>
      </w:r>
      <w:r>
        <w:t xml:space="preserve"> to ensure that American students and schools keep their competitive edge with students in countries where investment in innovation has been paramount. Innovation will help dig our economy out of these trying times and put our country on a path to economic prosperity. STATUS QUO: </w:t>
      </w:r>
      <w:r>
        <w:rPr>
          <w:rStyle w:val="StyleUnderline"/>
        </w:rPr>
        <w:t xml:space="preserve">We should not level fund major formula education grant programs like Title I and increase investments in competitive grant programs at a time when schools are burdened and cash-strapped. </w:t>
      </w:r>
      <w:r>
        <w:t xml:space="preserve">INNOVATION: </w:t>
      </w:r>
      <w:r>
        <w:rPr>
          <w:rStyle w:val="StyleUnderline"/>
        </w:rPr>
        <w:t>A strained economy requires</w:t>
      </w:r>
      <w:r>
        <w:t xml:space="preserve"> responsible and </w:t>
      </w:r>
      <w:r>
        <w:rPr>
          <w:rStyle w:val="StyleUnderline"/>
        </w:rPr>
        <w:t>effective public spending</w:t>
      </w:r>
      <w:r>
        <w:rPr>
          <w:rStyle w:val="Emphasis"/>
        </w:rPr>
        <w:t>. Competitive grant funding can inspire innovative and new ways of schooling</w:t>
      </w:r>
      <w:r>
        <w:t xml:space="preserve">, </w:t>
      </w:r>
      <w:r>
        <w:rPr>
          <w:rStyle w:val="Emphasis"/>
        </w:rPr>
        <w:t>which can in turn inform how major formula education grants, such as Title I and Title II, are spent in the future.</w:t>
      </w:r>
      <w:r>
        <w:t xml:space="preserve"> </w:t>
      </w:r>
      <w:r>
        <w:rPr>
          <w:rStyle w:val="StyleUnderline"/>
        </w:rPr>
        <w:t xml:space="preserve">Activities that lead to improved educational outcomes and results could be identified and rigorously evaluated, and future spending across major formula grant education programs could then help support such reforms across all high-poverty schools. </w:t>
      </w:r>
      <w:r>
        <w:t xml:space="preserve">A </w:t>
      </w:r>
      <w:r>
        <w:rPr>
          <w:rStyle w:val="StyleUnderline"/>
        </w:rPr>
        <w:t xml:space="preserve">shift toward investing new dollars in competitive grants would be </w:t>
      </w:r>
      <w:r>
        <w:rPr>
          <w:rStyle w:val="Emphasis"/>
        </w:rPr>
        <w:t>balanced</w:t>
      </w:r>
      <w:r>
        <w:rPr>
          <w:rStyle w:val="StyleUnderline"/>
        </w:rPr>
        <w:t xml:space="preserve"> by the essential formula grant investments that Congress and the administration made under the American Recovery and Reinvestment Act.</w:t>
      </w:r>
      <w:r>
        <w:t xml:space="preserve"> The </w:t>
      </w:r>
      <w:r>
        <w:rPr>
          <w:rStyle w:val="StyleUnderline"/>
        </w:rPr>
        <w:t>recovery package added $10 billion in Title I funding, $12.2 billion for the Individuals with Disabilities Act, $3 billion in school improvement grants, and $39.8 billion in State Fiscal Stabilization Fund education dollars, all of which were allocated to states as formula grants.</w:t>
      </w:r>
      <w:r>
        <w:t xml:space="preserve"> STATUS QUO: The administration’s </w:t>
      </w:r>
      <w:r>
        <w:rPr>
          <w:rStyle w:val="StyleUnderline"/>
        </w:rPr>
        <w:t>proposed investments in competitive grants will increase educational inequities</w:t>
      </w:r>
      <w:r>
        <w:t xml:space="preserve"> by putting high-poverty and rural school districts at a disadvantage. INNOVATION: Hallmark federal education funding streams that were established to level the field—such as Title I dollars for the country’s poorest schools and the Title II teacher improvement state grants—remain as formula-based programs in the administration’s proposal. In fact, more than three-fourths of the proposed education budget would continue to be formula based. What’s more, some of </w:t>
      </w:r>
      <w:r>
        <w:rPr>
          <w:rStyle w:val="StyleUnderline"/>
        </w:rPr>
        <w:t>the competitive grant programs,</w:t>
      </w:r>
      <w:r>
        <w:t xml:space="preserve"> such as the Teacher and Leader Innovation Fund, </w:t>
      </w:r>
      <w:r>
        <w:rPr>
          <w:rStyle w:val="StyleUnderline"/>
        </w:rPr>
        <w:t>are targeted to high-need areas, and the current Investing in Innovation Fund, or i3 fund, includes a special priority for rural schools.</w:t>
      </w:r>
    </w:p>
    <w:p w:rsidR="002A5800" w:rsidRDefault="002A5800" w:rsidP="002A5800">
      <w:pPr>
        <w:pStyle w:val="Heading2"/>
        <w:rPr>
          <w:sz w:val="44"/>
        </w:rPr>
      </w:pPr>
      <w:r>
        <w:t>--SEA Cohesion DA</w:t>
      </w:r>
    </w:p>
    <w:p w:rsidR="002A5800" w:rsidRDefault="002A5800" w:rsidP="002A5800">
      <w:pPr>
        <w:pStyle w:val="Heading3"/>
      </w:pPr>
      <w:r>
        <w:t>1NC</w:t>
      </w:r>
    </w:p>
    <w:p w:rsidR="002A5800" w:rsidRDefault="002A5800" w:rsidP="002A5800">
      <w:pPr>
        <w:pStyle w:val="Heading4"/>
      </w:pPr>
      <w:r>
        <w:t>Formula grants fragment state education agencies --- competitive programs key to cohesion</w:t>
      </w:r>
    </w:p>
    <w:p w:rsidR="002A5800" w:rsidRDefault="002A5800" w:rsidP="002A5800">
      <w:r>
        <w:rPr>
          <w:rStyle w:val="Style13ptBold"/>
        </w:rPr>
        <w:t xml:space="preserve">Meredith 13 </w:t>
      </w:r>
      <w:r>
        <w:rPr>
          <w:rStyle w:val="Style13ptBold"/>
          <w:b w:val="0"/>
        </w:rPr>
        <w:t xml:space="preserve">--- </w:t>
      </w:r>
      <w:r>
        <w:rPr>
          <w:rStyle w:val="Style13ptBold"/>
          <w:b w:val="0"/>
          <w:sz w:val="22"/>
        </w:rPr>
        <w:t xml:space="preserve">PhD, University of Pittsburgh. </w:t>
      </w:r>
      <w:r>
        <w:t>(Julie Kirsten Meredith, “State policy diffusion and Race to the Top: The impact of federal competitive grants on state policymaking”, Accessed on ProQuest. https://search.proquest.com/openview/88381ffcebc95268f7c955f994497a5e/1?pq-origsite=gscholar&amp;cbl=18750&amp;diss=y)//ET</w:t>
      </w:r>
    </w:p>
    <w:p w:rsidR="002A5800" w:rsidRDefault="002A5800" w:rsidP="002A5800">
      <w:pPr>
        <w:rPr>
          <w:rStyle w:val="StyleUnderline"/>
        </w:rPr>
      </w:pPr>
      <w:r>
        <w:rPr>
          <w:rStyle w:val="StyleUnderline"/>
        </w:rPr>
        <w:t>RTTT program</w:t>
      </w:r>
      <w:r>
        <w:t xml:space="preserve"> guidelines and the </w:t>
      </w:r>
      <w:r>
        <w:rPr>
          <w:rStyle w:val="StyleUnderline"/>
        </w:rPr>
        <w:t>form</w:t>
      </w:r>
      <w:r>
        <w:t xml:space="preserve"> of the program itself</w:t>
      </w:r>
      <w:r>
        <w:rPr>
          <w:rStyle w:val="StyleUnderline"/>
        </w:rPr>
        <w:t xml:space="preserve">, a competitive grant, </w:t>
      </w:r>
      <w:r>
        <w:t xml:space="preserve">represented the Obama administration’s attempt </w:t>
      </w:r>
      <w:r>
        <w:rPr>
          <w:rStyle w:val="StyleUnderline"/>
        </w:rPr>
        <w:t>to improve NCLB’s less effective accountability measures.</w:t>
      </w:r>
      <w:r>
        <w:t xml:space="preserve"> As Manna (2011) argues, NLCB’s over-specification of consequences and underspecification of uniform state goals created a perverse incentive for states to create low standards which could be easily met by schools. Congress, the President, and the Secretary of Education conceived of RTTT as a competition under which state plans would be judged on the basis of the rigor and quality of their existing and proposed policies and standards. </w:t>
      </w:r>
      <w:r>
        <w:rPr>
          <w:rStyle w:val="StyleUnderline"/>
        </w:rPr>
        <w:t>In designing RTTT as a competitive gran</w:t>
      </w:r>
      <w:r>
        <w:t xml:space="preserve">t, the </w:t>
      </w:r>
      <w:r>
        <w:rPr>
          <w:rStyle w:val="StyleUnderline"/>
        </w:rPr>
        <w:t>USDOE made a distinct choice to break from the formula grant mechanism used to distribute federal Title I and similar program funds, such as those associated with Special Education</w:t>
      </w:r>
      <w:r>
        <w:t xml:space="preserve"> (McGuinn, 2012). Scholars and policy makers suggest that </w:t>
      </w:r>
      <w:r>
        <w:rPr>
          <w:rStyle w:val="StyleUnderline"/>
        </w:rPr>
        <w:t xml:space="preserve">multiple </w:t>
      </w:r>
      <w:r>
        <w:rPr>
          <w:rStyle w:val="Emphasis"/>
        </w:rPr>
        <w:t>federal formula grant funding streams</w:t>
      </w:r>
      <w:r>
        <w:rPr>
          <w:rStyle w:val="StyleUnderline"/>
        </w:rPr>
        <w:t xml:space="preserve"> have lead to fragmentation in state education agencies; they describe </w:t>
      </w:r>
      <w:r>
        <w:rPr>
          <w:rStyle w:val="Emphasis"/>
        </w:rPr>
        <w:t>a lack of coordination</w:t>
      </w:r>
      <w:r>
        <w:t xml:space="preserve"> </w:t>
      </w:r>
      <w:r>
        <w:rPr>
          <w:rStyle w:val="StyleUnderline"/>
        </w:rPr>
        <w:t xml:space="preserve">within departments of education that </w:t>
      </w:r>
      <w:r>
        <w:rPr>
          <w:rStyle w:val="Emphasis"/>
        </w:rPr>
        <w:t>limits the capacities of the agencies</w:t>
      </w:r>
      <w:r>
        <w:rPr>
          <w:rStyle w:val="StyleUnderline"/>
        </w:rPr>
        <w:t xml:space="preserve"> to assist schools and districts </w:t>
      </w:r>
      <w:r>
        <w:t xml:space="preserve">(Brown, Hess, Lautzenheiser, and Owen, 2011; Unger, Lane, Cutler, Lee, Whitney, Arruda, and Silva, 2008). The </w:t>
      </w:r>
      <w:r>
        <w:rPr>
          <w:rStyle w:val="Emphasis"/>
        </w:rPr>
        <w:t>intent of RTTT</w:t>
      </w:r>
      <w:r>
        <w:t xml:space="preserve"> was for</w:t>
      </w:r>
      <w:r>
        <w:rPr>
          <w:rStyle w:val="Emphasis"/>
        </w:rPr>
        <w:t xml:space="preserve"> states to develop comprehensive, coordinated plans to avoid this sort of “silo-fication.”</w:t>
      </w:r>
      <w:r>
        <w:t xml:space="preserve"> </w:t>
      </w:r>
      <w:r>
        <w:rPr>
          <w:rStyle w:val="StyleUnderline"/>
        </w:rPr>
        <w:t>Rather than designating a process for improving systems and schools without specifying the goals for school and system improvement,</w:t>
      </w:r>
      <w:r>
        <w:t xml:space="preserve"> as was the case for NCLB, in RTTT the </w:t>
      </w:r>
      <w:r>
        <w:rPr>
          <w:rStyle w:val="StyleUnderline"/>
        </w:rPr>
        <w:t xml:space="preserve">USDOE appears to have intended to set the goal for states, leaving them to develop their own plans for reaching those goals. </w:t>
      </w:r>
    </w:p>
    <w:p w:rsidR="002A5800" w:rsidRDefault="002A5800" w:rsidP="002A5800">
      <w:pPr>
        <w:pStyle w:val="Heading4"/>
        <w:rPr>
          <w:rStyle w:val="StyleUnderline"/>
          <w:sz w:val="26"/>
          <w:szCs w:val="26"/>
        </w:rPr>
      </w:pPr>
      <w:r>
        <w:rPr>
          <w:rStyle w:val="StyleUnderline"/>
          <w:sz w:val="26"/>
          <w:szCs w:val="26"/>
        </w:rPr>
        <w:t>Strong state education agencies are key to create effect social capital across populations through education policy</w:t>
      </w:r>
    </w:p>
    <w:p w:rsidR="002A5800" w:rsidRDefault="002A5800" w:rsidP="002A5800">
      <w:pPr>
        <w:rPr>
          <w:sz w:val="22"/>
        </w:rPr>
      </w:pPr>
      <w:r>
        <w:rPr>
          <w:rStyle w:val="Style13ptBold"/>
        </w:rPr>
        <w:t xml:space="preserve">Goertz et al. 13 </w:t>
      </w:r>
      <w:r>
        <w:rPr>
          <w:rStyle w:val="Style13ptBold"/>
          <w:b w:val="0"/>
        </w:rPr>
        <w:t xml:space="preserve">--- </w:t>
      </w:r>
      <w:r>
        <w:rPr>
          <w:rStyle w:val="Style13ptBold"/>
          <w:b w:val="0"/>
          <w:sz w:val="22"/>
        </w:rPr>
        <w:t>Goertz is a professor emerita of education and a senior researcher at the Consortium for Policy Research in Education (CPRE) in the University of Pennsylvania. Carol Barnes is a senior researcher at CPRE at the University of Michigan. Diane Massell is a senior researcher at CPRE at the University of Michigan. Ryan Fink is a researcher at CPRE at the University of Pennsylvania. Anthony Tuf Francis is an assistant professor of Teacher Development and Educational Studies at Oakland University in Rochester, Michigan. (Margaret, “State Education Agencies’ Acquisition and Use of Research Knowledge in School Improvement Strategies”, CPRE. http://files.eric.ed.gov/fulltext/ED547655.pdf)//ET</w:t>
      </w:r>
    </w:p>
    <w:p w:rsidR="002A5800" w:rsidRDefault="002A5800" w:rsidP="002A5800">
      <w:pPr>
        <w:rPr>
          <w:sz w:val="14"/>
        </w:rPr>
      </w:pPr>
      <w:r>
        <w:rPr>
          <w:sz w:val="14"/>
        </w:rPr>
        <w:t xml:space="preserve">Core Networks and Social Capital: </w:t>
      </w:r>
      <w:r>
        <w:rPr>
          <w:rStyle w:val="Emphasis"/>
        </w:rPr>
        <w:t xml:space="preserve">Collective Efficacy and Trust </w:t>
      </w:r>
      <w:r>
        <w:rPr>
          <w:sz w:val="14"/>
        </w:rPr>
        <w:t xml:space="preserve">These </w:t>
      </w:r>
      <w:r>
        <w:rPr>
          <w:rStyle w:val="StyleUnderline"/>
        </w:rPr>
        <w:t xml:space="preserve">kinds of highly </w:t>
      </w:r>
      <w:r>
        <w:rPr>
          <w:rStyle w:val="Emphasis"/>
        </w:rPr>
        <w:t>interactive</w:t>
      </w:r>
      <w:r>
        <w:rPr>
          <w:rStyle w:val="StyleUnderline"/>
        </w:rPr>
        <w:t xml:space="preserve"> networks with strong ties among the members are associated with more of the relational qualities </w:t>
      </w:r>
      <w:r>
        <w:rPr>
          <w:sz w:val="14"/>
        </w:rPr>
        <w:t xml:space="preserve">that Coleman (1988, 1990) and Putnam (1995, 2000) </w:t>
      </w:r>
      <w:r>
        <w:rPr>
          <w:rStyle w:val="Emphasis"/>
        </w:rPr>
        <w:t>describe as “social capital.” Social capital takes the form of mutual trust or collective efficacy</w:t>
      </w:r>
      <w:r>
        <w:rPr>
          <w:sz w:val="14"/>
        </w:rPr>
        <w:t xml:space="preserve">, among many other forms, </w:t>
      </w:r>
      <w:r>
        <w:rPr>
          <w:rStyle w:val="Emphasis"/>
        </w:rPr>
        <w:t>and can improve productivity and outcomes in organizations such as schools</w:t>
      </w:r>
      <w:r>
        <w:rPr>
          <w:sz w:val="14"/>
        </w:rPr>
        <w:t xml:space="preserve"> or business firms (Bryk &amp; Schneider, 2002; Dutton &amp; Heaphy, 2003; Goddard, 2001; Goddard, Salloum, &amp; Berebitsky, 2009</w:t>
      </w:r>
      <w:r>
        <w:rPr>
          <w:rStyle w:val="StyleUnderline"/>
        </w:rPr>
        <w:t>). Survey data from measures of collective trust and efficacy,</w:t>
      </w:r>
      <w:r>
        <w:rPr>
          <w:sz w:val="14"/>
        </w:rPr>
        <w:t xml:space="preserve"> in combination with interview data, </w:t>
      </w:r>
      <w:r>
        <w:rPr>
          <w:rStyle w:val="StyleUnderline"/>
        </w:rPr>
        <w:t>describe the extent to which respondents in this study perceived these positive qualities to exist in their relationships with network sources during the search and incorporation process, and especially how social capital functioned as knowledge brokers pulled knowledge from across these networks into core groups</w:t>
      </w:r>
      <w:r>
        <w:rPr>
          <w:sz w:val="14"/>
        </w:rPr>
        <w:t xml:space="preserve">.3 Table 4.1 shows that, on average, respondents in States B and C perceived the levels of social capital in their direct networks for research, data, and practitioner advice to be quite high. Trust scores for example ranged from 5.4 to 5.6 on a six-point scale, suggesting respondents found their network sources to be trustworthy and able to provide valid information. Average collective efficacy scores are slightly lower, especially in State B, ranging from 4.8 to 4.9, and in State C’s research network, with a score of 5 compared to trust in that network at 5.6. We also found more variation in efficacy scores than in trust scores, especially in the research and practitioner networks for State B. The collective efficacy measure captures respondents’ views about their own capacity, together with that of their direct network members, to reach school improvement goals. This measure includes constraints that respondents and their direct network sources perceive, the resources they have, and the extent to which they believe the information they receive will actually help them meet their school improvement goals. In State B, 14% of the respondents’ efficacy scores in the research network and 18% of the scores in the practitioner network are lower than 4, showing they disagreed with the efficacy statements (Table 4.2). But in State C, only 9 % of the research network respondents disagreed with the efficacy statements, and 8% of the practitioner network members disagreed. Thus, a not insignificant proportion of respondents in State B perceived that research and practitioner advice, as well as their network sources of it, would not lead to the desired outcomes or, perhaps, they felt constrained in what they could do. Interview data suggests that respondents in this state felt short-staffed and under pressure to respond to rapidly changing accountability measures and other mandates. But most influential </w:t>
      </w:r>
      <w:r>
        <w:rPr>
          <w:rStyle w:val="StyleUnderline"/>
        </w:rPr>
        <w:t>SEA respondents</w:t>
      </w:r>
      <w:r>
        <w:rPr>
          <w:sz w:val="14"/>
        </w:rPr>
        <w:t xml:space="preserve"> we interviewed across the states </w:t>
      </w:r>
      <w:r>
        <w:rPr>
          <w:rStyle w:val="StyleUnderline"/>
        </w:rPr>
        <w:t>perceived information, decision-making, evolving improvement strategies and ideas to be more trustworthy and efficacious within the context of strong network relationships and collective work</w:t>
      </w:r>
      <w:r>
        <w:rPr>
          <w:sz w:val="14"/>
        </w:rPr>
        <w:t xml:space="preserve">. 4 For example, respondents reported an enhanced sense of efficacy from collective thinking and group work. When asked if the people in his core work network had the expertise to find and then use evidence to successfully improve low-performing schools, an office director in State B reported: There is no one individual that holds all the information, which is why we have a group… all of those different people hold enough pieces that we can have conversations and share information across the table that can…push us along… to that ideal goal at the end. </w:t>
      </w:r>
      <w:r>
        <w:rPr>
          <w:rStyle w:val="StyleUnderline"/>
        </w:rPr>
        <w:t xml:space="preserve">Thus, resources such as communal memory and distributed expertise created a collective sense of efficacy and supported core network members during the search and incorporation process, such that no one person had to know everything. </w:t>
      </w:r>
      <w:r>
        <w:rPr>
          <w:sz w:val="14"/>
        </w:rPr>
        <w:t xml:space="preserve">Indeed, </w:t>
      </w:r>
      <w:r>
        <w:rPr>
          <w:rStyle w:val="StyleUnderline"/>
        </w:rPr>
        <w:t xml:space="preserve">while these </w:t>
      </w:r>
      <w:r>
        <w:rPr>
          <w:rStyle w:val="Emphasis"/>
        </w:rPr>
        <w:t>social resources</w:t>
      </w:r>
      <w:r>
        <w:rPr>
          <w:rStyle w:val="StyleUnderline"/>
        </w:rPr>
        <w:t xml:space="preserve"> and </w:t>
      </w:r>
      <w:r>
        <w:rPr>
          <w:rStyle w:val="Emphasis"/>
        </w:rPr>
        <w:t>trust in information</w:t>
      </w:r>
      <w:r>
        <w:rPr>
          <w:sz w:val="14"/>
        </w:rPr>
        <w:t xml:space="preserve"> sometimes </w:t>
      </w:r>
      <w:r>
        <w:rPr>
          <w:rStyle w:val="Emphasis"/>
        </w:rPr>
        <w:t>developed out of the interactive incorporation process over time,</w:t>
      </w:r>
      <w:r>
        <w:rPr>
          <w:sz w:val="14"/>
        </w:rPr>
        <w:t xml:space="preserve"> </w:t>
      </w:r>
      <w:r>
        <w:rPr>
          <w:rStyle w:val="StyleUnderline"/>
        </w:rPr>
        <w:t xml:space="preserve">some groups were formed to intentionally take advantage of a collective efficacy surpassing the capacity that any one member in the network would have. </w:t>
      </w:r>
      <w:r>
        <w:rPr>
          <w:sz w:val="14"/>
        </w:rPr>
        <w:t xml:space="preserve">A knowledge broker in State C said, for example: It really starts with people who come together for the same purpose. They like this idea of improving schools, and they’re good at it. We all have our own expertise, and we bring that to the table….You don’t build your team with all the same kind of players. You build your team with different areas of experience . . . outside and inside [the agency]. In State A, a respondent explained: The first person I pulled in was the accountability person. . . Then I pulled in the evaluation person …from our Research and Evaluation Unit because. . . I’m the first one to say that…there’s too much I don’t know….Then the three of us looked at what data that we thought we would have to collect. </w:t>
      </w:r>
      <w:r>
        <w:rPr>
          <w:rStyle w:val="StyleUnderline"/>
        </w:rPr>
        <w:t xml:space="preserve">Research in other settings shows that more efficacious organizations are able to not only defer to varied kinds of expertise, but also take advantage of its shifting locations </w:t>
      </w:r>
      <w:r>
        <w:rPr>
          <w:sz w:val="14"/>
        </w:rPr>
        <w:t xml:space="preserve">(Weick &amp; Sutcliffe, 2001). </w:t>
      </w:r>
      <w:r>
        <w:rPr>
          <w:rStyle w:val="Emphasis"/>
        </w:rPr>
        <w:t>Core networks allowed some SEA staff to tap into such expertise</w:t>
      </w:r>
      <w:r>
        <w:rPr>
          <w:rStyle w:val="StyleUnderline"/>
        </w:rPr>
        <w:t xml:space="preserve"> within and across the boundaries of the SEAs,</w:t>
      </w:r>
      <w:r>
        <w:rPr>
          <w:sz w:val="14"/>
        </w:rPr>
        <w:t xml:space="preserve"> </w:t>
      </w:r>
      <w:r>
        <w:rPr>
          <w:rStyle w:val="Emphasis"/>
        </w:rPr>
        <w:t>and to benefit from the accompanying social capital</w:t>
      </w:r>
      <w:r>
        <w:rPr>
          <w:sz w:val="14"/>
        </w:rPr>
        <w:t xml:space="preserve"> </w:t>
      </w:r>
      <w:r>
        <w:rPr>
          <w:rStyle w:val="StyleUnderline"/>
        </w:rPr>
        <w:t>during the incorporation process. Collective trust in information and the expertise of others was also present during the research incorporation process, thus enabling core group members to “share ideas, expose ignorance, ask difficult questions and listen carefully.</w:t>
      </w:r>
      <w:r>
        <w:rPr>
          <w:sz w:val="14"/>
        </w:rPr>
        <w:t xml:space="preserve"> . .” (Wenger, McDermott, &amp; Snyder, 2002, p. 27). When asked if and why she trusted research and other school improvement information exchanged within a core network, one influential office director in State B said: “Because we digest it together. And people challenge each other.” She continued with an example of a similar process: “We solve problems. What are we going to do about this?. . ..And people bring in research and we’ll table things and [then] come back to them with the research, and then we’ll challenge the research.” An influential leader in State C said: “I want to validate what [researchers are] saying. When you have those strong networks, you build upon that professional knowledge and practice….We’re not afraid to tell people we don’t know something, either.” </w:t>
      </w:r>
      <w:r>
        <w:rPr>
          <w:rStyle w:val="StyleUnderline"/>
        </w:rPr>
        <w:t>Strongly connected social networks are more likely to generate or possess positive working beliefs and behaviors than traditional forms of control over adult work, such as hierarchical, bureaucratic authorit</w:t>
      </w:r>
      <w:r>
        <w:rPr>
          <w:sz w:val="14"/>
        </w:rPr>
        <w:t xml:space="preserve">y. </w:t>
      </w:r>
      <w:r>
        <w:rPr>
          <w:rStyle w:val="StyleUnderline"/>
        </w:rPr>
        <w:t>In the</w:t>
      </w:r>
      <w:r>
        <w:rPr>
          <w:sz w:val="14"/>
        </w:rPr>
        <w:t xml:space="preserve"> three </w:t>
      </w:r>
      <w:r>
        <w:rPr>
          <w:rStyle w:val="Emphasis"/>
        </w:rPr>
        <w:t>SEAs</w:t>
      </w:r>
      <w:r>
        <w:rPr>
          <w:sz w:val="14"/>
        </w:rPr>
        <w:t xml:space="preserve">, </w:t>
      </w:r>
      <w:r>
        <w:rPr>
          <w:rStyle w:val="Emphasis"/>
        </w:rPr>
        <w:t>we found that social capital existed within the stronger network relationships</w:t>
      </w:r>
      <w:r>
        <w:rPr>
          <w:rStyle w:val="StyleUnderline"/>
        </w:rPr>
        <w:t>, but also functioned in multiple ways during the search and incorporation process</w:t>
      </w:r>
      <w:r>
        <w:rPr>
          <w:sz w:val="14"/>
        </w:rPr>
        <w:t xml:space="preserve">. </w:t>
      </w:r>
      <w:r>
        <w:rPr>
          <w:rStyle w:val="StyleUnderline"/>
        </w:rPr>
        <w:t xml:space="preserve">Our examples provide insights into how SEAs were taking advantage of distributed expertise, </w:t>
      </w:r>
      <w:r>
        <w:rPr>
          <w:sz w:val="14"/>
        </w:rPr>
        <w:t>warranting the use of research and incorporating it into their problem-solving, not directly, but through a process of social sense-making within strong core networks. Relational trust allowed network members to ask challenging questions of one another, share knowledge, exchange ideas, and expose what they did not know, as well as what they did.</w:t>
      </w:r>
    </w:p>
    <w:p w:rsidR="002A5800" w:rsidRDefault="002A5800" w:rsidP="002A5800">
      <w:pPr>
        <w:rPr>
          <w:sz w:val="14"/>
        </w:rPr>
      </w:pPr>
    </w:p>
    <w:p w:rsidR="002A5800" w:rsidRDefault="002A5800" w:rsidP="002A5800">
      <w:pPr>
        <w:pStyle w:val="Heading4"/>
        <w:rPr>
          <w:sz w:val="26"/>
        </w:rPr>
      </w:pPr>
      <w:r>
        <w:t xml:space="preserve">Social capital is key to environmental progress and collaboration </w:t>
      </w:r>
      <w:r>
        <w:rPr>
          <w:u w:val="single"/>
        </w:rPr>
        <w:t>spills over nationally</w:t>
      </w:r>
      <w:r>
        <w:t xml:space="preserve"> and mitigates warming, water, and soil damage</w:t>
      </w:r>
    </w:p>
    <w:p w:rsidR="002A5800" w:rsidRDefault="002A5800" w:rsidP="002A5800">
      <w:r>
        <w:rPr>
          <w:rStyle w:val="Style13ptBold"/>
        </w:rPr>
        <w:t>Dulal 11</w:t>
      </w:r>
      <w:r>
        <w:t xml:space="preserve"> --- Dulal, PhD in environmental policy, consultant for clean energy at World Bank. Roberto Foa – PhD in government from Harvard. Stephen Knowles – Associate Professor of Otago Business School. (Hari Bansha, “Social Capital and Cross Country Environmental Performance”, </w:t>
      </w:r>
      <w:hyperlink r:id="rId35" w:history="1">
        <w:r>
          <w:rPr>
            <w:rStyle w:val="Hyperlink"/>
          </w:rPr>
          <w:t>http://journals.sagepub.com.proxy.lib.umich.edu/doi/pdf/10.1177/1070496511405153)//ET</w:t>
        </w:r>
      </w:hyperlink>
    </w:p>
    <w:p w:rsidR="002A5800" w:rsidRDefault="002A5800" w:rsidP="002A5800">
      <w:pPr>
        <w:rPr>
          <w:sz w:val="10"/>
        </w:rPr>
      </w:pPr>
      <w:r>
        <w:rPr>
          <w:sz w:val="10"/>
        </w:rPr>
        <w:t xml:space="preserve">Why Social Capital May Affect Environmental Performance? </w:t>
      </w:r>
      <w:r>
        <w:rPr>
          <w:rStyle w:val="StyleUnderline"/>
        </w:rPr>
        <w:t>Economic theory suggests that poor environmental performance is the result of market failures such as the overuse of common pool resources or failure to take the external costs of pollution into account</w:t>
      </w:r>
      <w:r>
        <w:rPr>
          <w:sz w:val="10"/>
        </w:rPr>
        <w:t xml:space="preserve">. Such </w:t>
      </w:r>
      <w:r>
        <w:rPr>
          <w:rStyle w:val="Emphasis"/>
        </w:rPr>
        <w:t>market failures can be mitigated by collective action.</w:t>
      </w:r>
      <w:r>
        <w:rPr>
          <w:sz w:val="10"/>
        </w:rPr>
        <w:t xml:space="preserve"> </w:t>
      </w:r>
      <w:r>
        <w:rPr>
          <w:rStyle w:val="Emphasis"/>
        </w:rPr>
        <w:t>This is more likely to occur when social capital is high</w:t>
      </w:r>
      <w:r>
        <w:rPr>
          <w:sz w:val="10"/>
        </w:rPr>
        <w:t xml:space="preserve">. </w:t>
      </w:r>
      <w:r>
        <w:rPr>
          <w:rStyle w:val="StyleUnderline"/>
        </w:rPr>
        <w:t>When members of a society interact with each other regularly</w:t>
      </w:r>
      <w:r>
        <w:rPr>
          <w:sz w:val="10"/>
        </w:rPr>
        <w:t xml:space="preserve"> (for example, as a result of membership of the same associational groups or clubs), </w:t>
      </w:r>
      <w:r>
        <w:rPr>
          <w:rStyle w:val="StyleUnderline"/>
        </w:rPr>
        <w:t xml:space="preserve">have a high degree of trust in each other, and are used to acting cooperatively, it is more likely that those societies will be able to act collectively to overcome environmental market failures, </w:t>
      </w:r>
      <w:r>
        <w:rPr>
          <w:rStyle w:val="Emphasis"/>
        </w:rPr>
        <w:t>especially at the local level</w:t>
      </w:r>
      <w:r>
        <w:rPr>
          <w:sz w:val="10"/>
        </w:rPr>
        <w:t xml:space="preserve">. For example, </w:t>
      </w:r>
      <w:r>
        <w:rPr>
          <w:rStyle w:val="StyleUnderline"/>
        </w:rPr>
        <w:t>norms may develop in a society regarding the management of a common pool resourc</w:t>
      </w:r>
      <w:r>
        <w:rPr>
          <w:sz w:val="10"/>
        </w:rPr>
        <w:t xml:space="preserve">e (e.g., it is only acceptable to harvest fish over a certain size) or that people should take the external costs of their actions to others (e.g., pollution) into account, but for </w:t>
      </w:r>
      <w:r>
        <w:rPr>
          <w:rStyle w:val="StyleUnderline"/>
        </w:rPr>
        <w:t>these norms to be sustained requires a high degree of trust that others in society will abide by these norms.</w:t>
      </w:r>
      <w:r>
        <w:rPr>
          <w:sz w:val="10"/>
        </w:rPr>
        <w:t xml:space="preserve"> </w:t>
      </w:r>
      <w:r>
        <w:rPr>
          <w:rStyle w:val="Emphasis"/>
        </w:rPr>
        <w:t>Even in cases where access to</w:t>
      </w:r>
      <w:r>
        <w:rPr>
          <w:sz w:val="10"/>
        </w:rPr>
        <w:t xml:space="preserve"> common pool </w:t>
      </w:r>
      <w:r>
        <w:rPr>
          <w:rStyle w:val="Emphasis"/>
        </w:rPr>
        <w:t>resources</w:t>
      </w:r>
      <w:r>
        <w:rPr>
          <w:sz w:val="10"/>
        </w:rPr>
        <w:t xml:space="preserve">, such as fisheries, </w:t>
      </w:r>
      <w:r>
        <w:rPr>
          <w:rStyle w:val="Emphasis"/>
        </w:rPr>
        <w:t>is regulated by the government, such regulations are likely to be more successful when social capital is high,</w:t>
      </w:r>
      <w:r>
        <w:rPr>
          <w:sz w:val="10"/>
        </w:rPr>
        <w:t xml:space="preserve"> </w:t>
      </w:r>
      <w:r>
        <w:rPr>
          <w:rStyle w:val="StyleUnderline"/>
        </w:rPr>
        <w:t>given the high enforcement costs typically involved with policing these regulations</w:t>
      </w:r>
      <w:r>
        <w:rPr>
          <w:sz w:val="10"/>
        </w:rPr>
        <w:t xml:space="preserve">. </w:t>
      </w:r>
      <w:r>
        <w:rPr>
          <w:rStyle w:val="StyleUnderline"/>
        </w:rPr>
        <w:t>If individuals actively engage with the political process</w:t>
      </w:r>
      <w:r>
        <w:rPr>
          <w:sz w:val="10"/>
        </w:rPr>
        <w:t xml:space="preserve"> at the national level, the </w:t>
      </w:r>
      <w:r>
        <w:rPr>
          <w:rStyle w:val="Emphasis"/>
        </w:rPr>
        <w:t>positive benefits of social capital for environmental performance may well extend to the national level</w:t>
      </w:r>
      <w:r>
        <w:rPr>
          <w:sz w:val="10"/>
        </w:rPr>
        <w:t xml:space="preserve">. </w:t>
      </w:r>
      <w:r>
        <w:rPr>
          <w:rStyle w:val="StyleUnderline"/>
        </w:rPr>
        <w:t>It is also likely to be important that all segments of society feel included</w:t>
      </w:r>
      <w:r>
        <w:rPr>
          <w:sz w:val="10"/>
        </w:rPr>
        <w:t xml:space="preserve">. If there are segments of society who have a greater tendency to care about environmental issues, but these groups are excluded from the decision-making process, this will have obvious consequences for environmental performance. We now discuss specific examples of how high levels of social capital may improve environmental performance, following the arguments made in the above paragraph. An example of how social capital makes it easier to manage common pool resources, even when governments are actively involved in the process, is conserving a town’s water supply during times of drought. Many towns and cities around the world are confronted with water shortages during the height of summer. Responses often include requesting (or ordering) that citizens do not wash their cars or water their gardens on certain days of the week. Although there are sometimes fines for noncompliance, universal enforcement would be incredibly costly. For such restrictions to work successfully, local government is relying largely on the goodwill of citizens to put the common interest (the need to conserve water for essential purposes and to report those who do not) ahead of their own nonessential wants (to wash their car or water their garden every day). In other words, local government is hoping the degree of social capital is high enough that the conservation scheme will work. Examples of community-based management of communal resources, which require high degrees of social capital, are documented in Ostrom (1990). For example, for many centuries, Spanish farmers have formed organizations to manage irrigation canals (huertas). Irrigation canals typically provide water to a number of farms, but the more water one farmer takes, the less water there is for others. The collective action problem that needs to be solved is determining how much water each farmer is allowed to take from the irrigation canal. There are also collective action issues regarding maintenance of the canals. These collective action problems are resolved by the farmers electing officials, whose job it is to determine who may draw water at what time, to police the system, and to settle disputes between members. The details of these schemes differ from region to region. For example, in some parts of Spain, water is allocated by the tanda system, whereby each farmer is given a fixed period of time during which they can draw water. In other areas, the turno system operates. Under this system, those at the head of the canal get to draw water first, those at the tail last. Each farmer is permitted to take as much water as they need, as long as it is not wasted (which is where trust is important); it is then the turn of the next farmer along the canal to follow suit. The successful operation of these schemes requires a high degree of trust and cooperation between farmers. These schemes are also an example of group memberships that are likely to have positive environmental outcomes. Ostrom documents how similar community-based institutions have evolved to manage common grazing lands and common forests in parts of Switzerland and Japan. A </w:t>
      </w:r>
      <w:r>
        <w:rPr>
          <w:rStyle w:val="StyleUnderline"/>
        </w:rPr>
        <w:t>number of studies present micro-level empirical results consistent with the arguments advanced at the start of this section.</w:t>
      </w:r>
      <w:r>
        <w:rPr>
          <w:sz w:val="10"/>
        </w:rPr>
        <w:t xml:space="preserve"> </w:t>
      </w:r>
      <w:r>
        <w:rPr>
          <w:rStyle w:val="StyleUnderline"/>
        </w:rPr>
        <w:t>Isham</w:t>
      </w:r>
      <w:r>
        <w:rPr>
          <w:sz w:val="10"/>
        </w:rPr>
        <w:t xml:space="preserve"> (2002) </w:t>
      </w:r>
      <w:r>
        <w:rPr>
          <w:rStyle w:val="StyleUnderline"/>
        </w:rPr>
        <w:t xml:space="preserve">demonstrates that differences in the provision of </w:t>
      </w:r>
      <w:r>
        <w:rPr>
          <w:rStyle w:val="Emphasis"/>
        </w:rPr>
        <w:t>clean water</w:t>
      </w:r>
      <w:r>
        <w:rPr>
          <w:rStyle w:val="StyleUnderline"/>
        </w:rPr>
        <w:t xml:space="preserve"> can be explained, in part, by differences in the level of group memberships and the degree of community interaction</w:t>
      </w:r>
      <w:r>
        <w:rPr>
          <w:sz w:val="10"/>
        </w:rPr>
        <w:t xml:space="preserve">. Gebremedhin, Pender, and Tesfay (2003) empirically demonstrate that </w:t>
      </w:r>
      <w:r>
        <w:rPr>
          <w:rStyle w:val="StyleUnderline"/>
        </w:rPr>
        <w:t>connectedness in the community, in the sense of the extent to which members of the community interact with each other, plays an important role in redressing resource degradation and increasing community wealth</w:t>
      </w:r>
      <w:r>
        <w:rPr>
          <w:sz w:val="10"/>
        </w:rPr>
        <w:t xml:space="preserve">. </w:t>
      </w:r>
      <w:r>
        <w:rPr>
          <w:rStyle w:val="StyleUnderline"/>
        </w:rPr>
        <w:t>Cramb</w:t>
      </w:r>
      <w:r>
        <w:rPr>
          <w:sz w:val="10"/>
        </w:rPr>
        <w:t xml:space="preserve"> (2005) </w:t>
      </w:r>
      <w:r>
        <w:rPr>
          <w:rStyle w:val="StyleUnderline"/>
        </w:rPr>
        <w:t xml:space="preserve">finds that group membership in a Philippine village significantly promotes the adoption of </w:t>
      </w:r>
      <w:r>
        <w:rPr>
          <w:rStyle w:val="Emphasis"/>
        </w:rPr>
        <w:t>soil conservation</w:t>
      </w:r>
      <w:r>
        <w:rPr>
          <w:rStyle w:val="StyleUnderline"/>
        </w:rPr>
        <w:t xml:space="preserve"> practices.</w:t>
      </w:r>
      <w:r>
        <w:rPr>
          <w:sz w:val="10"/>
        </w:rPr>
        <w:t xml:space="preserve"> </w:t>
      </w:r>
      <w:r>
        <w:rPr>
          <w:sz w:val="6"/>
        </w:rPr>
        <w:t xml:space="preserve">With respect to gender inclusiveness, Westermann, Ashby, and Pretty (2005) compare the performance of 46 natural resource management (NRM) groups across 20 countries in Latin America, Africa, and Asia. They find that women’s groups tend to behave more collaboratively and have greater capacity to sustain collective action than groups made up entirely of men or mixed groups containing both men and women. Turning to evidence from the experimental economics literature, Andersen, Bulte, Gneezy, and List (2008) play a public goods game in three different regions in India and find that fewer people free ride in regions where women are more empowered. Differences in the extent of free riding were greater across regions (with different levels of female empowerment) than they were between men and women within the same region.1 This is an important finding, as it suggests that studies using micro-level data on individuals from the same region may not provide enough variation in the data to identify the full effect of female empowerment on environmental issues. Cross-regional or cross-country studies may be more likely to provide the required variation in the data. The next section of the article reviews the existing cross-country empirical evidence. A Review of the Cross-Country Empirical Literature on Social Capital and the Environment Grafton and Knowles (2004) analyze the relationship between social capital and national environmental performance, as measured by the ESI, for a sample of 35 countries, with their data sample being made up largely of high-income countries. Their social capital data are taken from the third wave of the World Values Survey (Inglehart et al., 2000). They employ three different proxies of social capital: WVSTRUST, WVSCIVIC, and WVSASSOC. WVSTRUST measures the proportion of the population who answer “most people can be trusted” to the question “generally speaking do you think that most people can be trusted, or that you can’t be too careful in dealing with people?” WVSCIVIC is an index measuring the extent to which people think certain behaviors (such as cheating on your taxes or avoiding a fare on public transport, if you had the chance) cannot be justified. WVSASSOC measures the extent of membership of different voluntary groups (such as church or religious groups and sports clubs). These social capital proxies were first used in cross-country empirical work by Knack and Keefer (1997), in the context of explaining cross-country differences in the rate of economic growth. Grafton and Knowles find a significant negative correlation between both WVSTRUST and WVSASSOC and the ESI, which is counter to expectations, but a significant positive correlation between WVSCIVIC and the ESI. Grafton and Knowles also analyze the relationship between what they term public social capital and the environment. Public social capital is proxied by a measure of democratic accountability and a measure of the extent of corruption. Both proxies are generally insignificant. Of the other control variables they 126 Journal of Environment &amp; Development 20(2) include (such as income per capita, measures of ethnic and religious diversity and population density), only population density (with a negative sign) and income per capita (with a positive sign) are significant in the majority of specifications. Grafton and Knowles (2004) argue that their “findings provide very little empirical support for the hypothesis that higher levels of social capital and related variables improve cross-national environmental quality” (p. 366) but note that these results should be regarded as preliminary, given the difficulties associated with measuring social capital. The Social Capital Data As noted above, previous empirical work on the link between social capital and the environment has been hampered by a lack of data on social capital of sufficient quality and cross-country coverage. In our empirical work, we proxy for social capital using five indices of social development (International Institute of Social Studies, 2011). These indices combine 200 items, from some 25 sources, into five social institutional clusters: gender equity (GENDER), intergroup cohesion (COHESION), interpersonal trust (TRUST), clubs and associations (ASSOC), and civic activism (CIVIC). These clusters are very closely related to the key components of our definition of social capital. For each cluster, items are combined using a latent variables approach, as adopted in the generation of the Worldwide Governance Indicators and Transparency International’s Corruptions Perceptions Index (Kaufmann, Kraay, &amp; Mastruzzi, 2007; Kaufmann, Kraay, &amp; Ziodo-Lobatόn, 1999; Lambsdorff, 2006). The intuition behind these procedures is that each set of indicators represents some implicit value of the underlying phenomenon in each society, on differing scales, with differing country samples, and with varying degrees of measurement error. Assuming that errors are uncorrelated across sources, indicators can be combined to reduce the aggregate level of error. The first cluster, gender equity (GENDER), estimates levels of discrimination against women. Included in this cluster are data on health, educational, and wage related gender disparities as well as data on the norms of discrimination that sustain these over time, such as the proportion of managers who believe men have more right to a job than women or the proportion of parents who believe that boys should be prioritized in access to education. The second area, intergroup cohesion (COHESION), reflects the extent of social tensions among ethnic, religious, or other social identity groups, using data on overt conflict, such as the number of riots, assassinations, and acts of terrorism as well as indicators of “conflict potential” such as expressions of intolerance toward other groups in public opinion surveys. The third area, interpersonal safety and trust (TRUST), is an enhanced measure of general social trust and brings together standard social trust items with data on the “trustworthiness” of others, based on criminal and related activity. The fourth area, clubs and associations (ASSOC) measures the level of engagement in local associations and networks. The clubs and associations measure is derived Dulal et al. 127 using data on levels of engagement in local voluntary associations, time spent socializing in community groups, and membership of developmental organizations. Finally, the fifth area is the level of civic activism (CIVIC), which measures the extent to which social practices encourage a more active and critical interaction with political authorities. The strength of civil society is measured using survey data on participation in civic activities such as petitions or marches, access to media through newspaper and radio, and the density of international civil society organizations. Civic activism differs from measures of formal political institutions, such as the DEMOC measure produced as part of the Polity data set, as it measures the specifically social practices and norms that “make democracy work.” High levels of CIVIC are indicative of a high level of civic informedness regarding political debates and policies, a willingness among citizens to express their views through civic forums such as community meetings or the press, and mobilization to place pressure on officials to deliver better public services, for example, via protest or petition. Studies such as Putnam et al. (1993) have identified these practices as essential for maintaining government efficacy, in addition to the existence of formal rules such as elections and constitutional guarantees of civil liberties, which are measured by the DEMOC variable. These five variables are closely aligned with our definition of social capital. TRUST proxies the extent of trust within society, with ASSOC measuring the extent to which individuals interact with each other. COHESION proxies for the absence of divisions or tensions within society and GENDER measures the degree of inclusiveness of women in society. Finally, CIVIC measures the extent to which people engage with the political process. Before formally analyzing the statistical relationship between social capital and environmental performance using multivariate regression equations, which we do in the next section, it is useful to take an informal look at the data with reference to the best and worst performing countries in terms of the EPI. Table 1 shows the highest 10 and lowest 10 ranked countries in terms of the EPI, of the countries included in our empirical analysis.2 The highest ranked countries are predominantly European although the category includes Costa Rica, Mauritius, and Colombia. Sweden, Norway, and Finland all feature in the top 10. These three Scandinavian countries are often considered to have high levels of social capital, and, in the data set we use, they rank highly on the various social capital measures. Note that Sweden is the highest ranked country for the GENDER variable. In general, the countries that rank highly in terms of gender inclusiveness are typically high-income countries (with the Scandinavian countries featuring prominently) or Eastern European. Countries with high GENDER scores tend to be countries where female educational outcomes are at least as high as those for males, where there is reasonable gender equity in terms of labor market outcomes, where women are active in the political process, and where attitudes toward women are no different than those toward men. Sweden, Norway, and Finland are also all in the top five countries with respect to the CIVIC variable. Turning our attention to the countries with the lowest EPIs, all but one of these countries (the United Arab Emirates) is in Africa. As can be seen from Table 1, many of these countries rank poorly in terms of the social capital proxies, especially with respect to GENDER. The Empirical Model There is evidence of a relationship between social capital and environmental performance at the micro level. The key focus of this article is whether differences in social capital can explain cross-country differences in environmental performance.3 Given that differences in social capital may be more pronounced between countries than between groups within the same country, cross-country differences may be more likely than more disaggregated data to pick up any correlation between social capital and the environment. The equation to be estimated is given by ENVi = a + b1 SOCi + b2 INDUSTi + b3 lnPOPi + b4 DEMOCi + b5 GDPi + b6 GDP2 i + e i Table 1. Countries With the Highest and Lowest EPIs Country EPI CIVIC GENDER ASSOC COHESION TRUST Ten highest ranked countries in terms of EPI Costa Rica 86.4 0.516 0.614 0.412 0.601 0.463 Sweden 86.0 0.860 0.715 0.737 0.655 0.623 Norway 81.1 0.807 0.657 0.583 0.667 0.653 Mauritius 80.6 0.580 0.569 0.622 France 78.2 0.721 0.654 0.685 0.496 0.596 Austria 78.1 0.720 0.649 0.554 0.636 0.613 Colombia 76.8 0.532 0.595 0.408 0.383 0.244 Finland 74.7 0.760 0.667 0.575 0.652 0.657 Slovak Republic 74.5 0.563 0.627 0.459 0.594 0.571 United Kingdom 74.2 0.752 0.673 0.639 0.599 0.632 Ten lowest ranked countries in terms of EPI Botswana 41.3 0.484 0.420 0.506 0.568 0.445 Chad 40.8 0.271 0.486 UAE 40.7 0.539 0.512 0.608 0.636 Nigeria 40.2 0.447 0.312 0.711 0.273 0.354 Benin 39.6 0.506 0.366 0.460 Mali 39.4 0.427 0.403 0.626 0.544 0.445 Togo 36.4 0.387 0.304 0.601 Angola 36.3 0.336 0.457 0.422 Mauritania 33.7 0.441 0.431 0.473 Central African Republic 33.3 0.343 Note: EPI = Environmental Performance Index. Dulal et al. 129 where ENV is a measure of environmental performance. For the sake of making comparisons with previous studies, especially Grafton and Knowles (2004), we begin in Table 2 by presenting results with the Environmental Sustainability Index (ESI) as our dependent variable. In Table 3, the EPI is the dependent variable. In Tables 4 and 5, our dependent variables are the two main components of the EPI: environmental sustainability and ecosystem vitality. We disaggregated the EPI in this way to test whether social capital has a differing effect on different components of environmental performance. SOC is an indicator of social capital. In addition, we include a number of control variables: INDUST is the share of industry in GDP, POP is population density, DEMOC is a measure of the extent of democracy, GDP is GDP per capita measured in international dollars, e is the country-specific error term, and i is country i. All data are for 2005, except for the EPI, which is for 2010. Full definitions of all variables and information on data sources are given in Appendix A, with the data for the EPI, ESI and Social variables reported for all countries in Appendix D. To avoid potential problems with multicollinearity, we include only one of the five measures (CIVIC, GENDER, ASSOC, TRUST, COHESION) at a time. We also construct an index of social development (SDINDEX) by calculating the average of the five measures of social institutions, for the countries that have data on all five measures. Our choice of control variables is largely guided by past cross-country empirical work on environmental outcomes (see, for example, Grafton &amp; Knowles, 2004; Midlarsky, 1998). GDP and GDP2 are included to control for the (potentially nonlinear) effects of income per capita on environmental outcomes (see, for example, Torras &amp; Boyce, 1998). It also seems likely that countries that are more densely populated are likely to suffer from more environmental pressure, all else equal. Hence, we include the log of population density as a control variable. We also include industry value added as a share of GDP (INDUST) to control for the possibility that industrial activity places more pressure on the environment than does either the agricultural or services sectors of the economy. Measures of democracy have been found to be significantly correlated with environmental outcomes in past empirical work (see, for example, Fredriksson, Neumayer, Damania, &amp; Gates, 2005; Fredriksson &amp; Wollscheid, 2007; Midlarsky, 1998; Neumayer, 2002; Scruggs, 1999; Torras &amp; Boyce, 1998), with some studies finding a positive correlation and others a negative correlation. Hence, we control for DEMOC but without any strong priors as to whether this variable will have a positive or negative effect on environmental performance. Empirical Results The empirical results obtained from OLS estimation of Equation 1, with the ESI as the dependent variable, are reported in Table 2, with each column of the table including a different social capital measure. Preliminary testing suggested some problems with heteroscedasticity, hence the t statistics reported are based on heteroscedasticity consistent standard errors, following White (1980). CIVIC and GENDER are both statistically significant, with the expected positive sign. The remaining three social capital indicators are all statistically insignificant. The Social Development Index, which is an average of the five measures of social capital, is positive and statistically significant. Grafton and Knowles (2004) found a surprising negative correlation between measures of trust and group membership and the ESI. By contrast, our measures of trust and group membership (TRUST and ASSOC) are statistically insignificant. Turning to the results for the other control variables, population density is negative and significant at the 1% level in all specifications, confirming that densely populated countries tend to have poor environmental outcomes, all else equal. The democracy variable is also positive and significant in all specifications, suggesting more democratic countries have higher levels of environmental sustainability, all else equal. GDP and GDP2 are always insignificant. INDUST is only significant, at the 10% level, when GENDER is the social institutions proxy. The R2 ranges from .487 to .551, depending on which of the social institutions measures are included. Hence, approximately half of the cross-country variation in the ESI can be explained by the variables included in our regression model. Our main focus is on the results obtained when the EPI is the dependent variable. These results are reported in Table 3. CIVIC is now statistically insignificant, although it is very close to being significant at the 10% level with a p value of .109. GENDER has the expected positive sign and is statistically significant at the 1% level. ASSOC has a surprisingly negative coefficient, which is statistically significant at the 10% level. This result, which is consistent with Grafton and Knowles (2004), perhaps indicates that at least some forms of group membership do not have positive consequences for the environment. The results for many of the control variables differ to those in Table 2, when the ESI was the dependent variable. lnPOP and DEMOC are now statistically insignificant, whereas the coefficients on GDP and GDP2 indicate a positive, but diminishing, correlation between income per capita and the EPI. The R2 s suggest that the model explains about half the cross-country variation in the EPI. In Tables 4 and 5, we disaggregate the EPI into its two main components: environmental health and ecosystem vitality. The results with environmental health as the dependent variable are reported in Table 4. As was the case in Table 3, GENDER is significantly positive and ASSOC significantly negative. In contrast to the Table 3 results, TRUST is now positive and significant at the 5% level. This implies that countries with higher levels of trust enjoy higher levels of environmental health. The results for the other control variables are similar to those in Table 3. Table 5 shows none of the social institutions variables to be significantly correlated with ecosystem vitality. The results for other variables are similar to those in Tables 3 and 4, with the exception that INDUST is now negative and significant. Also in contrast to the previous two tables, income per capita is now negatively correlated with ecosystem vitality, whereas it was positively correlated with environmental health and the EPI. Dulal et al. 135 It is possible that the results discussed above are affected by multicollinearity. A matrix reporting the pairwise correlations between the explanatory variables is presented in Appendix B. Some of these correlations are reasonably high, with some of the highest being between the social capital proxies and the income measures. If multicollinearity is present, this will inflate the standard errors and hence reduce the t statistics. As a sensitivity analysis, we report results in Appendix C when the EPI is the dependent variable and GDP and GDP2 are omitted. Note that these results need to be interpreted with caution, as omission of these terms will likely introduce omitted variables bias. All of the social capital variables are now statistically significant, with the same signs as reported in Table 3. The tables of results discussed above imply that some forms of social institutions are significantly correlated with some aspects of environmental performance, whereas others are not. The positive correlation between GENDER and environmental performance may be evidence of the fact that women tend to be more protective of the environment than are men, which means that in countries where women have a greater say in society, this is associated with better environmental performance. GENDER is measured on a 0-1 scale, as are all the social institutions measures. Based on the coefficient on GENDER from Table 3, a one–standard deviation (0.11 point) increase in GENDER is associated with an increase in the ESI of 3.62 percentage points. Alternatively, consider the following thought experiment. The country with the lowest EPI (Sierra Leone) would have an EPI 12 percentage points higher, if its GENDER score could be increased to that of the country with the highest EPI score (Iceland), based on the coefficient on GENDER from Table 3. There was also evidence in Table 4 that countries with higher levels of TRUST have higher levels of environmental health. ASSOC, which proxies for group memberships, was, however, negatively correlated with both the EPI and environmental health. It would seem that not all forms of social capital are good for the environment. Interestingly, whether many of the control variables are correlated with the dependent variable depends on whether the dependent variable is the ESI or the EPI (or its components). POPDEN was negatively correlated with the ESI but not the other dependent variables. INDUST was correlated (negatively) with ecosystem vitality but not the other dependent variables, suggesting a high share of industry in GDP damages ecosystems but not environmental health. Income per capita is positively correlated with environmental health but negatively correlated with ecosystem vitality Conclusions and Policy Implications </w:t>
      </w:r>
      <w:r>
        <w:rPr>
          <w:sz w:val="10"/>
        </w:rPr>
        <w:t xml:space="preserve">This </w:t>
      </w:r>
      <w:r>
        <w:rPr>
          <w:rStyle w:val="StyleUnderline"/>
        </w:rPr>
        <w:t xml:space="preserve">article has analyzed whether different </w:t>
      </w:r>
      <w:r>
        <w:rPr>
          <w:rStyle w:val="Emphasis"/>
        </w:rPr>
        <w:t>dimensions of social capital can explain cross-country differences in environmental performance</w:t>
      </w:r>
      <w:r>
        <w:rPr>
          <w:rStyle w:val="StyleUnderline"/>
        </w:rPr>
        <w:t>.</w:t>
      </w:r>
      <w:r>
        <w:rPr>
          <w:sz w:val="10"/>
        </w:rPr>
        <w:t xml:space="preserve"> Grafton and Knowles (2004) found that a measure of civic norms was significantly positively correlated with the ESI but that measures of trust and group memberships were not. </w:t>
      </w:r>
      <w:r>
        <w:rPr>
          <w:rStyle w:val="StyleUnderline"/>
        </w:rPr>
        <w:t>We find evidence that other forms of social capital/institutions are also correlated with environmental performance, as proxied by either the ESI or the EPI, for a much larger sample of countries</w:t>
      </w:r>
      <w:r>
        <w:rPr>
          <w:sz w:val="10"/>
        </w:rPr>
        <w:t>. Our most consistent result is that gender inclusiveness is associated with cross-country differences in environmental performance. Taken at face value, our empirical results suggest that countries in which women fully participate in society, perform better environmentally. There is weaker evidence that environmental performance is higher in countries where trust is higher and where group membership is lower</w:t>
      </w:r>
    </w:p>
    <w:p w:rsidR="002A5800" w:rsidRDefault="002A5800" w:rsidP="002A5800">
      <w:pPr>
        <w:pStyle w:val="Heading4"/>
        <w:rPr>
          <w:rStyle w:val="Style13ptBold"/>
          <w:b/>
        </w:rPr>
      </w:pPr>
      <w:r>
        <w:rPr>
          <w:rStyle w:val="Style13ptBold"/>
          <w:b/>
        </w:rPr>
        <w:t xml:space="preserve">Environmental destruction and warming risk extinction </w:t>
      </w:r>
    </w:p>
    <w:p w:rsidR="002A5800" w:rsidRDefault="002A5800" w:rsidP="002A5800">
      <w:pPr>
        <w:rPr>
          <w:sz w:val="22"/>
        </w:rPr>
      </w:pPr>
      <w:r>
        <w:rPr>
          <w:rStyle w:val="Style13ptBold"/>
        </w:rPr>
        <w:t>Torres 2016</w:t>
      </w:r>
      <w:r>
        <w:t xml:space="preserve"> -Director of the X-Risks Institute</w:t>
      </w:r>
      <w:r>
        <w:br/>
        <w:t>Phil and Peter Boghossian [prof of philosophy @ Portland State], "The Looming Extinction of Humankind, Explained," Aug 18, motherboard.vice.com/en_au/read/armageddon-comma-explained</w:t>
      </w:r>
    </w:p>
    <w:p w:rsidR="002A5800" w:rsidRDefault="002A5800" w:rsidP="002A5800">
      <w:r>
        <w:t>*Rees – Sir Martin Rees, co-founder of the Centre for the Study of Existential Risk</w:t>
      </w:r>
    </w:p>
    <w:p w:rsidR="002A5800" w:rsidRDefault="002A5800" w:rsidP="002A5800">
      <w:r>
        <w:t xml:space="preserve">This leads to the final category of risks, which includes </w:t>
      </w:r>
      <w:r>
        <w:rPr>
          <w:rStyle w:val="StyleUnderline"/>
          <w:highlight w:val="cyan"/>
        </w:rPr>
        <w:t>anthropogenic disasters like climate change</w:t>
      </w:r>
      <w:r>
        <w:rPr>
          <w:rStyle w:val="StyleUnderline"/>
        </w:rPr>
        <w:t xml:space="preserve"> and biodiversity loss.</w:t>
      </w:r>
      <w:r>
        <w:t xml:space="preserve"> While neither of these are likely to result in our extinction, they </w:t>
      </w:r>
      <w:r>
        <w:rPr>
          <w:rStyle w:val="StyleUnderline"/>
          <w:highlight w:val="cyan"/>
        </w:rPr>
        <w:t>are</w:t>
      </w:r>
      <w:r>
        <w:rPr>
          <w:rStyle w:val="StyleUnderline"/>
        </w:rPr>
        <w:t xml:space="preserve"> both potent “</w:t>
      </w:r>
      <w:r>
        <w:rPr>
          <w:rStyle w:val="StyleUnderline"/>
          <w:highlight w:val="cyan"/>
        </w:rPr>
        <w:t>conflict multipliers” that will push societies to their limits,</w:t>
      </w:r>
      <w:r>
        <w:rPr>
          <w:rStyle w:val="StyleUnderline"/>
        </w:rPr>
        <w:t xml:space="preserve"> and in doing so will </w:t>
      </w:r>
      <w:r>
        <w:rPr>
          <w:rStyle w:val="StyleUnderline"/>
          <w:highlight w:val="cyan"/>
        </w:rPr>
        <w:t>increase the probability of</w:t>
      </w:r>
      <w:r>
        <w:rPr>
          <w:rStyle w:val="StyleUnderline"/>
        </w:rPr>
        <w:t xml:space="preserve"> advanced technologies being misused and abused. </w:t>
      </w:r>
      <w:r>
        <w:t xml:space="preserve">To put this in stark terms, </w:t>
      </w:r>
      <w:r>
        <w:rPr>
          <w:rStyle w:val="StyleUnderline"/>
        </w:rPr>
        <w:t>ask yourself</w:t>
      </w:r>
      <w:r>
        <w:t xml:space="preserve"> this: </w:t>
      </w:r>
      <w:r>
        <w:rPr>
          <w:rStyle w:val="StyleUnderline"/>
        </w:rPr>
        <w:t xml:space="preserve">is a </w:t>
      </w:r>
      <w:r>
        <w:rPr>
          <w:rStyle w:val="StyleUnderline"/>
          <w:highlight w:val="cyan"/>
        </w:rPr>
        <w:t>nuclear war</w:t>
      </w:r>
      <w:r>
        <w:rPr>
          <w:rStyle w:val="StyleUnderline"/>
        </w:rPr>
        <w:t xml:space="preserve"> more or less likely in a world of </w:t>
      </w:r>
      <w:r>
        <w:rPr>
          <w:rStyle w:val="StyleUnderline"/>
          <w:highlight w:val="cyan"/>
        </w:rPr>
        <w:t>extreme weather, mega-droughts, mass migrations, and</w:t>
      </w:r>
      <w:r>
        <w:rPr>
          <w:rStyle w:val="StyleUnderline"/>
        </w:rPr>
        <w:t xml:space="preserve"> social/political </w:t>
      </w:r>
      <w:r>
        <w:rPr>
          <w:rStyle w:val="StyleUnderline"/>
          <w:highlight w:val="cyan"/>
        </w:rPr>
        <w:t>instability</w:t>
      </w:r>
      <w:r>
        <w:rPr>
          <w:rStyle w:val="StyleUnderline"/>
        </w:rPr>
        <w:t>?</w:t>
      </w:r>
      <w:r>
        <w:t xml:space="preserve"> </w:t>
      </w:r>
      <w:r>
        <w:rPr>
          <w:rStyle w:val="StyleUnderline"/>
        </w:rPr>
        <w:t>Is an eco-terrorist attack involving nanotechnology more or less likely in a world of widespread environmental degradation?</w:t>
      </w:r>
      <w:r>
        <w:t xml:space="preserve"> Is a terrorist attack involving apocalyptic fanatics more or less likely in a world of wars and natural disasters that appear to be prophesied in ancient texts? </w:t>
      </w:r>
      <w:r>
        <w:rPr>
          <w:rStyle w:val="StyleUnderline"/>
        </w:rPr>
        <w:t>Climate change and biodiversity loss will almost certainly exacerbate current geopolitical tensions and foment entirely new struggles between state and nonstate actors</w:t>
      </w:r>
      <w:r>
        <w:t>. This is not only worrisome in itself, but with the advent of advanced technologies</w:t>
      </w:r>
      <w:r>
        <w:rPr>
          <w:rStyle w:val="StyleUnderline"/>
        </w:rPr>
        <w:t xml:space="preserve">, </w:t>
      </w:r>
      <w:r>
        <w:rPr>
          <w:rStyle w:val="StyleUnderline"/>
          <w:highlight w:val="cyan"/>
        </w:rPr>
        <w:t>it could be existentially disastrous</w:t>
      </w:r>
      <w:r>
        <w:rPr>
          <w:rStyle w:val="StyleUnderline"/>
        </w:rPr>
        <w:t xml:space="preserve">. </w:t>
      </w:r>
      <w:r>
        <w:t xml:space="preserve">It’s considerations like these that have lead the experts surveyed above, Rees, and other scholars to their less-than-optimistic claims about the future. </w:t>
      </w:r>
      <w:r>
        <w:rPr>
          <w:rStyle w:val="StyleUnderline"/>
        </w:rPr>
        <w:t xml:space="preserve">The fact is that there are far more ways for our species to perish today than ever before, and the best current estimates suggest that dying from an existential catastrophe is more likely than dying in a car accident. </w:t>
      </w:r>
      <w: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rsidR="002A5800" w:rsidRDefault="002A5800" w:rsidP="002A5800">
      <w:pPr>
        <w:pStyle w:val="Heading3"/>
        <w:rPr>
          <w:sz w:val="32"/>
        </w:rPr>
      </w:pPr>
      <w:r>
        <w:t>2NC environment impact</w:t>
      </w:r>
    </w:p>
    <w:p w:rsidR="002A5800" w:rsidRDefault="002A5800" w:rsidP="002A5800">
      <w:pPr>
        <w:pStyle w:val="Heading4"/>
      </w:pPr>
      <w:r>
        <w:t>Turns case --- Domestic pollution alone in the U.S. causes mass death and violence, has unique disparate impacts on minority communities</w:t>
      </w:r>
    </w:p>
    <w:p w:rsidR="002A5800" w:rsidRDefault="002A5800" w:rsidP="002A5800">
      <w:r>
        <w:rPr>
          <w:rStyle w:val="Style13ptBold"/>
        </w:rPr>
        <w:t xml:space="preserve">Toomey 13 </w:t>
      </w:r>
      <w:r>
        <w:rPr>
          <w:rStyle w:val="Style13ptBold"/>
          <w:b w:val="0"/>
        </w:rPr>
        <w:t xml:space="preserve">--- </w:t>
      </w:r>
      <w:r>
        <w:rPr>
          <w:rStyle w:val="Style13ptBold"/>
          <w:b w:val="0"/>
          <w:sz w:val="22"/>
        </w:rPr>
        <w:t>public radio journalist and NOVA researcher.</w:t>
      </w:r>
      <w:r>
        <w:rPr>
          <w:sz w:val="18"/>
        </w:rPr>
        <w:t xml:space="preserve"> </w:t>
      </w:r>
      <w:r>
        <w:t>(DIANE TOOMEY, 6/19/13, “Coal Pollution and the Fight For Environmental Justice”, Yale 360. http://e360.yale.edu/features/naacp_jacqueline_patterson_coal_pollution_and_fight_for_environmental_justice)//ET</w:t>
      </w:r>
    </w:p>
    <w:p w:rsidR="002A5800" w:rsidRDefault="002A5800" w:rsidP="002A5800">
      <w:pPr>
        <w:rPr>
          <w:sz w:val="14"/>
        </w:rPr>
      </w:pPr>
      <w:r>
        <w:rPr>
          <w:sz w:val="14"/>
        </w:rPr>
        <w:t xml:space="preserve">When the NAACP recently released a report on the disproportionate effects of coal-fired plants on minorities, Jacqueline Patterson led the efforts to spread its message that these facilities were “killing low-income communities and communities of color.” Patterson is the Environmental and Climate Justice Director for the venerable civil rights organization — a job whose purpose is sometimes questioned by the NAACP’s own constituents. As Patterson puts it, “Some of the communities I work in were like, ‘Well, we’re dealing with double digit unemployment and people dying of AIDS, people being racially profiled, high murder rates. How is melting ice caps and polar bear extinction going to become a priority for us?’” In an interview with Yale Environment 360 contributor Diane Toomey, </w:t>
      </w:r>
      <w:r>
        <w:rPr>
          <w:rStyle w:val="StyleUnderline"/>
        </w:rPr>
        <w:t>Patterson discusses how she answers that thorny question and outlines the reasons behind the NAACP’s campaign to shut down coal-fired plants</w:t>
      </w:r>
      <w:r>
        <w:rPr>
          <w:sz w:val="14"/>
        </w:rPr>
        <w:t xml:space="preserve">. She also talks about the often-difficult relationship between environmental justice organizations and major U.S. green groups. “We need to have tough conversations around organizational culture,” she says. “And we need more joint strategizing on how we can collaborate more effectively.” Yale Environment 360: A few months ago, the </w:t>
      </w:r>
      <w:r>
        <w:rPr>
          <w:rStyle w:val="StyleUnderline"/>
        </w:rPr>
        <w:t>NAACP released a report entitled “Coal Blooded: Putting Profits Before People.”</w:t>
      </w:r>
      <w:r>
        <w:rPr>
          <w:sz w:val="14"/>
        </w:rPr>
        <w:t xml:space="preserve"> It </w:t>
      </w:r>
      <w:r>
        <w:rPr>
          <w:rStyle w:val="StyleUnderline"/>
        </w:rPr>
        <w:t xml:space="preserve">examined the effects of coal-fired plants on minority communities in the U.S. Paint a picture of who is most likely to live near these power plants. </w:t>
      </w:r>
      <w:r>
        <w:rPr>
          <w:sz w:val="14"/>
        </w:rPr>
        <w:t xml:space="preserve">Jacqueline Patterson: </w:t>
      </w:r>
      <w:r>
        <w:rPr>
          <w:rStyle w:val="Emphasis"/>
        </w:rPr>
        <w:t>Thirty-nine percent</w:t>
      </w:r>
      <w:r>
        <w:rPr>
          <w:sz w:val="14"/>
        </w:rPr>
        <w:t xml:space="preserve"> of </w:t>
      </w:r>
      <w:r>
        <w:rPr>
          <w:rStyle w:val="StyleUnderline"/>
        </w:rPr>
        <w:t>the people living near coal-fired power plants are people of color, so what’s absolutely true is that there are a disproportionate number of people of color living next to these plants.</w:t>
      </w:r>
      <w:r>
        <w:rPr>
          <w:sz w:val="14"/>
        </w:rPr>
        <w:t xml:space="preserve"> </w:t>
      </w:r>
      <w:r>
        <w:rPr>
          <w:rStyle w:val="Emphasis"/>
        </w:rPr>
        <w:t>Seventy-eight percent of African Americans live within 30 miles of a coal-fired power plant</w:t>
      </w:r>
      <w:r>
        <w:rPr>
          <w:sz w:val="14"/>
        </w:rPr>
        <w:t xml:space="preserve">. </w:t>
      </w:r>
      <w:r>
        <w:rPr>
          <w:rStyle w:val="StyleUnderline"/>
        </w:rPr>
        <w:t xml:space="preserve">We also discovered that Latino communities, as well as indigenous communities and low-income communities, are more likely to live next to coal-fired plants. </w:t>
      </w:r>
      <w:r>
        <w:rPr>
          <w:sz w:val="14"/>
        </w:rPr>
        <w:t xml:space="preserve">e360: </w:t>
      </w:r>
      <w:r>
        <w:rPr>
          <w:rStyle w:val="StyleUnderline"/>
        </w:rPr>
        <w:t>The report assigned a so-called environmental justice performance score to 378 coal-fired power plants in the U.S. The score was based on the amount of sulfur dioxide and NOx</w:t>
      </w:r>
      <w:r>
        <w:rPr>
          <w:sz w:val="14"/>
        </w:rPr>
        <w:t xml:space="preserve"> [nitrogen oxide] </w:t>
      </w:r>
      <w:r>
        <w:rPr>
          <w:rStyle w:val="StyleUnderline"/>
        </w:rPr>
        <w:t>emissions, the number of people living within three miles of the plant, and the median income and percentage of people of color in that population. Seventy</w:t>
      </w:r>
      <w:r>
        <w:rPr>
          <w:sz w:val="14"/>
        </w:rPr>
        <w:t xml:space="preserve">-five of these plants were found to be failing. Define “failure” for me in this context. Patterson: We used an algorithm based on those five factors, and then we ranked them according to the score they received. The ones that were failing were the ones that had the worst EJ [environmental justice] score, the ones that were emitting the most sulfur dioxide and nitrous oxide to the most people, and with the greatest proportion of people who are of color and low-income. e360: The </w:t>
      </w:r>
      <w:r>
        <w:rPr>
          <w:rStyle w:val="StyleUnderline"/>
        </w:rPr>
        <w:t>report focuses on the effects of three pollutants coming from these plants</w:t>
      </w:r>
      <w:r>
        <w:rPr>
          <w:sz w:val="14"/>
        </w:rPr>
        <w:t xml:space="preserve">: </w:t>
      </w:r>
      <w:r>
        <w:rPr>
          <w:rStyle w:val="StyleUnderline"/>
        </w:rPr>
        <w:t>sulfur dioxide, NOx, and particulates — all of which have known health consequences, including asthma and</w:t>
      </w:r>
      <w:r>
        <w:rPr>
          <w:sz w:val="14"/>
        </w:rPr>
        <w:t xml:space="preserve"> other </w:t>
      </w:r>
      <w:r>
        <w:rPr>
          <w:rStyle w:val="StyleUnderline"/>
        </w:rPr>
        <w:t>respiratory problems</w:t>
      </w:r>
      <w:r>
        <w:rPr>
          <w:sz w:val="14"/>
        </w:rPr>
        <w:t xml:space="preserve">. Talk about the incident rate of these illnesses in minority communities compared to white communities. Patterson: </w:t>
      </w:r>
      <w:r>
        <w:rPr>
          <w:rStyle w:val="Emphasis"/>
        </w:rPr>
        <w:t>An African American child is three times more likely to go into the emergency room for an asthma attack than a white child and twice as likely to die from asthma attacks than a white child.</w:t>
      </w:r>
      <w:r>
        <w:rPr>
          <w:sz w:val="14"/>
        </w:rPr>
        <w:t xml:space="preserve"> </w:t>
      </w:r>
      <w:r>
        <w:rPr>
          <w:rStyle w:val="StyleUnderline"/>
        </w:rPr>
        <w:t>African Americans are more likely to die from lung disease, but less likely to smoke.</w:t>
      </w:r>
      <w:r>
        <w:rPr>
          <w:sz w:val="14"/>
        </w:rPr>
        <w:t xml:space="preserve"> When we did a road tour to visit the communities that were impacted by coal pollution, we found many anecdotal stories of people saying, yes, my husband, my father, my wife died of lung cancer and never smoked a day in her life. And these are people who are living within three miles of the coal-fired power plants we visited. So both </w:t>
      </w:r>
      <w:r>
        <w:rPr>
          <w:rStyle w:val="StyleUnderline"/>
        </w:rPr>
        <w:t>statistically</w:t>
      </w:r>
      <w:r>
        <w:rPr>
          <w:sz w:val="14"/>
        </w:rPr>
        <w:t xml:space="preserve">, in terms of health surveillance data, </w:t>
      </w:r>
      <w:r>
        <w:rPr>
          <w:rStyle w:val="StyleUnderline"/>
        </w:rPr>
        <w:t>and anecdotally</w:t>
      </w:r>
      <w:r>
        <w:rPr>
          <w:sz w:val="14"/>
        </w:rPr>
        <w:t xml:space="preserve">, in terms of what you’re hearing from community members, </w:t>
      </w:r>
      <w:r>
        <w:rPr>
          <w:rStyle w:val="StyleUnderline"/>
        </w:rPr>
        <w:t>we see that there is a higher incident of the very diseases that are impacted by these pollutants in African American communities</w:t>
      </w:r>
      <w:r>
        <w:rPr>
          <w:sz w:val="14"/>
        </w:rPr>
        <w:t xml:space="preserve">. e360: Have there been enough well-designed studies done on the health of communities living in very close proximity to coal-fired plants? Patterson: We definitely need more in the way of these studies — that was one of the recommendations from the report. The Harvard School of Public Health did a study specifically on the Fisk and Crawford plants in Chicago, which was instrumental in helping to garner public support for shutting down those two plants [which were closed last year]. But we need more sophisticated studies. e360: There have been a number of coal-fired plant closures in recent years thanks in part to cheaper and more abundant natural gas, and new stricter [U.S.] pollution regulations that will kick in by 2016 will make coal-fired plants more expensive to operate. In fact, five of the 12 of the power plants that received the lowest rating in your report have closed or have announced plans to close. How do you tease out the effect of activism versus other factors that are leading to these plant closures? Patterson: We’ve long acknowledged that activism alone hasn’t been responsible for closing down these plants. We certainly say in all of our conversations that the boom in natural gas has had a significant effect on the cost of running these plants. There’s no denying that. I think that you can really only tell on a plant-by-plant basis the extent to which the community activism is going to have a significant impact. e360: Since the report has been released what kind of feedback or outreach have you received from the owners of any of these plants? Patterson: Some plant owners have said that the plants aren’t harmful to human health, that there are too many other pollutants in the area to be able to tease out the effects of the plants and that there’s no alternative to running these plants or the alternatives are too expensive and the rate payers would be the ones that would have to pay for that. e360: For you, I would imagine nothing trumps the issue of health in the communities that live near these plants. Patterson: I wouldn’t go as far as to say that. We don’t want to say, “Who cares if a hundred people lose their jobs?” We look hard at what the contribution of the plant is to the tax base of the community, and we look hard at who is being employed by the plant. Is the electricity being “You can only tell on a plant-by-plant basis the extent to which community activism is going to have an impact.” generated by the plant being used by the community that is suffering these ill health effects? So I wouldn’t necessarily say that we are absolutely saying that health trumps all because we don’t want to impose that on the community when they might not necessarily believe that. They might say, “Well, OK, my life might be 10 years shorter, but at least I’ll be working the whole time.” It’s a community-by-community calculation, conversation, and strategy. e360: You just referenced working with the community at the grassroots level. </w:t>
      </w:r>
      <w:r>
        <w:rPr>
          <w:rStyle w:val="StyleUnderline"/>
        </w:rPr>
        <w:t>How would you describe the working relationship between grassroots environmental justice activists and major anti-coal advocate groups</w:t>
      </w:r>
      <w:r>
        <w:rPr>
          <w:sz w:val="14"/>
        </w:rPr>
        <w:t xml:space="preserve">? Patterson: I think </w:t>
      </w:r>
      <w:r>
        <w:rPr>
          <w:rStyle w:val="StyleUnderline"/>
        </w:rPr>
        <w:t>it varies from place to place</w:t>
      </w:r>
      <w:r>
        <w:rPr>
          <w:sz w:val="14"/>
        </w:rPr>
        <w:t xml:space="preserve"> depending on how well those national organizations put in the work and relationship building and the how open the grassroots organizations are to receiving it. I know that </w:t>
      </w:r>
      <w:r>
        <w:rPr>
          <w:rStyle w:val="StyleUnderline"/>
        </w:rPr>
        <w:t>in Chicago, with the Fisk and Crawford</w:t>
      </w:r>
      <w:r>
        <w:rPr>
          <w:sz w:val="14"/>
        </w:rPr>
        <w:t xml:space="preserve"> [coal-fired] </w:t>
      </w:r>
      <w:r>
        <w:rPr>
          <w:rStyle w:val="StyleUnderline"/>
        </w:rPr>
        <w:t>plants</w:t>
      </w:r>
      <w:r>
        <w:rPr>
          <w:sz w:val="14"/>
        </w:rPr>
        <w:t xml:space="preserve"> [which were shut down last year], </w:t>
      </w:r>
      <w:r>
        <w:rPr>
          <w:rStyle w:val="StyleUnderline"/>
        </w:rPr>
        <w:t>the Little Village Environmental Justice organization was at the head of the work that was being done.</w:t>
      </w:r>
      <w:r>
        <w:rPr>
          <w:sz w:val="14"/>
        </w:rPr>
        <w:t xml:space="preserve"> And they </w:t>
      </w:r>
      <w:r>
        <w:rPr>
          <w:rStyle w:val="StyleUnderline"/>
        </w:rPr>
        <w:t>did partner with groups like Greenpeace and the Sierra Club and the Rainforest Action Network</w:t>
      </w:r>
      <w:r>
        <w:rPr>
          <w:sz w:val="14"/>
        </w:rPr>
        <w:t xml:space="preserve">, who brought new resources — be it skills or other technical assistance or organizing experience. And </w:t>
      </w:r>
      <w:r>
        <w:rPr>
          <w:rStyle w:val="StyleUnderline"/>
        </w:rPr>
        <w:t>they had a successful collaboration</w:t>
      </w:r>
      <w:r>
        <w:rPr>
          <w:sz w:val="14"/>
        </w:rPr>
        <w:t>.</w:t>
      </w:r>
    </w:p>
    <w:p w:rsidR="002A5800" w:rsidRDefault="002A5800" w:rsidP="002A5800">
      <w:pPr>
        <w:pStyle w:val="Heading4"/>
        <w:rPr>
          <w:sz w:val="26"/>
        </w:rPr>
      </w:pPr>
      <w:r>
        <w:t>Air pollution alone causes 200,000 premature deaths in the U.S. annually</w:t>
      </w:r>
    </w:p>
    <w:p w:rsidR="002A5800" w:rsidRDefault="002A5800" w:rsidP="002A5800">
      <w:r>
        <w:rPr>
          <w:rStyle w:val="Style13ptBold"/>
        </w:rPr>
        <w:t xml:space="preserve">Chu 13 </w:t>
      </w:r>
      <w:r>
        <w:rPr>
          <w:rStyle w:val="Style13ptBold"/>
          <w:b w:val="0"/>
        </w:rPr>
        <w:t xml:space="preserve">--- </w:t>
      </w:r>
      <w:r>
        <w:rPr>
          <w:rStyle w:val="Style13ptBold"/>
          <w:b w:val="0"/>
          <w:sz w:val="22"/>
        </w:rPr>
        <w:t>MIT News Office</w:t>
      </w:r>
      <w:r>
        <w:rPr>
          <w:rStyle w:val="Style13ptBold"/>
          <w:sz w:val="22"/>
        </w:rPr>
        <w:t xml:space="preserve"> </w:t>
      </w:r>
      <w:r>
        <w:t>(Jennifer Chu, 8/29/13,“Study: Air pollution causes 200,000 early deaths each year in the U.S.”, MIT News. http://news.mit.edu/2013/study-air-pollution-causes-200000-early-deaths-each-year-in-the-us-0829)//ET</w:t>
      </w:r>
    </w:p>
    <w:p w:rsidR="002A5800" w:rsidRDefault="002A5800" w:rsidP="002A5800">
      <w:pPr>
        <w:rPr>
          <w:rStyle w:val="StyleUnderline"/>
        </w:rPr>
      </w:pPr>
      <w:r>
        <w:rPr>
          <w:sz w:val="14"/>
        </w:rPr>
        <w:t xml:space="preserve">Researchers from MIT’s Laboratory for Aviation and the Environment have come out with some </w:t>
      </w:r>
      <w:r>
        <w:rPr>
          <w:rStyle w:val="StyleUnderline"/>
        </w:rPr>
        <w:t xml:space="preserve">sobering new data on air pollution’s impact on Americans’ health. </w:t>
      </w:r>
      <w:r>
        <w:rPr>
          <w:sz w:val="14"/>
        </w:rPr>
        <w:t xml:space="preserve">The </w:t>
      </w:r>
      <w:r>
        <w:rPr>
          <w:rStyle w:val="StyleUnderline"/>
        </w:rPr>
        <w:t>group tracked ground-level emissions from sources such as industrial smokestacks, vehicle tailpipes, marine and rail operations, and commercial and residential heating throughout the United States</w:t>
      </w:r>
      <w:r>
        <w:rPr>
          <w:sz w:val="14"/>
        </w:rPr>
        <w:t xml:space="preserve">, and found that </w:t>
      </w:r>
      <w:r>
        <w:rPr>
          <w:rStyle w:val="Emphasis"/>
        </w:rPr>
        <w:t>such air pollution causes about 200,000 early deaths each year</w:t>
      </w:r>
      <w:r>
        <w:rPr>
          <w:sz w:val="14"/>
        </w:rPr>
        <w:t xml:space="preserve">. Emissions from road transportation are the most significant contributor, causing 53,000 premature deaths, followed closely by power generation, with 52,000. In a state-by-state analysis, the researchers found that California suffers the worst health impacts from air pollution, with about 21,000 early deaths annually, mostly attributed to road transportation and to commercial and residential emissions from heating and cooking. The researchers also mapped local emissions in 5,695 U.S. cities, finding the highest emissions-related mortality rate </w:t>
      </w:r>
      <w:r>
        <w:rPr>
          <w:rStyle w:val="Emphasis"/>
        </w:rPr>
        <w:t>in</w:t>
      </w:r>
      <w:r>
        <w:rPr>
          <w:sz w:val="14"/>
        </w:rPr>
        <w:t xml:space="preserve"> </w:t>
      </w:r>
      <w:r>
        <w:rPr>
          <w:rStyle w:val="Emphasis"/>
        </w:rPr>
        <w:t>Baltimore</w:t>
      </w:r>
      <w:r>
        <w:rPr>
          <w:sz w:val="14"/>
        </w:rPr>
        <w:t xml:space="preserve">, where </w:t>
      </w:r>
      <w:r>
        <w:rPr>
          <w:rStyle w:val="Emphasis"/>
        </w:rPr>
        <w:t xml:space="preserve">130 out of every 100,000 residents likely die in a given year due to long-term exposure to air pollution. </w:t>
      </w:r>
      <w:r>
        <w:rPr>
          <w:sz w:val="14"/>
        </w:rPr>
        <w:t>“</w:t>
      </w:r>
      <w:r>
        <w:rPr>
          <w:rStyle w:val="StyleUnderline"/>
        </w:rPr>
        <w:t>In the past five to 10 years, the evidence linking air-pollution exposure to risk of early death has really solidified and gained scientific and political traction,</w:t>
      </w:r>
      <w:r>
        <w:rPr>
          <w:sz w:val="14"/>
        </w:rPr>
        <w:t>” says Steven Barrett, an assistant professor of aeronautics and astronautics at MIT. “</w:t>
      </w:r>
      <w:r>
        <w:rPr>
          <w:rStyle w:val="StyleUnderline"/>
        </w:rPr>
        <w:t>There’s a realization that air pollution is a major problem in any city, and there’s a desire to do something about it.”</w:t>
      </w:r>
    </w:p>
    <w:p w:rsidR="002A5800" w:rsidRDefault="002A5800" w:rsidP="002A5800">
      <w:pPr>
        <w:rPr>
          <w:rStyle w:val="StyleUnderline"/>
        </w:rPr>
      </w:pPr>
    </w:p>
    <w:p w:rsidR="002A5800" w:rsidRDefault="007A4C05" w:rsidP="002A5800">
      <w:pPr>
        <w:pStyle w:val="Heading1"/>
        <w:rPr>
          <w:sz w:val="52"/>
        </w:rPr>
      </w:pPr>
      <w:bookmarkStart w:id="5" w:name="_Hlk487901010"/>
      <w:bookmarkEnd w:id="4"/>
      <w:r>
        <w:t>AFF</w:t>
      </w:r>
      <w:bookmarkStart w:id="6" w:name="_GoBack"/>
      <w:bookmarkEnd w:id="6"/>
    </w:p>
    <w:p w:rsidR="002A5800" w:rsidRDefault="002A5800" w:rsidP="002A5800">
      <w:pPr>
        <w:pStyle w:val="Heading2"/>
      </w:pPr>
      <w:r>
        <w:t>Circumvention deficit</w:t>
      </w:r>
    </w:p>
    <w:p w:rsidR="002A5800" w:rsidRDefault="002A5800" w:rsidP="002A5800">
      <w:pPr>
        <w:pStyle w:val="Heading3"/>
      </w:pPr>
      <w:r>
        <w:t>2ac</w:t>
      </w:r>
    </w:p>
    <w:p w:rsidR="002A5800" w:rsidRDefault="002A5800" w:rsidP="002A5800">
      <w:pPr>
        <w:pStyle w:val="Heading4"/>
      </w:pPr>
      <w:r>
        <w:t xml:space="preserve">Competitive grants can’t solve – states </w:t>
      </w:r>
      <w:r>
        <w:rPr>
          <w:u w:val="single"/>
        </w:rPr>
        <w:t>circumvent</w:t>
      </w:r>
      <w:r>
        <w:t xml:space="preserve"> federal mandates and fund </w:t>
      </w:r>
      <w:r>
        <w:rPr>
          <w:u w:val="single"/>
        </w:rPr>
        <w:t>state priorities</w:t>
      </w:r>
      <w:r>
        <w:t xml:space="preserve"> rather than meaningful reform</w:t>
      </w:r>
    </w:p>
    <w:p w:rsidR="002A5800" w:rsidRDefault="002A5800" w:rsidP="002A5800">
      <w:r>
        <w:rPr>
          <w:rStyle w:val="Style13ptBold"/>
        </w:rPr>
        <w:t>McGuinn 12</w:t>
      </w:r>
      <w:r>
        <w:t xml:space="preserve"> associate professor of Political Science and Education at Drew University (Patrick, “Stimulating Reform: Race to the Top, Competitive Grants and the Obama Education Agenda,” SAGE journals, Volume 26, Issue 1, pg. 136-159,  published Jan. 1, 2012) AAB</w:t>
      </w:r>
    </w:p>
    <w:p w:rsidR="002A5800" w:rsidRDefault="002A5800" w:rsidP="002A5800"/>
    <w:p w:rsidR="002A5800" w:rsidRDefault="002A5800" w:rsidP="002A5800">
      <w:r>
        <w:rPr>
          <w:rStyle w:val="StyleUnderline"/>
        </w:rPr>
        <w:t>The ultimate impact of</w:t>
      </w:r>
      <w:r>
        <w:t xml:space="preserve"> this </w:t>
      </w:r>
      <w:r>
        <w:rPr>
          <w:rStyle w:val="StyleUnderline"/>
        </w:rPr>
        <w:t>new competitive grant model will be constrained by two crucial factors</w:t>
      </w:r>
      <w:r>
        <w:t xml:space="preserve"> </w:t>
      </w:r>
      <w:r>
        <w:rPr>
          <w:rStyle w:val="StyleUnderline"/>
        </w:rPr>
        <w:t xml:space="preserve">that have remained </w:t>
      </w:r>
      <w:r>
        <w:t>largely</w:t>
      </w:r>
      <w:r>
        <w:rPr>
          <w:rStyle w:val="StyleUnderline"/>
        </w:rPr>
        <w:t xml:space="preserve"> </w:t>
      </w:r>
      <w:r>
        <w:rPr>
          <w:rStyle w:val="Emphasis"/>
        </w:rPr>
        <w:t>unchanged</w:t>
      </w:r>
      <w:r>
        <w:rPr>
          <w:rStyle w:val="StyleUnderline"/>
        </w:rPr>
        <w:t xml:space="preserve"> in federal education policy</w:t>
      </w:r>
      <w:r>
        <w:t xml:space="preserve">: </w:t>
      </w:r>
      <w:r>
        <w:rPr>
          <w:rStyle w:val="StyleUnderline"/>
        </w:rPr>
        <w:t>the politics of intergovernmental relations and the limited oversight and enforcement capacity of states and the D</w:t>
      </w:r>
      <w:r>
        <w:t xml:space="preserve">epartment </w:t>
      </w:r>
      <w:r>
        <w:rPr>
          <w:rStyle w:val="StyleUnderline"/>
        </w:rPr>
        <w:t>o</w:t>
      </w:r>
      <w:r>
        <w:t xml:space="preserve">f </w:t>
      </w:r>
      <w:r>
        <w:rPr>
          <w:rStyle w:val="StyleUnderline"/>
        </w:rPr>
        <w:t>E</w:t>
      </w:r>
      <w:r>
        <w:t xml:space="preserve">ducation (Derthick, 1970). Despite the new approach embodied in RTTT, </w:t>
      </w:r>
      <w:r>
        <w:rPr>
          <w:rStyle w:val="StyleUnderline"/>
        </w:rPr>
        <w:t>states will</w:t>
      </w:r>
      <w:r>
        <w:t xml:space="preserve"> continue to seek ways to </w:t>
      </w:r>
      <w:r>
        <w:rPr>
          <w:rStyle w:val="Emphasis"/>
        </w:rPr>
        <w:t>circumvent federal mandates and goals to carve out maximum flexibility</w:t>
      </w:r>
      <w:r>
        <w:t xml:space="preserve">. </w:t>
      </w:r>
      <w:r>
        <w:rPr>
          <w:rStyle w:val="StyleUnderline"/>
        </w:rPr>
        <w:t>States have long sought to maximize their federal dollars though minimizing federal control, and they have proved extraordinarily adept at finding ways to redirect</w:t>
      </w:r>
      <w:r>
        <w:t xml:space="preserve"> the river of </w:t>
      </w:r>
      <w:r>
        <w:rPr>
          <w:rStyle w:val="StyleUnderline"/>
        </w:rPr>
        <w:t xml:space="preserve">federal funding </w:t>
      </w:r>
      <w:r>
        <w:rPr>
          <w:rStyle w:val="Emphasis"/>
        </w:rPr>
        <w:t>toward state priorities and away from meaningful reform</w:t>
      </w:r>
      <w:r>
        <w:t xml:space="preserve"> (Volden, 2007). </w:t>
      </w:r>
      <w:r>
        <w:rPr>
          <w:rStyle w:val="StyleUnderline"/>
        </w:rPr>
        <w:t>We should not expect this dynamic to change now, even in states that are relatively well aligned with the</w:t>
      </w:r>
      <w:r>
        <w:t xml:space="preserve"> Obama administration’s </w:t>
      </w:r>
      <w:r>
        <w:rPr>
          <w:rStyle w:val="StyleUnderline"/>
        </w:rPr>
        <w:t>reform agenda</w:t>
      </w:r>
      <w:r>
        <w:t>.</w:t>
      </w:r>
    </w:p>
    <w:p w:rsidR="002A5800" w:rsidRDefault="002A5800" w:rsidP="002A5800"/>
    <w:p w:rsidR="002A5800" w:rsidRDefault="002A5800" w:rsidP="002A5800">
      <w:pPr>
        <w:pStyle w:val="Heading2"/>
      </w:pPr>
      <w:r>
        <w:t>Enforcement deficit</w:t>
      </w:r>
    </w:p>
    <w:p w:rsidR="002A5800" w:rsidRDefault="002A5800" w:rsidP="002A5800">
      <w:pPr>
        <w:pStyle w:val="Heading3"/>
      </w:pPr>
      <w:r>
        <w:t>2ac</w:t>
      </w:r>
    </w:p>
    <w:p w:rsidR="002A5800" w:rsidRDefault="002A5800" w:rsidP="002A5800">
      <w:pPr>
        <w:pStyle w:val="Heading4"/>
      </w:pPr>
      <w:r>
        <w:t>Can’t solve --- competitive grants produce overly complex policy structures and judgement errors</w:t>
      </w:r>
    </w:p>
    <w:p w:rsidR="002A5800" w:rsidRDefault="002A5800" w:rsidP="002A5800">
      <w:r>
        <w:rPr>
          <w:rStyle w:val="Style13ptBold"/>
        </w:rPr>
        <w:t xml:space="preserve">Manna and Ryan 11 </w:t>
      </w:r>
      <w:r>
        <w:rPr>
          <w:rStyle w:val="Style13ptBold"/>
          <w:b w:val="0"/>
        </w:rPr>
        <w:t xml:space="preserve">--- </w:t>
      </w:r>
      <w:r>
        <w:rPr>
          <w:rStyle w:val="Style13ptBold"/>
          <w:b w:val="0"/>
          <w:sz w:val="22"/>
        </w:rPr>
        <w:t xml:space="preserve">Manna, Department of Government chair at William and Mary College. Ryan, Research Assistant at William and Mary College. </w:t>
      </w:r>
      <w:r>
        <w:t>(Paul Manna and Laura L. Ryan, “Competitive Grants and Educational Federalism: President Obama's Race to the Top Program in Theory and Practice”, The State of American Federalism 2010-2011. Oxford University Press. http://www.jstor.org/stable/23015118)//ET</w:t>
      </w:r>
    </w:p>
    <w:p w:rsidR="002A5800" w:rsidRDefault="002A5800" w:rsidP="002A5800">
      <w:pPr>
        <w:rPr>
          <w:rStyle w:val="StyleUnderline"/>
          <w:sz w:val="16"/>
          <w:u w:val="none"/>
        </w:rPr>
      </w:pPr>
      <w:r>
        <w:t xml:space="preserve"> Alongside these potential advantages, </w:t>
      </w:r>
      <w:r>
        <w:rPr>
          <w:rStyle w:val="StyleUnderline"/>
        </w:rPr>
        <w:t>competitive grants raise management challenges</w:t>
      </w:r>
      <w:r>
        <w:t xml:space="preserve"> (Gilbert and Specht 1974; O'Toole 2000; Beam and Conlan 2002; Government Accountability Office 2011). First, the </w:t>
      </w:r>
      <w:r>
        <w:rPr>
          <w:rStyle w:val="Emphasis"/>
        </w:rPr>
        <w:t>administrative discretion</w:t>
      </w:r>
      <w:r>
        <w:t xml:space="preserve"> </w:t>
      </w:r>
      <w:r>
        <w:rPr>
          <w:rStyle w:val="StyleUnderline"/>
        </w:rPr>
        <w:t>that comes with competitive grants also expands and complicates the work agencies must complete to distribute funds</w:t>
      </w:r>
      <w:r>
        <w:t xml:space="preserve">. </w:t>
      </w:r>
      <w:r>
        <w:rPr>
          <w:rStyle w:val="StyleUnderline"/>
        </w:rPr>
        <w:t xml:space="preserve">The agency needs to define and apply criteria to judge proposals, which can become complex in competitions that invite a diverse range of applicants who may have tremendously different ideas about how to accomplish the grant program's objectives. </w:t>
      </w:r>
      <w:r>
        <w:t xml:space="preserve">Much less work is required when more-or-less automatic formulas dictate grant awards. Given that only states competed for RTTT funds, the program did not create a pool of many diverse applicants, although other education grant competitions in ARRA did.5 Still, the process of evaluating RTTT proposals was incredibly difficult. State proposals were several hundreds of pages long, with even longer appendices, and the reviewers needed to offer specific scores on more than fifty specific criteria along with composing comments to justify their scores. </w:t>
      </w:r>
      <w:r>
        <w:rPr>
          <w:rStyle w:val="StyleUnderline"/>
        </w:rPr>
        <w:t xml:space="preserve">A second challenge is that because grant competitions involve </w:t>
      </w:r>
      <w:r>
        <w:rPr>
          <w:rStyle w:val="Emphasis"/>
        </w:rPr>
        <w:t xml:space="preserve">human judgments </w:t>
      </w:r>
      <w:r>
        <w:rPr>
          <w:rStyle w:val="StyleUnderline"/>
        </w:rPr>
        <w:t>about proposal quality</w:t>
      </w:r>
      <w:r>
        <w:t xml:space="preserve">, </w:t>
      </w:r>
      <w:r>
        <w:rPr>
          <w:rStyle w:val="StyleUnderline"/>
        </w:rPr>
        <w:t xml:space="preserve">agencies administering competitions are </w:t>
      </w:r>
      <w:r>
        <w:rPr>
          <w:rStyle w:val="Emphasis"/>
        </w:rPr>
        <w:t>vulnerable to charges that political concerns have swayed their conclusions</w:t>
      </w:r>
      <w:r>
        <w:t xml:space="preserve">. </w:t>
      </w:r>
      <w:r>
        <w:rPr>
          <w:rStyle w:val="StyleUnderline"/>
        </w:rPr>
        <w:t>Cynics</w:t>
      </w:r>
      <w:r>
        <w:t xml:space="preserve"> sometimes </w:t>
      </w:r>
      <w:r>
        <w:rPr>
          <w:rStyle w:val="StyleUnderline"/>
        </w:rPr>
        <w:t>allege that although grant competitions claim proposals are judged on merit, politics really determines the winners.</w:t>
      </w:r>
      <w:r>
        <w:t xml:space="preserve"> Designers of RTTT were sensitive to this issue and took steps to insulate the contest from such charges (Manna 2010b). Those </w:t>
      </w:r>
      <w:r>
        <w:rPr>
          <w:rStyle w:val="StyleUnderline"/>
        </w:rPr>
        <w:t>efforts made the evaluation process open</w:t>
      </w:r>
      <w:r>
        <w:t xml:space="preserve"> and transparent, but simultaneously </w:t>
      </w:r>
      <w:r>
        <w:rPr>
          <w:rStyle w:val="StyleUnderline"/>
        </w:rPr>
        <w:t>reduced the pool of quality reviewers because the education department forbade individuals from being RTTT reviewers</w:t>
      </w:r>
      <w:r>
        <w:t xml:space="preserve"> if they had some meaningful connection to states or their proposals. Ironically, that </w:t>
      </w:r>
      <w:r>
        <w:rPr>
          <w:rStyle w:val="StyleUnderline"/>
        </w:rPr>
        <w:t>criterion</w:t>
      </w:r>
      <w:r>
        <w:t xml:space="preserve"> not only </w:t>
      </w:r>
      <w:r>
        <w:rPr>
          <w:rStyle w:val="StyleUnderline"/>
        </w:rPr>
        <w:t>addressed the political problem, but</w:t>
      </w:r>
      <w:r>
        <w:t xml:space="preserve"> also may have </w:t>
      </w:r>
      <w:r>
        <w:rPr>
          <w:rStyle w:val="StyleUnderline"/>
        </w:rPr>
        <w:t>eliminated individuals with tremendous technical knowledge who could have helped the department accurately judge the various state plans.</w:t>
      </w:r>
    </w:p>
    <w:p w:rsidR="002A5800" w:rsidRDefault="002A5800" w:rsidP="002A5800">
      <w:pPr>
        <w:rPr>
          <w:sz w:val="22"/>
        </w:rPr>
      </w:pPr>
    </w:p>
    <w:p w:rsidR="002A5800" w:rsidRDefault="002A5800" w:rsidP="002A5800">
      <w:pPr>
        <w:pStyle w:val="Heading2"/>
      </w:pPr>
      <w:r>
        <w:t>Implementation deficit</w:t>
      </w:r>
    </w:p>
    <w:p w:rsidR="002A5800" w:rsidRDefault="002A5800" w:rsidP="002A5800">
      <w:pPr>
        <w:pStyle w:val="Heading3"/>
      </w:pPr>
      <w:r>
        <w:t>2ac</w:t>
      </w:r>
    </w:p>
    <w:p w:rsidR="002A5800" w:rsidRDefault="002A5800" w:rsidP="002A5800">
      <w:pPr>
        <w:pStyle w:val="Heading4"/>
      </w:pPr>
      <w:r>
        <w:t>Competitive grant programs waste state resources and link to federalism</w:t>
      </w:r>
    </w:p>
    <w:p w:rsidR="002A5800" w:rsidRDefault="002A5800" w:rsidP="002A5800">
      <w:r>
        <w:rPr>
          <w:rStyle w:val="Style13ptBold"/>
        </w:rPr>
        <w:t xml:space="preserve">Burke 2011 </w:t>
      </w:r>
      <w:r>
        <w:rPr>
          <w:rStyle w:val="Style13ptBold"/>
          <w:b w:val="0"/>
        </w:rPr>
        <w:t xml:space="preserve">--- </w:t>
      </w:r>
      <w:r>
        <w:rPr>
          <w:rStyle w:val="Style13ptBold"/>
          <w:b w:val="0"/>
          <w:sz w:val="22"/>
        </w:rPr>
        <w:t xml:space="preserve">Education Policy Fellow at Heritage. </w:t>
      </w:r>
      <w:r>
        <w:t>(Lindsey Burke, 6/2/11, “Reducing the Federal Footprint on Education and Empowering State and Local Leaders”, The Heritage Foundation. http://www.heritage.org/node/12897/print-display)//ET</w:t>
      </w:r>
    </w:p>
    <w:p w:rsidR="002A5800" w:rsidRDefault="002A5800" w:rsidP="002A5800">
      <w:pPr>
        <w:rPr>
          <w:rStyle w:val="StyleUnderline"/>
        </w:rPr>
      </w:pPr>
      <w:r>
        <w:t xml:space="preserve">Competitive Grants Competitive Grant Programs. </w:t>
      </w:r>
      <w:r>
        <w:rPr>
          <w:rStyle w:val="StyleUnderline"/>
        </w:rPr>
        <w:t>There are some 60 competitive grant programs under NCLB</w:t>
      </w:r>
      <w:r>
        <w:t xml:space="preserve">. The number of programs has grown throughout the years as the federal government became further involved in systemic education reform, leaving no aspect of school policy off-limits to Washington. When all programs are included, there are more than 70 competitive grant programs operated by the Department of Education.[20] Problems with the Competitive Grant Approach. </w:t>
      </w:r>
      <w:r>
        <w:rPr>
          <w:rStyle w:val="StyleUnderline"/>
        </w:rPr>
        <w:t xml:space="preserve">Competitive grant programs are yet another reason that states and localities have become fixed on the demands of Washington—not on the needs of local families and taxpayers—as they vie to secure federal funding. </w:t>
      </w:r>
      <w:r>
        <w:t xml:space="preserve">The complex application processes waste time and resources that could be better employed in the classroom. Competitions for funding for niche programs give leverage for Washington to take a top-down approach to systemic education reform that reaches into all areas of education. Fixated on the Demands of Washington. The </w:t>
      </w:r>
      <w:r>
        <w:rPr>
          <w:rStyle w:val="StyleUnderline"/>
        </w:rPr>
        <w:t>proliferation of competitive grant programs has redirected states’ orientations upwards to the federal funding stream instead of horizontally to the demands of parents and taxpayers</w:t>
      </w:r>
      <w:r>
        <w:t xml:space="preserve">. States must complete numerous applications, track federal program regulations and notices, and adhere to significant reporting requirements, which “erodes coherent, school-level strategic leadership based on the needs of individual students.”[21] </w:t>
      </w:r>
      <w:r>
        <w:rPr>
          <w:rStyle w:val="Emphasis"/>
        </w:rPr>
        <w:t>Wasting Time and Resources</w:t>
      </w:r>
      <w:r>
        <w:t>. The R</w:t>
      </w:r>
      <w:r>
        <w:rPr>
          <w:rStyle w:val="StyleUnderline"/>
        </w:rPr>
        <w:t>ace to the Top competitive grant program provides an example of the paperwork burden on states that wish to apply for funding.</w:t>
      </w:r>
      <w:r>
        <w:t xml:space="preserve"> Originally funded at $4.35 billion in 2009, the </w:t>
      </w:r>
      <w:r>
        <w:rPr>
          <w:rStyle w:val="StyleUnderline"/>
        </w:rPr>
        <w:t>program received lengthy applications from 40 states</w:t>
      </w:r>
      <w:r>
        <w:t xml:space="preserve"> and the District of Columbia. Florida’s application was 354 pages long and included a 630-page appendix; Illinois submitted a 245-page application with a 615-page appendix; Massachusetts turned in a 213-page application with a 1,072-page appendix; and New York’s 455-page application included a 1,155-page appendix.[22] </w:t>
      </w:r>
      <w:r>
        <w:rPr>
          <w:rStyle w:val="StyleUnderline"/>
        </w:rPr>
        <w:t>Despite the time and resources spent on the application process, just 11 states and the District of Columbia were awarded grants.</w:t>
      </w:r>
    </w:p>
    <w:p w:rsidR="002A5800" w:rsidRDefault="002A5800" w:rsidP="002A5800">
      <w:pPr>
        <w:pStyle w:val="Heading3"/>
        <w:rPr>
          <w:sz w:val="32"/>
        </w:rPr>
      </w:pPr>
      <w:r>
        <w:t>1ar</w:t>
      </w:r>
    </w:p>
    <w:p w:rsidR="002A5800" w:rsidRDefault="002A5800" w:rsidP="002A5800">
      <w:pPr>
        <w:pStyle w:val="Heading4"/>
        <w:rPr>
          <w:rStyle w:val="StyleUnderline"/>
          <w:sz w:val="26"/>
          <w:szCs w:val="26"/>
          <w:u w:val="none"/>
        </w:rPr>
      </w:pPr>
      <w:r>
        <w:rPr>
          <w:rStyle w:val="StyleUnderline"/>
          <w:sz w:val="26"/>
          <w:szCs w:val="26"/>
        </w:rPr>
        <w:t>Competitive grants can’t be implemented in rural schools</w:t>
      </w:r>
    </w:p>
    <w:p w:rsidR="002A5800" w:rsidRDefault="002A5800" w:rsidP="002A5800">
      <w:pPr>
        <w:rPr>
          <w:sz w:val="22"/>
        </w:rPr>
      </w:pPr>
      <w:r>
        <w:rPr>
          <w:rStyle w:val="Style13ptBold"/>
        </w:rPr>
        <w:t xml:space="preserve">Brenner 16 </w:t>
      </w:r>
      <w:r>
        <w:rPr>
          <w:rStyle w:val="Style13ptBold"/>
          <w:b w:val="0"/>
        </w:rPr>
        <w:t xml:space="preserve">--- </w:t>
      </w:r>
      <w:r>
        <w:rPr>
          <w:rStyle w:val="Style13ptBold"/>
          <w:b w:val="0"/>
          <w:sz w:val="22"/>
        </w:rPr>
        <w:t xml:space="preserve">Professor of Teacher Education </w:t>
      </w:r>
      <w:r>
        <w:t>at Mississippi State University. (Devon Brenner, “Rural Educator Policy Brief: Rural Education and the Every Student Succeeds Act”, http://epubs.library.msstate.edu/index.php/ruraleducator/article/download/336/333)//ET</w:t>
      </w:r>
    </w:p>
    <w:p w:rsidR="002A5800" w:rsidRDefault="002A5800" w:rsidP="002A5800">
      <w:pPr>
        <w:rPr>
          <w:rStyle w:val="StyleUnderline"/>
          <w:sz w:val="16"/>
          <w:u w:val="none"/>
        </w:rPr>
      </w:pPr>
      <w:r>
        <w:rPr>
          <w:rStyle w:val="StyleUnderline"/>
        </w:rPr>
        <w:t xml:space="preserve">Federal funding, policies, and regulations are all concerns of rural educators. Rural LEAs generally do not benefit from federal funding sources on par with their more urban and suburban counterparts. For example, the federal Title I program provides resources to districts to address inequity and educational quality for low-income students in the US. Title I funding is distributed based on both the overall number of low-income students and concentrations of poverty within a district. Title 1 formulas tend to favor urban districts with larger numbers of low-income students (Ayers, 2011). Other formula-based grants have been criticized for inequitable distribution to larger districts (Ayers, 2011). Particularly in recent years, federal funding has been focused on competitive grant programs rather than formulas. In general, </w:t>
      </w:r>
      <w:r>
        <w:rPr>
          <w:rStyle w:val="Emphasis"/>
        </w:rPr>
        <w:t xml:space="preserve">small, rural schools have not consistently been able to capitalize on competitive grant opportunities. </w:t>
      </w:r>
      <w:r>
        <w:rPr>
          <w:rStyle w:val="StyleUnderline"/>
        </w:rPr>
        <w:t>Urban and suburban schools may have more resources for writing successful applications and may be able to show a bigger impact on greater numbers of students (Klein &amp; Sparks, 2016)</w:t>
      </w:r>
    </w:p>
    <w:p w:rsidR="002A5800" w:rsidRDefault="002A5800" w:rsidP="002A5800">
      <w:pPr>
        <w:pStyle w:val="Heading2"/>
        <w:rPr>
          <w:sz w:val="44"/>
        </w:rPr>
      </w:pPr>
      <w:r>
        <w:t>Equity deficit</w:t>
      </w:r>
    </w:p>
    <w:p w:rsidR="002A5800" w:rsidRDefault="002A5800" w:rsidP="002A5800">
      <w:pPr>
        <w:pStyle w:val="Heading3"/>
      </w:pPr>
      <w:r>
        <w:t>2ac</w:t>
      </w:r>
    </w:p>
    <w:p w:rsidR="002A5800" w:rsidRDefault="002A5800" w:rsidP="002A5800">
      <w:pPr>
        <w:pStyle w:val="Heading4"/>
      </w:pPr>
      <w:r>
        <w:t xml:space="preserve">Competitive grants are </w:t>
      </w:r>
      <w:r>
        <w:rPr>
          <w:u w:val="single"/>
        </w:rPr>
        <w:t>regressive</w:t>
      </w:r>
      <w:r>
        <w:t xml:space="preserve"> and </w:t>
      </w:r>
      <w:r>
        <w:rPr>
          <w:u w:val="single"/>
        </w:rPr>
        <w:t>magnify inequality</w:t>
      </w:r>
      <w:r>
        <w:t xml:space="preserve"> – money goes to the wealthiest schools with the resources to produce effective grant applications </w:t>
      </w:r>
    </w:p>
    <w:p w:rsidR="002A5800" w:rsidRDefault="002A5800" w:rsidP="002A5800">
      <w:r>
        <w:rPr>
          <w:rStyle w:val="Style13ptBold"/>
        </w:rPr>
        <w:t>Herr and Brooks 3</w:t>
      </w:r>
      <w:r>
        <w:t xml:space="preserve"> Lynne McKnight Herr is a technology integration specialist, workshop leader, author, and graduate professor. She serves 16 school districts in southeastern Nebraska as a technology integration specialist, and co-leads statewide technology workshops for school administrators and teachers in conjunction with the Nebraska Council of School Administrators (NCSA). David W. Brooks is faculty at University of Nebraska’s Department of Teaching, Learning and Teacher Education. (“Developing and Sustaining K-12 School Technology Innovation through Lottery Grant Awards: A Multiple Case Study,” Journal of Science Education and Technology, Vol. 12, No. 2, June 2003, pp. 153-182, JSTOR) AAB</w:t>
      </w:r>
    </w:p>
    <w:p w:rsidR="002A5800" w:rsidRDefault="002A5800" w:rsidP="002A5800"/>
    <w:p w:rsidR="002A5800" w:rsidRDefault="002A5800" w:rsidP="002A5800">
      <w:pPr>
        <w:rPr>
          <w:rFonts w:asciiTheme="minorHAnsi" w:hAnsiTheme="minorHAnsi"/>
        </w:rPr>
      </w:pPr>
      <w:r>
        <w:rPr>
          <w:rStyle w:val="Emphasis"/>
        </w:rPr>
        <w:t>EQUITY ISSUES</w:t>
      </w:r>
      <w:r>
        <w:rPr>
          <w:rStyle w:val="StyleUnderline"/>
        </w:rPr>
        <w:t xml:space="preserve"> </w:t>
      </w:r>
      <w:r>
        <w:rPr>
          <w:rFonts w:asciiTheme="minorHAnsi" w:hAnsiTheme="minorHAnsi"/>
        </w:rPr>
        <w:t xml:space="preserve">While a few state lottery programs allow web site visitors to view how much money was awarded to each county in the state over the preceding year, no infor- mation was available in regard to which counties gen- erated the most lottery revenue. </w:t>
      </w:r>
      <w:r>
        <w:rPr>
          <w:rStyle w:val="StyleUnderline"/>
        </w:rPr>
        <w:t xml:space="preserve">A report published by Research Atlanta, Inc. </w:t>
      </w:r>
      <w:r>
        <w:rPr>
          <w:rFonts w:asciiTheme="minorHAnsi" w:hAnsiTheme="minorHAnsi"/>
        </w:rPr>
        <w:t xml:space="preserve">(2001) </w:t>
      </w:r>
      <w:r>
        <w:rPr>
          <w:rStyle w:val="StyleUnderline"/>
        </w:rPr>
        <w:t>raises several con- cerns about the distribution o</w:t>
      </w:r>
      <w:r>
        <w:rPr>
          <w:rFonts w:asciiTheme="minorHAnsi" w:hAnsiTheme="minorHAnsi"/>
        </w:rPr>
        <w:t xml:space="preserve">f Georgia </w:t>
      </w:r>
      <w:r>
        <w:rPr>
          <w:rStyle w:val="StyleUnderline"/>
        </w:rPr>
        <w:t>education lot- tery fund</w:t>
      </w:r>
      <w:r>
        <w:rPr>
          <w:rFonts w:asciiTheme="minorHAnsi" w:hAnsiTheme="minorHAnsi"/>
        </w:rPr>
        <w:t xml:space="preserve">s. First, the report notes, "Atlanta's declining school enrollment and school consolidation have pre- vented it from benefiting from the construction com- ponent of the lottery technology-construction budget, which is the fastest growing lottery component of the technology-construction budget" (p. 1). </w:t>
      </w:r>
      <w:r>
        <w:rPr>
          <w:rStyle w:val="StyleUnderline"/>
        </w:rPr>
        <w:t xml:space="preserve">The report also expresses concern as to Atlanta's participation in the lottery-funded Pre-K program that hints at racial and socioeconomic bias: </w:t>
      </w:r>
      <w:r>
        <w:rPr>
          <w:rFonts w:asciiTheme="minorHAnsi" w:hAnsiTheme="minorHAnsi"/>
        </w:rPr>
        <w:t xml:space="preserve">Atlanta's public school funding mechanism has been deliberate about incorporating a sudden, heavy re- liance on state lottery dollars. At the same time, parental groups in certain areas of the city have com- plained about the shortage of suitable space for a school program for 4-year-olds. Few private black- owned early childhood development centers have had significant experience in seeking state funds or writing proposals for funding, (p. 1) </w:t>
      </w:r>
      <w:r>
        <w:rPr>
          <w:rStyle w:val="StyleUnderline"/>
        </w:rPr>
        <w:t xml:space="preserve">On the basis of personal experience and research, this report raises a valid concern regarding the use of competitive grant programs to benefit education: </w:t>
      </w:r>
      <w:r>
        <w:rPr>
          <w:rStyle w:val="Emphasis"/>
        </w:rPr>
        <w:t>Many K-12 school districts don't have the time, per- sonnel, or resources to produce effective competi- tive grant applications</w:t>
      </w:r>
      <w:r>
        <w:rPr>
          <w:rFonts w:asciiTheme="minorHAnsi" w:hAnsiTheme="minorHAnsi"/>
        </w:rPr>
        <w:t xml:space="preserve">. </w:t>
      </w:r>
      <w:r>
        <w:rPr>
          <w:rStyle w:val="StyleUnderline"/>
        </w:rPr>
        <w:t>One theme that emerged</w:t>
      </w:r>
      <w:r>
        <w:rPr>
          <w:rFonts w:asciiTheme="minorHAnsi" w:hAnsiTheme="minorHAnsi"/>
        </w:rPr>
        <w:t xml:space="preserve"> in this study </w:t>
      </w:r>
      <w:r>
        <w:rPr>
          <w:rStyle w:val="StyleUnderline"/>
        </w:rPr>
        <w:t>centered on challenges and process schools went through as they prepared grant applications</w:t>
      </w:r>
      <w:r>
        <w:rPr>
          <w:rFonts w:asciiTheme="minorHAnsi" w:hAnsiTheme="minorHAnsi"/>
        </w:rPr>
        <w:t xml:space="preserve">. </w:t>
      </w:r>
      <w:r>
        <w:rPr>
          <w:rStyle w:val="StyleUnderline"/>
        </w:rPr>
        <w:t xml:space="preserve">When considering the lottery as a form of volun- tary taxation, </w:t>
      </w:r>
      <w:r>
        <w:rPr>
          <w:rFonts w:asciiTheme="minorHAnsi" w:hAnsiTheme="minorHAnsi"/>
        </w:rPr>
        <w:t xml:space="preserve">"there is little doubt that </w:t>
      </w:r>
      <w:r>
        <w:rPr>
          <w:rStyle w:val="Emphasis"/>
        </w:rPr>
        <w:t>lotteries have the same effect as a regressive tax,</w:t>
      </w:r>
      <w:r>
        <w:rPr>
          <w:rFonts w:asciiTheme="minorHAnsi" w:hAnsiTheme="minorHAnsi"/>
        </w:rPr>
        <w:t xml:space="preserve"> </w:t>
      </w:r>
      <w:r>
        <w:rPr>
          <w:rStyle w:val="StyleUnderline"/>
        </w:rPr>
        <w:t>taking a higher per- centage of the net income of low-income groups rel- ative to that of high-income groups"</w:t>
      </w:r>
      <w:r>
        <w:rPr>
          <w:rFonts w:asciiTheme="minorHAnsi" w:hAnsiTheme="minorHAnsi"/>
        </w:rPr>
        <w:t xml:space="preserve"> (Brandon, 1993, p. 11). Thomas and Webb (1984) concur, noting that </w:t>
      </w:r>
      <w:r>
        <w:rPr>
          <w:rStyle w:val="Emphasis"/>
        </w:rPr>
        <w:t>the lottery is twice as regressive as either a sales tax or excise tax</w:t>
      </w:r>
      <w:r>
        <w:rPr>
          <w:rFonts w:asciiTheme="minorHAnsi" w:hAnsiTheme="minorHAnsi"/>
        </w:rPr>
        <w:t xml:space="preserve"> (pp. 308-309).</w:t>
      </w:r>
    </w:p>
    <w:p w:rsidR="002A5800" w:rsidRDefault="002A5800" w:rsidP="002A5800">
      <w:pPr>
        <w:rPr>
          <w:rFonts w:ascii="Calibri" w:hAnsi="Calibri"/>
        </w:rPr>
      </w:pPr>
    </w:p>
    <w:p w:rsidR="002A5800" w:rsidRDefault="002A5800" w:rsidP="002A5800">
      <w:pPr>
        <w:pStyle w:val="Heading3"/>
      </w:pPr>
      <w:r>
        <w:t>1ar</w:t>
      </w:r>
    </w:p>
    <w:p w:rsidR="002A5800" w:rsidRDefault="002A5800" w:rsidP="002A5800">
      <w:pPr>
        <w:pStyle w:val="Heading4"/>
      </w:pPr>
      <w:r>
        <w:t>Overwhelming empirical evidence proves competitive grants are discriminatory and fail – formula grants are comparatively better</w:t>
      </w:r>
    </w:p>
    <w:p w:rsidR="002A5800" w:rsidRDefault="002A5800" w:rsidP="002A5800">
      <w:pPr>
        <w:rPr>
          <w:bCs/>
        </w:rPr>
      </w:pPr>
      <w:r>
        <w:rPr>
          <w:rStyle w:val="Style13ptBold"/>
        </w:rPr>
        <w:t xml:space="preserve">Noguera et al. 12 </w:t>
      </w:r>
      <w:r>
        <w:rPr>
          <w:rStyle w:val="Style13ptBold"/>
          <w:b w:val="0"/>
        </w:rPr>
        <w:t xml:space="preserve">--- </w:t>
      </w:r>
      <w:r>
        <w:rPr>
          <w:rStyle w:val="Style13ptBold"/>
          <w:b w:val="0"/>
          <w:sz w:val="22"/>
        </w:rPr>
        <w:t>Dr. Pedro Noguera, Professor of Education at New York University. Dr. William D. Duncombe, Professor, Public Administration and International Affairs at Syracuse, Sue Books, Professor, Secondary Education at SUNY. (Pedro Noguera, 9/21/12, “New York State Competitive Grants: Creating a System of Education Winners and Losers”, http://www.aqeny.org/ny/wp-content/uploads/2012/09/NYS-Competitive-Grants_Creating-a-System-of-Educational-Winners-and-Losers.pdf)//ET</w:t>
      </w:r>
    </w:p>
    <w:p w:rsidR="002A5800" w:rsidRDefault="002A5800" w:rsidP="002A5800">
      <w:r>
        <w:t xml:space="preserve">Key Findings </w:t>
      </w:r>
      <w:r>
        <w:sym w:font="Calibri" w:char="F0B7"/>
      </w:r>
      <w:r>
        <w:t xml:space="preserve"> </w:t>
      </w:r>
      <w:r>
        <w:rPr>
          <w:rStyle w:val="StyleUnderline"/>
        </w:rPr>
        <w:t xml:space="preserve">Competitive grants create a system of educational winners and losers among students, instead the state should be guaranteeing all students access to high quality programs. </w:t>
      </w:r>
      <w:r>
        <w:sym w:font="Calibri" w:char="F0B7"/>
      </w:r>
      <w:r>
        <w:t xml:space="preserve"> </w:t>
      </w:r>
      <w:r>
        <w:rPr>
          <w:rStyle w:val="StyleUnderline"/>
        </w:rPr>
        <w:t xml:space="preserve">Competitive grants are </w:t>
      </w:r>
      <w:r>
        <w:rPr>
          <w:rStyle w:val="Emphasis"/>
        </w:rPr>
        <w:t>inequitable</w:t>
      </w:r>
      <w:r>
        <w:t xml:space="preserve">. </w:t>
      </w:r>
      <w:r>
        <w:rPr>
          <w:rStyle w:val="StyleUnderline"/>
        </w:rPr>
        <w:t>Only 19 out of 202 high needs school districts even applied for funding through the competitive grants,</w:t>
      </w:r>
      <w:r>
        <w:t xml:space="preserve"> </w:t>
      </w:r>
      <w:r>
        <w:rPr>
          <w:rStyle w:val="Emphasis"/>
        </w:rPr>
        <w:t xml:space="preserve">whereas 100% of them would receive funding had this money been put through the foundation aid formula. </w:t>
      </w:r>
      <w:r>
        <w:sym w:font="Calibri" w:char="F0B7"/>
      </w:r>
      <w:r>
        <w:t xml:space="preserve"> </w:t>
      </w:r>
      <w:r>
        <w:rPr>
          <w:rStyle w:val="StyleUnderline"/>
        </w:rPr>
        <w:t>While the competitive grants do prioritize high quality educational programs including academically excellent middle schools</w:t>
      </w:r>
      <w:r>
        <w:t xml:space="preserve">, college level courses in high school, </w:t>
      </w:r>
      <w:r>
        <w:rPr>
          <w:rStyle w:val="StyleUnderline"/>
        </w:rPr>
        <w:t xml:space="preserve">career and technical education, </w:t>
      </w:r>
      <w:r>
        <w:t xml:space="preserve">and increasing the number of students graduating with Regents Diplomas with Advanced Designation, </w:t>
      </w:r>
      <w:r>
        <w:rPr>
          <w:rStyle w:val="StyleUnderline"/>
        </w:rPr>
        <w:t xml:space="preserve">these exact types of programs have been cut from schools statewide as a result of state budget cuts. </w:t>
      </w:r>
      <w:r>
        <w:sym w:font="Calibri" w:char="F0B7"/>
      </w:r>
      <w:r>
        <w:t xml:space="preserve"> </w:t>
      </w:r>
      <w:r>
        <w:rPr>
          <w:rStyle w:val="StyleUnderline"/>
        </w:rPr>
        <w:t>Test scores are the single largest factor in awarding competitive grants meaning that when students take tests they are competing with each other</w:t>
      </w:r>
      <w:r>
        <w:t xml:space="preserve"> for access to high quality educational opportunities. </w:t>
      </w:r>
      <w:r>
        <w:rPr>
          <w:rStyle w:val="StyleUnderline"/>
        </w:rPr>
        <w:t xml:space="preserve">Making schools compete for funding based upon test scores will result in more teaching to the test. </w:t>
      </w:r>
      <w:r>
        <w:t xml:space="preserve">Recommendations </w:t>
      </w:r>
      <w:r>
        <w:sym w:font="Calibri" w:char="F0B7"/>
      </w:r>
      <w:r>
        <w:t xml:space="preserve"> </w:t>
      </w:r>
      <w:r>
        <w:rPr>
          <w:rStyle w:val="StyleUnderline"/>
        </w:rPr>
        <w:t xml:space="preserve">There is $100 million in funding that is earmarked for additional competitive grants this year and next, that money should instead be invested directly in schools based on student need, </w:t>
      </w:r>
      <w:r>
        <w:rPr>
          <w:rStyle w:val="Emphasis"/>
        </w:rPr>
        <w:t>without a winner and loser competition between students</w:t>
      </w:r>
      <w:r>
        <w:t xml:space="preserve">. Over three years the amount of competitive grant funds that should instead be invested in schools based on student need is $300 million. </w:t>
      </w:r>
      <w:r>
        <w:sym w:font="Calibri" w:char="F0B7"/>
      </w:r>
      <w:r>
        <w:t xml:space="preserve"> In order to ensure high quality programs, </w:t>
      </w:r>
      <w:r>
        <w:rPr>
          <w:rStyle w:val="StyleUnderline"/>
        </w:rPr>
        <w:t xml:space="preserve">the state should distribute these funds to schools based on student need and could require that school districts use this money for academically excellent middle schools, </w:t>
      </w:r>
      <w:r>
        <w:rPr>
          <w:rStyle w:val="Emphasis"/>
        </w:rPr>
        <w:t>c</w:t>
      </w:r>
      <w:r>
        <w:t xml:space="preserve">ollege level courses in high school, career and technical education, and increasing the number of students graduating with Regents Diplomas with Advanced Designation. </w:t>
      </w:r>
    </w:p>
    <w:p w:rsidR="002A5800" w:rsidRDefault="002A5800" w:rsidP="002A5800"/>
    <w:p w:rsidR="002A5800" w:rsidRDefault="002A5800" w:rsidP="002A5800">
      <w:pPr>
        <w:pStyle w:val="Heading4"/>
        <w:rPr>
          <w:sz w:val="26"/>
        </w:rPr>
      </w:pPr>
      <w:r>
        <w:t>Competitive grants can’t solve equity --- New York discrimination empirically proves</w:t>
      </w:r>
    </w:p>
    <w:p w:rsidR="002A5800" w:rsidRDefault="002A5800" w:rsidP="002A5800">
      <w:pPr>
        <w:rPr>
          <w:rStyle w:val="Style13ptBold"/>
          <w:b w:val="0"/>
          <w:sz w:val="22"/>
        </w:rPr>
      </w:pPr>
      <w:r>
        <w:rPr>
          <w:rStyle w:val="Style13ptBold"/>
        </w:rPr>
        <w:t xml:space="preserve">Schott Foundation 12 </w:t>
      </w:r>
      <w:r>
        <w:rPr>
          <w:rStyle w:val="Style13ptBold"/>
          <w:b w:val="0"/>
        </w:rPr>
        <w:t xml:space="preserve">--- </w:t>
      </w:r>
      <w:r>
        <w:rPr>
          <w:rStyle w:val="Style13ptBold"/>
          <w:b w:val="0"/>
          <w:sz w:val="22"/>
        </w:rPr>
        <w:t>foundation for educational equality, led by Dr. John H. Jackson, prior NACCP leadership. (10/16/12, “Winners, Losers and Competitive Grants”, http://schottfoundation.org/blog/2012/10/16/winners-losers-and-competitive-grants)//ET</w:t>
      </w:r>
    </w:p>
    <w:p w:rsidR="002A5800" w:rsidRDefault="002A5800" w:rsidP="002A5800">
      <w:pPr>
        <w:rPr>
          <w:rStyle w:val="Emphasis"/>
        </w:rPr>
      </w:pPr>
      <w:r>
        <w:rPr>
          <w:rStyle w:val="StyleUnderline"/>
        </w:rPr>
        <w:t>For a country that prides itself on supposed equal opportunity for all, you would think our policymakers would shy away from education policies that blatantly favor already well-off schools over struggling schools in need of support.</w:t>
      </w:r>
      <w:r>
        <w:t xml:space="preserve"> </w:t>
      </w:r>
      <w:r>
        <w:rPr>
          <w:rStyle w:val="StyleUnderline"/>
        </w:rPr>
        <w:t>Not so when it comes to</w:t>
      </w:r>
      <w:r>
        <w:t xml:space="preserve"> education funding and </w:t>
      </w:r>
      <w:r>
        <w:rPr>
          <w:rStyle w:val="StyleUnderline"/>
        </w:rPr>
        <w:t>competitive grantmaking</w:t>
      </w:r>
      <w:r>
        <w:t xml:space="preserve">. A report from one of our New York allies, Alliance for Quality Education, charges that </w:t>
      </w:r>
      <w:r>
        <w:rPr>
          <w:rStyle w:val="StyleUnderline"/>
        </w:rPr>
        <w:t>NY's competitive grants, which force schools to compete for funding</w:t>
      </w:r>
      <w:r>
        <w:t xml:space="preserve"> rather than allocating that money to the schools that need it most, </w:t>
      </w:r>
      <w:r>
        <w:rPr>
          <w:rStyle w:val="StyleUnderline"/>
        </w:rPr>
        <w:t>is creating a "</w:t>
      </w:r>
      <w:r>
        <w:rPr>
          <w:rStyle w:val="Emphasis"/>
        </w:rPr>
        <w:t>system of education winners and losers</w:t>
      </w:r>
      <w:r>
        <w:t xml:space="preserve">" </w:t>
      </w:r>
      <w:r>
        <w:rPr>
          <w:rStyle w:val="StyleUnderline"/>
        </w:rPr>
        <w:t xml:space="preserve">that </w:t>
      </w:r>
      <w:r>
        <w:rPr>
          <w:rStyle w:val="Emphasis"/>
        </w:rPr>
        <w:t xml:space="preserve">denies struggling schools and their students a fair and substantive opportunity to learn. </w:t>
      </w:r>
      <w:r>
        <w:t xml:space="preserve">As the report explains, following the 2007 Campaign for Fiscal Equity court case, the state of New York committed itself to fair funding and support for high-needs schools. But when the economic recession hit, the state began slashing its education budget. School districts had to cut pre-k programs and quality teaching initiatives, increase class sizes, etc. "Now, </w:t>
      </w:r>
      <w:r>
        <w:rPr>
          <w:rStyle w:val="StyleUnderline"/>
        </w:rPr>
        <w:t>through the competitive grants programs students compete with each other for test scores to let a few of them win back some of the same programs that were cut</w:t>
      </w:r>
      <w:r>
        <w:t xml:space="preserve">. The rest lose out." </w:t>
      </w:r>
      <w:r>
        <w:rPr>
          <w:rStyle w:val="StyleUnderline"/>
        </w:rPr>
        <w:t xml:space="preserve">Which schools get grant money now depends primarily on student test scores and administrators' grant writing skills rather than the needs of the students: </w:t>
      </w:r>
      <w:r>
        <w:t xml:space="preserve">"The 'School District Performance Improvement Competitive Grant Program' will award $25 million to a limited number of school districts to receive three-year grants to develop or expand programs for middle and high school students. All school districts would have had access to funding had it been distributed through the foundation aid formula. Of the 677 school districts in the state, only 73, or 10% competed for this funding. The remaining 90% determined they were either ineligible to secure funding or that they did not have the necessary grant writing capacity to respond to the competition." </w:t>
      </w:r>
      <w:r>
        <w:rPr>
          <w:rStyle w:val="StyleUnderline"/>
        </w:rPr>
        <w:t xml:space="preserve">The bottom line is that </w:t>
      </w:r>
      <w:r>
        <w:rPr>
          <w:rStyle w:val="Emphasis"/>
        </w:rPr>
        <w:t>competitive grants are inequitable,</w:t>
      </w:r>
      <w:r>
        <w:t xml:space="preserve"> </w:t>
      </w:r>
      <w:r>
        <w:rPr>
          <w:rStyle w:val="StyleUnderline"/>
        </w:rPr>
        <w:t xml:space="preserve">and they </w:t>
      </w:r>
      <w:r>
        <w:rPr>
          <w:rStyle w:val="Emphasis"/>
        </w:rPr>
        <w:t>only increase existing inequalities</w:t>
      </w:r>
      <w:r>
        <w:t xml:space="preserve">. </w:t>
      </w:r>
      <w:r>
        <w:rPr>
          <w:rStyle w:val="StyleUnderline"/>
        </w:rPr>
        <w:t xml:space="preserve">Whoever thinks a "fair" race is letting certain competitors get a head start and awarding them the prize money when they finish first needs to take their fondness for market-inspired competition home and </w:t>
      </w:r>
      <w:r>
        <w:rPr>
          <w:rStyle w:val="Emphasis"/>
        </w:rPr>
        <w:t>try again</w:t>
      </w:r>
      <w:r>
        <w:rPr>
          <w:rStyle w:val="StyleUnderline"/>
        </w:rPr>
        <w:t>.</w:t>
      </w:r>
      <w:r>
        <w:t xml:space="preserve"> Our students deserve a fair chance and an equitable opportunity to learn. </w:t>
      </w:r>
      <w:r>
        <w:rPr>
          <w:rStyle w:val="Emphasis"/>
        </w:rPr>
        <w:t>Rigged competitions</w:t>
      </w:r>
      <w:r>
        <w:t xml:space="preserve">, rather than policies that give everyone a fair shot at succeeding, </w:t>
      </w:r>
      <w:r>
        <w:rPr>
          <w:rStyle w:val="Emphasis"/>
        </w:rPr>
        <w:t xml:space="preserve">aren't the solution. </w:t>
      </w:r>
    </w:p>
    <w:bookmarkEnd w:id="5"/>
    <w:p w:rsidR="002A5800" w:rsidRDefault="002A5800" w:rsidP="002A5800">
      <w:pPr>
        <w:rPr>
          <w:rFonts w:asciiTheme="minorHAnsi" w:hAnsiTheme="minorHAnsi"/>
        </w:rPr>
      </w:pPr>
    </w:p>
    <w:p w:rsidR="002A5800" w:rsidRDefault="002A5800" w:rsidP="002A5800">
      <w:pPr>
        <w:pStyle w:val="Heading2"/>
        <w:rPr>
          <w:rFonts w:ascii="Calibri" w:hAnsi="Calibri"/>
        </w:rPr>
      </w:pPr>
      <w:r>
        <w:t>PDB</w:t>
      </w:r>
    </w:p>
    <w:p w:rsidR="002A5800" w:rsidRDefault="002A5800" w:rsidP="002A5800">
      <w:pPr>
        <w:pStyle w:val="Heading3"/>
      </w:pPr>
      <w:r>
        <w:t>2ac</w:t>
      </w:r>
    </w:p>
    <w:p w:rsidR="002A5800" w:rsidRDefault="002A5800" w:rsidP="002A5800">
      <w:pPr>
        <w:pStyle w:val="Heading4"/>
      </w:pPr>
      <w:r>
        <w:t xml:space="preserve">Permutation do both --- it solves the link to ptx --- opposition to competitive grants overcomes </w:t>
      </w:r>
    </w:p>
    <w:p w:rsidR="002A5800" w:rsidRDefault="002A5800" w:rsidP="002A5800">
      <w:r>
        <w:rPr>
          <w:rStyle w:val="Style13ptBold"/>
        </w:rPr>
        <w:t xml:space="preserve">ACTE 14 --- </w:t>
      </w:r>
      <w:r>
        <w:rPr>
          <w:rStyle w:val="Style13ptBold"/>
          <w:b w:val="0"/>
          <w:sz w:val="22"/>
        </w:rPr>
        <w:t>Association for Career and Technical Education</w:t>
      </w:r>
      <w:r>
        <w:rPr>
          <w:rStyle w:val="Style13ptBold"/>
          <w:sz w:val="22"/>
        </w:rPr>
        <w:t xml:space="preserve"> </w:t>
      </w:r>
      <w:r>
        <w:t>( 4/8/14, “House Appropriators Challenge Duncan on CTE Budget Proposal”, http://ctepolicywatch.acteonline.org/2014/04/house-appropriators-challenge-duncan-on-cte-budget-proposal.html)//ET</w:t>
      </w:r>
    </w:p>
    <w:p w:rsidR="002A5800" w:rsidRDefault="002A5800" w:rsidP="002A5800">
      <w:pPr>
        <w:rPr>
          <w:sz w:val="14"/>
        </w:rPr>
      </w:pPr>
      <w:r>
        <w:rPr>
          <w:sz w:val="14"/>
        </w:rPr>
        <w:t xml:space="preserve">During the subcommittee hearing, Sec. </w:t>
      </w:r>
      <w:r>
        <w:rPr>
          <w:rStyle w:val="StyleUnderline"/>
        </w:rPr>
        <w:t>Duncan was pressed on why the department’s budget request does not include any new investments</w:t>
      </w:r>
      <w:r>
        <w:rPr>
          <w:sz w:val="14"/>
        </w:rPr>
        <w:t xml:space="preserve"> in Perkins. Rep. Martha Roby (R-AL), the newest member of the subcommittee and a former member of the House Education and the Workforce Committee, asked Duncan how he expects schools to continue to offer rigorous and relevant career training and education for all students without a strong investment in CTE. </w:t>
      </w:r>
      <w:r>
        <w:rPr>
          <w:rStyle w:val="StyleUnderline"/>
        </w:rPr>
        <w:t xml:space="preserve">She also took issue with the proposal to set aside $100 million in Perkins CTE State Grant funding for a </w:t>
      </w:r>
      <w:r>
        <w:rPr>
          <w:rStyle w:val="Emphasis"/>
        </w:rPr>
        <w:t>new competitive innovation fund</w:t>
      </w:r>
      <w:r>
        <w:rPr>
          <w:sz w:val="14"/>
        </w:rPr>
        <w:t>. “</w:t>
      </w:r>
      <w:r>
        <w:rPr>
          <w:rStyle w:val="StyleUnderline"/>
        </w:rPr>
        <w:t>We have yet to fulfill our commitment to fully fund existing formula-driven programs</w:t>
      </w:r>
      <w:r>
        <w:rPr>
          <w:sz w:val="14"/>
        </w:rPr>
        <w:t>,” said Roby. She goes on to ask, “</w:t>
      </w:r>
      <w:r>
        <w:rPr>
          <w:rStyle w:val="StyleUnderline"/>
        </w:rPr>
        <w:t xml:space="preserve">Why does the Administration continue to propose competitive grants that </w:t>
      </w:r>
      <w:r>
        <w:rPr>
          <w:rStyle w:val="Emphasis"/>
        </w:rPr>
        <w:t>only benefit a few students</w:t>
      </w:r>
      <w:r>
        <w:rPr>
          <w:rStyle w:val="StyleUnderline"/>
        </w:rPr>
        <w:t xml:space="preserve"> instead of increasing funds for proven programs like CTE that help to further the goal of career readiness for all students?”</w:t>
      </w:r>
      <w:r>
        <w:rPr>
          <w:sz w:val="14"/>
        </w:rPr>
        <w:t xml:space="preserve"> </w:t>
      </w:r>
      <w:r>
        <w:rPr>
          <w:rStyle w:val="Emphasis"/>
        </w:rPr>
        <w:t xml:space="preserve">Duncan argued that most of the department’s funding request is direct to formula grants and that some of the proposed competitive grants could benefit CTE. </w:t>
      </w:r>
      <w:r>
        <w:rPr>
          <w:sz w:val="14"/>
        </w:rPr>
        <w:t xml:space="preserve">However, </w:t>
      </w:r>
      <w:r>
        <w:rPr>
          <w:rStyle w:val="StyleUnderline"/>
        </w:rPr>
        <w:t xml:space="preserve">the numerous proposals for new competitive funding in education were a source of </w:t>
      </w:r>
      <w:r>
        <w:rPr>
          <w:rStyle w:val="Emphasis"/>
        </w:rPr>
        <w:t>bipartisan frustration</w:t>
      </w:r>
      <w:r>
        <w:rPr>
          <w:rStyle w:val="StyleUnderline"/>
        </w:rPr>
        <w:t xml:space="preserve"> among the members of the subcommittee. </w:t>
      </w:r>
      <w:r>
        <w:rPr>
          <w:sz w:val="14"/>
        </w:rPr>
        <w:t>Rep Steve Womack (R-AR) expressed particular concern for rural school districts that may not have the capacity to pursue competitive funds. “</w:t>
      </w:r>
      <w:r>
        <w:rPr>
          <w:rStyle w:val="StyleUnderline"/>
        </w:rPr>
        <w:t>Because of the resource gap we have between certain districts, it creates a bigger divide, it creates winners and losers in public education,”</w:t>
      </w:r>
      <w:r>
        <w:rPr>
          <w:sz w:val="14"/>
        </w:rPr>
        <w:t xml:space="preserve"> said Womack. Reps. Rosa DeLauro (D-CT), the subcommittee’s ranking Democrat, and Lucille Roybal-Allard (D-CA) also questioned the department’s approach of prioritizing competitive grants over formula funding.</w:t>
      </w:r>
    </w:p>
    <w:p w:rsidR="002A5800" w:rsidRDefault="002A5800" w:rsidP="002A5800">
      <w:pPr>
        <w:pStyle w:val="Heading2"/>
        <w:rPr>
          <w:sz w:val="44"/>
        </w:rPr>
      </w:pPr>
      <w:r>
        <w:t>AT state education agency da</w:t>
      </w:r>
    </w:p>
    <w:p w:rsidR="002A5800" w:rsidRDefault="002A5800" w:rsidP="002A5800">
      <w:pPr>
        <w:pStyle w:val="Heading4"/>
      </w:pPr>
      <w:r>
        <w:t>Social capital low now and competitive grant programs empirically devastate it</w:t>
      </w:r>
    </w:p>
    <w:p w:rsidR="002A5800" w:rsidRDefault="002A5800" w:rsidP="002A5800">
      <w:pPr>
        <w:rPr>
          <w:rStyle w:val="Style13ptBold"/>
          <w:b w:val="0"/>
          <w:sz w:val="22"/>
        </w:rPr>
      </w:pPr>
      <w:r>
        <w:rPr>
          <w:rStyle w:val="Style13ptBold"/>
        </w:rPr>
        <w:t xml:space="preserve">Futernick and Urbanski 2014 </w:t>
      </w:r>
      <w:r>
        <w:rPr>
          <w:rStyle w:val="Style13ptBold"/>
          <w:b w:val="0"/>
        </w:rPr>
        <w:t xml:space="preserve">--- </w:t>
      </w:r>
      <w:r>
        <w:rPr>
          <w:rStyle w:val="Style13ptBold"/>
          <w:b w:val="0"/>
          <w:sz w:val="22"/>
        </w:rPr>
        <w:t>Futernick,  educational consultant and founder of school turnaround center. Urbanski, PhD American History and on board of American Federation of Teachers. (Ken and Adam, “The State Role in School Turnaround Emerging Best Practices”, The Center on School Turnaround. Google Book)//ET</w:t>
      </w:r>
    </w:p>
    <w:p w:rsidR="002A5800" w:rsidRDefault="002A5800" w:rsidP="002A5800">
      <w:pPr>
        <w:rPr>
          <w:rStyle w:val="StyleUnderline"/>
        </w:rPr>
      </w:pPr>
      <w:r>
        <w:rPr>
          <w:sz w:val="14"/>
        </w:rPr>
        <w:t xml:space="preserve">In recent years. </w:t>
      </w:r>
      <w:r>
        <w:rPr>
          <w:rStyle w:val="StyleUnderline"/>
        </w:rPr>
        <w:t xml:space="preserve">the federal government has made unprecedented investments in programs designed to turn around the nation's lowest performing schools. </w:t>
      </w:r>
      <w:r>
        <w:rPr>
          <w:sz w:val="14"/>
        </w:rPr>
        <w:t>The Race to the Top program (</w:t>
      </w:r>
      <w:r>
        <w:rPr>
          <w:rStyle w:val="StyleUnderline"/>
        </w:rPr>
        <w:t>RTTT</w:t>
      </w:r>
      <w:r>
        <w:rPr>
          <w:sz w:val="14"/>
        </w:rPr>
        <w:t xml:space="preserve">), </w:t>
      </w:r>
      <w:r>
        <w:rPr>
          <w:rStyle w:val="StyleUnderline"/>
        </w:rPr>
        <w:t>announced</w:t>
      </w:r>
      <w:r>
        <w:rPr>
          <w:sz w:val="14"/>
        </w:rPr>
        <w:t xml:space="preserve"> in 2009, provided </w:t>
      </w:r>
      <w:r>
        <w:rPr>
          <w:rStyle w:val="StyleUnderline"/>
        </w:rPr>
        <w:t>$4.35 billion in grants to states</w:t>
      </w:r>
      <w:r>
        <w:rPr>
          <w:sz w:val="14"/>
        </w:rPr>
        <w:t xml:space="preserve"> that agreed to adopt specific reforms and to turn around their lowest achieving schools. That same year, </w:t>
      </w:r>
      <w:r>
        <w:rPr>
          <w:rStyle w:val="StyleUnderline"/>
        </w:rPr>
        <w:t>the U.S. Department of Education</w:t>
      </w:r>
      <w:r>
        <w:rPr>
          <w:sz w:val="14"/>
        </w:rPr>
        <w:t xml:space="preserve"> also </w:t>
      </w:r>
      <w:r>
        <w:rPr>
          <w:rStyle w:val="StyleUnderline"/>
        </w:rPr>
        <w:t>provided $3.5 billion in</w:t>
      </w:r>
      <w:r>
        <w:rPr>
          <w:sz w:val="14"/>
        </w:rPr>
        <w:t xml:space="preserve"> Title I School Improvement Grants (</w:t>
      </w:r>
      <w:r>
        <w:rPr>
          <w:rStyle w:val="StyleUnderline"/>
        </w:rPr>
        <w:t>SIGs</w:t>
      </w:r>
      <w:r>
        <w:rPr>
          <w:sz w:val="14"/>
        </w:rPr>
        <w:t xml:space="preserve">) to turn around the nation's lowest performing schools. It's too early to tell whether MT and SIG will produce dramatic and sustainable improvements in the schools they target, but if similar efforts to turn schools around in the U.S. are any Indication, the odds may be low (Smarick, 2010). As University of Chicago sociologist Charles Payne notes in his book, So Much Reform, So Little Change, </w:t>
      </w:r>
      <w:r>
        <w:rPr>
          <w:rStyle w:val="StyleUnderline"/>
        </w:rPr>
        <w:t>After a couple of years of being energetically reformed, most schools, especially bottom tier schools, and most school systems seem to be pretty much the same kind of organizations they were at the beginning"</w:t>
      </w:r>
      <w:r>
        <w:rPr>
          <w:sz w:val="14"/>
        </w:rPr>
        <w:t xml:space="preserve"> (Payne, 2006, p. 4). However, Payne is referring to reforms that have been undertaken in the U.S. A significant number of low performing schools in places like Finland, Canada, and Singapore, have made significant and sustained improvements, demonstrating that chronically failing schools can, in fact, be turned around at scale (Darling-Hammond, 2010; Fullan, 2011; Mourshed, Chijioke, &amp; Bather, 2010). The question is, what lessons can education officials in the U.S. learn from these countries? Researcher Michael Fullan believes </w:t>
      </w:r>
      <w:r>
        <w:rPr>
          <w:rStyle w:val="Emphasis"/>
        </w:rPr>
        <w:t>the U.S. must place more emphasis on building social capital:</w:t>
      </w:r>
      <w:r>
        <w:rPr>
          <w:sz w:val="14"/>
        </w:rPr>
        <w:t xml:space="preserve"> By adding social capital-based strategies you get multiple benefits. For example, focused collaborative practices mobilize and customize knowledge in the system, enabling teachers to know what other teachers do and to learn from them. In addition to leveraging instructional capacity, purposeful col-laboration serves as the most effective form of lateral accountability. When combined with transparency of results, the whole apparatus fosters both collective ownership of educational practice and accountability to the public. Finally, these actions represent the best route to developing a trusted and respected profession. This Is what successful countries are doing. (2011, p.12) One way that educators in countries with successful turnaround records build and sustain social capital Is through collaboration between teacher unions and management. Government officials in Finland's widely acclaimed school system have long worked closely with the country's strong teacher unions and view them as essential partners. Struggling public schools in Ontario, Canada have made dramatic improvements in academic achievement in recent years, but government leaders and teacher unions had been bitter adversaries prior to this turnaround. in 2003, officials tried a different approach to address stag-nating student performance. According to writer Marc Tucker, who studied the reform effort In Ontario, They brought teachers and their unions to the table for discussions of education reform strategy and won their trust by listening hard to what the teachers had to say and then providing the needed support. The reform strategy that they adopted assumed that teachers wanted to do the right thing but lacked the capacity to do IC (2012, p. 20). </w:t>
      </w:r>
      <w:r>
        <w:rPr>
          <w:rStyle w:val="StyleUnderline"/>
        </w:rPr>
        <w:t xml:space="preserve">Relations between management and labor unions in the U.S. have </w:t>
      </w:r>
      <w:r>
        <w:rPr>
          <w:rStyle w:val="Emphasis"/>
        </w:rPr>
        <w:t>historically been adversarial,</w:t>
      </w:r>
      <w:r>
        <w:rPr>
          <w:rStyle w:val="StyleUnderline"/>
        </w:rPr>
        <w:t xml:space="preserve"> which may help to explain why school turnaround efforts here have floundered.</w:t>
      </w:r>
      <w:r>
        <w:rPr>
          <w:sz w:val="14"/>
        </w:rPr>
        <w:t xml:space="preserve"> </w:t>
      </w:r>
      <w:r>
        <w:rPr>
          <w:rStyle w:val="StyleUnderline"/>
        </w:rPr>
        <w:t xml:space="preserve">Many local and state teacher unions have actively </w:t>
      </w:r>
      <w:r>
        <w:rPr>
          <w:rStyle w:val="Emphasis"/>
        </w:rPr>
        <w:t>resisted</w:t>
      </w:r>
      <w:r>
        <w:rPr>
          <w:rStyle w:val="StyleUnderline"/>
        </w:rPr>
        <w:t xml:space="preserve"> some of the turnaround policies </w:t>
      </w:r>
      <w:r>
        <w:rPr>
          <w:rStyle w:val="Emphasis"/>
        </w:rPr>
        <w:t>required by programs like RTTT and</w:t>
      </w:r>
      <w:r>
        <w:rPr>
          <w:sz w:val="14"/>
        </w:rPr>
        <w:t xml:space="preserve"> SIG (e.g., replac-ing 50% or more of the teaching staff; using academic growth to evaluate teach-ers), </w:t>
      </w:r>
      <w:r>
        <w:rPr>
          <w:rStyle w:val="StyleUnderline"/>
        </w:rPr>
        <w:t xml:space="preserve">and the </w:t>
      </w:r>
      <w:r>
        <w:rPr>
          <w:rStyle w:val="Emphasis"/>
        </w:rPr>
        <w:t>absence of a collaborative environment</w:t>
      </w:r>
      <w:r>
        <w:rPr>
          <w:rStyle w:val="StyleUnderline"/>
        </w:rPr>
        <w:t xml:space="preserve"> has surely not promoted the 'collective ownership of educational practice that Pullen and others have observed outside the U.S. </w:t>
      </w:r>
    </w:p>
    <w:p w:rsidR="002A5800" w:rsidRDefault="002A5800" w:rsidP="002A5800"/>
    <w:p w:rsidR="002A5800" w:rsidRPr="002A5800" w:rsidRDefault="002A5800" w:rsidP="002A5800"/>
    <w:sectPr w:rsidR="002A5800" w:rsidRPr="002A5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5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8571E5"/>
    <w:multiLevelType w:val="hybridMultilevel"/>
    <w:tmpl w:val="53122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191696"/>
    <w:docVar w:name="VerbatimVersion" w:val="5.1"/>
  </w:docVars>
  <w:rsids>
    <w:rsidRoot w:val="002A5800"/>
    <w:rsid w:val="000139A3"/>
    <w:rsid w:val="00100833"/>
    <w:rsid w:val="00104529"/>
    <w:rsid w:val="00105942"/>
    <w:rsid w:val="00107396"/>
    <w:rsid w:val="00144A4C"/>
    <w:rsid w:val="00176AB0"/>
    <w:rsid w:val="00177B7D"/>
    <w:rsid w:val="0018322D"/>
    <w:rsid w:val="001B5776"/>
    <w:rsid w:val="001E527A"/>
    <w:rsid w:val="001F78CE"/>
    <w:rsid w:val="00240E49"/>
    <w:rsid w:val="00251FC7"/>
    <w:rsid w:val="002855A7"/>
    <w:rsid w:val="002A5800"/>
    <w:rsid w:val="002B146A"/>
    <w:rsid w:val="002B5E17"/>
    <w:rsid w:val="00315690"/>
    <w:rsid w:val="00316B75"/>
    <w:rsid w:val="00325646"/>
    <w:rsid w:val="00335BAA"/>
    <w:rsid w:val="003460F2"/>
    <w:rsid w:val="0038158C"/>
    <w:rsid w:val="003902BA"/>
    <w:rsid w:val="003A09E2"/>
    <w:rsid w:val="00402EDC"/>
    <w:rsid w:val="00407037"/>
    <w:rsid w:val="004605D6"/>
    <w:rsid w:val="004C60E8"/>
    <w:rsid w:val="004E3579"/>
    <w:rsid w:val="004E728B"/>
    <w:rsid w:val="004F39E0"/>
    <w:rsid w:val="005205EB"/>
    <w:rsid w:val="00537BD5"/>
    <w:rsid w:val="0057268A"/>
    <w:rsid w:val="005D2912"/>
    <w:rsid w:val="006065BD"/>
    <w:rsid w:val="00645FA9"/>
    <w:rsid w:val="00647866"/>
    <w:rsid w:val="00665003"/>
    <w:rsid w:val="006A2AD0"/>
    <w:rsid w:val="006C2375"/>
    <w:rsid w:val="006D4ECC"/>
    <w:rsid w:val="00722258"/>
    <w:rsid w:val="007243E5"/>
    <w:rsid w:val="00745C6D"/>
    <w:rsid w:val="00766EA0"/>
    <w:rsid w:val="007A2226"/>
    <w:rsid w:val="007A4C05"/>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D963"/>
  <w15:chartTrackingRefBased/>
  <w15:docId w15:val="{D7FB7405-6C65-4633-8484-C314C8C9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A4C0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A4C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7A4C05"/>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7A4C05"/>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w:basedOn w:val="Normal"/>
    <w:next w:val="Normal"/>
    <w:link w:val="Heading4Char"/>
    <w:uiPriority w:val="3"/>
    <w:unhideWhenUsed/>
    <w:qFormat/>
    <w:rsid w:val="007A4C05"/>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A4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C05"/>
  </w:style>
  <w:style w:type="character" w:customStyle="1" w:styleId="Heading1Char">
    <w:name w:val="Heading 1 Char"/>
    <w:aliases w:val="Pocket Char"/>
    <w:basedOn w:val="DefaultParagraphFont"/>
    <w:link w:val="Heading1"/>
    <w:rsid w:val="007A4C05"/>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7A4C05"/>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7A4C05"/>
    <w:rPr>
      <w:rFonts w:ascii="Times New Roman" w:eastAsiaTheme="majorEastAsia" w:hAnsi="Times New Roman"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7A4C05"/>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7A4C0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A4C05"/>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7A4C05"/>
    <w:rPr>
      <w:b w:val="0"/>
      <w:sz w:val="22"/>
      <w:u w:val="single"/>
    </w:rPr>
  </w:style>
  <w:style w:type="character" w:styleId="Hyperlink">
    <w:name w:val="Hyperlink"/>
    <w:basedOn w:val="DefaultParagraphFont"/>
    <w:uiPriority w:val="99"/>
    <w:semiHidden/>
    <w:unhideWhenUsed/>
    <w:rsid w:val="007A4C05"/>
    <w:rPr>
      <w:color w:val="auto"/>
      <w:u w:val="none"/>
    </w:rPr>
  </w:style>
  <w:style w:type="character" w:styleId="FollowedHyperlink">
    <w:name w:val="FollowedHyperlink"/>
    <w:basedOn w:val="DefaultParagraphFont"/>
    <w:uiPriority w:val="99"/>
    <w:semiHidden/>
    <w:unhideWhenUsed/>
    <w:rsid w:val="007A4C05"/>
    <w:rPr>
      <w:color w:val="auto"/>
      <w:u w:val="none"/>
    </w:rPr>
  </w:style>
  <w:style w:type="paragraph" w:customStyle="1" w:styleId="textbold">
    <w:name w:val="text bold"/>
    <w:basedOn w:val="Normal"/>
    <w:link w:val="Emphasis"/>
    <w:uiPriority w:val="7"/>
    <w:semiHidden/>
    <w:qFormat/>
    <w:rsid w:val="002A5800"/>
    <w:pPr>
      <w:pBdr>
        <w:top w:val="single" w:sz="8" w:space="0" w:color="auto"/>
        <w:left w:val="single" w:sz="8" w:space="0" w:color="auto"/>
        <w:bottom w:val="single" w:sz="8" w:space="0" w:color="auto"/>
        <w:right w:val="single" w:sz="8" w:space="0" w:color="auto"/>
      </w:pBdr>
      <w:spacing w:after="160" w:line="252" w:lineRule="auto"/>
      <w:ind w:left="720"/>
      <w:jc w:val="both"/>
    </w:pPr>
    <w:rPr>
      <w:b/>
      <w:iCs/>
      <w:sz w:val="22"/>
      <w:u w:val="single"/>
      <w:bdr w:val="single" w:sz="8" w:space="0" w:color="auto"/>
    </w:rPr>
  </w:style>
  <w:style w:type="character" w:customStyle="1" w:styleId="Heading1Char1">
    <w:name w:val="Heading 1 Char1"/>
    <w:aliases w:val="Pocket Char1"/>
    <w:basedOn w:val="DefaultParagraphFont"/>
    <w:rsid w:val="002A5800"/>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2A5800"/>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2A5800"/>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Normal Tag Char1,small text Char1,body Char1,No Spacing211 Char1,No Spacing12 Char1,heading 2 Char1,Heading 2 Char2 Char Char1,Heading 2 Char1 Char Char Char1,Ch Char1,no read Char1,No Spacing2111 Char1,tags Char"/>
    <w:basedOn w:val="DefaultParagraphFont"/>
    <w:uiPriority w:val="3"/>
    <w:semiHidden/>
    <w:rsid w:val="002A5800"/>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uiPriority w:val="99"/>
    <w:semiHidden/>
    <w:rsid w:val="002A5800"/>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2A5800"/>
    <w:pPr>
      <w:spacing w:before="100" w:beforeAutospacing="1" w:after="100" w:afterAutospacing="1"/>
    </w:pPr>
    <w:rPr>
      <w:rFonts w:eastAsia="Times New Roman"/>
      <w:sz w:val="24"/>
      <w:szCs w:val="24"/>
    </w:rPr>
  </w:style>
  <w:style w:type="character" w:customStyle="1" w:styleId="UnresolvedMention">
    <w:name w:val="Unresolved Mention"/>
    <w:basedOn w:val="DefaultParagraphFont"/>
    <w:uiPriority w:val="99"/>
    <w:semiHidden/>
    <w:rsid w:val="002A580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16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research/to-empower-state-and-local-leaders-esea-reauthorization-should-include-competitive-grants/" TargetMode="External"/><Relationship Id="rId13" Type="http://schemas.openxmlformats.org/officeDocument/2006/relationships/hyperlink" Target="https://www.edelsoninstitute.com/real-wealth/states-desperate-revenue-youre-next-84063/" TargetMode="External"/><Relationship Id="rId18" Type="http://schemas.openxmlformats.org/officeDocument/2006/relationships/hyperlink" Target="https://www.everycrsreport.com/reports/R41355.html" TargetMode="External"/><Relationship Id="rId26" Type="http://schemas.openxmlformats.org/officeDocument/2006/relationships/hyperlink" Target="https://search.proquest.com/openview/88381ffcebc95268f7c955f994497a5e/1?pq-origsite=gscholar&amp;cbl=18750&amp;diss=y)//ET" TargetMode="External"/><Relationship Id="rId3" Type="http://schemas.openxmlformats.org/officeDocument/2006/relationships/styles" Target="styles.xml"/><Relationship Id="rId21" Type="http://schemas.openxmlformats.org/officeDocument/2006/relationships/hyperlink" Target="https://www.everycrsreport.com/reports/R41355.html" TargetMode="External"/><Relationship Id="rId34" Type="http://schemas.openxmlformats.org/officeDocument/2006/relationships/hyperlink" Target="https://www.americanprogress.org/issues/education/reports/2010/04/07/7695/status-quo-vs-innovation/)/ET" TargetMode="External"/><Relationship Id="rId7" Type="http://schemas.openxmlformats.org/officeDocument/2006/relationships/hyperlink" Target="http://educationdidactique.revues.org/334" TargetMode="External"/><Relationship Id="rId12" Type="http://schemas.openxmlformats.org/officeDocument/2006/relationships/hyperlink" Target="https://cef.org/advocacy/presidents-2018-budget/" TargetMode="External"/><Relationship Id="rId17" Type="http://schemas.openxmlformats.org/officeDocument/2006/relationships/hyperlink" Target="https://www.everycrsreport.com/reports/R41355.html" TargetMode="External"/><Relationship Id="rId25" Type="http://schemas.openxmlformats.org/officeDocument/2006/relationships/hyperlink" Target="http://journals.sagepub.com.proxy.lib.umich.edu/doi/pdf/10.1177/1070496511405153)/ET" TargetMode="External"/><Relationship Id="rId33" Type="http://schemas.openxmlformats.org/officeDocument/2006/relationships/hyperlink" Target="http://educationdidactique.revues.org/334" TargetMode="External"/><Relationship Id="rId2" Type="http://schemas.openxmlformats.org/officeDocument/2006/relationships/numbering" Target="numbering.xml"/><Relationship Id="rId16" Type="http://schemas.openxmlformats.org/officeDocument/2006/relationships/hyperlink" Target="https://www.everycrsreport.com/reports/R41355.html" TargetMode="External"/><Relationship Id="rId20" Type="http://schemas.openxmlformats.org/officeDocument/2006/relationships/hyperlink" Target="https://www.everycrsreport.com/reports/R41355.html" TargetMode="External"/><Relationship Id="rId29" Type="http://schemas.openxmlformats.org/officeDocument/2006/relationships/hyperlink" Target="http://educationdidactique.revues.org/334" TargetMode="External"/><Relationship Id="rId1" Type="http://schemas.openxmlformats.org/officeDocument/2006/relationships/customXml" Target="../customXml/item1.xml"/><Relationship Id="rId6" Type="http://schemas.openxmlformats.org/officeDocument/2006/relationships/hyperlink" Target="https://search.proquest.com/openview/88381ffcebc95268f7c955f994497a5e/1?pq-origsite=gscholar&amp;cbl=18750&amp;diss=y)//ET" TargetMode="External"/><Relationship Id="rId11" Type="http://schemas.openxmlformats.org/officeDocument/2006/relationships/hyperlink" Target="https://www.americanprogress.org/issues/education/reports/2010/04/07/7695/status-quo-vs-innovation/)/ET" TargetMode="External"/><Relationship Id="rId24" Type="http://schemas.openxmlformats.org/officeDocument/2006/relationships/hyperlink" Target="https://www.americanprogress.org/issues/education/reports/2010/04/07/7695/status-quo-vs-innovation/)/ET" TargetMode="External"/><Relationship Id="rId32" Type="http://schemas.openxmlformats.org/officeDocument/2006/relationships/hyperlink" Target="https://www.edelsoninstitute.com/real-wealth/states-desperate-revenue-youre-next-8406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ducation.ti.com/sites/US/downloads/pdf/nationalfundingguide_janjun06.pdf" TargetMode="External"/><Relationship Id="rId23" Type="http://schemas.openxmlformats.org/officeDocument/2006/relationships/hyperlink" Target="https://www.usnews.com/opinion/articles/2016-09-07/education-secretary-john-king-is-politicizing-federal-funding-for-schools" TargetMode="External"/><Relationship Id="rId28" Type="http://schemas.openxmlformats.org/officeDocument/2006/relationships/hyperlink" Target="https://www.brookings.edu/research/to-empower-state-and-local-leaders-esea-reauthorization-should-include-competitive-grants/" TargetMode="External"/><Relationship Id="rId36" Type="http://schemas.openxmlformats.org/officeDocument/2006/relationships/fontTable" Target="fontTable.xml"/><Relationship Id="rId10" Type="http://schemas.openxmlformats.org/officeDocument/2006/relationships/hyperlink" Target="https://teach.com/blog/competitive-grants-for-career-and-technical-education/" TargetMode="External"/><Relationship Id="rId19" Type="http://schemas.openxmlformats.org/officeDocument/2006/relationships/hyperlink" Target="https://www.everycrsreport.com/reports/R41355.html" TargetMode="External"/><Relationship Id="rId31" Type="http://schemas.openxmlformats.org/officeDocument/2006/relationships/hyperlink" Target="https://cef.org/advocacy/presidents-2018-budget/" TargetMode="External"/><Relationship Id="rId4" Type="http://schemas.openxmlformats.org/officeDocument/2006/relationships/settings" Target="settings.xml"/><Relationship Id="rId9" Type="http://schemas.openxmlformats.org/officeDocument/2006/relationships/hyperlink" Target="http://educationdidactique.revues.org/334" TargetMode="External"/><Relationship Id="rId14" Type="http://schemas.openxmlformats.org/officeDocument/2006/relationships/hyperlink" Target="http://educationdidactique.revues.org/334" TargetMode="External"/><Relationship Id="rId22" Type="http://schemas.openxmlformats.org/officeDocument/2006/relationships/hyperlink" Target="https://www.everycrsreport.com/reports/R41355.html" TargetMode="External"/><Relationship Id="rId27" Type="http://schemas.openxmlformats.org/officeDocument/2006/relationships/hyperlink" Target="http://educationdidactique.revues.org/334" TargetMode="External"/><Relationship Id="rId30" Type="http://schemas.openxmlformats.org/officeDocument/2006/relationships/hyperlink" Target="https://storage.googleapis.com/cbma/downloads/Research_Summary_Closing_the_School_Discipline_Gap-1.pdf)/ET" TargetMode="External"/><Relationship Id="rId35" Type="http://schemas.openxmlformats.org/officeDocument/2006/relationships/hyperlink" Target="http://journals.sagepub.com.proxy.lib.umich.edu/doi/pdf/10.1177/1070496511405153)/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A85F8-77CA-4175-955D-25499A7E0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67182</Words>
  <Characters>382939</Characters>
  <Application>Microsoft Office Word</Application>
  <DocSecurity>0</DocSecurity>
  <Lines>3191</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4</cp:revision>
  <dcterms:created xsi:type="dcterms:W3CDTF">2017-07-19T00:56:00Z</dcterms:created>
  <dcterms:modified xsi:type="dcterms:W3CDTF">2017-07-19T00:59:00Z</dcterms:modified>
</cp:coreProperties>
</file>