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A95652" w:rsidP="00B55AD5"/>
    <w:p w:rsidR="00500558" w:rsidRDefault="00500558" w:rsidP="00500558">
      <w:pPr>
        <w:pStyle w:val="Heading3"/>
      </w:pPr>
      <w:r>
        <w:t>AT: Court Clog</w:t>
      </w:r>
    </w:p>
    <w:p w:rsidR="00500558" w:rsidRDefault="00500558" w:rsidP="00500558"/>
    <w:p w:rsidR="00500558" w:rsidRDefault="00500558" w:rsidP="00500558">
      <w:pPr>
        <w:pStyle w:val="Heading4"/>
      </w:pPr>
      <w:r w:rsidRPr="00EE314F">
        <w:t xml:space="preserve">Even if court clog exists opening up the floodgates is the wrong solution </w:t>
      </w:r>
    </w:p>
    <w:p w:rsidR="00500558" w:rsidRPr="000271AC" w:rsidRDefault="00500558" w:rsidP="00500558"/>
    <w:p w:rsidR="00500558" w:rsidRPr="00EE314F" w:rsidRDefault="00500558" w:rsidP="00500558">
      <w:r w:rsidRPr="006D77C7">
        <w:rPr>
          <w:rStyle w:val="Style13ptBold"/>
        </w:rPr>
        <w:t>Stern, 03</w:t>
      </w:r>
      <w:r>
        <w:t xml:space="preserve"> –  J.D. Candidate, 2004, University of Pennsylvania Law School; B.A., 2001, The Johns Hopkins University. (Toby J., “FEDERAL JUDGES AND FEARING THE "FLOODGATES OF LITIGATION," UPenn Journal of Law, 2004, </w:t>
      </w:r>
      <w:hyperlink r:id="rId6" w:history="1">
        <w:r w:rsidRPr="004929B8">
          <w:rPr>
            <w:rStyle w:val="Hyperlink"/>
          </w:rPr>
          <w:t>https://www.law.upenn.edu/journals/conlaw/articles/volume6/issue2/Stern6U.Pa.J.Const.L.377(2003).pdf)</w:t>
        </w:r>
      </w:hyperlink>
      <w:r>
        <w:t xml:space="preserve"> //DK</w:t>
      </w:r>
    </w:p>
    <w:p w:rsidR="00500558" w:rsidRPr="00EE314F" w:rsidRDefault="00500558" w:rsidP="00500558">
      <w:pPr>
        <w:rPr>
          <w:rStyle w:val="StyleUnderline"/>
        </w:rPr>
      </w:pPr>
      <w:r w:rsidRPr="00003B71">
        <w:t xml:space="preserve">Judge </w:t>
      </w:r>
      <w:r w:rsidRPr="00003B71">
        <w:rPr>
          <w:rStyle w:val="StyleUnderline"/>
        </w:rPr>
        <w:t>Posner undoubtedly was correct in noting that the question</w:t>
      </w:r>
      <w:r>
        <w:rPr>
          <w:rStyle w:val="StyleUnderline"/>
        </w:rPr>
        <w:t xml:space="preserve"> </w:t>
      </w:r>
      <w:r w:rsidRPr="00003B71">
        <w:rPr>
          <w:rStyle w:val="StyleUnderline"/>
        </w:rPr>
        <w:t>of whether judges should consider caseload when deciding cases is</w:t>
      </w:r>
      <w:r>
        <w:rPr>
          <w:rStyle w:val="StyleUnderline"/>
        </w:rPr>
        <w:t xml:space="preserve"> </w:t>
      </w:r>
      <w:r w:rsidRPr="00003B71">
        <w:rPr>
          <w:rStyle w:val="StyleUnderline"/>
        </w:rPr>
        <w:t>of some moment" because of the high caseload levels in the federal</w:t>
      </w:r>
      <w:r>
        <w:rPr>
          <w:rStyle w:val="StyleUnderline"/>
        </w:rPr>
        <w:t xml:space="preserve"> </w:t>
      </w:r>
      <w:r w:rsidRPr="00003B71">
        <w:rPr>
          <w:rStyle w:val="StyleUnderline"/>
        </w:rPr>
        <w:t>courts.</w:t>
      </w:r>
      <w:r w:rsidRPr="00003B71">
        <w:t>00 In arguing that the "floodgates of litigation" argument has</w:t>
      </w:r>
      <w:r>
        <w:t xml:space="preserve"> </w:t>
      </w:r>
      <w:r w:rsidRPr="00003B71">
        <w:t>few valid uses, I have not ignored the fact that the federal courts are</w:t>
      </w:r>
      <w:r>
        <w:t xml:space="preserve"> </w:t>
      </w:r>
      <w:r w:rsidRPr="00003B71">
        <w:t xml:space="preserve">quite busy. Nonetheless, </w:t>
      </w:r>
      <w:r w:rsidRPr="00003B71">
        <w:rPr>
          <w:rStyle w:val="StyleUnderline"/>
        </w:rPr>
        <w:t>I have tried to create a compelling case</w:t>
      </w:r>
      <w:r>
        <w:rPr>
          <w:rStyle w:val="StyleUnderline"/>
        </w:rPr>
        <w:t xml:space="preserve"> </w:t>
      </w:r>
      <w:r w:rsidRPr="00003B71">
        <w:rPr>
          <w:rStyle w:val="StyleUnderline"/>
        </w:rPr>
        <w:t>against using the fear of the floodgates of litigation</w:t>
      </w:r>
      <w:r w:rsidRPr="00003B71">
        <w:t xml:space="preserve"> in judicial opinions</w:t>
      </w:r>
      <w:r>
        <w:t xml:space="preserve"> </w:t>
      </w:r>
      <w:r w:rsidRPr="00003B71">
        <w:t xml:space="preserve">as a remedy for the caseload problem. </w:t>
      </w:r>
      <w:r w:rsidRPr="00003B71">
        <w:rPr>
          <w:rStyle w:val="StyleUnderline"/>
        </w:rPr>
        <w:t>The argument is too</w:t>
      </w:r>
      <w:r>
        <w:rPr>
          <w:rStyle w:val="StyleUnderline"/>
        </w:rPr>
        <w:t xml:space="preserve"> </w:t>
      </w:r>
      <w:r w:rsidRPr="00003B71">
        <w:rPr>
          <w:rStyle w:val="StyleUnderline"/>
        </w:rPr>
        <w:t>flawed to continue to be used in the judicial opinions of the federal</w:t>
      </w:r>
      <w:r>
        <w:rPr>
          <w:rStyle w:val="StyleUnderline"/>
        </w:rPr>
        <w:t xml:space="preserve"> </w:t>
      </w:r>
      <w:r w:rsidRPr="00003B71">
        <w:rPr>
          <w:rStyle w:val="StyleUnderline"/>
        </w:rPr>
        <w:t xml:space="preserve">courts. </w:t>
      </w:r>
      <w:r w:rsidRPr="00003B71">
        <w:t xml:space="preserve">The </w:t>
      </w:r>
      <w:r w:rsidRPr="00003B71">
        <w:rPr>
          <w:rStyle w:val="Emphasis"/>
        </w:rPr>
        <w:t>pragmatic uncertainties</w:t>
      </w:r>
      <w:r w:rsidRPr="00003B71">
        <w:t xml:space="preserve"> and </w:t>
      </w:r>
      <w:r w:rsidRPr="00003B71">
        <w:rPr>
          <w:rStyle w:val="Emphasis"/>
        </w:rPr>
        <w:t>inconsistencies</w:t>
      </w:r>
      <w:r w:rsidRPr="00003B71">
        <w:t xml:space="preserve">,3 0 0 </w:t>
      </w:r>
      <w:r w:rsidRPr="00003B71">
        <w:rPr>
          <w:rStyle w:val="Emphasis"/>
        </w:rPr>
        <w:t>separation</w:t>
      </w:r>
      <w:r>
        <w:rPr>
          <w:rStyle w:val="Emphasis"/>
        </w:rPr>
        <w:t xml:space="preserve"> </w:t>
      </w:r>
      <w:r w:rsidRPr="00003B71">
        <w:rPr>
          <w:rStyle w:val="Emphasis"/>
        </w:rPr>
        <w:t>of powers problems</w:t>
      </w:r>
      <w:r w:rsidRPr="00003B71">
        <w:t xml:space="preserve">,30 ' </w:t>
      </w:r>
      <w:r w:rsidRPr="00003B71">
        <w:rPr>
          <w:rStyle w:val="Emphasis"/>
        </w:rPr>
        <w:t xml:space="preserve">and shaky </w:t>
      </w:r>
      <w:r w:rsidRPr="00003B71">
        <w:t xml:space="preserve">(and in most cases, absent) </w:t>
      </w:r>
      <w:r w:rsidRPr="00003B71">
        <w:rPr>
          <w:rStyle w:val="Emphasis"/>
        </w:rPr>
        <w:t>statutory</w:t>
      </w:r>
      <w:r>
        <w:rPr>
          <w:rStyle w:val="Emphasis"/>
        </w:rPr>
        <w:t xml:space="preserve"> </w:t>
      </w:r>
      <w:r w:rsidRPr="00003B71">
        <w:rPr>
          <w:rStyle w:val="Emphasis"/>
        </w:rPr>
        <w:t>basiss</w:t>
      </w:r>
      <w:r w:rsidRPr="00003B71">
        <w:t>°</w:t>
      </w:r>
      <w:r>
        <w:t xml:space="preserve"> </w:t>
      </w:r>
      <w:r w:rsidRPr="00EE314F">
        <w:rPr>
          <w:rStyle w:val="StyleUnderline"/>
        </w:rPr>
        <w:t>' combine to outweigh any beneficial effect the argument might</w:t>
      </w:r>
      <w:r>
        <w:rPr>
          <w:rStyle w:val="StyleUnderline"/>
        </w:rPr>
        <w:t xml:space="preserve"> </w:t>
      </w:r>
      <w:r w:rsidRPr="00EE314F">
        <w:rPr>
          <w:rStyle w:val="StyleUnderline"/>
        </w:rPr>
        <w:t>have.</w:t>
      </w:r>
    </w:p>
    <w:p w:rsidR="00500558" w:rsidRDefault="00500558" w:rsidP="00500558">
      <w:pPr>
        <w:pStyle w:val="Heading4"/>
      </w:pPr>
      <w:r>
        <w:t>No impact or link to court clog</w:t>
      </w:r>
    </w:p>
    <w:p w:rsidR="00500558" w:rsidRPr="000271AC" w:rsidRDefault="00500558" w:rsidP="00500558"/>
    <w:p w:rsidR="00500558" w:rsidRPr="0004158F" w:rsidRDefault="00500558" w:rsidP="00500558">
      <w:r w:rsidRPr="006D77C7">
        <w:rPr>
          <w:rStyle w:val="Style13ptBold"/>
        </w:rPr>
        <w:t>Stern, 03</w:t>
      </w:r>
      <w:r>
        <w:t xml:space="preserve"> –  J.D. Candidate, 2004, University of Pennsylvania Law School; B.A., 2001, The Johns Hopkins University. (Toby J., “FEDERAL JUDGES AND FEARING THE "FLOODGATES OF LITIGATION," UPenn Journal of Law, 2004, </w:t>
      </w:r>
      <w:hyperlink r:id="rId7" w:history="1">
        <w:r w:rsidRPr="004929B8">
          <w:rPr>
            <w:rStyle w:val="Hyperlink"/>
          </w:rPr>
          <w:t>https://www.law.upenn.edu/journals/conlaw/articles/volume6/issue2/Stern6U.Pa.J.Const.L.377(2003).pdf)</w:t>
        </w:r>
      </w:hyperlink>
      <w:r>
        <w:t xml:space="preserve"> //DK</w:t>
      </w:r>
    </w:p>
    <w:p w:rsidR="00500558" w:rsidRDefault="00500558" w:rsidP="00500558">
      <w:pPr>
        <w:rPr>
          <w:rStyle w:val="StyleUnderline"/>
        </w:rPr>
      </w:pPr>
      <w:r w:rsidRPr="00003B71">
        <w:rPr>
          <w:sz w:val="16"/>
        </w:rPr>
        <w:t xml:space="preserve">For nearly two hundred years, </w:t>
      </w:r>
      <w:r w:rsidRPr="006D77C7">
        <w:rPr>
          <w:rStyle w:val="StyleUnderline"/>
        </w:rPr>
        <w:t>judges in the United States have</w:t>
      </w:r>
      <w:r>
        <w:rPr>
          <w:rStyle w:val="StyleUnderline"/>
        </w:rPr>
        <w:t xml:space="preserve"> </w:t>
      </w:r>
      <w:r w:rsidRPr="006D77C7">
        <w:rPr>
          <w:rStyle w:val="StyleUnderline"/>
        </w:rPr>
        <w:t>expressed a desire to avoid opening the "floodgates of litigation"</w:t>
      </w:r>
      <w:r>
        <w:rPr>
          <w:rStyle w:val="StyleUnderline"/>
        </w:rPr>
        <w:t xml:space="preserve"> </w:t>
      </w:r>
      <w:r w:rsidRPr="00003B71">
        <w:rPr>
          <w:sz w:val="16"/>
        </w:rPr>
        <w:t xml:space="preserve">upon the court system.2 Although in many cases unfounded,' the argument has persisted and judges frecjuently invoke it today, including those on our nation's highest Court. </w:t>
      </w:r>
      <w:r w:rsidRPr="006D77C7">
        <w:rPr>
          <w:rStyle w:val="StyleUnderline"/>
        </w:rPr>
        <w:t>Given the high caseloads in the</w:t>
      </w:r>
      <w:r>
        <w:rPr>
          <w:rStyle w:val="StyleUnderline"/>
        </w:rPr>
        <w:t xml:space="preserve"> </w:t>
      </w:r>
      <w:r w:rsidRPr="006D77C7">
        <w:rPr>
          <w:rStyle w:val="StyleUnderline"/>
        </w:rPr>
        <w:t>federal courts today,5 the fear of "opening the floodgates" is especially</w:t>
      </w:r>
      <w:r>
        <w:rPr>
          <w:rStyle w:val="StyleUnderline"/>
        </w:rPr>
        <w:t xml:space="preserve"> </w:t>
      </w:r>
      <w:r w:rsidRPr="006D77C7">
        <w:rPr>
          <w:rStyle w:val="StyleUnderline"/>
        </w:rPr>
        <w:t>understandable.</w:t>
      </w:r>
      <w:r>
        <w:rPr>
          <w:rStyle w:val="StyleUnderline"/>
        </w:rPr>
        <w:t xml:space="preserve"> </w:t>
      </w:r>
      <w:r w:rsidRPr="00003B71">
        <w:rPr>
          <w:sz w:val="16"/>
        </w:rPr>
        <w:t xml:space="preserve">This Comment answers Judge Posner's aforementioned question in the negative. Although rising caseloads have had negative effects on the judicial craft,7 I argue that </w:t>
      </w:r>
      <w:r w:rsidRPr="006D77C7">
        <w:rPr>
          <w:rStyle w:val="StyleUnderline"/>
        </w:rPr>
        <w:t>in almost all situations, the fear of</w:t>
      </w:r>
      <w:r>
        <w:rPr>
          <w:rStyle w:val="StyleUnderline"/>
        </w:rPr>
        <w:t xml:space="preserve"> </w:t>
      </w:r>
      <w:r w:rsidRPr="006D77C7">
        <w:rPr>
          <w:rStyle w:val="StyleUnderline"/>
        </w:rPr>
        <w:t>increased litigation is not a valid judicial argument.</w:t>
      </w:r>
      <w:r w:rsidRPr="00003B71">
        <w:rPr>
          <w:sz w:val="16"/>
        </w:rPr>
        <w:t xml:space="preserve"> </w:t>
      </w:r>
      <w:r w:rsidRPr="006D77C7">
        <w:rPr>
          <w:rStyle w:val="StyleUnderline"/>
        </w:rPr>
        <w:t>The thesis is</w:t>
      </w:r>
      <w:r>
        <w:rPr>
          <w:rStyle w:val="StyleUnderline"/>
        </w:rPr>
        <w:t xml:space="preserve"> </w:t>
      </w:r>
      <w:r w:rsidRPr="006D77C7">
        <w:rPr>
          <w:rStyle w:val="StyleUnderline"/>
        </w:rPr>
        <w:t>simple: in most situations, the floodgates argument is inappropriate.</w:t>
      </w:r>
      <w:r>
        <w:rPr>
          <w:rStyle w:val="StyleUnderline"/>
        </w:rPr>
        <w:t xml:space="preserve"> </w:t>
      </w:r>
      <w:r w:rsidRPr="00003B71">
        <w:rPr>
          <w:sz w:val="16"/>
        </w:rPr>
        <w:t xml:space="preserve">This proposition is </w:t>
      </w:r>
      <w:r w:rsidRPr="00003B71">
        <w:rPr>
          <w:rStyle w:val="StyleUnderline"/>
        </w:rPr>
        <w:t>based on the limitations found in Article III of the</w:t>
      </w:r>
      <w:r>
        <w:rPr>
          <w:rStyle w:val="StyleUnderline"/>
        </w:rPr>
        <w:t xml:space="preserve"> </w:t>
      </w:r>
      <w:r w:rsidRPr="00003B71">
        <w:rPr>
          <w:rStyle w:val="StyleUnderline"/>
        </w:rPr>
        <w:t>Constitution and considerations of the proper role of the judiciary</w:t>
      </w:r>
      <w:r>
        <w:rPr>
          <w:rStyle w:val="StyleUnderline"/>
        </w:rPr>
        <w:t xml:space="preserve"> </w:t>
      </w:r>
      <w:r w:rsidRPr="00003B71">
        <w:rPr>
          <w:rStyle w:val="StyleUnderline"/>
        </w:rPr>
        <w:t>vis-a-vis the other branches of government."</w:t>
      </w:r>
    </w:p>
    <w:p w:rsidR="00500558" w:rsidRDefault="00500558" w:rsidP="00500558">
      <w:pPr>
        <w:pStyle w:val="Heading4"/>
      </w:pPr>
      <w:r>
        <w:t xml:space="preserve">The impact is non-uq but increased caseload has not undermined the courts </w:t>
      </w:r>
    </w:p>
    <w:p w:rsidR="00500558" w:rsidRPr="000271AC" w:rsidRDefault="00500558" w:rsidP="00500558"/>
    <w:p w:rsidR="00500558" w:rsidRPr="008975C9" w:rsidRDefault="00500558" w:rsidP="00500558">
      <w:r w:rsidRPr="008975C9">
        <w:rPr>
          <w:rStyle w:val="Style13ptBold"/>
        </w:rPr>
        <w:t>Williams, 6/20</w:t>
      </w:r>
      <w:r>
        <w:t xml:space="preserve"> – Partner at Baker bot, h</w:t>
      </w:r>
      <w:r w:rsidRPr="008975C9">
        <w:t>as over fifteen years of experience as a creative advocate and pr</w:t>
      </w:r>
      <w:r>
        <w:t xml:space="preserve">actical advisor to his clients, </w:t>
      </w:r>
      <w:r w:rsidRPr="008975C9">
        <w:t>extensive experience with disputed Intellectual Property matters, in federal courts throughout the country and in the Patent Trial and Appeal Board of th</w:t>
      </w:r>
      <w:r>
        <w:t xml:space="preserve">e United States Patent Office. (Eliot D., </w:t>
      </w:r>
      <w:r w:rsidRPr="008975C9">
        <w:t xml:space="preserve">"Federal Circuit Faces Explosion </w:t>
      </w:r>
      <w:r>
        <w:t>of PTAB Appeals," Lexology</w:t>
      </w:r>
      <w:r w:rsidRPr="008975C9">
        <w:t>, http://www.lexology.com/library/detail.aspx?g=b2a92d7c-11c2-4df2-83df-fe973534dcfa</w:t>
      </w:r>
      <w:r>
        <w:t>)//DK</w:t>
      </w:r>
    </w:p>
    <w:p w:rsidR="00500558" w:rsidRPr="008975C9" w:rsidRDefault="00500558" w:rsidP="00500558">
      <w:pPr>
        <w:rPr>
          <w:sz w:val="16"/>
        </w:rPr>
      </w:pPr>
      <w:r w:rsidRPr="008975C9">
        <w:rPr>
          <w:sz w:val="16"/>
        </w:rPr>
        <w:t xml:space="preserve">Appeals from Patent Trial and Appeal Board decisions have flooded the docket of the Court of Appeals for the Federal Circuit (CAFC) in the last few years, substantially altering the makeup of that court’s docket. Based on publicly available docket data, the number of appeals from the Patent and Trademark Office (PTO) pending at the CAFC has exploded from just over 100 in 2013 (when the first PTAB Trials under the America Invents Act were still winding their way through the PTAB) to over 630 PTO appeals pending as of May 2017. Over that same period, PTO appeals have gone from 11% of the CAFC’s docket, to over 40%. In contrast, </w:t>
      </w:r>
      <w:r w:rsidRPr="008975C9">
        <w:rPr>
          <w:rStyle w:val="StyleUnderline"/>
        </w:rPr>
        <w:t>appeals from the district courts have dropped from 44% of the CAFC’s docket to under 35%.</w:t>
      </w:r>
      <w:r>
        <w:rPr>
          <w:rStyle w:val="StyleUnderline"/>
        </w:rPr>
        <w:t xml:space="preserve"> </w:t>
      </w:r>
      <w:r w:rsidRPr="008975C9">
        <w:rPr>
          <w:sz w:val="16"/>
        </w:rPr>
        <w:t xml:space="preserve">As the graph indicates, </w:t>
      </w:r>
      <w:r w:rsidRPr="008975C9">
        <w:rPr>
          <w:rStyle w:val="StyleUnderline"/>
        </w:rPr>
        <w:t>this dramatic increase in appeals from PTO proceedings has not been offset by a substantial decrease in district court appeals.</w:t>
      </w:r>
      <w:r w:rsidRPr="008975C9">
        <w:rPr>
          <w:sz w:val="16"/>
        </w:rPr>
        <w:t xml:space="preserve"> As a result, the number of total cases pending at the CAFC has increased over 50% from May 2013 to May 2017. </w:t>
      </w:r>
      <w:r w:rsidRPr="008975C9">
        <w:rPr>
          <w:rStyle w:val="StyleUnderline"/>
        </w:rPr>
        <w:t>This change to the CAFC’s caseload has already had an obvious impact on the court. In particular, the court recently began expanding its argument calendar to six days of argument per month,</w:t>
      </w:r>
      <w:r w:rsidRPr="008975C9">
        <w:rPr>
          <w:sz w:val="16"/>
        </w:rPr>
        <w:t xml:space="preserve"> rather than the traditional five days, permitting additional cases to be calendared for argument. </w:t>
      </w:r>
      <w:r w:rsidRPr="008975C9">
        <w:rPr>
          <w:rStyle w:val="Emphasis"/>
        </w:rPr>
        <w:t>So far, the change to the court’s caseload has not substantially impacted the court’s time to resolution statistics</w:t>
      </w:r>
      <w:r w:rsidRPr="008975C9">
        <w:rPr>
          <w:sz w:val="16"/>
        </w:rPr>
        <w:t>. However, assuming this situation persists, it would not be surprising to see a lengthening of case pendency times.</w:t>
      </w:r>
    </w:p>
    <w:p w:rsidR="00500558" w:rsidRDefault="00500558" w:rsidP="00500558">
      <w:pPr>
        <w:pStyle w:val="Heading4"/>
      </w:pPr>
      <w:r>
        <w:t>Thumper- Immigration cases are clogging the courts.</w:t>
      </w:r>
    </w:p>
    <w:p w:rsidR="00500558" w:rsidRPr="000271AC" w:rsidRDefault="00500558" w:rsidP="00500558"/>
    <w:p w:rsidR="00500558" w:rsidRDefault="00500558" w:rsidP="00500558">
      <w:r w:rsidRPr="00E64B25">
        <w:rPr>
          <w:rStyle w:val="Style13ptBold"/>
        </w:rPr>
        <w:t>Casselman et al 17</w:t>
      </w:r>
      <w:r>
        <w:t xml:space="preserve"> (Kathryn Casteel, Ben Casselman and Anna Maria Barry-Jester, Kathryn Casteel writes about economics and policy issues for FiveThirtyEight. Ben Casselman is a senior editor and the chief economics writer for FiveThirtyEight. Anna Maria Barry-Jester reports on public health, food and culture for FiveThirtyEight., 5-19-2017, "Trumpbeat: Immigration Arrests Are Swamping The Court System", FiveThirtyEight, https://fivethirtyeight.com/features/trumpbeat-immigration-arrests-are-swamping-the-court-system/, accessed 7-11-2017)//DirtyFors (lund)</w:t>
      </w:r>
    </w:p>
    <w:p w:rsidR="00500558" w:rsidRDefault="00500558" w:rsidP="00500558">
      <w:pPr>
        <w:rPr>
          <w:rStyle w:val="StyleUnderline"/>
        </w:rPr>
      </w:pPr>
      <w:r w:rsidRPr="00E64B25">
        <w:rPr>
          <w:rStyle w:val="Emphasis"/>
        </w:rPr>
        <w:t>Immigration: Adding to the backlog</w:t>
      </w:r>
      <w:r>
        <w:rPr>
          <w:rStyle w:val="Emphasis"/>
        </w:rPr>
        <w:t xml:space="preserve"> </w:t>
      </w:r>
      <w:r>
        <w:t xml:space="preserve">Trump’s agenda may have gotten off to a slow start in Congress, but his administration has moved quickly in another area: immigration enforcement. Immigration arrests during Trump’s first 100 days were up 37.6 percent from the same period a year ago, </w:t>
      </w:r>
      <w:r w:rsidRPr="00E64B25">
        <w:rPr>
          <w:rStyle w:val="StyleUnderline"/>
        </w:rPr>
        <w:t>according to a report released this week by Immigration and Customs Enforcement. Roughly 75 percent of those arrested had been convicted of non-immigration offenses, but approximately 10,800 were noncriminal arrests, up more than 150 percent percent from 2016.</w:t>
      </w:r>
      <w:r>
        <w:rPr>
          <w:rStyle w:val="StyleUnderline"/>
        </w:rPr>
        <w:t xml:space="preserve"> </w:t>
      </w:r>
      <w:r>
        <w:t xml:space="preserve">Trump hasn’t just vowed to arrest undocumented immigrants, however. He has promised to deport them. And that could be a </w:t>
      </w:r>
      <w:r w:rsidRPr="00E64B25">
        <w:rPr>
          <w:rStyle w:val="StyleUnderline"/>
        </w:rPr>
        <w:t xml:space="preserve">challenge: The big increase in noncriminal arrests could create frenzy in </w:t>
      </w:r>
      <w:r w:rsidRPr="00E64B25">
        <w:rPr>
          <w:rStyle w:val="Emphasis"/>
        </w:rPr>
        <w:t xml:space="preserve">immigration courts </w:t>
      </w:r>
      <w:r w:rsidRPr="00E64B25">
        <w:rPr>
          <w:rStyle w:val="StyleUnderline"/>
        </w:rPr>
        <w:t>that are already</w:t>
      </w:r>
      <w:r w:rsidRPr="00E64B25">
        <w:rPr>
          <w:rStyle w:val="Emphasis"/>
        </w:rPr>
        <w:t xml:space="preserve"> overloaded with cases</w:t>
      </w:r>
      <w:r>
        <w:t>. “On one hand the administration is saying they have these priorities and they’re going on the worst of the worst,” said Joshua Breisblatt, a policy analyst at the American Immigration Council. “</w:t>
      </w:r>
      <w:r w:rsidRPr="00E64B25">
        <w:rPr>
          <w:rStyle w:val="StyleUnderline"/>
        </w:rPr>
        <w:t>When they came out with these executive orders, all they actually did was make everybody a priority.”</w:t>
      </w:r>
      <w:r>
        <w:rPr>
          <w:rStyle w:val="StyleUnderline"/>
        </w:rPr>
        <w:t xml:space="preserve"> </w:t>
      </w:r>
      <w:r w:rsidRPr="00E64B25">
        <w:rPr>
          <w:rStyle w:val="StyleUnderline"/>
        </w:rPr>
        <w:t xml:space="preserve">When Trump took office, he inherited an immigration court system with a backlog of more than </w:t>
      </w:r>
      <w:r w:rsidRPr="00E64B25">
        <w:rPr>
          <w:rStyle w:val="Emphasis"/>
        </w:rPr>
        <w:t>half a million pending cases</w:t>
      </w:r>
      <w:r w:rsidRPr="00E64B25">
        <w:rPr>
          <w:rStyle w:val="StyleUnderline"/>
        </w:rPr>
        <w:t>,</w:t>
      </w:r>
      <w:r>
        <w:t xml:space="preserve"> with proceedings often taking years to be completed. </w:t>
      </w:r>
      <w:r w:rsidRPr="00E64B25">
        <w:rPr>
          <w:rStyle w:val="StyleUnderline"/>
        </w:rPr>
        <w:t>The situation has gotten worse since Trump took office</w:t>
      </w:r>
      <w:r>
        <w:t xml:space="preserve">: </w:t>
      </w:r>
      <w:r w:rsidRPr="00E64B25">
        <w:rPr>
          <w:rStyle w:val="StyleUnderline"/>
        </w:rPr>
        <w:t xml:space="preserve">As of April, the backlog had grown to </w:t>
      </w:r>
      <w:r w:rsidRPr="00E64B25">
        <w:rPr>
          <w:rStyle w:val="Emphasis"/>
        </w:rPr>
        <w:t>585,930 cases</w:t>
      </w:r>
      <w:r>
        <w:t xml:space="preserve">, according to the Transactional Records Access Clearinghouse at Syracuse University. But the problem is nothing new: </w:t>
      </w:r>
      <w:r w:rsidRPr="00E64B25">
        <w:rPr>
          <w:rStyle w:val="StyleUnderline"/>
        </w:rPr>
        <w:t>The lack of judges to oversee the rapid increase of immigration cases has been an issue for over a decade.</w:t>
      </w:r>
      <w:r>
        <w:t xml:space="preserve"> According to the Executive Office for Immigration Review, there are currently 318 immigration judges serving nationwide out of the 374 positions authorized by Congress. In March, Trump requested an increase of nearly $80 million in his budget for the Department of Justice to hire 75 additional immigration judge teams. However, last year Human Rights First, a nonprofit advocacy organization, estimated that </w:t>
      </w:r>
      <w:r w:rsidRPr="00E64B25">
        <w:rPr>
          <w:rStyle w:val="StyleUnderline"/>
        </w:rPr>
        <w:t>the court needs 524 judges to work through the backlog of cases.</w:t>
      </w:r>
    </w:p>
    <w:p w:rsidR="00500558" w:rsidRPr="00E17173" w:rsidRDefault="00500558" w:rsidP="00500558"/>
    <w:p w:rsidR="00500558" w:rsidRPr="00B55AD5" w:rsidRDefault="00500558" w:rsidP="00B55AD5">
      <w:bookmarkStart w:id="0" w:name="_GoBack"/>
      <w:bookmarkEnd w:id="0"/>
    </w:p>
    <w:sectPr w:rsidR="00500558"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Forslund"/>
    <w:docVar w:name="RibbonPointer" w:val="150407768"/>
    <w:docVar w:name="VerbatimVersion" w:val="5.1"/>
  </w:docVars>
  <w:rsids>
    <w:rsidRoot w:val="0050055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0558"/>
    <w:rsid w:val="00537BD5"/>
    <w:rsid w:val="0057268A"/>
    <w:rsid w:val="005D2912"/>
    <w:rsid w:val="006065BD"/>
    <w:rsid w:val="00645FA9"/>
    <w:rsid w:val="00647866"/>
    <w:rsid w:val="00665003"/>
    <w:rsid w:val="006A2AD0"/>
    <w:rsid w:val="006C2375"/>
    <w:rsid w:val="006D4ECC"/>
    <w:rsid w:val="00722258"/>
    <w:rsid w:val="007243E5"/>
    <w:rsid w:val="00766EA0"/>
    <w:rsid w:val="00772933"/>
    <w:rsid w:val="007A2226"/>
    <w:rsid w:val="007E3419"/>
    <w:rsid w:val="007F5B66"/>
    <w:rsid w:val="00823A1C"/>
    <w:rsid w:val="00845B9D"/>
    <w:rsid w:val="00860984"/>
    <w:rsid w:val="008B3ECB"/>
    <w:rsid w:val="008B4E85"/>
    <w:rsid w:val="008C1B2E"/>
    <w:rsid w:val="0091627E"/>
    <w:rsid w:val="0097032B"/>
    <w:rsid w:val="009D2EAD"/>
    <w:rsid w:val="009D54B2"/>
    <w:rsid w:val="009E1922"/>
    <w:rsid w:val="009F57F4"/>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E20D8"/>
  <w15:docId w15:val="{782CC7A4-820F-4953-ACEB-01BBFCA55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500558"/>
    <w:rPr>
      <w:rFonts w:ascii="Arial" w:hAnsi="Arial" w:cs="Arial"/>
    </w:rPr>
  </w:style>
  <w:style w:type="paragraph" w:styleId="Heading1">
    <w:name w:val="heading 1"/>
    <w:aliases w:val="Pocket"/>
    <w:basedOn w:val="Normal"/>
    <w:next w:val="Normal"/>
    <w:link w:val="Heading1Char"/>
    <w:qFormat/>
    <w:rsid w:val="005005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05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005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
    <w:basedOn w:val="Normal"/>
    <w:next w:val="Normal"/>
    <w:link w:val="Heading4Char"/>
    <w:uiPriority w:val="3"/>
    <w:unhideWhenUsed/>
    <w:qFormat/>
    <w:rsid w:val="005005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0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0558"/>
  </w:style>
  <w:style w:type="character" w:customStyle="1" w:styleId="Heading1Char">
    <w:name w:val="Heading 1 Char"/>
    <w:aliases w:val="Pocket Char"/>
    <w:basedOn w:val="DefaultParagraphFont"/>
    <w:link w:val="Heading1"/>
    <w:rsid w:val="0050055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00558"/>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50055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500558"/>
    <w:rPr>
      <w:rFonts w:ascii="Arial" w:eastAsiaTheme="majorEastAsia" w:hAnsi="Arial"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7"/>
    <w:qFormat/>
    <w:rsid w:val="0050055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0558"/>
    <w:rPr>
      <w:b/>
      <w:bCs/>
      <w:sz w:val="26"/>
      <w:u w:val="none"/>
    </w:rPr>
  </w:style>
  <w:style w:type="character" w:customStyle="1" w:styleId="StyleUnderline">
    <w:name w:val="Style Underline"/>
    <w:aliases w:val="Underline,no Char,cit,8.,Intense Emphasis21,ci,Citation Char Char Char,Underline Char,Minimized Char,Heading 3 Char Char Char Char Char,Bo,Style Bold Underline,apple-style-span + 6 pt,Kern at 16 pt,Bold,Intense Emphasis11"/>
    <w:basedOn w:val="DefaultParagraphFont"/>
    <w:uiPriority w:val="6"/>
    <w:qFormat/>
    <w:rsid w:val="00500558"/>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
    <w:basedOn w:val="DefaultParagraphFont"/>
    <w:uiPriority w:val="99"/>
    <w:unhideWhenUsed/>
    <w:rsid w:val="00500558"/>
    <w:rPr>
      <w:color w:val="auto"/>
      <w:u w:val="none"/>
    </w:rPr>
  </w:style>
  <w:style w:type="character" w:styleId="FollowedHyperlink">
    <w:name w:val="FollowedHyperlink"/>
    <w:basedOn w:val="DefaultParagraphFont"/>
    <w:uiPriority w:val="99"/>
    <w:semiHidden/>
    <w:unhideWhenUsed/>
    <w:rsid w:val="00500558"/>
    <w:rPr>
      <w:color w:val="auto"/>
      <w:u w:val="none"/>
    </w:rPr>
  </w:style>
  <w:style w:type="paragraph" w:customStyle="1" w:styleId="textbold">
    <w:name w:val="text bold"/>
    <w:basedOn w:val="Normal"/>
    <w:link w:val="Emphasis"/>
    <w:uiPriority w:val="7"/>
    <w:qFormat/>
    <w:rsid w:val="00500558"/>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aw.upenn.edu/journals/conlaw/articles/volume6/issue2/Stern6U.Pa.J.Const.L.377(2003).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aw.upenn.edu/journals/conlaw/articles/volume6/issue2/Stern6U.Pa.J.Const.L.377(2003).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1A7BB-5ACC-470A-B564-E8133D989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1</cp:revision>
  <dcterms:created xsi:type="dcterms:W3CDTF">2017-07-20T13:35:00Z</dcterms:created>
  <dcterms:modified xsi:type="dcterms:W3CDTF">2017-07-20T13:44:00Z</dcterms:modified>
</cp:coreProperties>
</file>