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FA68C9" w:rsidRDefault="00830BAC" w:rsidP="007B1A82">
      <w:pPr>
        <w:pStyle w:val="Heading1"/>
        <w:rPr>
          <w:rFonts w:cs="Arial"/>
        </w:rPr>
      </w:pPr>
      <w:bookmarkStart w:id="0" w:name="_GoBack"/>
      <w:bookmarkEnd w:id="0"/>
      <w:r>
        <w:rPr>
          <w:rFonts w:cs="Arial"/>
        </w:rPr>
        <w:t xml:space="preserve">cultural </w:t>
      </w:r>
      <w:proofErr w:type="spellStart"/>
      <w:r w:rsidR="007B1A82" w:rsidRPr="00FA68C9">
        <w:rPr>
          <w:rFonts w:cs="Arial"/>
        </w:rPr>
        <w:t>neg</w:t>
      </w:r>
      <w:proofErr w:type="spellEnd"/>
      <w:r w:rsidR="007B1A82" w:rsidRPr="00FA68C9">
        <w:rPr>
          <w:rFonts w:cs="Arial"/>
        </w:rPr>
        <w:t xml:space="preserve"> supplement – EER lab</w:t>
      </w:r>
    </w:p>
    <w:p w:rsidR="007B1A82" w:rsidRPr="00FA68C9" w:rsidRDefault="007B1A82" w:rsidP="007B1A82">
      <w:pPr>
        <w:pStyle w:val="Heading2"/>
        <w:rPr>
          <w:rFonts w:cs="Arial"/>
        </w:rPr>
      </w:pPr>
    </w:p>
    <w:p w:rsidR="00164D27" w:rsidRPr="00FA68C9" w:rsidRDefault="00164D27" w:rsidP="00164D27">
      <w:pPr>
        <w:pStyle w:val="Heading2"/>
        <w:rPr>
          <w:rFonts w:cs="Arial"/>
        </w:rPr>
      </w:pPr>
      <w:r w:rsidRPr="00FA68C9">
        <w:rPr>
          <w:rFonts w:cs="Arial"/>
        </w:rPr>
        <w:t xml:space="preserve">states </w:t>
      </w:r>
      <w:proofErr w:type="spellStart"/>
      <w:r w:rsidRPr="00FA68C9">
        <w:rPr>
          <w:rFonts w:cs="Arial"/>
        </w:rPr>
        <w:t>cp</w:t>
      </w:r>
      <w:proofErr w:type="spellEnd"/>
    </w:p>
    <w:p w:rsidR="00164D27" w:rsidRPr="00FA68C9" w:rsidRDefault="00164D27" w:rsidP="000A2BB6">
      <w:pPr>
        <w:pStyle w:val="Heading3"/>
        <w:rPr>
          <w:rFonts w:cs="Arial"/>
        </w:rPr>
      </w:pPr>
      <w:r w:rsidRPr="00FA68C9">
        <w:rPr>
          <w:rFonts w:cs="Arial"/>
        </w:rPr>
        <w:t xml:space="preserve">2nc </w:t>
      </w:r>
      <w:r w:rsidR="000A2BB6" w:rsidRPr="00FA68C9">
        <w:rPr>
          <w:rFonts w:cs="Arial"/>
        </w:rPr>
        <w:t>uniform state standards are</w:t>
      </w:r>
      <w:r w:rsidRPr="00FA68C9">
        <w:rPr>
          <w:rFonts w:cs="Arial"/>
        </w:rPr>
        <w:t xml:space="preserve"> legit</w:t>
      </w:r>
    </w:p>
    <w:p w:rsidR="00164D27" w:rsidRPr="00FA68C9" w:rsidRDefault="00164D27" w:rsidP="00164D27"/>
    <w:p w:rsidR="00164D27" w:rsidRPr="00FA68C9" w:rsidRDefault="00164D27" w:rsidP="000A2BB6">
      <w:pPr>
        <w:pStyle w:val="Heading4"/>
        <w:rPr>
          <w:rFonts w:cs="Arial"/>
        </w:rPr>
      </w:pPr>
      <w:r w:rsidRPr="00FA68C9">
        <w:rPr>
          <w:rFonts w:cs="Arial"/>
        </w:rPr>
        <w:t xml:space="preserve">States can act uniformly, common core standards prove </w:t>
      </w:r>
    </w:p>
    <w:p w:rsidR="00164D27" w:rsidRPr="00FA68C9" w:rsidRDefault="00164D27" w:rsidP="000A2BB6">
      <w:pPr>
        <w:rPr>
          <w:rStyle w:val="Style13ptBold"/>
        </w:rPr>
      </w:pPr>
      <w:proofErr w:type="spellStart"/>
      <w:r w:rsidRPr="00FA68C9">
        <w:rPr>
          <w:rStyle w:val="Style13ptBold"/>
        </w:rPr>
        <w:t>Koebler</w:t>
      </w:r>
      <w:proofErr w:type="spellEnd"/>
      <w:r w:rsidRPr="00FA68C9">
        <w:rPr>
          <w:rStyle w:val="Style13ptBold"/>
        </w:rPr>
        <w:t xml:space="preserve"> ‘11 </w:t>
      </w:r>
    </w:p>
    <w:p w:rsidR="00164D27" w:rsidRPr="00FA68C9" w:rsidRDefault="00164D27" w:rsidP="00164D27">
      <w:proofErr w:type="spellStart"/>
      <w:r w:rsidRPr="00FA68C9">
        <w:t>Koebler</w:t>
      </w:r>
      <w:proofErr w:type="spellEnd"/>
      <w:r w:rsidRPr="00FA68C9">
        <w:t xml:space="preserve">, senior staff writer, motherboard, vice, science and technology writer, ‘11(Jason, </w:t>
      </w:r>
      <w:proofErr w:type="spellStart"/>
      <w:r w:rsidRPr="00FA68C9">
        <w:t>Usnews</w:t>
      </w:r>
      <w:proofErr w:type="spellEnd"/>
      <w:r w:rsidRPr="00FA68C9">
        <w:t xml:space="preserve">, “Boys and girls clubs provide support for military children”, November 11, 2011, </w:t>
      </w:r>
      <w:hyperlink r:id="rId6" w:history="1">
        <w:r w:rsidR="000A2BB6" w:rsidRPr="00FA68C9">
          <w:rPr>
            <w:rStyle w:val="Hyperlink"/>
          </w:rPr>
          <w:t>https://www.usnews.com/education/blogs/high-school-notes/2011/11/11/boys--girls-clubs-provide-support-for-military-children</w:t>
        </w:r>
      </w:hyperlink>
      <w:r w:rsidRPr="00FA68C9">
        <w:t>)</w:t>
      </w:r>
    </w:p>
    <w:p w:rsidR="000A2BB6" w:rsidRPr="00FA68C9" w:rsidRDefault="000A2BB6" w:rsidP="00164D27"/>
    <w:p w:rsidR="000A2BB6" w:rsidRPr="00FA68C9" w:rsidRDefault="00164D27" w:rsidP="00164D27">
      <w:pPr>
        <w:rPr>
          <w:rStyle w:val="StyleUnderline"/>
        </w:rPr>
      </w:pPr>
      <w:r w:rsidRPr="00FA68C9">
        <w:rPr>
          <w:rStyle w:val="StyleUnderline"/>
        </w:rPr>
        <w:t>By the end of the year, some 40,000 American troops will return from Iraq as the United States pulls out of the war. While the homecoming will reunite families, students and parents often face an adjustment period.</w:t>
      </w:r>
    </w:p>
    <w:p w:rsidR="000A2BB6" w:rsidRPr="00FA68C9" w:rsidRDefault="00164D27" w:rsidP="00164D27">
      <w:r w:rsidRPr="00FA68C9">
        <w:t>An April study by the global think tank RAND Corp. found that students who had at least one parent deployed between 2002 and 2008 scored lower on reading tests than students who had both parents at home.</w:t>
      </w:r>
    </w:p>
    <w:p w:rsidR="000A2BB6" w:rsidRPr="00FA68C9" w:rsidRDefault="00164D27" w:rsidP="00164D27">
      <w:r w:rsidRPr="00FA68C9">
        <w:rPr>
          <w:rStyle w:val="StyleUnderline"/>
        </w:rPr>
        <w:t>Life can be tough even for military children whose parents never saw combat: The average military child will attend between six and nine schools</w:t>
      </w:r>
      <w:r w:rsidRPr="00FA68C9">
        <w:t xml:space="preserve">, </w:t>
      </w:r>
      <w:r w:rsidRPr="00FA68C9">
        <w:rPr>
          <w:rStyle w:val="StyleUnderline"/>
        </w:rPr>
        <w:t>according to the Council for State Governments, an organization that helps facilitate interstate compacts.</w:t>
      </w:r>
      <w:r w:rsidRPr="00FA68C9">
        <w:t xml:space="preserve"> The most important thing, experts say, is helping students keep continuity between moves.</w:t>
      </w:r>
    </w:p>
    <w:p w:rsidR="000A2BB6" w:rsidRPr="00FA68C9" w:rsidRDefault="00164D27" w:rsidP="00164D27">
      <w:r w:rsidRPr="00FA68C9">
        <w:t>"If your kid is struggling, it's important to recognize it early and get convoys of support around," says Mary Keller, president of the Military Child Education Coalition, a nonprofit focused on improving education for military children. "Make sure your child is engaged and in a healthy activity; make sure that child does not isolate themselves."</w:t>
      </w:r>
    </w:p>
    <w:p w:rsidR="000A2BB6" w:rsidRPr="00FA68C9" w:rsidRDefault="00164D27" w:rsidP="00164D27">
      <w:pPr>
        <w:rPr>
          <w:rStyle w:val="StyleUnderline"/>
        </w:rPr>
      </w:pPr>
      <w:r w:rsidRPr="00FA68C9">
        <w:rPr>
          <w:rStyle w:val="StyleUnderline"/>
        </w:rPr>
        <w:t>For 20 years</w:t>
      </w:r>
      <w:r w:rsidRPr="00FA68C9">
        <w:t>, Boys &amp; Girls Clubs of America (</w:t>
      </w:r>
      <w:r w:rsidRPr="00FA68C9">
        <w:rPr>
          <w:rStyle w:val="StyleUnderline"/>
        </w:rPr>
        <w:t>BGCA</w:t>
      </w:r>
      <w:r w:rsidRPr="00FA68C9">
        <w:t xml:space="preserve">), </w:t>
      </w:r>
      <w:r w:rsidRPr="00FA68C9">
        <w:rPr>
          <w:rStyle w:val="StyleUnderline"/>
        </w:rPr>
        <w:t>the country's largest youth organization, has provided a supportive community for military children</w:t>
      </w:r>
      <w:r w:rsidRPr="00FA68C9">
        <w:t xml:space="preserve">. In 1991, BGCA partnered with the Department of Defense to serve the military families who live on the 387 U.S. military bases, in addition to members of BGCA's more than 1,200 clubs in the United States. Overall, </w:t>
      </w:r>
      <w:r w:rsidRPr="00FA68C9">
        <w:rPr>
          <w:rStyle w:val="StyleUnderline"/>
        </w:rPr>
        <w:t>the organization serves nearly 500,000 military children annually.</w:t>
      </w:r>
    </w:p>
    <w:p w:rsidR="000A2BB6" w:rsidRPr="00FA68C9" w:rsidRDefault="00164D27" w:rsidP="00164D27">
      <w:r w:rsidRPr="00FA68C9">
        <w:t>[Learn about a Boys &amp; Girls Clubs campaign promoting high school graduation.]</w:t>
      </w:r>
    </w:p>
    <w:p w:rsidR="000A2BB6" w:rsidRPr="00FA68C9" w:rsidRDefault="00164D27" w:rsidP="00164D27">
      <w:r w:rsidRPr="00FA68C9">
        <w:t>"Many military youth show post-traumatic stress disorder [and] increased anxiety," says Terrill Wicks, the BGCA's vice president of military services and international projects. Wicks ran the organization's youth center at Guantanamo Bay. She says mentors at the clubs are specially trained to deal with the unique challenges military families face.</w:t>
      </w:r>
    </w:p>
    <w:p w:rsidR="000A2BB6" w:rsidRPr="00FA68C9" w:rsidRDefault="00164D27" w:rsidP="00164D27">
      <w:r w:rsidRPr="00FA68C9">
        <w:rPr>
          <w:rStyle w:val="StyleUnderline"/>
        </w:rPr>
        <w:t>When students move during high school, lining up credits for graduation can be tough because standards vary by state</w:t>
      </w:r>
      <w:r w:rsidRPr="00FA68C9">
        <w:t>. In many Boys &amp; Girls clubs, extra summer or after-school credit is offered so that students can graduate on time.</w:t>
      </w:r>
    </w:p>
    <w:p w:rsidR="000A2BB6" w:rsidRPr="00FA68C9" w:rsidRDefault="00164D27" w:rsidP="00164D27">
      <w:r w:rsidRPr="00FA68C9">
        <w:t xml:space="preserve">"It happens so often that legislation has been put in place in some states," Wicks says. "If a student is a military child, [high schools] will accept out-of-state credits." </w:t>
      </w:r>
      <w:r w:rsidRPr="00FA68C9">
        <w:rPr>
          <w:rStyle w:val="Emphasis"/>
        </w:rPr>
        <w:t>Common Core State Standards adopted by 45 states</w:t>
      </w:r>
      <w:r w:rsidRPr="00FA68C9">
        <w:t xml:space="preserve"> </w:t>
      </w:r>
      <w:r w:rsidRPr="00FA68C9">
        <w:rPr>
          <w:rStyle w:val="StyleUnderline"/>
        </w:rPr>
        <w:t>should ease this problem in the coming years</w:t>
      </w:r>
      <w:r w:rsidRPr="00FA68C9">
        <w:t>, according to a report by America's Promise Alliance, an organization focused on improving education for at-risk youth.</w:t>
      </w:r>
    </w:p>
    <w:p w:rsidR="000A2BB6" w:rsidRPr="00FA68C9" w:rsidRDefault="00164D27" w:rsidP="00164D27">
      <w:r w:rsidRPr="00FA68C9">
        <w:t>[Learn about the Alliance's list of states with the best communities for children.]</w:t>
      </w:r>
    </w:p>
    <w:p w:rsidR="000A2BB6" w:rsidRPr="00FA68C9" w:rsidRDefault="00164D27" w:rsidP="00164D27">
      <w:r w:rsidRPr="00FA68C9">
        <w:t>At BGCA's traditional clubs in America, children of military families are given "the opportunity to not be reminded daily that they are a military kid," Wicks says.</w:t>
      </w:r>
    </w:p>
    <w:p w:rsidR="000A2BB6" w:rsidRPr="00FA68C9" w:rsidRDefault="00164D27" w:rsidP="00164D27">
      <w:r w:rsidRPr="00FA68C9">
        <w:t xml:space="preserve">For parents, the clubs can be a lifesaver. Dawn </w:t>
      </w:r>
      <w:proofErr w:type="spellStart"/>
      <w:r w:rsidRPr="00FA68C9">
        <w:t>Durette</w:t>
      </w:r>
      <w:proofErr w:type="spellEnd"/>
      <w:r w:rsidRPr="00FA68C9">
        <w:t>, of Bel Air, Md., says BGCA's programs for her three young children allowed her to work while her husband was stationed in Afghanistan.</w:t>
      </w:r>
    </w:p>
    <w:p w:rsidR="000A2BB6" w:rsidRPr="00FA68C9" w:rsidRDefault="00164D27" w:rsidP="00164D27">
      <w:r w:rsidRPr="00FA68C9">
        <w:t>"It was a huge relief to have some place they could go where I know they were safe and taken care of," she says.</w:t>
      </w:r>
    </w:p>
    <w:p w:rsidR="00164D27" w:rsidRPr="00FA68C9" w:rsidRDefault="00164D27" w:rsidP="00164D27">
      <w:r w:rsidRPr="00FA68C9">
        <w:t xml:space="preserve">Students who attend the clubs agree. Rio </w:t>
      </w:r>
      <w:proofErr w:type="spellStart"/>
      <w:r w:rsidRPr="00FA68C9">
        <w:t>Shaune</w:t>
      </w:r>
      <w:proofErr w:type="spellEnd"/>
      <w:r w:rsidRPr="00FA68C9">
        <w:t xml:space="preserve"> Harris, who lives on a base in </w:t>
      </w:r>
      <w:proofErr w:type="spellStart"/>
      <w:r w:rsidRPr="00FA68C9">
        <w:t>Vogelweh</w:t>
      </w:r>
      <w:proofErr w:type="spellEnd"/>
      <w:r w:rsidRPr="00FA68C9">
        <w:t>, Germany, wrote on the BGCA website that the club was a place she could go to "be surrounded by people who I can relate to: other military children."</w:t>
      </w:r>
    </w:p>
    <w:p w:rsidR="00164D27" w:rsidRPr="00FA68C9" w:rsidRDefault="00164D27" w:rsidP="00164D27"/>
    <w:p w:rsidR="000A2BB6" w:rsidRPr="00FA68C9" w:rsidRDefault="000A2BB6" w:rsidP="000A2BB6">
      <w:pPr>
        <w:pStyle w:val="Heading4"/>
        <w:rPr>
          <w:rFonts w:cs="Arial"/>
        </w:rPr>
      </w:pPr>
      <w:r w:rsidRPr="00FA68C9">
        <w:rPr>
          <w:rFonts w:cs="Arial"/>
        </w:rPr>
        <w:t xml:space="preserve">States act uniformly on common core standards </w:t>
      </w:r>
    </w:p>
    <w:p w:rsidR="000A2BB6" w:rsidRPr="00FA68C9" w:rsidRDefault="000A2BB6" w:rsidP="000A2BB6">
      <w:pPr>
        <w:rPr>
          <w:rStyle w:val="Style13ptBold"/>
        </w:rPr>
      </w:pPr>
      <w:r w:rsidRPr="00FA68C9">
        <w:rPr>
          <w:rStyle w:val="Style13ptBold"/>
        </w:rPr>
        <w:t>Paulson ‘10</w:t>
      </w:r>
    </w:p>
    <w:p w:rsidR="000A2BB6" w:rsidRPr="00FA68C9" w:rsidRDefault="000A2BB6" w:rsidP="000A2BB6">
      <w:r w:rsidRPr="00FA68C9">
        <w:t>Paulson, staff writer, 2010(Amanda, The Christian science monitor, “Uniform education standards: Momentum grows as more states sign on”, July 26, 2010, https://www.csmonitor.com/USA/Education/2010/0726/Uniform-education-standards-Momentum-grows-as-more-states-sign-on)</w:t>
      </w:r>
    </w:p>
    <w:p w:rsidR="000A2BB6" w:rsidRPr="00FA68C9" w:rsidRDefault="000A2BB6" w:rsidP="000A2BB6">
      <w:r w:rsidRPr="00FA68C9">
        <w:t>Most developed countries have one: a national set of education standards for students. The United States has long been the exception, letting the states set their own bars – some high, some low – for student achievement.</w:t>
      </w:r>
    </w:p>
    <w:p w:rsidR="000A2BB6" w:rsidRPr="00FA68C9" w:rsidRDefault="000A2BB6" w:rsidP="000A2BB6">
      <w:r w:rsidRPr="00FA68C9">
        <w:t>But the US looks to be on the verge of change, and, somewhat surprisingly, states themselves are leading the way toward a uniform measurement.</w:t>
      </w:r>
    </w:p>
    <w:p w:rsidR="000A2BB6" w:rsidRPr="00FA68C9" w:rsidRDefault="000A2BB6" w:rsidP="000A2BB6">
      <w:r w:rsidRPr="00FA68C9">
        <w:t>Twenty-eight states and the District of Columbia have signed on to the so-called Common Core standards, which were released in the spring. Several more were poised to do so by early August. Some 40 states are likely to have signed on by next spring.</w:t>
      </w:r>
    </w:p>
    <w:p w:rsidR="000A2BB6" w:rsidRPr="00FA68C9" w:rsidRDefault="000A2BB6" w:rsidP="000A2BB6">
      <w:r w:rsidRPr="00FA68C9">
        <w:t>The rush to acceptance has surpassed the wildest hopes of many education reformers, even as it alarms those who see common standards as usurping local control and a bad idea. Others caution that approval means little unless a state is committed to investing in the reforms.</w:t>
      </w:r>
    </w:p>
    <w:p w:rsidR="00130E81" w:rsidRPr="00FA68C9" w:rsidRDefault="00130E81" w:rsidP="00130E81">
      <w:r w:rsidRPr="00FA68C9">
        <w:t>"I worry that too many people get the notion that this feat, impressive as it is, represents some kind of huge accomplishment, where it's really just the one-mile marker in a 26-mile marathon," says Frederick Hess, a scholar at the American Enterprise Institute. "I worry that there's not going to be the follow-through or commitment or patience to make sure that the reform delivers on its potential."</w:t>
      </w:r>
    </w:p>
    <w:p w:rsidR="00130E81" w:rsidRPr="00FA68C9" w:rsidRDefault="00130E81" w:rsidP="00130E81">
      <w:r w:rsidRPr="00FA68C9">
        <w:t>The hope for the new standards, in a nutshell, is this: that the US will have a clear set of guidelines for what all students should know and when they should know it; that the standards are logical, rigorous, and build on prior learning; and that they are tied to the knowledge high school graduates need to be ready for college or a career.</w:t>
      </w:r>
    </w:p>
    <w:p w:rsidR="00130E81" w:rsidRPr="00FA68C9" w:rsidRDefault="00130E81" w:rsidP="00130E81">
      <w:r w:rsidRPr="00FA68C9">
        <w:t>Having a uniform standard would mean that students who move across state lines would experience less disruption in what they're taught, and that states could collaborate on developing tests and textbooks, say advocates of the change.</w:t>
      </w:r>
    </w:p>
    <w:p w:rsidR="00130E81" w:rsidRPr="00FA68C9" w:rsidRDefault="00130E81" w:rsidP="00130E81">
      <w:r w:rsidRPr="00FA68C9">
        <w:t xml:space="preserve">"It makes so much sense for us not to have to reinvent the wheel in every state," says Keith </w:t>
      </w:r>
      <w:proofErr w:type="spellStart"/>
      <w:r w:rsidRPr="00FA68C9">
        <w:t>Gayler</w:t>
      </w:r>
      <w:proofErr w:type="spellEnd"/>
      <w:r w:rsidRPr="00FA68C9">
        <w:t>, director of standards for the Council of Chief State School Officers, which led the Common Core effort along with the National Governors Association. "I feel like these are the skills [identified in the Common Core standards] that really are what students need."</w:t>
      </w:r>
    </w:p>
    <w:p w:rsidR="00130E81" w:rsidRPr="00FA68C9" w:rsidRDefault="00130E81" w:rsidP="00130E81">
      <w:r w:rsidRPr="00FA68C9">
        <w:t>Not everyone agrees. Libertarians see it as a move toward "federal" standards (a claim disputed by those involved in the state-led effort) and an intrusion into local autonomy – a charge reinforced by the fact that states competing for some of the billions in federal Race to the Top grants must adopt the Common Core standards by Aug. 2.</w:t>
      </w:r>
    </w:p>
    <w:p w:rsidR="00130E81" w:rsidRPr="00FA68C9" w:rsidRDefault="00130E81" w:rsidP="00130E81">
      <w:r w:rsidRPr="00FA68C9">
        <w:t>Several critics say, too, that the proposed standards are not an improvement.</w:t>
      </w:r>
    </w:p>
    <w:p w:rsidR="00130E81" w:rsidRPr="00FA68C9" w:rsidRDefault="00130E81" w:rsidP="00130E81">
      <w:r w:rsidRPr="00FA68C9">
        <w:t>The math standards "distort the curriculum in a way I think is inappropriate," says Joseph Rosenstein, a math professor at Rutgers University in New Jersey who fought his state's adoption of the standards. "They're weaker than the current New Jersey standards and move in directions that are not so great."</w:t>
      </w:r>
    </w:p>
    <w:p w:rsidR="00130E81" w:rsidRPr="00FA68C9" w:rsidRDefault="00130E81" w:rsidP="00130E81">
      <w:r w:rsidRPr="00FA68C9">
        <w:t>Debate has been even more heated in California and Massachusetts, where existing standards are already rigorous. Massachusetts also has an impressive record of boosting student achievement.</w:t>
      </w:r>
    </w:p>
    <w:p w:rsidR="00130E81" w:rsidRPr="00FA68C9" w:rsidRDefault="00130E81" w:rsidP="00130E81">
      <w:r w:rsidRPr="00FA68C9">
        <w:t xml:space="preserve">Massachusetts "may continue to do well on the lower national standard, but it will still be a lower-quality standard of assessment," says Jamie </w:t>
      </w:r>
      <w:proofErr w:type="spellStart"/>
      <w:r w:rsidRPr="00FA68C9">
        <w:t>Gass</w:t>
      </w:r>
      <w:proofErr w:type="spellEnd"/>
      <w:r w:rsidRPr="00FA68C9">
        <w:t xml:space="preserve"> of the Center for School Reform at the Pioneer Institute in Boston. He opposed Massachusetts' decision July 21 to adopt the Common Core standards, calling them "a race to the middle."</w:t>
      </w:r>
    </w:p>
    <w:p w:rsidR="00130E81" w:rsidRPr="00FA68C9" w:rsidRDefault="00130E81" w:rsidP="00130E81">
      <w:r w:rsidRPr="00FA68C9">
        <w:t>A new study, however, came to a different conclusion. The Thomas B. Fordham Institute graded the standards in all 50 states and found that the Common Core standards – to which it gave an 'A-minus' in math and a 'B-</w:t>
      </w:r>
      <w:proofErr w:type="spellStart"/>
      <w:r w:rsidRPr="00FA68C9">
        <w:t>plus'</w:t>
      </w:r>
      <w:proofErr w:type="spellEnd"/>
      <w:r w:rsidRPr="00FA68C9">
        <w:t xml:space="preserve"> in English – were often superior. Just two states and the District of Columbia scored higher in English. For both math and English, 11 states (plus Washington, D.C.) had standards about on par with Common Core's.</w:t>
      </w:r>
    </w:p>
    <w:p w:rsidR="00130E81" w:rsidRPr="00FA68C9" w:rsidRDefault="00130E81" w:rsidP="00130E81">
      <w:r w:rsidRPr="00FA68C9">
        <w:t>In states where it's a close call as to which is better, Common Core may offer some long-term advantages such as joint development of tests – which is already under way – and teacher training, says Chester Finn, president of the institute and an advocate of national standards. States are free to augment the common standards with about 15 percent of their own material, he notes – a "Common Core Plus" model that seems to be where California is headed.</w:t>
      </w:r>
    </w:p>
    <w:p w:rsidR="00130E81" w:rsidRPr="00FA68C9" w:rsidRDefault="00130E81" w:rsidP="00130E81">
      <w:r w:rsidRPr="00FA68C9">
        <w:t>Even the fiercest advocates agree that adopting the standards is the easiest step toward real change. What needs to follow are new tests, better teacher training and professional development, new curricula and materials, and a system that holds students and schools accountable, they say.</w:t>
      </w:r>
    </w:p>
    <w:p w:rsidR="00130E81" w:rsidRPr="00FA68C9" w:rsidRDefault="00130E81" w:rsidP="00130E81">
      <w:r w:rsidRPr="00FA68C9">
        <w:t>"I don't think anyone is adopting these thinking that it's the last step," says Michael Cohen, president of Achieve, which helped develop the standards.</w:t>
      </w:r>
    </w:p>
    <w:p w:rsidR="00130E81" w:rsidRPr="00FA68C9" w:rsidRDefault="00130E81" w:rsidP="00130E81">
      <w:r w:rsidRPr="00FA68C9">
        <w:t>He is optimistic, saying states seem to have the will to see this through. Others are skeptical, noting that strapped budgets and decreased enthusiasm – especially for states that don't win coveted Race to the Top funds – may cause many states to make only superficial change.</w:t>
      </w:r>
    </w:p>
    <w:p w:rsidR="00130E81" w:rsidRPr="00FA68C9" w:rsidRDefault="00130E81" w:rsidP="00130E81">
      <w:r w:rsidRPr="00FA68C9">
        <w:t>"This is a textbook example of how to [roll out a big reform]," says Mr. Hess. "But if you look over the last 40 or 50 years of education reform,... our track record has been pretty dismal."</w:t>
      </w:r>
    </w:p>
    <w:p w:rsidR="000A2BB6" w:rsidRPr="00FA68C9" w:rsidRDefault="000A2BB6" w:rsidP="00164D27"/>
    <w:p w:rsidR="000A2BB6" w:rsidRPr="00FA68C9" w:rsidRDefault="000A2BB6" w:rsidP="00164D27"/>
    <w:p w:rsidR="00164D27" w:rsidRPr="00FA68C9" w:rsidRDefault="000A2BB6" w:rsidP="000A2BB6">
      <w:pPr>
        <w:pStyle w:val="Heading3"/>
        <w:rPr>
          <w:rFonts w:cs="Arial"/>
        </w:rPr>
      </w:pPr>
      <w:r w:rsidRPr="00FA68C9">
        <w:rPr>
          <w:rFonts w:cs="Arial"/>
        </w:rPr>
        <w:t>2nc solvency</w:t>
      </w:r>
    </w:p>
    <w:p w:rsidR="000A2BB6" w:rsidRPr="00FA68C9" w:rsidRDefault="000A2BB6" w:rsidP="000A2BB6"/>
    <w:p w:rsidR="000A2BB6" w:rsidRPr="00FA68C9" w:rsidRDefault="000A2BB6" w:rsidP="000A2BB6">
      <w:pPr>
        <w:pStyle w:val="Heading4"/>
        <w:rPr>
          <w:rFonts w:cs="Arial"/>
        </w:rPr>
      </w:pPr>
      <w:r w:rsidRPr="00FA68C9">
        <w:rPr>
          <w:rFonts w:cs="Arial"/>
        </w:rPr>
        <w:t xml:space="preserve">Education is better left in state control </w:t>
      </w:r>
    </w:p>
    <w:p w:rsidR="000A2BB6" w:rsidRPr="00FA68C9" w:rsidRDefault="000A2BB6" w:rsidP="000A2BB6">
      <w:pPr>
        <w:rPr>
          <w:rStyle w:val="Style13ptBold"/>
        </w:rPr>
      </w:pPr>
      <w:r w:rsidRPr="00FA68C9">
        <w:rPr>
          <w:rStyle w:val="Style13ptBold"/>
        </w:rPr>
        <w:t>Schilling ‘17</w:t>
      </w:r>
    </w:p>
    <w:p w:rsidR="000A2BB6" w:rsidRPr="00FA68C9" w:rsidRDefault="000A2BB6" w:rsidP="000A2BB6">
      <w:pPr>
        <w:rPr>
          <w:color w:val="000000"/>
        </w:rPr>
      </w:pPr>
      <w:proofErr w:type="spellStart"/>
      <w:r w:rsidRPr="00FA68C9">
        <w:t>Schiling</w:t>
      </w:r>
      <w:proofErr w:type="spellEnd"/>
      <w:r w:rsidRPr="00FA68C9">
        <w:t>, partner, TPG capital, ‘2017(John, national review, “</w:t>
      </w:r>
      <w:r w:rsidRPr="00FA68C9">
        <w:rPr>
          <w:color w:val="000000"/>
        </w:rPr>
        <w:t xml:space="preserve">Dear Education-Reform Advocates: Go Big and Bold on School Choice”, </w:t>
      </w:r>
      <w:proofErr w:type="spellStart"/>
      <w:r w:rsidRPr="00FA68C9">
        <w:rPr>
          <w:color w:val="000000"/>
        </w:rPr>
        <w:t>july</w:t>
      </w:r>
      <w:proofErr w:type="spellEnd"/>
      <w:r w:rsidRPr="00FA68C9">
        <w:rPr>
          <w:color w:val="000000"/>
        </w:rPr>
        <w:t xml:space="preserve"> 21, 2017, </w:t>
      </w:r>
      <w:hyperlink r:id="rId7" w:history="1">
        <w:r w:rsidRPr="00FA68C9">
          <w:rPr>
            <w:rStyle w:val="Hyperlink"/>
          </w:rPr>
          <w:t>http://www.nationalreview.com/article/449723/school-choice-federal-education-tax-credit-include-private-faith-based-schools</w:t>
        </w:r>
      </w:hyperlink>
      <w:r w:rsidRPr="00FA68C9">
        <w:rPr>
          <w:color w:val="000000"/>
        </w:rPr>
        <w:t>)</w:t>
      </w:r>
    </w:p>
    <w:p w:rsidR="000A2BB6" w:rsidRPr="00FA68C9" w:rsidRDefault="000A2BB6" w:rsidP="000A2BB6">
      <w:r w:rsidRPr="00FA68C9">
        <w:t xml:space="preserve">A defense of the federal education tax credit. My friend Lindsey Burke from the Heritage Foundation is off base regarding a federal education tax credit and the tremendous benefit it could have for millions of children across the country. The fact is, policy papers can’t withstand contact with policymakers. Groups on the ground doing the difficult work of building coalitions to pass legislation, engaging in elections to create and defend school-choice-friendly legislative bodies, and making parents aware of their educational options understand that strict allegiance to the policy paper doesn’t get the job done. The only aim for those of us fighting to expand school choice and supporting a federal education tax credit is to give a lot more children access to the school of their parents’ choice. Millions of struggling low-income and middle-class parents around the country are desperately seeking more and better educational options. These families can’t afford to wait for their neighborhood school to improve or for some larger agenda to be achieved. For them, greater educational choice is an urgent need right now. </w:t>
      </w:r>
      <w:r w:rsidRPr="00FA68C9">
        <w:rPr>
          <w:rStyle w:val="Emphasis"/>
        </w:rPr>
        <w:t>Nobody disputes that K–12 education is a state and local issue.</w:t>
      </w:r>
      <w:r w:rsidRPr="00FA68C9">
        <w:t xml:space="preserve"> However, suggesting that a federal education tax credit is unconstitutional is something we would normally hear from the teachers’ unions that are vehemently opposed to school choice. Saying that it would lather regulations on states and schools or homogenize the private-choice sector is like screaming fire in a crowded theater when there’s no smoke. </w:t>
      </w:r>
      <w:r w:rsidRPr="00FA68C9">
        <w:rPr>
          <w:rStyle w:val="Emphasis"/>
        </w:rPr>
        <w:t>A federal education tax credit would not be a federal program, no matter how anyone tries to spin it</w:t>
      </w:r>
      <w:r w:rsidRPr="00FA68C9">
        <w:t xml:space="preserve">. Education secretary Betsy </w:t>
      </w:r>
      <w:proofErr w:type="spellStart"/>
      <w:r w:rsidRPr="00FA68C9">
        <w:t>DeVos</w:t>
      </w:r>
      <w:proofErr w:type="spellEnd"/>
      <w:r w:rsidRPr="00FA68C9">
        <w:t xml:space="preserve"> has said that the administration has no intention of imposing anything on states — a view the majority in Congress shares — making it clear that the feds won’t be doing any regulating of private schools, which is a state responsibility. In addition, corporate and individual charitable contributions to in-state nonprofits that provide scholarships to children are private money contributed voluntarily by taxpayers who would receive a federal tax credit. U.S. bans citizens from visiting North Korea 00:20 00:57 The suggestion that faith-based schools could not participate in a federal education tax credit is also inaccurate. No school-choice advocate or pro-school-choice policymaker would ever support a proposal that prevented faith-based schools from participating or would require private schools to change how they operate. Any federal education tax credit would absolutely allow faith-based schools to participate, as they do now in every state, through a private-school choice program. These schools are successfully educating millions of children every day. As two decades of research has shown, children participating in a private-choice program — most are in faith-based schools — are graduating and going on to college at much higher rates than do their peers at traditional public schools. Saying that the administration should limit its support for school choice to select groups of children is no better than the Obama administration saying that choice in K–12 education should be limited to public schools. There are children in every part of this country who want and deserve better educational options, and parents should have the power to choose the educational environment that best meets their child’s needs. A well-designed federal education tax credit would empower parents and create educational opportunity for children. It would not, contrary to what Ms. Burke suggests, create a new and regulation-laden federal program. The real battle is between those who oppose choice in education and those who see choice as an essential component of a more innovative and successful 21st-century K–12 model. Full choice and public funding are embraced in higher education and pre-K. Why the continued resistance to full choice in K–12 education? What is public education really about? Why should it matter whether a child is in a traditional public school, private school, magnet school, charter school, home school, or personalized blend of learning environments? Opponents of school choice make wild and unsubstantiated claims that private choice doesn’t work. They tell us that only district-sponsored and heavily regulated charter schools should be allowed to educate kids. We believe that what really matters is giving every child, regardless of income or family circumstance, access to a high-quality education freely chosen by his or her parents. Imagine how the lives of millions more children can be helped by a great education attained through a federal education tax credit. Imagine the economic benefit to our nation from another million children graduating high school and going to college — a result that private-school choice programs have proven they can produce. Imagine an improvement in surrounding public schools as a result of greater choice. The greatest form of local control in education is giving the parents the power to choose the best learning environment for their child. This used to be a universally recognized and supported idea among education reformers. Rather than denounce the opportunity to facilitate an expansion of school choice, reformers should embrace the opportunity to go big and bold.</w:t>
      </w:r>
    </w:p>
    <w:p w:rsidR="000A2BB6" w:rsidRPr="00FA68C9" w:rsidRDefault="000A2BB6" w:rsidP="000A2BB6">
      <w:r w:rsidRPr="00FA68C9">
        <w:t>(this card can also be used for the AFF)</w:t>
      </w:r>
    </w:p>
    <w:p w:rsidR="000A2BB6" w:rsidRPr="00FA68C9" w:rsidRDefault="000A2BB6" w:rsidP="000A2BB6"/>
    <w:p w:rsidR="00164D27" w:rsidRPr="00FA68C9" w:rsidRDefault="00164D27" w:rsidP="00164D27"/>
    <w:p w:rsidR="000A2BB6" w:rsidRPr="00FA68C9" w:rsidRDefault="000A2BB6" w:rsidP="007B1A82">
      <w:pPr>
        <w:pStyle w:val="Heading2"/>
        <w:rPr>
          <w:rFonts w:cs="Arial"/>
        </w:rPr>
      </w:pPr>
    </w:p>
    <w:p w:rsidR="00542A59" w:rsidRPr="00FA68C9" w:rsidRDefault="00542A59" w:rsidP="007B1A82">
      <w:pPr>
        <w:pStyle w:val="Heading2"/>
        <w:rPr>
          <w:rFonts w:cs="Arial"/>
        </w:rPr>
      </w:pPr>
      <w:r w:rsidRPr="00FA68C9">
        <w:rPr>
          <w:rFonts w:cs="Arial"/>
        </w:rPr>
        <w:t>federalism da</w:t>
      </w:r>
    </w:p>
    <w:p w:rsidR="00542A59" w:rsidRPr="00FA68C9" w:rsidRDefault="00542A59" w:rsidP="00542A59">
      <w:pPr>
        <w:pStyle w:val="Heading3"/>
        <w:rPr>
          <w:rFonts w:cs="Arial"/>
        </w:rPr>
      </w:pPr>
      <w:r w:rsidRPr="00FA68C9">
        <w:rPr>
          <w:rFonts w:cs="Arial"/>
        </w:rPr>
        <w:t>at: thumper – sanctuary cities</w:t>
      </w:r>
    </w:p>
    <w:p w:rsidR="00542A59" w:rsidRPr="00FA68C9" w:rsidRDefault="00542A59" w:rsidP="00542A59"/>
    <w:p w:rsidR="00542A59" w:rsidRPr="00FA68C9" w:rsidRDefault="00542A59" w:rsidP="00542A59">
      <w:pPr>
        <w:pStyle w:val="Heading4"/>
        <w:rPr>
          <w:rFonts w:cs="Arial"/>
        </w:rPr>
      </w:pPr>
      <w:r w:rsidRPr="00FA68C9">
        <w:rPr>
          <w:rFonts w:cs="Arial"/>
        </w:rPr>
        <w:t>Trump’s rule on sanctuary cities is constitutional and does not violate Federalism</w:t>
      </w:r>
    </w:p>
    <w:p w:rsidR="00542A59" w:rsidRPr="00FA68C9" w:rsidRDefault="00542A59" w:rsidP="00542A59">
      <w:proofErr w:type="spellStart"/>
      <w:r w:rsidRPr="00FA68C9">
        <w:rPr>
          <w:rStyle w:val="Style13ptBold"/>
        </w:rPr>
        <w:t>Spakovsky</w:t>
      </w:r>
      <w:proofErr w:type="spellEnd"/>
      <w:r w:rsidRPr="00FA68C9">
        <w:rPr>
          <w:rStyle w:val="Style13ptBold"/>
        </w:rPr>
        <w:t xml:space="preserve"> ’17</w:t>
      </w:r>
      <w:r w:rsidRPr="00FA68C9">
        <w:t xml:space="preserve">, US attorney, former member of the Federal Election Committee, manager of the Heritage Foundation's Election Law Reform Initiative and a senior legal fellow in Heritage's Meese Center for Legal and Judicial Studies, and the Presidential Advisory Commission on Election Integrity, B.C. from MIT and J.D. from Vanderbilt University, </w:t>
      </w:r>
      <w:hyperlink r:id="rId8" w:history="1">
        <w:r w:rsidRPr="00FA68C9">
          <w:rPr>
            <w:rStyle w:val="Hyperlink"/>
          </w:rPr>
          <w:t>http://www.heritage.org/immigration/commentary/sanctuary-cities-thats-constitutional-hell-no</w:t>
        </w:r>
      </w:hyperlink>
      <w:r w:rsidRPr="00FA68C9">
        <w:t>, Sanctuary Cities? That's a Constitutional 'Hell No', 4-18-17, KY</w:t>
      </w:r>
    </w:p>
    <w:p w:rsidR="00542A59" w:rsidRPr="00FA68C9" w:rsidRDefault="00542A59" w:rsidP="00542A59">
      <w:pPr>
        <w:rPr>
          <w:sz w:val="16"/>
        </w:rPr>
      </w:pPr>
    </w:p>
    <w:p w:rsidR="00542A59" w:rsidRPr="00FA68C9" w:rsidRDefault="00542A59" w:rsidP="00542A59">
      <w:pPr>
        <w:rPr>
          <w:sz w:val="16"/>
        </w:rPr>
      </w:pPr>
      <w:r w:rsidRPr="00FA68C9">
        <w:rPr>
          <w:sz w:val="16"/>
        </w:rPr>
        <w:t xml:space="preserve">You may not have heard of the “Nullification Crisis” that President Andrew Jackson faced in 1832. But there are many unfortunate similarities between it and what is happening today on immigration. From the unjustified obstruction of immigration law by some activist federal judges to the defiance of the federal government on sanctuary policies by governors and city mayors such as Ed Murray of Seattle, there are some interesting parallels — and lessons. I was reminded of the Nullification Crisis recently on a tour of James Madison’s home, Montpelier, which is close to the University of Virginia in Charlottesville, Virginia. One of the docents related how President Jackson had visited Madison in the midst of his reelection campaign to get his advice. This crisis was about high tariffs which, before the implementation of the income tax in 1913 through the Sixteenth Amendment, was one of the main sources of income for the federal government. High tariff rates were resented throughout the South, particularly in South Carolina. While they benefited manufacturers in the northern states, they hurt the mostly agricultural southern states. Led by John Calhoun, South Carolina and other states asserted that they had the final authority to declare federal laws unconstitutional and thus null and void within their states. While Jackson was a moderate on tariffs and respectful of the rights states retained in our federal system, he was scornful of the nullification theory. He considered it an unconstitutional, “abominable doctrine” that “will dissolve the Union.” In 1832, the nullifiers took control of the South Carolina government and passed the infamous “Ordinance of Nullification.” They expressed the same type of virulent hostility and contempt for (and defiance of) the Jackson administration and the tariff system that we are seeing today towards the Trump administration over enforcement of federal immigration law, including provisions against certain sanctuary policies. Those states and cities are pushing the same concept of nullification of federal law, although they are doing it in federal court. As one would expect of Andrew Jackson, he reacted strongly to this threat from South Carolina, including issuing a Nullification Proclamation on Dec. 10, 1832. Nullification was “incompatible with the existence of the Union, contradicted expressly by the letter of the Constitution, unauthorized by its spirit, inconsistent with every principle on which it was founded, and destructive of the great object for which it was formed,” He wrote. The crisis was resolved by a compromise bill on tariffs that Congress passed in 1833 after passing the Force Bill, which gave the president the power to use state militias and federal forces against the nullifiers. </w:t>
      </w:r>
      <w:r w:rsidRPr="00FA68C9">
        <w:rPr>
          <w:u w:val="single"/>
        </w:rPr>
        <w:t xml:space="preserve">The similarity between these events and what is happening today are eerie. </w:t>
      </w:r>
      <w:r w:rsidRPr="00FA68C9">
        <w:rPr>
          <w:highlight w:val="green"/>
          <w:u w:val="single"/>
        </w:rPr>
        <w:t>While there are many areas</w:t>
      </w:r>
      <w:r w:rsidRPr="00FA68C9">
        <w:rPr>
          <w:u w:val="single"/>
        </w:rPr>
        <w:t xml:space="preserve"> over </w:t>
      </w:r>
      <w:r w:rsidRPr="00FA68C9">
        <w:rPr>
          <w:highlight w:val="green"/>
          <w:u w:val="single"/>
        </w:rPr>
        <w:t>which the states and the federal government share responsibility</w:t>
      </w:r>
      <w:r w:rsidRPr="00FA68C9">
        <w:rPr>
          <w:u w:val="single"/>
        </w:rPr>
        <w:t xml:space="preserve"> — or where the Tenth Amendment gives responsibility to the states — </w:t>
      </w:r>
      <w:r w:rsidRPr="00FA68C9">
        <w:rPr>
          <w:highlight w:val="green"/>
          <w:u w:val="single"/>
        </w:rPr>
        <w:t>immigration is not one of them</w:t>
      </w:r>
      <w:r w:rsidRPr="00FA68C9">
        <w:rPr>
          <w:u w:val="single"/>
        </w:rPr>
        <w:t xml:space="preserve">. </w:t>
      </w:r>
      <w:r w:rsidRPr="00FA68C9">
        <w:rPr>
          <w:highlight w:val="green"/>
          <w:u w:val="single"/>
        </w:rPr>
        <w:t>Section 8 of Article I gives Congress exclusive authority to “establish a uniform Rule of Naturalization,”</w:t>
      </w:r>
      <w:r w:rsidRPr="00FA68C9">
        <w:rPr>
          <w:u w:val="single"/>
        </w:rPr>
        <w:t xml:space="preserve"> just as Section 8 gives Congress the exclusive authority to establish and collect all “Imposts and Excises” or tariffs. </w:t>
      </w:r>
      <w:r w:rsidRPr="00FA68C9">
        <w:rPr>
          <w:highlight w:val="green"/>
          <w:u w:val="single"/>
        </w:rPr>
        <w:t>The states have no authority in these areas</w:t>
      </w:r>
      <w:r w:rsidRPr="00FA68C9">
        <w:rPr>
          <w:u w:val="single"/>
        </w:rPr>
        <w:t xml:space="preserve"> at all. </w:t>
      </w:r>
      <w:r w:rsidRPr="00FA68C9">
        <w:rPr>
          <w:highlight w:val="green"/>
          <w:u w:val="single"/>
        </w:rPr>
        <w:t>They can no more dispute the immigration rules established by Congress</w:t>
      </w:r>
      <w:r w:rsidRPr="00FA68C9">
        <w:rPr>
          <w:u w:val="single"/>
        </w:rPr>
        <w:t xml:space="preserve"> than they could dispute the tariffs imposed by Congress back in 1832. </w:t>
      </w:r>
      <w:r w:rsidRPr="00FA68C9">
        <w:rPr>
          <w:sz w:val="16"/>
        </w:rPr>
        <w:t xml:space="preserve">This makes perfect sense. Any other rule would produce chaos. Think of the enormous problems that would be caused by border states such as Texas or California deciding that they would ignore federal law and apply their own immigration rules to individuals coming across the Mexican border into the United States — or if states decided that they would impose their own tariffs on foreign goods coming into their states in addition to those imposed by the federal government. In fact, it was that kind of behavior that was restricting trade under the Articles of Confederation between states such as Virginia and Maryland that helped lead to the call for a constitutional convention. When it comes to immigration and the entry of aliens into the U.S., Congress delegated to the president the extremely broad authority under 8 U.S.C. §1182 (f) to suspend the entry of any aliens or class of aliens into the U.S. if he believes it “would be detrimental to the interests of the United States.” As five dissenting judges at the Ninth Circuit Court of Appeals recently pointed out, there are a long series of decisions by the U.S. Supreme Court upholding the authority of prior presidents under this provision and severely limiting the ability of the courts to review the president’s decision. Unfortunately, at the urging of certain states, the courts have in large part ignored the Constitution, federal law, and prior precedents. They are instead substituting their judgment for that of the president, and enjoining the president’s executive order by implementing a temporary halt to entry from certain terrorist safe havens. In essence, states such as Hawaii and Washington are turning to activist federal judges to nullify the exclusive authority of the federal government over immigration and the security of our national border — and those judges are complying. The sanctuary policies implemented by cities such as San Francisco and Seattle also seek to nullify federal immigration law and obstruct its enforcement. 8 U.S.C. §1373 prohibits states and local jurisdictions from preventing their law enforcement officials from exchanging information with federal officials on the citizenship status of individuals they have arrested or detained. The Supreme Court upheld this provision in 2012 in Arizona v. United States. Quite appropriately, Attorney General Jeff Sessions has announced that he will not award any discretionary federal grants from the Justice Department to cities that violate §1373. Seattle has filed suit, claiming that the federal government has no right to cut off its access to discretionary funding. The city also makes the meritless claims that its policy does not violate federal immigration law. Sanctuary cities are claiming that Sessions is trying to force them to enforce federal immigration law and that the loss of federal funds would violate the holding in NFIB v. </w:t>
      </w:r>
      <w:proofErr w:type="spellStart"/>
      <w:r w:rsidRPr="00FA68C9">
        <w:rPr>
          <w:sz w:val="16"/>
        </w:rPr>
        <w:t>Sebelius</w:t>
      </w:r>
      <w:proofErr w:type="spellEnd"/>
      <w:r w:rsidRPr="00FA68C9">
        <w:rPr>
          <w:sz w:val="16"/>
        </w:rPr>
        <w:t xml:space="preserve"> (2012). This is the Supreme Court decision that upheld Obamacare but found that the Medicaid portion of Obamacare, which required states to significantly expand their Medicaid coverage or risk losing all Medicaid funding, violated the Spending Clause of the Constitution. The federal government was “commandeering” the states by compelling them to “enact or administer a federal regulatory program.” </w:t>
      </w:r>
      <w:r w:rsidRPr="00FA68C9">
        <w:rPr>
          <w:u w:val="single"/>
        </w:rPr>
        <w:t xml:space="preserve">But </w:t>
      </w:r>
      <w:r w:rsidRPr="00FA68C9">
        <w:rPr>
          <w:highlight w:val="green"/>
          <w:u w:val="single"/>
        </w:rPr>
        <w:t>Sessions</w:t>
      </w:r>
      <w:r w:rsidRPr="00FA68C9">
        <w:rPr>
          <w:u w:val="single"/>
        </w:rPr>
        <w:t xml:space="preserve"> </w:t>
      </w:r>
      <w:r w:rsidRPr="00FA68C9">
        <w:rPr>
          <w:highlight w:val="green"/>
          <w:u w:val="single"/>
        </w:rPr>
        <w:t>is</w:t>
      </w:r>
      <w:r w:rsidRPr="00FA68C9">
        <w:rPr>
          <w:u w:val="single"/>
        </w:rPr>
        <w:t xml:space="preserve"> simply </w:t>
      </w:r>
      <w:r w:rsidRPr="00FA68C9">
        <w:rPr>
          <w:highlight w:val="green"/>
          <w:u w:val="single"/>
        </w:rPr>
        <w:t>trying to get states to not obstruct federal enforcement</w:t>
      </w:r>
      <w:r w:rsidRPr="00FA68C9">
        <w:rPr>
          <w:u w:val="single"/>
        </w:rPr>
        <w:t xml:space="preserve">. </w:t>
      </w:r>
      <w:r w:rsidRPr="00FA68C9">
        <w:rPr>
          <w:highlight w:val="green"/>
          <w:u w:val="single"/>
        </w:rPr>
        <w:t>That includes abiding by the ban contained in Section 1373.</w:t>
      </w:r>
      <w:r w:rsidRPr="00FA68C9">
        <w:rPr>
          <w:u w:val="single"/>
        </w:rPr>
        <w:t xml:space="preserve"> Sanctuary cities are trying to prevent federal officials from finding out about criminal alien murderers, rapists, and other violent criminals that these cities would apparently rather release than have picked up and deported so they cannot further victimize Americans. </w:t>
      </w:r>
      <w:r w:rsidRPr="00FA68C9">
        <w:rPr>
          <w:highlight w:val="green"/>
          <w:u w:val="single"/>
        </w:rPr>
        <w:t>Section 1373 doesn’t force local law enforcement officials to notify federal officials when they detain an illegal alien; It simply says that local governments can’t ban law enforcement officials from doing so.</w:t>
      </w:r>
      <w:r w:rsidRPr="00FA68C9">
        <w:rPr>
          <w:u w:val="single"/>
        </w:rPr>
        <w:t xml:space="preserve"> </w:t>
      </w:r>
      <w:r w:rsidRPr="00FA68C9">
        <w:rPr>
          <w:highlight w:val="green"/>
          <w:u w:val="single"/>
        </w:rPr>
        <w:t>The spurious legal argument that §1373 violates the anti-commandeering principle was raised by the City of New York in a lawsuit against the federal government only 11 days after the provision became federal law.</w:t>
      </w:r>
      <w:r w:rsidRPr="00FA68C9">
        <w:rPr>
          <w:u w:val="single"/>
        </w:rPr>
        <w:t xml:space="preserve"> New York also had a policy in place that forbade city officials from transmitting information on the immigration status of any individual to federal immigration authorities. </w:t>
      </w:r>
      <w:r w:rsidRPr="00FA68C9">
        <w:rPr>
          <w:highlight w:val="green"/>
          <w:u w:val="single"/>
        </w:rPr>
        <w:t>In City of New York v. U.S. (1999), the Second Circuit Court of Appeals threw out the city’s case because the federal law was constitutional and well within congressional authority on immigration.</w:t>
      </w:r>
      <w:r w:rsidRPr="00FA68C9">
        <w:rPr>
          <w:u w:val="single"/>
        </w:rPr>
        <w:t xml:space="preserve"> </w:t>
      </w:r>
      <w:r w:rsidRPr="00FA68C9">
        <w:rPr>
          <w:sz w:val="16"/>
        </w:rPr>
        <w:t xml:space="preserve">As the court pointed out, §1373 does not compel “state and local governments to enact or administer any federal regulatory program. Nor has it affirmatively conscripted states, localities, or their employees into the federal government’s service.” The only thing the provision does is prohibit state and local governmental entities or officials from “directly restricting the voluntary exchange of immigration information with the INS.” A contrary holding would cause chaos: “If Congress may not forbid states from outlawing even voluntary cooperation with federal programs by state and local officials, states will at times have the power to frustrate effectuation of some programs.” That is clearly what is happening here: sanctuary states and cities want to “frustrate effectuation” of federal enforcement of our immigration laws. The absence of such cooperation, as the Second Circuit said, would force federal officials to “resort to legal processes in every routine or trivial matter, often a practical impossibility.” This was the same type of resistance exhibited by local governments to Brown v. Board of Education: “a refusal by local government to cooperate until under a court order to do so.” </w:t>
      </w:r>
      <w:r w:rsidRPr="00FA68C9">
        <w:rPr>
          <w:highlight w:val="green"/>
          <w:u w:val="single"/>
        </w:rPr>
        <w:t>Furthermore, refusing to award sanctuary cities funds that have to be applied for and that are entirely discretionary within the judgement of the attorney general does not come anywhere close to “commandeering” a “State’s legislative or administrative apparatus for federal purposes,”</w:t>
      </w:r>
      <w:r w:rsidRPr="00FA68C9">
        <w:rPr>
          <w:u w:val="single"/>
        </w:rPr>
        <w:t xml:space="preserve"> which was the key factor in the NFIB decision. </w:t>
      </w:r>
      <w:r w:rsidRPr="00FA68C9">
        <w:rPr>
          <w:highlight w:val="green"/>
          <w:u w:val="single"/>
        </w:rPr>
        <w:t>The Supreme Court said that there is no violation of the Spending Clause “when a State has a legitimate choice whether to accept the federal conditions in exchange for federal funds.”</w:t>
      </w:r>
      <w:r w:rsidRPr="00FA68C9">
        <w:rPr>
          <w:u w:val="single"/>
        </w:rPr>
        <w:t xml:space="preserve"> </w:t>
      </w:r>
      <w:r w:rsidRPr="00FA68C9">
        <w:rPr>
          <w:sz w:val="16"/>
        </w:rPr>
        <w:t>States can make their own decisions on whether to apply for a portion of the $4.1 billion the Justice Department has available to local jurisdictions for improving their law enforcement programs. In fact, this situation raises even fewer concerns than a federal law that the Supreme Court upheld in South Dakota v. Dole (1987). That law provided that states would lose five percent of their federal highway funds if they did not raise the drinking age to 21. This was “relatively mild encouragement” compared to the Medicaid expansion in Obamacare, where the Court described the potential loss of all Medicaid funding as a “gun to the head.” Similarly, when it comes to sanctuary cities, the Justice Department isn’t threatening the cutoff of any major entitlement funds such as Medicaid or even state highway funds. What’s at stake are discretionary grants that the states may or may not decide to apply for, and which the Justice Department may or may not choose to grant. The Nullification Crisis was resolved when South Carolina rescinded its nullification ordinance after President Jackson issued his Nullification Proclamation. We can only hope that the current nullification crisis will also be resolved once and for all when all of the lawsuits being filed by the states to prevent the enforcement of federal immigration law reach the Supreme Court.</w:t>
      </w:r>
    </w:p>
    <w:p w:rsidR="00542A59" w:rsidRPr="00FA68C9" w:rsidRDefault="00542A59" w:rsidP="00542A59"/>
    <w:p w:rsidR="00542A59" w:rsidRPr="00FA68C9" w:rsidRDefault="00542A59" w:rsidP="00542A59">
      <w:pPr>
        <w:pStyle w:val="Heading4"/>
        <w:rPr>
          <w:rFonts w:cs="Arial"/>
        </w:rPr>
      </w:pPr>
      <w:r w:rsidRPr="00FA68C9">
        <w:rPr>
          <w:rFonts w:cs="Arial"/>
        </w:rPr>
        <w:t>Trump’s executive order on sanctuary cities is constitutional, won’t trigger impacts to unbalanced federalism</w:t>
      </w:r>
    </w:p>
    <w:p w:rsidR="00542A59" w:rsidRPr="00FA68C9" w:rsidRDefault="00542A59" w:rsidP="00542A59">
      <w:proofErr w:type="spellStart"/>
      <w:r w:rsidRPr="00FA68C9">
        <w:rPr>
          <w:rStyle w:val="Style13ptBold"/>
        </w:rPr>
        <w:t>Rivkin</w:t>
      </w:r>
      <w:proofErr w:type="spellEnd"/>
      <w:r w:rsidRPr="00FA68C9">
        <w:rPr>
          <w:rStyle w:val="Style13ptBold"/>
        </w:rPr>
        <w:t xml:space="preserve"> and Foley ’16</w:t>
      </w:r>
      <w:r w:rsidRPr="00FA68C9">
        <w:t xml:space="preserve">, David </w:t>
      </w:r>
      <w:proofErr w:type="spellStart"/>
      <w:r w:rsidRPr="00FA68C9">
        <w:t>Rivkin</w:t>
      </w:r>
      <w:proofErr w:type="spellEnd"/>
      <w:r w:rsidRPr="00FA68C9">
        <w:t xml:space="preserve"> and Elizabeth Price Foley practice appellate and constitutional law in Washington D.C. </w:t>
      </w:r>
      <w:proofErr w:type="spellStart"/>
      <w:r w:rsidRPr="00FA68C9">
        <w:t>Rivkin</w:t>
      </w:r>
      <w:proofErr w:type="spellEnd"/>
      <w:r w:rsidRPr="00FA68C9">
        <w:t xml:space="preserve"> used to serve at the Department of Justice and the White House Counsel’s office during Reagan’s and George H.W. Bush’s administrations. Foley is a constitutional law professor at Florida International University College of Law, </w:t>
      </w:r>
      <w:hyperlink r:id="rId9" w:history="1">
        <w:r w:rsidRPr="00FA68C9">
          <w:rPr>
            <w:rStyle w:val="Hyperlink"/>
          </w:rPr>
          <w:t>http://www.latimes.com/opinion/op-ed/la-oe-rivkin-foley-sanctuary-city-20161207-story.html</w:t>
        </w:r>
      </w:hyperlink>
      <w:r w:rsidRPr="00FA68C9">
        <w:t>, Op-Ed Can Trump cut off funds for sanctuary cities? The Constitution says yes, 12-7-2016, KY</w:t>
      </w:r>
    </w:p>
    <w:p w:rsidR="00542A59" w:rsidRPr="00FA68C9" w:rsidRDefault="00542A59" w:rsidP="00542A59"/>
    <w:p w:rsidR="00542A59" w:rsidRPr="00FA68C9" w:rsidRDefault="00542A59" w:rsidP="00542A59">
      <w:pPr>
        <w:rPr>
          <w:u w:val="single"/>
        </w:rPr>
      </w:pPr>
      <w:r w:rsidRPr="00FA68C9">
        <w:rPr>
          <w:highlight w:val="green"/>
          <w:u w:val="single"/>
        </w:rPr>
        <w:t>Several cities and public universities have vowed to resist President-elect Donald Trump’s plan to deport undocumented criminals by doubling down on sanctuary policies</w:t>
      </w:r>
      <w:r w:rsidRPr="00FA68C9">
        <w:rPr>
          <w:u w:val="single"/>
        </w:rPr>
        <w:t xml:space="preserve">. </w:t>
      </w:r>
      <w:r w:rsidRPr="00FA68C9">
        <w:rPr>
          <w:highlight w:val="green"/>
          <w:u w:val="single"/>
        </w:rPr>
        <w:t>In response, Trump has pledged to curtail federal funding for sanctuary providers. Activists, predictably, are crying foul,</w:t>
      </w:r>
      <w:r w:rsidRPr="00FA68C9">
        <w:rPr>
          <w:u w:val="single"/>
        </w:rPr>
        <w:t xml:space="preserve"> and some legal scholars, such as Harvard’s Noah Feldman, have even claimed that such a response would be unconstitutional. But whatever one thinks about </w:t>
      </w:r>
      <w:r w:rsidRPr="00FA68C9">
        <w:rPr>
          <w:highlight w:val="green"/>
          <w:u w:val="single"/>
        </w:rPr>
        <w:t>Trump’s strategy</w:t>
      </w:r>
      <w:r w:rsidRPr="00FA68C9">
        <w:rPr>
          <w:u w:val="single"/>
        </w:rPr>
        <w:t xml:space="preserve">, it </w:t>
      </w:r>
      <w:r w:rsidRPr="00FA68C9">
        <w:rPr>
          <w:highlight w:val="green"/>
          <w:u w:val="single"/>
        </w:rPr>
        <w:t>almost certainly would pass muster at the Supreme Court.</w:t>
      </w:r>
      <w:r w:rsidRPr="00FA68C9">
        <w:rPr>
          <w:u w:val="single"/>
        </w:rPr>
        <w:t xml:space="preserve"> </w:t>
      </w:r>
      <w:r w:rsidRPr="00FA68C9">
        <w:rPr>
          <w:sz w:val="16"/>
        </w:rPr>
        <w:t xml:space="preserve">Feldman and others point to New York v. United States (1992) and </w:t>
      </w:r>
      <w:proofErr w:type="spellStart"/>
      <w:r w:rsidRPr="00FA68C9">
        <w:rPr>
          <w:sz w:val="16"/>
        </w:rPr>
        <w:t>Printz</w:t>
      </w:r>
      <w:proofErr w:type="spellEnd"/>
      <w:r w:rsidRPr="00FA68C9">
        <w:rPr>
          <w:sz w:val="16"/>
        </w:rPr>
        <w:t xml:space="preserve"> v. United States (1997), in which the Supreme Court concluded that the federal government cannot conscript state or local officials to carry out federal law. </w:t>
      </w:r>
      <w:r w:rsidRPr="00FA68C9">
        <w:rPr>
          <w:u w:val="single"/>
        </w:rPr>
        <w:t xml:space="preserve">The federal government must enforce its own laws, using federal personnel. So when </w:t>
      </w:r>
      <w:r w:rsidRPr="00FA68C9">
        <w:rPr>
          <w:highlight w:val="green"/>
          <w:u w:val="single"/>
        </w:rPr>
        <w:t>state or local police</w:t>
      </w:r>
      <w:r w:rsidRPr="00FA68C9">
        <w:rPr>
          <w:u w:val="single"/>
        </w:rPr>
        <w:t xml:space="preserve"> arrest immigrants who are present in the country illegally, they </w:t>
      </w:r>
      <w:r w:rsidRPr="00FA68C9">
        <w:rPr>
          <w:highlight w:val="green"/>
          <w:u w:val="single"/>
        </w:rPr>
        <w:t>are under no obligation to deport them, as deportation is the responsibility of the federal government alone.</w:t>
      </w:r>
      <w:r w:rsidRPr="00FA68C9">
        <w:rPr>
          <w:sz w:val="16"/>
        </w:rPr>
        <w:t xml:space="preserve"> </w:t>
      </w:r>
      <w:r w:rsidRPr="00FA68C9">
        <w:rPr>
          <w:highlight w:val="green"/>
          <w:u w:val="single"/>
        </w:rPr>
        <w:t>This “anti-commandeering” doctrine, however, doesn’t protect sanctuary cities or public universities</w:t>
      </w:r>
      <w:r w:rsidRPr="00FA68C9">
        <w:rPr>
          <w:sz w:val="16"/>
          <w:highlight w:val="green"/>
        </w:rPr>
        <w:t xml:space="preserve"> — </w:t>
      </w:r>
      <w:r w:rsidRPr="00FA68C9">
        <w:rPr>
          <w:highlight w:val="green"/>
          <w:u w:val="single"/>
        </w:rPr>
        <w:t>because it doesn’t apply when Congress merely requests information</w:t>
      </w:r>
      <w:r w:rsidRPr="00FA68C9">
        <w:rPr>
          <w:sz w:val="16"/>
          <w:highlight w:val="green"/>
        </w:rPr>
        <w:t>.</w:t>
      </w:r>
      <w:r w:rsidRPr="00FA68C9">
        <w:rPr>
          <w:sz w:val="16"/>
        </w:rPr>
        <w:t xml:space="preserve"> For example, in Reno v. Condon (2000), the Court unanimously rejected an anti-commandeering challenge to the Driver’s Privacy Protection Act, which required states under certain circumstances to disclose some personal details about license holders. The court concluded that, because the DPPA requested information and “did not require state officials to assist in the enforcement of federal statutes,” it was consistent with the New York and </w:t>
      </w:r>
      <w:proofErr w:type="spellStart"/>
      <w:r w:rsidRPr="00FA68C9">
        <w:rPr>
          <w:sz w:val="16"/>
        </w:rPr>
        <w:t>Printz</w:t>
      </w:r>
      <w:proofErr w:type="spellEnd"/>
      <w:r w:rsidRPr="00FA68C9">
        <w:rPr>
          <w:sz w:val="16"/>
        </w:rPr>
        <w:t xml:space="preserve"> cases. </w:t>
      </w:r>
      <w:r w:rsidRPr="00FA68C9">
        <w:rPr>
          <w:u w:val="single"/>
        </w:rPr>
        <w:t xml:space="preserve">It follows that, </w:t>
      </w:r>
      <w:r w:rsidRPr="00FA68C9">
        <w:rPr>
          <w:highlight w:val="green"/>
          <w:u w:val="single"/>
        </w:rPr>
        <w:t>consistent with the anti-commandeering doctrine, Congress can require state, local or university police to tell federal agents when they arrest an immigrant present in the country illegally</w:t>
      </w:r>
      <w:r w:rsidRPr="00FA68C9">
        <w:rPr>
          <w:sz w:val="16"/>
        </w:rPr>
        <w:t xml:space="preserve">. It’s true that cities such as Los Angeles instruct city employees not to ask about immigration status, but they may still have access to that information. Under California law, for example, driver’s licenses issued to immigrants in the country illegally contain prominent distinguishing language stating, “federal limits apply.” Indeed, Congress could specify that licenses issued to immigrants in the country illegally must include a distinguishing feature, or they won’t be accepted for federal purposes, such as TSA airport security. Congress already has enacted the Real ID Act, which mandates that driver’s licenses display certain details. A separate constitutional doctrine, the anti-coercion doctrine, likewise won’t shield sanctuaries. This doctrine holds that while Congress may impose conditions on receipt of federal funds, it cannot coerce states into accepting those conditions. In the 1980s, Congress passed a law withholding 5% of highway funds from any state that refused to adopt a minimum drinking age of 21. The Supreme Court, in South Dakota v. Dole (1987), upheld it. Because highway funds are expended — in part — to ensure safe travel, the court reasoned that raising the drinking age was “relevant to the federal interest in the project and the overall objectives thereof.” More significantly, withholding 5% of federal funds wasn’t coercive because while it represented a loss of $615 million dollars, it was only 0.19% of states’ total budgets. By contrast, in NFIB v. </w:t>
      </w:r>
      <w:proofErr w:type="spellStart"/>
      <w:r w:rsidRPr="00FA68C9">
        <w:rPr>
          <w:sz w:val="16"/>
        </w:rPr>
        <w:t>Sebelius</w:t>
      </w:r>
      <w:proofErr w:type="spellEnd"/>
      <w:r w:rsidRPr="00FA68C9">
        <w:rPr>
          <w:sz w:val="16"/>
        </w:rPr>
        <w:t xml:space="preserve"> (2012), the Supreme Court found that Congress violated the anti-coercion doctrine. Specifically, in the Affordable Care Act, Congress withheld 100% of states’ Medicaid funding if they didn’t expand those programs. A court plurality characterized this as a coercive “gun to the head” because it involved a loss of over $233 billion dollars — more than 20% of states’ budgets. The South Dakota and NFIB cases teach that Congress can cut off funds if the conditions imposed are relevant “to the federal interest in the project” and the threatened loss of money doesn’t amount to a “gun to the head,” defined by a substantial percentage — approaching approximately 20% — of states’ budgets. Congress certainly could meet these standards. Many federal programs provide billions to universities and state and local law enforcement. Provided the percentage withheld didn’t approach the 20% threshold, it should be constitutional. As with the highway funds in South Dakota, these programs are designed in part to improve safety of campuses and communities. This goal would be furthered by withholding funds from cities and universities that provide sanctuary for criminals present in the country illegally. Such individuals, by definition, not only are </w:t>
      </w:r>
      <w:proofErr w:type="spellStart"/>
      <w:r w:rsidRPr="00FA68C9">
        <w:rPr>
          <w:sz w:val="16"/>
        </w:rPr>
        <w:t>unvetted</w:t>
      </w:r>
      <w:proofErr w:type="spellEnd"/>
      <w:r w:rsidRPr="00FA68C9">
        <w:rPr>
          <w:sz w:val="16"/>
        </w:rPr>
        <w:t xml:space="preserve"> by the federal government, but have committed crimes while here. </w:t>
      </w:r>
      <w:r w:rsidRPr="00FA68C9">
        <w:rPr>
          <w:u w:val="single"/>
        </w:rPr>
        <w:t xml:space="preserve">Whatever one’s view of the best immigration policy, it should be uniform. Some, including the Washington Post's editorial board, have suggested that Congress should give sanctuary cities flexibility to report only those who’ve committed the most serious violent offenses. </w:t>
      </w:r>
      <w:r w:rsidRPr="00FA68C9">
        <w:rPr>
          <w:highlight w:val="green"/>
          <w:u w:val="single"/>
        </w:rPr>
        <w:t>But precisely which criminals should be subject to deportation requires resolution by Congress, not each city or university</w:t>
      </w:r>
      <w:r w:rsidRPr="00FA68C9">
        <w:rPr>
          <w:sz w:val="16"/>
          <w:highlight w:val="green"/>
        </w:rPr>
        <w:t>.</w:t>
      </w:r>
      <w:r w:rsidRPr="00FA68C9">
        <w:rPr>
          <w:sz w:val="16"/>
        </w:rPr>
        <w:t xml:space="preserve"> Sanctuary policies create Balkanization on an issue with important foreign policy implications and corresponding potential for diplomatic embarrassment. As the Supreme Court affirmed in Arizona v. United States (2012), “the removal process is entrusted to the discretion of the Federal Government” because it “touch[</w:t>
      </w:r>
      <w:proofErr w:type="spellStart"/>
      <w:r w:rsidRPr="00FA68C9">
        <w:rPr>
          <w:sz w:val="16"/>
        </w:rPr>
        <w:t>es</w:t>
      </w:r>
      <w:proofErr w:type="spellEnd"/>
      <w:r w:rsidRPr="00FA68C9">
        <w:rPr>
          <w:sz w:val="16"/>
        </w:rPr>
        <w:t xml:space="preserve">] on foreign relations and must be made with one voice.” </w:t>
      </w:r>
      <w:r w:rsidRPr="00FA68C9">
        <w:rPr>
          <w:highlight w:val="green"/>
          <w:u w:val="single"/>
        </w:rPr>
        <w:t>The Constitution is clear that power to determine deportation policies belongs to Congress, not states, municipalities or universities.</w:t>
      </w:r>
    </w:p>
    <w:p w:rsidR="00542A59" w:rsidRPr="00FA68C9" w:rsidRDefault="00542A59" w:rsidP="00542A59"/>
    <w:p w:rsidR="00542A59" w:rsidRPr="00FA68C9" w:rsidRDefault="00542A59" w:rsidP="00542A59">
      <w:pPr>
        <w:pStyle w:val="Heading4"/>
        <w:rPr>
          <w:rFonts w:cs="Arial"/>
        </w:rPr>
      </w:pPr>
      <w:proofErr w:type="spellStart"/>
      <w:r w:rsidRPr="00FA68C9">
        <w:rPr>
          <w:rFonts w:cs="Arial"/>
        </w:rPr>
        <w:t>Sanc</w:t>
      </w:r>
      <w:proofErr w:type="spellEnd"/>
      <w:r w:rsidRPr="00FA68C9">
        <w:rPr>
          <w:rFonts w:cs="Arial"/>
        </w:rPr>
        <w:t xml:space="preserve"> cities EO was an interpretation of existing law—completely constitutional</w:t>
      </w:r>
    </w:p>
    <w:p w:rsidR="00542A59" w:rsidRPr="00FA68C9" w:rsidRDefault="00542A59" w:rsidP="00542A59">
      <w:r w:rsidRPr="00FA68C9">
        <w:rPr>
          <w:rStyle w:val="Style13ptBold"/>
        </w:rPr>
        <w:t>McCarthy ’17</w:t>
      </w:r>
      <w:r w:rsidRPr="00FA68C9">
        <w:t xml:space="preserve"> Andrew C. McCarthy III is a former assistant U.S. attorney for the Southern District of New York. He resigned from the Justice Department in 2003. He is a contributing editor of National Review and a senior fellow at the National Review Institute. From the article: “A Ruling about Nothing”- National Review- April 26th- http://www.nationalreview.com/article/447058/donald-trump-sanctuary-city-funding-executive-order-activist-liberal-judge-strikes</w:t>
      </w:r>
      <w:r w:rsidRPr="00FA68C9">
        <w:br/>
      </w:r>
    </w:p>
    <w:p w:rsidR="00542A59" w:rsidRPr="00FA68C9" w:rsidRDefault="00542A59" w:rsidP="00542A59">
      <w:pPr>
        <w:rPr>
          <w:color w:val="000000"/>
          <w:sz w:val="14"/>
        </w:rPr>
      </w:pPr>
      <w:r w:rsidRPr="00FA68C9">
        <w:rPr>
          <w:color w:val="000000"/>
          <w:sz w:val="14"/>
        </w:rPr>
        <w:t xml:space="preserve">That is, </w:t>
      </w:r>
      <w:r w:rsidRPr="00FA68C9">
        <w:rPr>
          <w:rStyle w:val="StyleUnderline"/>
        </w:rPr>
        <w:t>Orrick acknowledges</w:t>
      </w:r>
      <w:r w:rsidRPr="00FA68C9">
        <w:rPr>
          <w:color w:val="000000"/>
          <w:sz w:val="14"/>
        </w:rPr>
        <w:t xml:space="preserve"> that </w:t>
      </w:r>
      <w:r w:rsidRPr="00FA68C9">
        <w:rPr>
          <w:rStyle w:val="StyleUnderline"/>
        </w:rPr>
        <w:t>he is adopting the construction of the E.O. urged by</w:t>
      </w:r>
      <w:r w:rsidRPr="00FA68C9">
        <w:rPr>
          <w:color w:val="000000"/>
          <w:sz w:val="14"/>
        </w:rPr>
        <w:t xml:space="preserve"> the </w:t>
      </w:r>
      <w:r w:rsidRPr="00FA68C9">
        <w:rPr>
          <w:rStyle w:val="StyleUnderline"/>
        </w:rPr>
        <w:t xml:space="preserve">Trump </w:t>
      </w:r>
      <w:r w:rsidRPr="00FA68C9">
        <w:rPr>
          <w:color w:val="000000"/>
          <w:sz w:val="14"/>
        </w:rPr>
        <w:t xml:space="preserve">Justice Department, </w:t>
      </w:r>
      <w:r w:rsidRPr="00FA68C9">
        <w:rPr>
          <w:rStyle w:val="StyleUnderline"/>
        </w:rPr>
        <w:t xml:space="preserve">which maintains </w:t>
      </w:r>
      <w:r w:rsidRPr="00FA68C9">
        <w:rPr>
          <w:rStyle w:val="StyleUnderline"/>
          <w:sz w:val="14"/>
          <w:u w:val="none"/>
        </w:rPr>
        <w:t>that</w:t>
      </w:r>
      <w:r w:rsidRPr="00FA68C9">
        <w:rPr>
          <w:rStyle w:val="StyleUnderline"/>
        </w:rPr>
        <w:t xml:space="preserve"> the </w:t>
      </w:r>
      <w:r w:rsidRPr="00FA68C9">
        <w:rPr>
          <w:rStyle w:val="StyleUnderline"/>
          <w:highlight w:val="green"/>
        </w:rPr>
        <w:t>order does nothing more than call for</w:t>
      </w:r>
      <w:r w:rsidRPr="00FA68C9">
        <w:rPr>
          <w:color w:val="000000"/>
          <w:sz w:val="14"/>
        </w:rPr>
        <w:t xml:space="preserve"> the </w:t>
      </w:r>
      <w:r w:rsidRPr="00FA68C9">
        <w:rPr>
          <w:rStyle w:val="StyleUnderline"/>
          <w:highlight w:val="green"/>
        </w:rPr>
        <w:t xml:space="preserve">enforcement </w:t>
      </w:r>
      <w:r w:rsidRPr="00FA68C9">
        <w:rPr>
          <w:color w:val="000000"/>
          <w:highlight w:val="green"/>
          <w:u w:val="single"/>
        </w:rPr>
        <w:t>of</w:t>
      </w:r>
      <w:r w:rsidRPr="00FA68C9">
        <w:rPr>
          <w:color w:val="000000"/>
          <w:sz w:val="14"/>
        </w:rPr>
        <w:t xml:space="preserve"> already </w:t>
      </w:r>
      <w:r w:rsidRPr="00FA68C9">
        <w:rPr>
          <w:rStyle w:val="StyleUnderline"/>
        </w:rPr>
        <w:t xml:space="preserve">existing </w:t>
      </w:r>
      <w:r w:rsidRPr="00FA68C9">
        <w:rPr>
          <w:rStyle w:val="StyleUnderline"/>
          <w:highlight w:val="green"/>
        </w:rPr>
        <w:t>law</w:t>
      </w:r>
      <w:r w:rsidRPr="00FA68C9">
        <w:rPr>
          <w:rStyle w:val="StyleUnderline"/>
        </w:rPr>
        <w:t>.</w:t>
      </w:r>
      <w:r w:rsidRPr="00FA68C9">
        <w:rPr>
          <w:color w:val="000000"/>
          <w:sz w:val="14"/>
        </w:rPr>
        <w:t xml:space="preserve"> Although that construction is completely consistent with the E.O. as written, Judge Orrick implausibly describes it as “implausible.” </w:t>
      </w:r>
    </w:p>
    <w:p w:rsidR="00542A59" w:rsidRPr="00FA68C9" w:rsidRDefault="00542A59" w:rsidP="00542A59">
      <w:pPr>
        <w:rPr>
          <w:color w:val="000000"/>
          <w:sz w:val="16"/>
          <w:szCs w:val="16"/>
        </w:rPr>
      </w:pPr>
      <w:r w:rsidRPr="00FA68C9">
        <w:rPr>
          <w:color w:val="000000"/>
          <w:sz w:val="16"/>
          <w:szCs w:val="16"/>
        </w:rPr>
        <w:t xml:space="preserve">Since Orrick ultimately agrees with the Trump Justice Department, and since no enforcement action has been taken based on the E.O., why not just dismiss the case? Why the judicial theatrics? </w:t>
      </w:r>
    </w:p>
    <w:p w:rsidR="00542A59" w:rsidRPr="00FA68C9" w:rsidRDefault="00542A59" w:rsidP="00542A59">
      <w:pPr>
        <w:rPr>
          <w:color w:val="000000"/>
          <w:sz w:val="16"/>
          <w:szCs w:val="16"/>
        </w:rPr>
      </w:pPr>
      <w:r w:rsidRPr="00FA68C9">
        <w:rPr>
          <w:color w:val="000000"/>
          <w:sz w:val="16"/>
          <w:szCs w:val="16"/>
        </w:rPr>
        <w:t xml:space="preserve">There appear to be two reasons. </w:t>
      </w:r>
    </w:p>
    <w:p w:rsidR="00542A59" w:rsidRPr="00FA68C9" w:rsidRDefault="00542A59" w:rsidP="00542A59">
      <w:pPr>
        <w:rPr>
          <w:color w:val="000000"/>
          <w:sz w:val="16"/>
          <w:szCs w:val="16"/>
        </w:rPr>
      </w:pPr>
      <w:r w:rsidRPr="00FA68C9">
        <w:rPr>
          <w:color w:val="000000"/>
          <w:sz w:val="16"/>
          <w:szCs w:val="16"/>
        </w:rPr>
        <w:t xml:space="preserve">The first is Orrick’s patent desire to embarrass the White House, which rolled out the E.O. with great fanfare. The court wants it understood that Trump is a pretender: For all the hullaballoo, the E.O. effectively did nothing. Indeed, Orrick rationalizes his repeated </w:t>
      </w:r>
      <w:proofErr w:type="spellStart"/>
      <w:r w:rsidRPr="00FA68C9">
        <w:rPr>
          <w:color w:val="000000"/>
          <w:sz w:val="16"/>
          <w:szCs w:val="16"/>
        </w:rPr>
        <w:t>misreadings</w:t>
      </w:r>
      <w:proofErr w:type="spellEnd"/>
      <w:r w:rsidRPr="00FA68C9">
        <w:rPr>
          <w:color w:val="000000"/>
          <w:sz w:val="16"/>
          <w:szCs w:val="16"/>
        </w:rPr>
        <w:t xml:space="preserve"> of what the order actually says by feigning disbelief that what it says could possibly be what it means. Were that the case, he suggests, there would have been no reason to issue the order in the first place. Thus, taking a page from the activist left-wing judges who invalidated Trump’s “travel ban” orders, Orrick harps on stump speeches by Trump and other administration officials. One wonders how well Barack “If you like your plan, you can keep your plan” Obama would have fared under the judiciary’s new Trump Doctrine: The extravagant political rhetoric by which the incumbent president customarily sells his policies relieves a court of the obligation to grapple with the inevitably more modest legal text of the directives that follow. </w:t>
      </w:r>
    </w:p>
    <w:p w:rsidR="00542A59" w:rsidRPr="00FA68C9" w:rsidRDefault="00542A59" w:rsidP="00542A59">
      <w:pPr>
        <w:rPr>
          <w:color w:val="000000"/>
          <w:sz w:val="16"/>
        </w:rPr>
      </w:pPr>
      <w:r w:rsidRPr="00FA68C9">
        <w:rPr>
          <w:color w:val="000000"/>
          <w:sz w:val="16"/>
        </w:rPr>
        <w:t xml:space="preserve">Of course, the peer branches of government are supposed to presume each other’s good faith in the absence of a patent violation of the law. But let’s put aside the unseemliness of Orrick’s barely concealed contempt for a moment, because he is also wrong. The proper </w:t>
      </w:r>
      <w:r w:rsidRPr="00FA68C9">
        <w:rPr>
          <w:rStyle w:val="StyleUnderline"/>
          <w:highlight w:val="green"/>
        </w:rPr>
        <w:t>purpose of</w:t>
      </w:r>
      <w:r w:rsidRPr="00FA68C9">
        <w:rPr>
          <w:color w:val="000000"/>
          <w:sz w:val="16"/>
        </w:rPr>
        <w:t xml:space="preserve"> an </w:t>
      </w:r>
      <w:r w:rsidRPr="00FA68C9">
        <w:rPr>
          <w:rStyle w:val="StyleUnderline"/>
          <w:highlight w:val="green"/>
        </w:rPr>
        <w:t>e</w:t>
      </w:r>
      <w:r w:rsidRPr="00FA68C9">
        <w:rPr>
          <w:color w:val="000000"/>
          <w:sz w:val="16"/>
        </w:rPr>
        <w:t xml:space="preserve">xecutive </w:t>
      </w:r>
      <w:r w:rsidRPr="00FA68C9">
        <w:rPr>
          <w:rStyle w:val="StyleUnderline"/>
          <w:highlight w:val="green"/>
        </w:rPr>
        <w:t>o</w:t>
      </w:r>
      <w:r w:rsidRPr="00FA68C9">
        <w:rPr>
          <w:color w:val="000000"/>
          <w:sz w:val="16"/>
        </w:rPr>
        <w:t xml:space="preserve">rder </w:t>
      </w:r>
      <w:r w:rsidRPr="00FA68C9">
        <w:rPr>
          <w:rStyle w:val="StyleUnderline"/>
          <w:highlight w:val="green"/>
        </w:rPr>
        <w:t>is to direct</w:t>
      </w:r>
      <w:r w:rsidRPr="00FA68C9">
        <w:rPr>
          <w:rStyle w:val="StyleUnderline"/>
        </w:rPr>
        <w:t xml:space="preserve"> </w:t>
      </w:r>
      <w:r w:rsidRPr="00FA68C9">
        <w:rPr>
          <w:color w:val="000000"/>
          <w:sz w:val="16"/>
        </w:rPr>
        <w:t xml:space="preserve">the </w:t>
      </w:r>
      <w:r w:rsidRPr="00FA68C9">
        <w:rPr>
          <w:rStyle w:val="StyleUnderline"/>
          <w:highlight w:val="green"/>
        </w:rPr>
        <w:t>operations of</w:t>
      </w:r>
      <w:r w:rsidRPr="00FA68C9">
        <w:rPr>
          <w:color w:val="000000"/>
          <w:sz w:val="16"/>
        </w:rPr>
        <w:t xml:space="preserve"> the </w:t>
      </w:r>
      <w:r w:rsidRPr="00FA68C9">
        <w:rPr>
          <w:rStyle w:val="StyleUnderline"/>
          <w:highlight w:val="green"/>
        </w:rPr>
        <w:t>executive branch</w:t>
      </w:r>
      <w:r w:rsidRPr="00FA68C9">
        <w:rPr>
          <w:rStyle w:val="StyleUnderline"/>
        </w:rPr>
        <w:t xml:space="preserve"> with</w:t>
      </w:r>
      <w:r w:rsidRPr="00FA68C9">
        <w:rPr>
          <w:rStyle w:val="StyleUnderline"/>
          <w:highlight w:val="green"/>
        </w:rPr>
        <w:t>in</w:t>
      </w:r>
      <w:r w:rsidRPr="00FA68C9">
        <w:rPr>
          <w:color w:val="000000"/>
          <w:sz w:val="16"/>
        </w:rPr>
        <w:t xml:space="preserve"> the </w:t>
      </w:r>
      <w:r w:rsidRPr="00FA68C9">
        <w:rPr>
          <w:rStyle w:val="StyleUnderline"/>
        </w:rPr>
        <w:t xml:space="preserve">proper </w:t>
      </w:r>
      <w:r w:rsidRPr="00FA68C9">
        <w:rPr>
          <w:rStyle w:val="StyleUnderline"/>
          <w:highlight w:val="green"/>
        </w:rPr>
        <w:t>bounds of</w:t>
      </w:r>
      <w:r w:rsidRPr="00FA68C9">
        <w:rPr>
          <w:color w:val="000000"/>
          <w:sz w:val="16"/>
        </w:rPr>
        <w:t xml:space="preserve"> the </w:t>
      </w:r>
      <w:r w:rsidRPr="00FA68C9">
        <w:rPr>
          <w:rStyle w:val="StyleUnderline"/>
          <w:highlight w:val="green"/>
        </w:rPr>
        <w:t>law</w:t>
      </w:r>
      <w:r w:rsidRPr="00FA68C9">
        <w:rPr>
          <w:color w:val="000000"/>
          <w:sz w:val="16"/>
        </w:rPr>
        <w:t xml:space="preserve">. There is, therefore, nothing untoward about an E.O. that directs the president’s subordinates to take enforcement action within the confines of congressional statutes. In fact, it is welcome. </w:t>
      </w:r>
    </w:p>
    <w:p w:rsidR="00542A59" w:rsidRPr="00FA68C9" w:rsidRDefault="00542A59" w:rsidP="00542A59">
      <w:pPr>
        <w:rPr>
          <w:color w:val="000000"/>
          <w:sz w:val="16"/>
        </w:rPr>
      </w:pPr>
      <w:r w:rsidRPr="00FA68C9">
        <w:rPr>
          <w:rStyle w:val="StyleUnderline"/>
          <w:highlight w:val="green"/>
        </w:rPr>
        <w:t>It is the president’s burden to set federal law-enforcement priorities</w:t>
      </w:r>
      <w:r w:rsidRPr="00FA68C9">
        <w:rPr>
          <w:color w:val="000000"/>
          <w:sz w:val="16"/>
        </w:rPr>
        <w:t>. After years of Obama’s lax enforcement of immigration law and apathy regarding sanctuary jurisdictions, an E.O. openly manifesting an intent to execute the laws vigorously can have a salutary effect. And indeed, indications are that the cumulative effect of Trump’s more zealous approach to enforcement, of which the sanctuary-city E.O. is just one component, has been a significant reduction in the number of aliens seeking to enter the U.S. illegally.</w:t>
      </w:r>
    </w:p>
    <w:p w:rsidR="00542A59" w:rsidRPr="00FA68C9" w:rsidRDefault="00542A59" w:rsidP="00542A59">
      <w:pPr>
        <w:rPr>
          <w:color w:val="000000"/>
          <w:sz w:val="12"/>
          <w:szCs w:val="16"/>
        </w:rPr>
      </w:pPr>
      <w:r w:rsidRPr="00FA68C9">
        <w:rPr>
          <w:color w:val="000000"/>
          <w:sz w:val="12"/>
          <w:szCs w:val="16"/>
        </w:rPr>
        <w:t xml:space="preserve"> In any event, eight years of Obama’s phone and pen have made it easy to forget that the president is not supposed to make law, and thus that we should celebrate, not condemn, an E.O. that does not break new legal ground. Orrick, by contrast, proceeds from the flawed premise that if a president is issuing an E.O., it simply must be his purpose to usurp congressional authority. Then he censures Trump for a purported usurpation that is nothing more than a figment of his own very active imagination. </w:t>
      </w:r>
    </w:p>
    <w:p w:rsidR="00542A59" w:rsidRPr="00FA68C9" w:rsidRDefault="00542A59" w:rsidP="00542A59">
      <w:pPr>
        <w:rPr>
          <w:color w:val="000000"/>
          <w:sz w:val="12"/>
          <w:szCs w:val="16"/>
        </w:rPr>
      </w:pPr>
      <w:r w:rsidRPr="00FA68C9">
        <w:rPr>
          <w:color w:val="000000"/>
          <w:sz w:val="12"/>
          <w:szCs w:val="16"/>
        </w:rPr>
        <w:t xml:space="preserve">Orrick’s second reason for issuing his Ruling About Nothing is to rationalize what is essentially an advisory opinion. It holds — I know you’ll be shocked to hear this — that if Trump ever did try to cut off funds from sanctuary cities, it would be an epic violation of the Constitution. Given that courts are supposed to refrain from issuing advisory opinions, the Constitution is actually more aggrieved by Orrick than by Trump. </w:t>
      </w:r>
    </w:p>
    <w:p w:rsidR="00542A59" w:rsidRPr="00FA68C9" w:rsidRDefault="00542A59" w:rsidP="00542A59">
      <w:pPr>
        <w:rPr>
          <w:color w:val="000000"/>
          <w:sz w:val="12"/>
          <w:szCs w:val="16"/>
        </w:rPr>
      </w:pPr>
      <w:r w:rsidRPr="00FA68C9">
        <w:rPr>
          <w:color w:val="000000"/>
          <w:sz w:val="12"/>
          <w:szCs w:val="16"/>
        </w:rPr>
        <w:t xml:space="preserve">* * * In a nutshell, the court claims that the E.O. is presidential legislation, an unconstitutional violation of the separation of powers. Orrick insists that the E.O. directs the attorney general and the secretary of homeland security to cut off any federal funds that would otherwise go to states and municipalities if they “willfully refuse to comply” with a federal law (Section 1373 of Title 8) that calls for state and local cooperation in enforcing immigration law. </w:t>
      </w:r>
    </w:p>
    <w:p w:rsidR="00542A59" w:rsidRPr="00FA68C9" w:rsidRDefault="00542A59" w:rsidP="00542A59">
      <w:pPr>
        <w:rPr>
          <w:color w:val="000000"/>
          <w:sz w:val="12"/>
          <w:szCs w:val="16"/>
        </w:rPr>
      </w:pPr>
      <w:r w:rsidRPr="00FA68C9">
        <w:rPr>
          <w:color w:val="000000"/>
          <w:sz w:val="12"/>
          <w:szCs w:val="16"/>
        </w:rPr>
        <w:t xml:space="preserve">According to Judge Orrick, Trump’s E.O. is heedless of whether Congress has approved any terminations of state funding from federal programs it has enacted. In one of the opinion’s most disingenuous passages, Orrick asserts that the E.O. “directs the Attorney General and the [Homeland Security] Secretary to ensure that ‘sanctuary jurisdictions’ are ‘not eligible to receive’ federal grants.” (Emphasis in original.) </w:t>
      </w:r>
    </w:p>
    <w:p w:rsidR="00542A59" w:rsidRPr="00FA68C9" w:rsidRDefault="00542A59" w:rsidP="00542A59">
      <w:pPr>
        <w:rPr>
          <w:color w:val="000000"/>
          <w:sz w:val="12"/>
          <w:szCs w:val="16"/>
        </w:rPr>
      </w:pPr>
      <w:r w:rsidRPr="00FA68C9">
        <w:rPr>
          <w:color w:val="000000"/>
          <w:sz w:val="12"/>
          <w:szCs w:val="16"/>
        </w:rPr>
        <w:t xml:space="preserve">But this is just not true; Orrick has omitted key context from the relevant passage, which actually states that “the Attorney General and the Secretary, in their discretion and to the extent consistent with law, shall ensure that jurisdictions that willfully refuse to comply with 8 U.S.C. 1373 (sanctuary jurisdictions) are not eligible to receive Federal grants.” (Emphasis added.) </w:t>
      </w:r>
    </w:p>
    <w:p w:rsidR="00542A59" w:rsidRPr="00FA68C9" w:rsidRDefault="00542A59" w:rsidP="00542A59">
      <w:pPr>
        <w:rPr>
          <w:color w:val="000000"/>
          <w:sz w:val="16"/>
        </w:rPr>
      </w:pPr>
      <w:r w:rsidRPr="00FA68C9">
        <w:rPr>
          <w:color w:val="000000"/>
          <w:sz w:val="16"/>
        </w:rPr>
        <w:t xml:space="preserve">In plain English, the </w:t>
      </w:r>
      <w:r w:rsidRPr="00FA68C9">
        <w:rPr>
          <w:rStyle w:val="StyleUnderline"/>
          <w:highlight w:val="green"/>
        </w:rPr>
        <w:t>president has</w:t>
      </w:r>
      <w:r w:rsidRPr="00FA68C9">
        <w:rPr>
          <w:rStyle w:val="StyleUnderline"/>
        </w:rPr>
        <w:t xml:space="preserve"> expressly </w:t>
      </w:r>
      <w:r w:rsidRPr="00FA68C9">
        <w:rPr>
          <w:rStyle w:val="StyleUnderline"/>
          <w:highlight w:val="green"/>
        </w:rPr>
        <w:t>restricted</w:t>
      </w:r>
      <w:r w:rsidRPr="00FA68C9">
        <w:rPr>
          <w:rStyle w:val="StyleUnderline"/>
        </w:rPr>
        <w:t xml:space="preserve"> his </w:t>
      </w:r>
      <w:r w:rsidRPr="00FA68C9">
        <w:rPr>
          <w:rStyle w:val="StyleUnderline"/>
          <w:highlight w:val="green"/>
        </w:rPr>
        <w:t>subordinates to</w:t>
      </w:r>
      <w:r w:rsidRPr="00FA68C9">
        <w:rPr>
          <w:color w:val="000000"/>
          <w:sz w:val="16"/>
        </w:rPr>
        <w:t xml:space="preserve"> the </w:t>
      </w:r>
      <w:r w:rsidRPr="00FA68C9">
        <w:rPr>
          <w:rStyle w:val="StyleUnderline"/>
          <w:highlight w:val="green"/>
        </w:rPr>
        <w:t>limits</w:t>
      </w:r>
      <w:r w:rsidRPr="00FA68C9">
        <w:rPr>
          <w:color w:val="000000"/>
          <w:sz w:val="16"/>
        </w:rPr>
        <w:t xml:space="preserve"> that </w:t>
      </w:r>
      <w:r w:rsidRPr="00FA68C9">
        <w:rPr>
          <w:rStyle w:val="StyleUnderline"/>
          <w:highlight w:val="green"/>
        </w:rPr>
        <w:t>Congress</w:t>
      </w:r>
      <w:r w:rsidRPr="00FA68C9">
        <w:rPr>
          <w:color w:val="000000"/>
          <w:sz w:val="16"/>
        </w:rPr>
        <w:t xml:space="preserve"> has </w:t>
      </w:r>
      <w:r w:rsidRPr="00FA68C9">
        <w:rPr>
          <w:rStyle w:val="StyleUnderline"/>
          <w:highlight w:val="green"/>
        </w:rPr>
        <w:t>enacted</w:t>
      </w:r>
      <w:r w:rsidRPr="00FA68C9">
        <w:rPr>
          <w:color w:val="000000"/>
          <w:sz w:val="16"/>
        </w:rPr>
        <w:t>. Under Trump’s order</w:t>
      </w:r>
      <w:r w:rsidRPr="00FA68C9">
        <w:rPr>
          <w:rStyle w:val="StyleUnderline"/>
        </w:rPr>
        <w:t xml:space="preserve">, </w:t>
      </w:r>
      <w:r w:rsidRPr="00FA68C9">
        <w:rPr>
          <w:rStyle w:val="StyleUnderline"/>
          <w:highlight w:val="green"/>
        </w:rPr>
        <w:t>there can be no suspension</w:t>
      </w:r>
      <w:r w:rsidRPr="00FA68C9">
        <w:rPr>
          <w:color w:val="000000"/>
          <w:sz w:val="16"/>
        </w:rPr>
        <w:t xml:space="preserve"> or denial </w:t>
      </w:r>
      <w:r w:rsidRPr="00FA68C9">
        <w:rPr>
          <w:rStyle w:val="StyleUnderline"/>
          <w:highlight w:val="green"/>
        </w:rPr>
        <w:t>of funding from</w:t>
      </w:r>
      <w:r w:rsidRPr="00FA68C9">
        <w:rPr>
          <w:rStyle w:val="StyleUnderline"/>
        </w:rPr>
        <w:t xml:space="preserve"> a </w:t>
      </w:r>
      <w:r w:rsidRPr="00FA68C9">
        <w:rPr>
          <w:rStyle w:val="StyleUnderline"/>
          <w:highlight w:val="green"/>
        </w:rPr>
        <w:t>federal program unless congress</w:t>
      </w:r>
      <w:r w:rsidRPr="00FA68C9">
        <w:rPr>
          <w:rStyle w:val="StyleUnderline"/>
        </w:rPr>
        <w:t xml:space="preserve">ional statutes </w:t>
      </w:r>
      <w:r w:rsidRPr="00FA68C9">
        <w:rPr>
          <w:rStyle w:val="StyleUnderline"/>
          <w:highlight w:val="green"/>
        </w:rPr>
        <w:t>authorize it.</w:t>
      </w:r>
      <w:r w:rsidRPr="00FA68C9">
        <w:rPr>
          <w:color w:val="000000"/>
          <w:sz w:val="16"/>
        </w:rPr>
        <w:t xml:space="preserve"> The president is not engaged in an Obama-</w:t>
      </w:r>
      <w:proofErr w:type="spellStart"/>
      <w:r w:rsidRPr="00FA68C9">
        <w:rPr>
          <w:color w:val="000000"/>
          <w:sz w:val="16"/>
        </w:rPr>
        <w:t>esque</w:t>
      </w:r>
      <w:proofErr w:type="spellEnd"/>
      <w:r w:rsidRPr="00FA68C9">
        <w:rPr>
          <w:color w:val="000000"/>
          <w:sz w:val="16"/>
        </w:rPr>
        <w:t xml:space="preserve"> rewrite of federal law; he explicitly ordered his subordinates to follow federal law. </w:t>
      </w:r>
    </w:p>
    <w:p w:rsidR="00542A59" w:rsidRPr="00FA68C9" w:rsidRDefault="00542A59" w:rsidP="00542A59">
      <w:pPr>
        <w:rPr>
          <w:color w:val="000000"/>
          <w:sz w:val="12"/>
        </w:rPr>
      </w:pPr>
      <w:r w:rsidRPr="00FA68C9">
        <w:rPr>
          <w:color w:val="000000"/>
          <w:sz w:val="16"/>
        </w:rPr>
        <w:t xml:space="preserve">It is not enough to say Orrick mulishly ignores the clear text of the executive order. Again and again, Justice Department lawyers emphasized to the court that </w:t>
      </w:r>
      <w:r w:rsidRPr="00FA68C9">
        <w:rPr>
          <w:rStyle w:val="StyleUnderline"/>
          <w:highlight w:val="green"/>
        </w:rPr>
        <w:t>Trump’s order explicitly reaffirmed existing law.</w:t>
      </w:r>
      <w:r w:rsidRPr="00FA68C9">
        <w:rPr>
          <w:color w:val="000000"/>
          <w:sz w:val="16"/>
        </w:rPr>
        <w:t xml:space="preserve"> Orrick refused to listen because, well, what fun would that be? If the president is simply directing that the law be followed, there is no basis for a progressive judge to accuse him of violating the law. Were he to concede that, how would Orrick then win this month’s Social Justice Warrior in a Robe </w:t>
      </w:r>
      <w:r w:rsidRPr="00FA68C9">
        <w:rPr>
          <w:color w:val="000000"/>
          <w:sz w:val="12"/>
        </w:rPr>
        <w:t>Award for Telling Donald Trump What For?</w:t>
      </w:r>
    </w:p>
    <w:p w:rsidR="00542A59" w:rsidRPr="00FA68C9" w:rsidRDefault="00542A59" w:rsidP="00542A59">
      <w:pPr>
        <w:rPr>
          <w:color w:val="000000"/>
          <w:sz w:val="12"/>
          <w:szCs w:val="16"/>
        </w:rPr>
      </w:pPr>
      <w:r w:rsidRPr="00FA68C9">
        <w:rPr>
          <w:color w:val="000000"/>
          <w:sz w:val="12"/>
          <w:szCs w:val="16"/>
        </w:rPr>
        <w:t xml:space="preserve">Orrick can’t confine himself to merely inventing a violation, either, because there is no basis for a lawsuit unless a violation results in real damages. So, the judge also has to fabricate some harm. This takes some doing since, in addition to merely directing that the law be enforced, the Trump administration has not actually taken any action against any sanctuary jurisdiction to this point. </w:t>
      </w:r>
    </w:p>
    <w:p w:rsidR="00542A59" w:rsidRPr="00FA68C9" w:rsidRDefault="00542A59" w:rsidP="00542A59">
      <w:pPr>
        <w:rPr>
          <w:color w:val="000000"/>
          <w:sz w:val="12"/>
          <w:szCs w:val="16"/>
        </w:rPr>
      </w:pPr>
      <w:r w:rsidRPr="00FA68C9">
        <w:rPr>
          <w:color w:val="000000"/>
          <w:sz w:val="12"/>
          <w:szCs w:val="16"/>
        </w:rPr>
        <w:t xml:space="preserve">No problem: Orrick theorizes that because San Francisco and Santa Clara receive lots of government funding, Trump’s order afflicts them with “pre-enforcement” anxiety. They quake in fear that their safety-net and services budgets will be slashed. </w:t>
      </w:r>
    </w:p>
    <w:p w:rsidR="00542A59" w:rsidRPr="00FA68C9" w:rsidRDefault="00542A59" w:rsidP="00542A59">
      <w:pPr>
        <w:rPr>
          <w:color w:val="000000"/>
          <w:sz w:val="12"/>
          <w:szCs w:val="16"/>
        </w:rPr>
      </w:pPr>
      <w:r w:rsidRPr="00FA68C9">
        <w:rPr>
          <w:color w:val="000000"/>
          <w:sz w:val="12"/>
          <w:szCs w:val="16"/>
        </w:rPr>
        <w:t xml:space="preserve">Sanctuary cities? Maybe we should call them snowflake cities. </w:t>
      </w:r>
    </w:p>
    <w:p w:rsidR="00542A59" w:rsidRPr="00FA68C9" w:rsidRDefault="00542A59" w:rsidP="00542A59">
      <w:pPr>
        <w:rPr>
          <w:color w:val="000000"/>
          <w:sz w:val="12"/>
          <w:szCs w:val="16"/>
        </w:rPr>
      </w:pPr>
      <w:r w:rsidRPr="00FA68C9">
        <w:rPr>
          <w:color w:val="000000"/>
          <w:sz w:val="12"/>
          <w:szCs w:val="16"/>
        </w:rPr>
        <w:t xml:space="preserve">As noted above, there is a transparent agenda behind Orrick’s sleight of hand. The judge is keen to warn the president that, if ever his administration were to deny funds to sanctuary cities, it would violate the Constitution. It is in connection with this advisory opinion that the judge makes the only point worthy of consideration — albeit not in the case before him. </w:t>
      </w:r>
    </w:p>
    <w:p w:rsidR="00542A59" w:rsidRPr="00FA68C9" w:rsidRDefault="00542A59" w:rsidP="00542A59">
      <w:pPr>
        <w:rPr>
          <w:color w:val="000000"/>
          <w:sz w:val="12"/>
          <w:szCs w:val="16"/>
        </w:rPr>
      </w:pPr>
      <w:r w:rsidRPr="00FA68C9">
        <w:rPr>
          <w:color w:val="000000"/>
          <w:sz w:val="12"/>
          <w:szCs w:val="16"/>
        </w:rPr>
        <w:t xml:space="preserve">Here, it is useful to recall the Supreme Court’s first Obamacare ruling. While conservatives inveighed against Chief Justice Roberts’s upholding of the individual mandate, the decision had a silver lining: The majority invalidated Obamacare’s Medicaid mandate, which required the states, as a condition of qualifying for federal Medicaid funding, to enforce the federal government’s generous new Medicaid qualifications. </w:t>
      </w:r>
    </w:p>
    <w:p w:rsidR="00542A59" w:rsidRPr="00FA68C9" w:rsidRDefault="00542A59" w:rsidP="00542A59">
      <w:pPr>
        <w:rPr>
          <w:color w:val="000000"/>
          <w:sz w:val="12"/>
          <w:szCs w:val="16"/>
        </w:rPr>
      </w:pPr>
      <w:r w:rsidRPr="00FA68C9">
        <w:rPr>
          <w:color w:val="000000"/>
          <w:sz w:val="12"/>
          <w:szCs w:val="16"/>
        </w:rPr>
        <w:t xml:space="preserve">In our system, the states are sovereign — the federal government may not dictate to them in areas of traditional state regulation, nor may it conscript them to enforce federal law. The Supremes therefore explained that state agreements to accept federal funding in return for adopting federal standards (e.g., to accept highway funding in exchange for adopting the federally prescribed 55-mph speed limit) are like contracts. The state must agree to the federal government’s terms. Once such an agreement is reached, the feds may not unilaterally make material changes in the terms, nor may they use their superior bargaining position to extort a state into acceding to onerous new terms in order to get the federal money on which it has come to depend. Whether a particular case involves such an extortion, as opposed to a permissible nudge, depends on the facts. If the feds are too heavy-handed, they run the risk of violating the Tenth Amendment’s federalist division of powers. </w:t>
      </w:r>
    </w:p>
    <w:p w:rsidR="00542A59" w:rsidRPr="00FA68C9" w:rsidRDefault="00542A59" w:rsidP="00542A59">
      <w:pPr>
        <w:rPr>
          <w:color w:val="000000"/>
          <w:sz w:val="12"/>
          <w:szCs w:val="16"/>
        </w:rPr>
      </w:pPr>
      <w:r w:rsidRPr="00FA68C9">
        <w:rPr>
          <w:color w:val="000000"/>
          <w:sz w:val="12"/>
          <w:szCs w:val="16"/>
        </w:rPr>
        <w:t xml:space="preserve">Who knew federal judges in </w:t>
      </w:r>
      <w:proofErr w:type="spellStart"/>
      <w:r w:rsidRPr="00FA68C9">
        <w:rPr>
          <w:color w:val="000000"/>
          <w:sz w:val="12"/>
          <w:szCs w:val="16"/>
        </w:rPr>
        <w:t>ur</w:t>
      </w:r>
      <w:proofErr w:type="spellEnd"/>
      <w:r w:rsidRPr="00FA68C9">
        <w:rPr>
          <w:color w:val="000000"/>
          <w:sz w:val="12"/>
          <w:szCs w:val="16"/>
        </w:rPr>
        <w:t xml:space="preserve">-statist San Francisco had become such federalists? </w:t>
      </w:r>
    </w:p>
    <w:p w:rsidR="00542A59" w:rsidRPr="00FA68C9" w:rsidRDefault="00542A59" w:rsidP="00542A59">
      <w:pPr>
        <w:rPr>
          <w:color w:val="000000"/>
          <w:sz w:val="16"/>
        </w:rPr>
      </w:pPr>
      <w:r w:rsidRPr="00FA68C9">
        <w:rPr>
          <w:color w:val="000000"/>
          <w:sz w:val="16"/>
        </w:rPr>
        <w:t xml:space="preserve">Orrick contends that if Trump were to cut off funds from sanctuary cities for failure to assist federal immigration-enforcement officials, it would offend the Tenth Amendment. This is highly unlikely. First, let’s remember — though Orrick studiously forgets — that Trump’s </w:t>
      </w:r>
      <w:r w:rsidRPr="00FA68C9">
        <w:rPr>
          <w:rStyle w:val="StyleUnderline"/>
          <w:highlight w:val="green"/>
        </w:rPr>
        <w:t>order endorses</w:t>
      </w:r>
      <w:r w:rsidRPr="00FA68C9">
        <w:rPr>
          <w:color w:val="000000"/>
          <w:sz w:val="16"/>
        </w:rPr>
        <w:t xml:space="preserve"> only such </w:t>
      </w:r>
      <w:r w:rsidRPr="00FA68C9">
        <w:rPr>
          <w:rStyle w:val="StyleUnderline"/>
          <w:highlight w:val="green"/>
        </w:rPr>
        <w:t>stripping of funds as Congress</w:t>
      </w:r>
      <w:r w:rsidRPr="00FA68C9">
        <w:rPr>
          <w:rStyle w:val="StyleUnderline"/>
        </w:rPr>
        <w:t xml:space="preserve"> </w:t>
      </w:r>
      <w:r w:rsidRPr="00FA68C9">
        <w:rPr>
          <w:rStyle w:val="StyleUnderline"/>
          <w:sz w:val="16"/>
          <w:u w:val="none"/>
        </w:rPr>
        <w:t>has</w:t>
      </w:r>
      <w:r w:rsidRPr="00FA68C9">
        <w:rPr>
          <w:color w:val="000000"/>
          <w:sz w:val="16"/>
        </w:rPr>
        <w:t xml:space="preserve"> already </w:t>
      </w:r>
      <w:r w:rsidRPr="00FA68C9">
        <w:rPr>
          <w:rStyle w:val="StyleUnderline"/>
          <w:highlight w:val="green"/>
        </w:rPr>
        <w:t>approved</w:t>
      </w:r>
      <w:r w:rsidRPr="00FA68C9">
        <w:rPr>
          <w:color w:val="000000"/>
          <w:sz w:val="16"/>
        </w:rPr>
        <w:t xml:space="preserve">. Thus, sanctuary jurisdictions would be ill-suited to claim that they’d been sandbagged. Second, the money likely to be at issue would surely be nothing close to Medicaid funding. Finally, Trump would not be unilaterally rewriting an existing federal–state contract; he’d be calling for the states to follow federal laws that (a) were on the books when the states started taking federal money and (b) pertain to immigration, a legal realm in which the courts have held the federal government is supreme and the states subordinate. </w:t>
      </w:r>
    </w:p>
    <w:p w:rsidR="00542A59" w:rsidRPr="00FA68C9" w:rsidRDefault="00542A59" w:rsidP="00542A59">
      <w:pPr>
        <w:rPr>
          <w:color w:val="000000"/>
          <w:sz w:val="12"/>
          <w:szCs w:val="16"/>
        </w:rPr>
      </w:pPr>
      <w:r w:rsidRPr="00FA68C9">
        <w:rPr>
          <w:color w:val="000000"/>
          <w:sz w:val="12"/>
          <w:szCs w:val="16"/>
        </w:rPr>
        <w:t>Still, all that said, whether any Trump-administration effort to cut off funding would run afoul of the Tenth Amendment would depend on such considerations as how much funding was actually cut; whether Congress had authorized the cut in designing the funding program; whether the funding was tightly related or unrelated to immigration enforcement; and how big a burden it would be for states to comply with federal demands. Those matters will be impossible to evaluate unless and until the administration actually directs a slashing of funds to a sanctuary jurisdiction.</w:t>
      </w:r>
    </w:p>
    <w:p w:rsidR="00542A59" w:rsidRPr="00FA68C9" w:rsidRDefault="00542A59" w:rsidP="00542A59">
      <w:pPr>
        <w:rPr>
          <w:sz w:val="16"/>
          <w:szCs w:val="16"/>
        </w:rPr>
      </w:pPr>
      <w:r w:rsidRPr="00FA68C9">
        <w:rPr>
          <w:color w:val="000000"/>
          <w:sz w:val="16"/>
        </w:rPr>
        <w:t xml:space="preserve"> If that happens, there will almost certainly be no legal infirmity as long as </w:t>
      </w:r>
      <w:r w:rsidRPr="00FA68C9">
        <w:rPr>
          <w:rStyle w:val="StyleUnderline"/>
          <w:highlight w:val="green"/>
        </w:rPr>
        <w:t>Trump’s E.O.</w:t>
      </w:r>
      <w:r w:rsidRPr="00FA68C9">
        <w:rPr>
          <w:color w:val="000000"/>
          <w:sz w:val="16"/>
        </w:rPr>
        <w:t xml:space="preserve"> means what it </w:t>
      </w:r>
      <w:r w:rsidRPr="00FA68C9">
        <w:rPr>
          <w:rStyle w:val="StyleUnderline"/>
          <w:highlight w:val="green"/>
        </w:rPr>
        <w:t>says</w:t>
      </w:r>
      <w:r w:rsidRPr="00FA68C9">
        <w:rPr>
          <w:color w:val="000000"/>
          <w:sz w:val="16"/>
        </w:rPr>
        <w:t xml:space="preserve"> — namely, that </w:t>
      </w:r>
      <w:r w:rsidRPr="00FA68C9">
        <w:rPr>
          <w:rStyle w:val="StyleUnderline"/>
          <w:highlight w:val="green"/>
        </w:rPr>
        <w:t>any funding cuts must be consistent with existing federal law.</w:t>
      </w:r>
      <w:r w:rsidRPr="00FA68C9">
        <w:rPr>
          <w:rStyle w:val="StyleUnderline"/>
        </w:rPr>
        <w:t xml:space="preserve"> </w:t>
      </w:r>
      <w:r w:rsidRPr="00FA68C9">
        <w:rPr>
          <w:color w:val="000000"/>
          <w:sz w:val="16"/>
        </w:rPr>
        <w:t>But it hasn’t happened. And as long as it hasn’t happened, there is no basis for a court to involve itself, much less issue an anticipatory ruling.</w:t>
      </w:r>
      <w:r w:rsidRPr="00FA68C9">
        <w:rPr>
          <w:color w:val="000000"/>
          <w:sz w:val="16"/>
        </w:rPr>
        <w:br/>
      </w:r>
    </w:p>
    <w:p w:rsidR="00542A59" w:rsidRPr="00FA68C9" w:rsidRDefault="00542A59" w:rsidP="00542A59"/>
    <w:p w:rsidR="00542A59" w:rsidRPr="00FA68C9" w:rsidRDefault="00542A59" w:rsidP="00542A59"/>
    <w:p w:rsidR="00542A59" w:rsidRPr="00FA68C9" w:rsidRDefault="00542A59" w:rsidP="007B1A82">
      <w:pPr>
        <w:pStyle w:val="Heading2"/>
        <w:rPr>
          <w:rFonts w:cs="Arial"/>
        </w:rPr>
      </w:pPr>
    </w:p>
    <w:p w:rsidR="00BE0801" w:rsidRPr="00FA68C9" w:rsidRDefault="00BE0801" w:rsidP="007B1A82">
      <w:pPr>
        <w:pStyle w:val="Heading2"/>
        <w:rPr>
          <w:rFonts w:cs="Arial"/>
        </w:rPr>
      </w:pPr>
      <w:r w:rsidRPr="00FA68C9">
        <w:rPr>
          <w:rFonts w:cs="Arial"/>
        </w:rPr>
        <w:t>cap k</w:t>
      </w:r>
    </w:p>
    <w:p w:rsidR="00BE0801" w:rsidRPr="00FA68C9" w:rsidRDefault="00BE0801" w:rsidP="00BE0801">
      <w:pPr>
        <w:pStyle w:val="Heading3"/>
        <w:rPr>
          <w:rFonts w:cs="Arial"/>
        </w:rPr>
      </w:pPr>
      <w:r w:rsidRPr="00FA68C9">
        <w:rPr>
          <w:rFonts w:cs="Arial"/>
        </w:rPr>
        <w:t>1nc link – cultural competence</w:t>
      </w:r>
    </w:p>
    <w:p w:rsidR="00BE0801" w:rsidRPr="00FA68C9" w:rsidRDefault="00BE0801" w:rsidP="00164D27"/>
    <w:p w:rsidR="00BE0801" w:rsidRPr="00FA68C9" w:rsidRDefault="00164D27" w:rsidP="00BE0801">
      <w:pPr>
        <w:pStyle w:val="Heading4"/>
        <w:rPr>
          <w:rFonts w:cs="Arial"/>
        </w:rPr>
      </w:pPr>
      <w:r w:rsidRPr="00FA68C9">
        <w:rPr>
          <w:rFonts w:cs="Arial"/>
        </w:rPr>
        <w:t>Culturally</w:t>
      </w:r>
      <w:r w:rsidR="00BE0801" w:rsidRPr="00FA68C9">
        <w:rPr>
          <w:rFonts w:cs="Arial"/>
        </w:rPr>
        <w:t xml:space="preserve"> inclusive</w:t>
      </w:r>
      <w:r w:rsidRPr="00FA68C9">
        <w:rPr>
          <w:rFonts w:cs="Arial"/>
        </w:rPr>
        <w:t xml:space="preserve"> education</w:t>
      </w:r>
      <w:r w:rsidR="00BE0801" w:rsidRPr="00FA68C9">
        <w:rPr>
          <w:rFonts w:cs="Arial"/>
        </w:rPr>
        <w:t xml:space="preserve"> policies are a tool of neoliberal governance to maintain the illusion of equity</w:t>
      </w:r>
    </w:p>
    <w:p w:rsidR="00164D27" w:rsidRPr="00FA68C9" w:rsidRDefault="00164D27" w:rsidP="00164D27">
      <w:r w:rsidRPr="00FA68C9">
        <w:t>* also answers the perm and turns solvency</w:t>
      </w:r>
    </w:p>
    <w:p w:rsidR="00BE0801" w:rsidRPr="00FA68C9" w:rsidRDefault="00BE0801" w:rsidP="00BE0801">
      <w:pPr>
        <w:rPr>
          <w:sz w:val="18"/>
        </w:rPr>
      </w:pPr>
      <w:proofErr w:type="spellStart"/>
      <w:r w:rsidRPr="00FA68C9">
        <w:rPr>
          <w:rStyle w:val="Style13ptBold"/>
        </w:rPr>
        <w:t>McGloin</w:t>
      </w:r>
      <w:proofErr w:type="spellEnd"/>
      <w:r w:rsidRPr="00FA68C9">
        <w:rPr>
          <w:rStyle w:val="Style13ptBold"/>
        </w:rPr>
        <w:t xml:space="preserve"> and </w:t>
      </w:r>
      <w:proofErr w:type="spellStart"/>
      <w:r w:rsidRPr="00FA68C9">
        <w:rPr>
          <w:rStyle w:val="Style13ptBold"/>
        </w:rPr>
        <w:t>Stirling</w:t>
      </w:r>
      <w:proofErr w:type="spellEnd"/>
      <w:r w:rsidRPr="00FA68C9">
        <w:rPr>
          <w:rStyle w:val="Style13ptBold"/>
        </w:rPr>
        <w:t xml:space="preserve"> 15</w:t>
      </w:r>
      <w:r w:rsidRPr="00FA68C9">
        <w:t xml:space="preserve"> </w:t>
      </w:r>
      <w:r w:rsidRPr="00FA68C9">
        <w:rPr>
          <w:sz w:val="18"/>
        </w:rPr>
        <w:t xml:space="preserve">Colleen </w:t>
      </w:r>
      <w:proofErr w:type="spellStart"/>
      <w:r w:rsidRPr="00FA68C9">
        <w:rPr>
          <w:sz w:val="18"/>
        </w:rPr>
        <w:t>McGloin</w:t>
      </w:r>
      <w:proofErr w:type="spellEnd"/>
      <w:r w:rsidRPr="00FA68C9">
        <w:rPr>
          <w:sz w:val="18"/>
        </w:rPr>
        <w:t xml:space="preserve"> is a senior lecturer in Indigenous Studies. She comes from a multi-disciplinary background in English Studies and Cultural Studies and is interested in interdisciplinary approaches to teaching and learning. Colleen’s key research interests are in critical pedagogy as a body of knowledge that is politically and socially motivated toward social justice</w:t>
      </w:r>
      <w:r w:rsidRPr="00FA68C9">
        <w:rPr>
          <w:color w:val="000000"/>
          <w:sz w:val="18"/>
          <w:szCs w:val="21"/>
          <w:shd w:val="clear" w:color="auto" w:fill="FFFFFF"/>
        </w:rPr>
        <w:t xml:space="preserve">. </w:t>
      </w:r>
      <w:r w:rsidRPr="00FA68C9">
        <w:rPr>
          <w:sz w:val="18"/>
        </w:rPr>
        <w:t xml:space="preserve">Jeannette </w:t>
      </w:r>
      <w:proofErr w:type="spellStart"/>
      <w:r w:rsidRPr="00FA68C9">
        <w:rPr>
          <w:sz w:val="18"/>
        </w:rPr>
        <w:t>Stirling</w:t>
      </w:r>
      <w:proofErr w:type="spellEnd"/>
      <w:r w:rsidRPr="00FA68C9">
        <w:rPr>
          <w:sz w:val="18"/>
        </w:rPr>
        <w:t xml:space="preserve"> is a senior lecturer at the University of Wollongong. Her abiding research interests are in those intersections between policy, practice, and institutional culture 2015 (Collen </w:t>
      </w:r>
      <w:proofErr w:type="spellStart"/>
      <w:r w:rsidRPr="00FA68C9">
        <w:rPr>
          <w:sz w:val="18"/>
        </w:rPr>
        <w:t>McGloin</w:t>
      </w:r>
      <w:proofErr w:type="spellEnd"/>
      <w:r w:rsidRPr="00FA68C9">
        <w:rPr>
          <w:sz w:val="18"/>
        </w:rPr>
        <w:t xml:space="preserve"> &amp; Jeannette </w:t>
      </w:r>
      <w:proofErr w:type="spellStart"/>
      <w:r w:rsidRPr="00FA68C9">
        <w:rPr>
          <w:sz w:val="18"/>
        </w:rPr>
        <w:t>Stirling</w:t>
      </w:r>
      <w:proofErr w:type="spellEnd"/>
      <w:r w:rsidRPr="00FA68C9">
        <w:rPr>
          <w:sz w:val="18"/>
        </w:rPr>
        <w:t xml:space="preserve">, Faculty of Law, Humanities and the Arts – Papers at the University of Wollongong, “Critical pedagogy and social inclusion policy in Australian higher education: identifying the disjunctions”, </w:t>
      </w:r>
      <w:hyperlink r:id="rId10" w:history="1">
        <w:r w:rsidRPr="00FA68C9">
          <w:rPr>
            <w:rStyle w:val="Hyperlink"/>
            <w:sz w:val="18"/>
          </w:rPr>
          <w:t>http://ro.uow.edu.au/cgi/viewcontent.cgi?article=3016&amp;context=lhapapers</w:t>
        </w:r>
      </w:hyperlink>
      <w:r w:rsidRPr="00FA68C9">
        <w:rPr>
          <w:sz w:val="18"/>
        </w:rPr>
        <w:t>) J.W.</w:t>
      </w:r>
    </w:p>
    <w:p w:rsidR="00BE0801" w:rsidRPr="00FA68C9" w:rsidRDefault="00BE0801" w:rsidP="00BE0801">
      <w:pPr>
        <w:rPr>
          <w:u w:val="single"/>
        </w:rPr>
      </w:pPr>
      <w:r w:rsidRPr="00FA68C9">
        <w:rPr>
          <w:sz w:val="16"/>
        </w:rPr>
        <w:t xml:space="preserve">Undoubtedly </w:t>
      </w:r>
      <w:r w:rsidRPr="00FA68C9">
        <w:rPr>
          <w:highlight w:val="green"/>
          <w:u w:val="single"/>
        </w:rPr>
        <w:t>neoliberalism has</w:t>
      </w:r>
      <w:r w:rsidRPr="00FA68C9">
        <w:rPr>
          <w:u w:val="single"/>
        </w:rPr>
        <w:t xml:space="preserve"> </w:t>
      </w:r>
      <w:proofErr w:type="spellStart"/>
      <w:r w:rsidRPr="00FA68C9">
        <w:rPr>
          <w:u w:val="single"/>
        </w:rPr>
        <w:t>fuelled</w:t>
      </w:r>
      <w:proofErr w:type="spellEnd"/>
      <w:r w:rsidRPr="00FA68C9">
        <w:rPr>
          <w:u w:val="single"/>
        </w:rPr>
        <w:t xml:space="preserve"> the globalization of the university sector</w:t>
      </w:r>
      <w:r w:rsidRPr="00FA68C9">
        <w:rPr>
          <w:sz w:val="16"/>
        </w:rPr>
        <w:t xml:space="preserve"> and the growth of a free market knowledge economy</w:t>
      </w:r>
      <w:r w:rsidRPr="00FA68C9">
        <w:rPr>
          <w:u w:val="single"/>
        </w:rPr>
        <w:t xml:space="preserve">. It has also </w:t>
      </w:r>
      <w:r w:rsidRPr="00FA68C9">
        <w:rPr>
          <w:highlight w:val="green"/>
          <w:u w:val="single"/>
        </w:rPr>
        <w:t>recalibrated</w:t>
      </w:r>
      <w:r w:rsidRPr="00FA68C9">
        <w:rPr>
          <w:sz w:val="16"/>
        </w:rPr>
        <w:t xml:space="preserve"> the argot of higher </w:t>
      </w:r>
      <w:r w:rsidRPr="00FA68C9">
        <w:rPr>
          <w:highlight w:val="green"/>
          <w:u w:val="single"/>
        </w:rPr>
        <w:t>education to resonate around</w:t>
      </w:r>
      <w:r w:rsidRPr="00FA68C9">
        <w:rPr>
          <w:u w:val="single"/>
        </w:rPr>
        <w:t xml:space="preserve"> </w:t>
      </w:r>
      <w:r w:rsidRPr="00FA68C9">
        <w:rPr>
          <w:highlight w:val="green"/>
          <w:u w:val="single"/>
        </w:rPr>
        <w:t>“strategic plans”, “key performance indicators”, “measurable outcomes” and so forth</w:t>
      </w:r>
      <w:r w:rsidRPr="00FA68C9">
        <w:rPr>
          <w:sz w:val="16"/>
        </w:rPr>
        <w:t xml:space="preserve">. Working within this linguistic framework as an academic can be perilous for a range of reasons. </w:t>
      </w:r>
      <w:proofErr w:type="spellStart"/>
      <w:r w:rsidRPr="00FA68C9">
        <w:rPr>
          <w:sz w:val="16"/>
        </w:rPr>
        <w:t>Marginson</w:t>
      </w:r>
      <w:proofErr w:type="spellEnd"/>
      <w:r w:rsidRPr="00FA68C9">
        <w:rPr>
          <w:sz w:val="16"/>
        </w:rPr>
        <w:t xml:space="preserve"> and </w:t>
      </w:r>
      <w:proofErr w:type="spellStart"/>
      <w:r w:rsidRPr="00FA68C9">
        <w:rPr>
          <w:sz w:val="16"/>
        </w:rPr>
        <w:t>Considine</w:t>
      </w:r>
      <w:proofErr w:type="spellEnd"/>
      <w:r w:rsidRPr="00FA68C9">
        <w:rPr>
          <w:sz w:val="16"/>
        </w:rPr>
        <w:t xml:space="preserve"> (2000) argue that the reinvention process of the “Enterprise University” in accordance with </w:t>
      </w:r>
      <w:r w:rsidRPr="00FA68C9">
        <w:rPr>
          <w:highlight w:val="green"/>
          <w:u w:val="single"/>
        </w:rPr>
        <w:t>neoliberalist philosophies</w:t>
      </w:r>
      <w:r w:rsidRPr="00FA68C9">
        <w:rPr>
          <w:sz w:val="16"/>
        </w:rPr>
        <w:t xml:space="preserve"> has too often “worked around academic cultures” rather than “through academic cultures” (p. 237; see also Rizvi &amp; Lingard 2010). Ball (2003), </w:t>
      </w:r>
      <w:proofErr w:type="spellStart"/>
      <w:r w:rsidRPr="00FA68C9">
        <w:rPr>
          <w:sz w:val="16"/>
        </w:rPr>
        <w:t>Olssen</w:t>
      </w:r>
      <w:proofErr w:type="spellEnd"/>
      <w:r w:rsidRPr="00FA68C9">
        <w:rPr>
          <w:sz w:val="16"/>
        </w:rPr>
        <w:t xml:space="preserve"> and Peters (2005) variously contend that this process </w:t>
      </w:r>
      <w:r w:rsidRPr="00FA68C9">
        <w:rPr>
          <w:highlight w:val="green"/>
          <w:u w:val="single"/>
        </w:rPr>
        <w:t>has resulted in a teacher identity inscribed by the “</w:t>
      </w:r>
      <w:proofErr w:type="spellStart"/>
      <w:r w:rsidRPr="00FA68C9">
        <w:rPr>
          <w:highlight w:val="green"/>
          <w:u w:val="single"/>
        </w:rPr>
        <w:t>performativities</w:t>
      </w:r>
      <w:proofErr w:type="spellEnd"/>
      <w:r w:rsidRPr="00FA68C9">
        <w:rPr>
          <w:highlight w:val="green"/>
          <w:u w:val="single"/>
        </w:rPr>
        <w:t>”</w:t>
      </w:r>
      <w:r w:rsidRPr="00FA68C9">
        <w:rPr>
          <w:sz w:val="16"/>
        </w:rPr>
        <w:t xml:space="preserve"> — which can </w:t>
      </w:r>
      <w:r w:rsidRPr="00FA68C9">
        <w:rPr>
          <w:u w:val="single"/>
        </w:rPr>
        <w:t xml:space="preserve">be </w:t>
      </w:r>
      <w:r w:rsidRPr="00FA68C9">
        <w:rPr>
          <w:highlight w:val="green"/>
          <w:u w:val="single"/>
        </w:rPr>
        <w:t>merely reflexive gestures — of compliance to the indicators that policy has been successfully implemented.</w:t>
      </w:r>
      <w:r w:rsidRPr="00FA68C9">
        <w:rPr>
          <w:sz w:val="16"/>
        </w:rPr>
        <w:t xml:space="preserve"> Because </w:t>
      </w:r>
      <w:r w:rsidRPr="00FA68C9">
        <w:rPr>
          <w:highlight w:val="green"/>
          <w:u w:val="single"/>
        </w:rPr>
        <w:t>policy cannot differentiate diversities in productive ways</w:t>
      </w:r>
      <w:r w:rsidRPr="00FA68C9">
        <w:rPr>
          <w:sz w:val="16"/>
        </w:rPr>
        <w:t xml:space="preserve">, as the above examples show, </w:t>
      </w:r>
      <w:r w:rsidRPr="00FA68C9">
        <w:rPr>
          <w:u w:val="single"/>
        </w:rPr>
        <w:t>it always</w:t>
      </w:r>
      <w:r w:rsidRPr="00FA68C9">
        <w:rPr>
          <w:sz w:val="16"/>
        </w:rPr>
        <w:t xml:space="preserve"> necessarily, at least to some degree, </w:t>
      </w:r>
      <w:r w:rsidRPr="00FA68C9">
        <w:rPr>
          <w:u w:val="single"/>
        </w:rPr>
        <w:t>remains subject to its own discursive parameters that are, by definition</w:t>
      </w:r>
      <w:r w:rsidRPr="00FA68C9">
        <w:rPr>
          <w:sz w:val="16"/>
        </w:rPr>
        <w:t xml:space="preserve">, restrictive, constrictive and </w:t>
      </w:r>
      <w:r w:rsidRPr="00FA68C9">
        <w:rPr>
          <w:u w:val="single"/>
        </w:rPr>
        <w:t>limited in their capacity to direct an ethical praxis.</w:t>
      </w:r>
      <w:r w:rsidRPr="00FA68C9">
        <w:rPr>
          <w:sz w:val="16"/>
        </w:rPr>
        <w:t xml:space="preserve"> Adorno (cited in Bennett, 2001, p. 16) suggests that </w:t>
      </w:r>
      <w:r w:rsidRPr="00FA68C9">
        <w:rPr>
          <w:u w:val="single"/>
        </w:rPr>
        <w:t>culture and administration are inextricable</w:t>
      </w:r>
      <w:r w:rsidRPr="00FA68C9">
        <w:rPr>
          <w:sz w:val="16"/>
        </w:rPr>
        <w:t xml:space="preserve">, arguing that </w:t>
      </w:r>
      <w:r w:rsidRPr="00FA68C9">
        <w:rPr>
          <w:u w:val="single"/>
        </w:rPr>
        <w:t xml:space="preserve">speaking of culture necessarily implies speaking of administration whether intended or not because </w:t>
      </w:r>
      <w:proofErr w:type="spellStart"/>
      <w:r w:rsidRPr="00FA68C9">
        <w:rPr>
          <w:highlight w:val="green"/>
          <w:u w:val="single"/>
        </w:rPr>
        <w:t>organising</w:t>
      </w:r>
      <w:proofErr w:type="spellEnd"/>
      <w:r w:rsidRPr="00FA68C9">
        <w:rPr>
          <w:highlight w:val="green"/>
          <w:u w:val="single"/>
        </w:rPr>
        <w:t xml:space="preserve"> culture demands the assembling, distribution and </w:t>
      </w:r>
      <w:proofErr w:type="spellStart"/>
      <w:r w:rsidRPr="00FA68C9">
        <w:rPr>
          <w:highlight w:val="green"/>
          <w:u w:val="single"/>
        </w:rPr>
        <w:t>organisation</w:t>
      </w:r>
      <w:proofErr w:type="spellEnd"/>
      <w:r w:rsidRPr="00FA68C9">
        <w:rPr>
          <w:highlight w:val="green"/>
          <w:u w:val="single"/>
        </w:rPr>
        <w:t xml:space="preserve"> of groups often lacking a common frame of reference</w:t>
      </w:r>
      <w:r w:rsidRPr="00FA68C9">
        <w:rPr>
          <w:u w:val="single"/>
        </w:rPr>
        <w:t>.</w:t>
      </w:r>
      <w:r w:rsidRPr="00FA68C9">
        <w:rPr>
          <w:sz w:val="16"/>
        </w:rPr>
        <w:t xml:space="preserve"> Bennett (2001) states that </w:t>
      </w:r>
      <w:r w:rsidRPr="00FA68C9">
        <w:rPr>
          <w:highlight w:val="green"/>
          <w:u w:val="single"/>
        </w:rPr>
        <w:t>“the language of cultural diversity is used to bring together</w:t>
      </w:r>
      <w:r w:rsidRPr="00FA68C9">
        <w:rPr>
          <w:u w:val="single"/>
        </w:rPr>
        <w:t xml:space="preserve"> into the same administrative purview forms of cultural difference whose </w:t>
      </w:r>
      <w:r w:rsidRPr="00FA68C9">
        <w:rPr>
          <w:highlight w:val="green"/>
          <w:u w:val="single"/>
        </w:rPr>
        <w:t>histories and social articulations</w:t>
      </w:r>
      <w:r w:rsidRPr="00FA68C9">
        <w:rPr>
          <w:u w:val="single"/>
        </w:rPr>
        <w:t xml:space="preserve"> often have </w:t>
      </w:r>
      <w:r w:rsidRPr="00FA68C9">
        <w:rPr>
          <w:highlight w:val="green"/>
          <w:u w:val="single"/>
        </w:rPr>
        <w:t>little in common beyond the forms of cultural</w:t>
      </w:r>
      <w:r w:rsidRPr="00FA68C9">
        <w:rPr>
          <w:u w:val="single"/>
        </w:rPr>
        <w:t xml:space="preserve"> </w:t>
      </w:r>
      <w:r w:rsidRPr="00FA68C9">
        <w:rPr>
          <w:highlight w:val="green"/>
          <w:u w:val="single"/>
        </w:rPr>
        <w:t>administration which constitute them as similar”</w:t>
      </w:r>
      <w:r w:rsidRPr="00FA68C9">
        <w:rPr>
          <w:sz w:val="16"/>
        </w:rPr>
        <w:t xml:space="preserve"> (p. 16). As we have previously noted, administration — or </w:t>
      </w:r>
      <w:r w:rsidRPr="00FA68C9">
        <w:rPr>
          <w:highlight w:val="green"/>
          <w:u w:val="single"/>
        </w:rPr>
        <w:t>policymaking — does not</w:t>
      </w:r>
      <w:r w:rsidRPr="00FA68C9">
        <w:rPr>
          <w:sz w:val="16"/>
        </w:rPr>
        <w:t xml:space="preserve"> necessarily </w:t>
      </w:r>
      <w:r w:rsidRPr="00FA68C9">
        <w:rPr>
          <w:highlight w:val="green"/>
          <w:u w:val="single"/>
        </w:rPr>
        <w:t>keep pace with cultural shifts</w:t>
      </w:r>
      <w:r w:rsidRPr="00FA68C9">
        <w:rPr>
          <w:sz w:val="16"/>
        </w:rPr>
        <w:t xml:space="preserve">; rather, changes in culture invariably precede and inform administrative policy. We hear the term “common sense” invoked at certain times when the ambiguity of policy self-discloses; indeed, neoliberalism’s sleight-of-hand is often the common sense </w:t>
      </w:r>
      <w:proofErr w:type="spellStart"/>
      <w:r w:rsidRPr="00FA68C9">
        <w:rPr>
          <w:sz w:val="16"/>
        </w:rPr>
        <w:t>catchcry</w:t>
      </w:r>
      <w:proofErr w:type="spellEnd"/>
      <w:r w:rsidRPr="00FA68C9">
        <w:rPr>
          <w:sz w:val="16"/>
        </w:rPr>
        <w:t>! As Hall and O’Shea (2013, p. 8) note, the taken-for-</w:t>
      </w:r>
      <w:proofErr w:type="spellStart"/>
      <w:r w:rsidRPr="00FA68C9">
        <w:rPr>
          <w:sz w:val="16"/>
        </w:rPr>
        <w:t>grantedness</w:t>
      </w:r>
      <w:proofErr w:type="spellEnd"/>
      <w:r w:rsidRPr="00FA68C9">
        <w:rPr>
          <w:sz w:val="16"/>
        </w:rPr>
        <w:t xml:space="preserve"> of common sense confers its own legitimacy while shaping and influencing it. Armed with this knowledge, we still search for a common sense to direct us in our efforts to find some coherence in the policies that regulate what we do and how we do it while acknowledging that in 15 pedagogical terms there is no effective interface between the increasing diversity of student bodies and our practice as educators. What this means for us is that we draw from our professional capacities as skilled teachers of a certain age, gender and experiential background as well as researchers who engage with critical pedagogy in our praxis. Our experience tells us that </w:t>
      </w:r>
      <w:r w:rsidRPr="00FA68C9">
        <w:rPr>
          <w:highlight w:val="green"/>
          <w:u w:val="single"/>
        </w:rPr>
        <w:t>cultural difference, within</w:t>
      </w:r>
      <w:r w:rsidRPr="00FA68C9">
        <w:rPr>
          <w:u w:val="single"/>
        </w:rPr>
        <w:t xml:space="preserve"> the</w:t>
      </w:r>
      <w:r w:rsidRPr="00FA68C9">
        <w:rPr>
          <w:sz w:val="16"/>
        </w:rPr>
        <w:t xml:space="preserve"> overarching </w:t>
      </w:r>
      <w:r w:rsidRPr="00FA68C9">
        <w:rPr>
          <w:u w:val="single"/>
        </w:rPr>
        <w:t xml:space="preserve">framework of </w:t>
      </w:r>
      <w:r w:rsidRPr="00FA68C9">
        <w:rPr>
          <w:highlight w:val="green"/>
          <w:u w:val="single"/>
        </w:rPr>
        <w:t>neoliberalism’s diversity</w:t>
      </w:r>
      <w:r w:rsidRPr="00FA68C9">
        <w:rPr>
          <w:sz w:val="16"/>
        </w:rPr>
        <w:t>, can</w:t>
      </w:r>
      <w:r w:rsidRPr="00FA68C9">
        <w:rPr>
          <w:u w:val="single"/>
        </w:rPr>
        <w:t xml:space="preserve"> </w:t>
      </w:r>
      <w:r w:rsidRPr="00FA68C9">
        <w:rPr>
          <w:highlight w:val="green"/>
          <w:u w:val="single"/>
        </w:rPr>
        <w:t>produce tension</w:t>
      </w:r>
      <w:r w:rsidRPr="00FA68C9">
        <w:rPr>
          <w:sz w:val="16"/>
        </w:rPr>
        <w:t xml:space="preserve"> and conflict</w:t>
      </w:r>
      <w:r w:rsidRPr="00FA68C9">
        <w:rPr>
          <w:u w:val="single"/>
        </w:rPr>
        <w:t xml:space="preserve"> for universities. </w:t>
      </w:r>
      <w:r w:rsidRPr="00FA68C9">
        <w:rPr>
          <w:highlight w:val="green"/>
          <w:u w:val="single"/>
        </w:rPr>
        <w:t>They must be seen to be</w:t>
      </w:r>
      <w:r w:rsidRPr="00FA68C9">
        <w:rPr>
          <w:u w:val="single"/>
        </w:rPr>
        <w:t xml:space="preserve"> </w:t>
      </w:r>
      <w:r w:rsidRPr="00FA68C9">
        <w:rPr>
          <w:highlight w:val="green"/>
          <w:u w:val="single"/>
        </w:rPr>
        <w:t>addressing issues of social justice</w:t>
      </w:r>
      <w:r w:rsidRPr="00FA68C9">
        <w:rPr>
          <w:u w:val="single"/>
        </w:rPr>
        <w:t xml:space="preserve"> in all their manifestations of inclusion,</w:t>
      </w:r>
      <w:r w:rsidRPr="00FA68C9">
        <w:rPr>
          <w:sz w:val="16"/>
        </w:rPr>
        <w:t xml:space="preserve"> widening participation, diversity, disability, and so on, </w:t>
      </w:r>
      <w:r w:rsidRPr="00FA68C9">
        <w:rPr>
          <w:highlight w:val="green"/>
          <w:u w:val="single"/>
        </w:rPr>
        <w:t>but cannot</w:t>
      </w:r>
      <w:r w:rsidRPr="00FA68C9">
        <w:rPr>
          <w:sz w:val="16"/>
        </w:rPr>
        <w:t xml:space="preserve"> adequately </w:t>
      </w:r>
      <w:r w:rsidRPr="00FA68C9">
        <w:rPr>
          <w:highlight w:val="green"/>
          <w:u w:val="single"/>
        </w:rPr>
        <w:t>produce policies that</w:t>
      </w:r>
      <w:r w:rsidRPr="00FA68C9">
        <w:rPr>
          <w:u w:val="single"/>
        </w:rPr>
        <w:t xml:space="preserve"> engage or </w:t>
      </w:r>
      <w:r w:rsidRPr="00FA68C9">
        <w:rPr>
          <w:highlight w:val="green"/>
          <w:u w:val="single"/>
        </w:rPr>
        <w:t>address</w:t>
      </w:r>
      <w:r w:rsidRPr="00FA68C9">
        <w:rPr>
          <w:u w:val="single"/>
        </w:rPr>
        <w:t xml:space="preserve"> the </w:t>
      </w:r>
      <w:r w:rsidRPr="00FA68C9">
        <w:rPr>
          <w:highlight w:val="green"/>
          <w:u w:val="single"/>
        </w:rPr>
        <w:t>multiple subjectivities that comprise any given cohort at any given time.</w:t>
      </w:r>
      <w:r w:rsidRPr="00FA68C9">
        <w:rPr>
          <w:sz w:val="16"/>
        </w:rPr>
        <w:t xml:space="preserve"> We argue that </w:t>
      </w:r>
      <w:r w:rsidRPr="00FA68C9">
        <w:rPr>
          <w:highlight w:val="green"/>
          <w:u w:val="single"/>
        </w:rPr>
        <w:t>this makes lip service</w:t>
      </w:r>
      <w:r w:rsidRPr="00FA68C9">
        <w:rPr>
          <w:u w:val="single"/>
        </w:rPr>
        <w:t xml:space="preserve"> to social justice increasingly </w:t>
      </w:r>
      <w:r w:rsidRPr="00FA68C9">
        <w:rPr>
          <w:highlight w:val="green"/>
          <w:u w:val="single"/>
        </w:rPr>
        <w:t>inevitable</w:t>
      </w:r>
      <w:r w:rsidRPr="00FA68C9">
        <w:rPr>
          <w:u w:val="single"/>
        </w:rPr>
        <w:t>.</w:t>
      </w:r>
      <w:r w:rsidRPr="00FA68C9">
        <w:rPr>
          <w:sz w:val="16"/>
        </w:rPr>
        <w:t xml:space="preserve"> It will also continue to reduce any meaningful interpretation of social justice. In the classroom scenarios we have included above, </w:t>
      </w:r>
      <w:r w:rsidRPr="00FA68C9">
        <w:rPr>
          <w:u w:val="single"/>
        </w:rPr>
        <w:t xml:space="preserve">clumsy but </w:t>
      </w:r>
      <w:proofErr w:type="spellStart"/>
      <w:r w:rsidRPr="00FA68C9">
        <w:rPr>
          <w:highlight w:val="green"/>
          <w:u w:val="single"/>
        </w:rPr>
        <w:t>wellmeaning</w:t>
      </w:r>
      <w:proofErr w:type="spellEnd"/>
      <w:r w:rsidRPr="00FA68C9">
        <w:rPr>
          <w:highlight w:val="green"/>
          <w:u w:val="single"/>
        </w:rPr>
        <w:t xml:space="preserve"> efforts</w:t>
      </w:r>
      <w:r w:rsidRPr="00FA68C9">
        <w:rPr>
          <w:u w:val="single"/>
        </w:rPr>
        <w:t xml:space="preserve"> to endorse inclusivity </w:t>
      </w:r>
      <w:r w:rsidRPr="00FA68C9">
        <w:rPr>
          <w:highlight w:val="green"/>
          <w:u w:val="single"/>
        </w:rPr>
        <w:t>only succeeded in producing situations whereby the students felt subject to discriminatory practice.</w:t>
      </w:r>
      <w:r w:rsidRPr="00FA68C9">
        <w:rPr>
          <w:sz w:val="16"/>
        </w:rPr>
        <w:t xml:space="preserve"> As Freire (1994) tells us, “the expression of academic policy implies the problem of power” (p. 142). Therefore, the experiences cited above are contrary to any capacity students have for acquiring transformative learning because they are neatly encapsulated in reductive policies that accord power to policy frameworks and their regulative bodies, and not to students. </w:t>
      </w:r>
      <w:r w:rsidRPr="00FA68C9">
        <w:rPr>
          <w:highlight w:val="green"/>
          <w:u w:val="single"/>
        </w:rPr>
        <w:t>Polic</w:t>
      </w:r>
      <w:r w:rsidRPr="00FA68C9">
        <w:rPr>
          <w:u w:val="single"/>
        </w:rPr>
        <w:t>y</w:t>
      </w:r>
      <w:r w:rsidRPr="00FA68C9">
        <w:rPr>
          <w:sz w:val="16"/>
        </w:rPr>
        <w:t xml:space="preserve"> in these instances </w:t>
      </w:r>
      <w:r w:rsidRPr="00FA68C9">
        <w:rPr>
          <w:highlight w:val="green"/>
          <w:u w:val="single"/>
        </w:rPr>
        <w:t>is not supported by any comprehensive knowledge of the diverse matrix of sociocultural relations that comprise our student bodies. Policy is</w:t>
      </w:r>
      <w:r w:rsidRPr="00FA68C9">
        <w:rPr>
          <w:u w:val="single"/>
        </w:rPr>
        <w:t xml:space="preserve"> also n</w:t>
      </w:r>
      <w:r w:rsidRPr="00FA68C9">
        <w:rPr>
          <w:highlight w:val="green"/>
          <w:u w:val="single"/>
        </w:rPr>
        <w:t>ot supported by any wide-ranging knowledge of cultural competence</w:t>
      </w:r>
      <w:r w:rsidRPr="00FA68C9">
        <w:rPr>
          <w:u w:val="single"/>
        </w:rPr>
        <w:t>.</w:t>
      </w:r>
      <w:r w:rsidRPr="00FA68C9">
        <w:rPr>
          <w:sz w:val="16"/>
        </w:rPr>
        <w:t xml:space="preserve"> Consequently, </w:t>
      </w:r>
      <w:r w:rsidRPr="00FA68C9">
        <w:rPr>
          <w:highlight w:val="green"/>
          <w:u w:val="single"/>
        </w:rPr>
        <w:t>students who are the</w:t>
      </w:r>
      <w:r w:rsidRPr="00FA68C9">
        <w:rPr>
          <w:sz w:val="16"/>
        </w:rPr>
        <w:t xml:space="preserve"> intended </w:t>
      </w:r>
      <w:r w:rsidRPr="00FA68C9">
        <w:rPr>
          <w:highlight w:val="green"/>
          <w:u w:val="single"/>
        </w:rPr>
        <w:t>recipients of</w:t>
      </w:r>
      <w:r w:rsidRPr="00FA68C9">
        <w:rPr>
          <w:sz w:val="16"/>
        </w:rPr>
        <w:t xml:space="preserve"> equitable or </w:t>
      </w:r>
      <w:r w:rsidRPr="00FA68C9">
        <w:rPr>
          <w:highlight w:val="green"/>
          <w:u w:val="single"/>
        </w:rPr>
        <w:t>socially inclusive practice suffer</w:t>
      </w:r>
      <w:r w:rsidRPr="00FA68C9">
        <w:rPr>
          <w:sz w:val="16"/>
        </w:rPr>
        <w:t xml:space="preserve">, at best, </w:t>
      </w:r>
      <w:r w:rsidRPr="00FA68C9">
        <w:rPr>
          <w:highlight w:val="green"/>
          <w:u w:val="single"/>
        </w:rPr>
        <w:t>disregard for their</w:t>
      </w:r>
      <w:r w:rsidRPr="00FA68C9">
        <w:rPr>
          <w:sz w:val="16"/>
        </w:rPr>
        <w:t xml:space="preserve"> differentiated </w:t>
      </w:r>
      <w:r w:rsidRPr="00FA68C9">
        <w:rPr>
          <w:highlight w:val="green"/>
          <w:u w:val="single"/>
        </w:rPr>
        <w:t>autonomy and</w:t>
      </w:r>
      <w:r w:rsidRPr="00FA68C9">
        <w:rPr>
          <w:sz w:val="16"/>
        </w:rPr>
        <w:t xml:space="preserve"> at worst, </w:t>
      </w:r>
      <w:r w:rsidRPr="00FA68C9">
        <w:rPr>
          <w:highlight w:val="green"/>
          <w:u w:val="single"/>
        </w:rPr>
        <w:t>humiliation</w:t>
      </w:r>
      <w:r w:rsidRPr="00FA68C9">
        <w:rPr>
          <w:sz w:val="16"/>
        </w:rPr>
        <w:t>. Policy subjects us to the specificities of its language and the ambiguities of its directives</w:t>
      </w:r>
      <w:r w:rsidRPr="00FA68C9">
        <w:rPr>
          <w:u w:val="single"/>
        </w:rPr>
        <w:t xml:space="preserve">. </w:t>
      </w:r>
      <w:r w:rsidRPr="00FA68C9">
        <w:rPr>
          <w:highlight w:val="green"/>
          <w:u w:val="single"/>
        </w:rPr>
        <w:t>Policy maintains its dominance</w:t>
      </w:r>
      <w:r w:rsidRPr="00FA68C9">
        <w:rPr>
          <w:sz w:val="16"/>
        </w:rPr>
        <w:t xml:space="preserve"> through a discursive authority that inscribes policy documents with a language culturally understood </w:t>
      </w:r>
      <w:r w:rsidRPr="00FA68C9">
        <w:rPr>
          <w:highlight w:val="green"/>
          <w:u w:val="single"/>
        </w:rPr>
        <w:t>as the final word on a set of practices</w:t>
      </w:r>
      <w:r w:rsidRPr="00FA68C9">
        <w:rPr>
          <w:sz w:val="16"/>
        </w:rPr>
        <w:t xml:space="preserve">. Policy, therefore, is a ‘go to’ text of ‘expertise’; </w:t>
      </w:r>
      <w:r w:rsidRPr="00FA68C9">
        <w:rPr>
          <w:highlight w:val="green"/>
          <w:u w:val="single"/>
        </w:rPr>
        <w:t>not a flexible document but a set of guidelines that are</w:t>
      </w:r>
      <w:r w:rsidRPr="00FA68C9">
        <w:rPr>
          <w:u w:val="single"/>
        </w:rPr>
        <w:t xml:space="preserve"> </w:t>
      </w:r>
      <w:r w:rsidRPr="00FA68C9">
        <w:rPr>
          <w:highlight w:val="green"/>
          <w:u w:val="single"/>
        </w:rPr>
        <w:t>sanctioned institutionally</w:t>
      </w:r>
      <w:r w:rsidRPr="00FA68C9">
        <w:rPr>
          <w:u w:val="single"/>
        </w:rPr>
        <w:t>.</w:t>
      </w:r>
      <w:r w:rsidRPr="00FA68C9">
        <w:rPr>
          <w:sz w:val="16"/>
        </w:rPr>
        <w:t xml:space="preserve"> Its proficiency is assured, enforced and reinforced as it is simultaneously renewed to keep pace with cultural change. While we are subjected to the language of policy, we are also subjected to the power relations that produce it: as Rizvi and Lingard (2010) note, “policymaking is a fundamentally political process; it involves major trade-offs between values” (p. 72) which, </w:t>
      </w:r>
      <w:r w:rsidRPr="00FA68C9">
        <w:rPr>
          <w:u w:val="single"/>
        </w:rPr>
        <w:t>in the case of diversity and social equity policy and the commitment to market values, can mean a redefining of ethical considerations such as equity, justice and so on.</w:t>
      </w:r>
      <w:r w:rsidRPr="00FA68C9">
        <w:rPr>
          <w:sz w:val="16"/>
        </w:rPr>
        <w:t xml:space="preserve"> Challenging the authority of policy can be dangerous and can incur penalties. 16 </w:t>
      </w:r>
      <w:proofErr w:type="spellStart"/>
      <w:r w:rsidRPr="00FA68C9">
        <w:rPr>
          <w:highlight w:val="green"/>
          <w:u w:val="single"/>
        </w:rPr>
        <w:t>Characterised</w:t>
      </w:r>
      <w:proofErr w:type="spellEnd"/>
      <w:r w:rsidRPr="00FA68C9">
        <w:rPr>
          <w:sz w:val="16"/>
        </w:rPr>
        <w:t xml:space="preserve"> often</w:t>
      </w:r>
      <w:r w:rsidRPr="00FA68C9">
        <w:rPr>
          <w:u w:val="single"/>
        </w:rPr>
        <w:t xml:space="preserve"> </w:t>
      </w:r>
      <w:r w:rsidRPr="00FA68C9">
        <w:rPr>
          <w:highlight w:val="green"/>
          <w:u w:val="single"/>
        </w:rPr>
        <w:t xml:space="preserve">by neoliberal terms of reference, social diversity policies represent an attempt to </w:t>
      </w:r>
      <w:proofErr w:type="spellStart"/>
      <w:r w:rsidRPr="00FA68C9">
        <w:rPr>
          <w:highlight w:val="green"/>
          <w:u w:val="single"/>
        </w:rPr>
        <w:t>categorise</w:t>
      </w:r>
      <w:proofErr w:type="spellEnd"/>
      <w:r w:rsidRPr="00FA68C9">
        <w:rPr>
          <w:sz w:val="16"/>
        </w:rPr>
        <w:t xml:space="preserve">, rein in </w:t>
      </w:r>
      <w:r w:rsidRPr="00FA68C9">
        <w:rPr>
          <w:highlight w:val="green"/>
          <w:u w:val="single"/>
        </w:rPr>
        <w:t>and assimilate bodies whose differences resist reduction. To not “fit” posits a threat to the perceived cohesiveness of the institution</w:t>
      </w:r>
      <w:r w:rsidRPr="00FA68C9">
        <w:rPr>
          <w:u w:val="single"/>
        </w:rPr>
        <w:t>.</w:t>
      </w:r>
      <w:r w:rsidRPr="00FA68C9">
        <w:rPr>
          <w:sz w:val="16"/>
        </w:rPr>
        <w:t xml:space="preserve"> So it is that social diversity </w:t>
      </w:r>
      <w:r w:rsidRPr="00FA68C9">
        <w:rPr>
          <w:highlight w:val="green"/>
          <w:u w:val="single"/>
        </w:rPr>
        <w:t>policies</w:t>
      </w:r>
      <w:r w:rsidRPr="00FA68C9">
        <w:rPr>
          <w:sz w:val="16"/>
        </w:rPr>
        <w:t xml:space="preserve">, while purporting to be representative of fairness, equity and inclusion, are assimilationist by definition. They must be seen to be addressing diversity and the only way to do that is through a neat process of </w:t>
      </w:r>
      <w:proofErr w:type="spellStart"/>
      <w:r w:rsidRPr="00FA68C9">
        <w:rPr>
          <w:sz w:val="16"/>
        </w:rPr>
        <w:t>categorisation</w:t>
      </w:r>
      <w:proofErr w:type="spellEnd"/>
      <w:r w:rsidRPr="00FA68C9">
        <w:rPr>
          <w:sz w:val="16"/>
        </w:rPr>
        <w:t xml:space="preserve"> — a process of “truth” production — that </w:t>
      </w:r>
      <w:r w:rsidRPr="00FA68C9">
        <w:rPr>
          <w:highlight w:val="green"/>
          <w:u w:val="single"/>
        </w:rPr>
        <w:t xml:space="preserve">binds together un-like bodies in readily </w:t>
      </w:r>
      <w:proofErr w:type="spellStart"/>
      <w:r w:rsidRPr="00FA68C9">
        <w:rPr>
          <w:highlight w:val="green"/>
          <w:u w:val="single"/>
        </w:rPr>
        <w:t>recognisable</w:t>
      </w:r>
      <w:proofErr w:type="spellEnd"/>
      <w:r w:rsidRPr="00FA68C9">
        <w:rPr>
          <w:highlight w:val="green"/>
          <w:u w:val="single"/>
        </w:rPr>
        <w:t>, hence governable, groups</w:t>
      </w:r>
      <w:r w:rsidRPr="00FA68C9">
        <w:rPr>
          <w:sz w:val="16"/>
        </w:rPr>
        <w:t xml:space="preserve">. In an </w:t>
      </w:r>
      <w:proofErr w:type="spellStart"/>
      <w:r w:rsidRPr="00FA68C9">
        <w:rPr>
          <w:sz w:val="16"/>
        </w:rPr>
        <w:t>Althusserian</w:t>
      </w:r>
      <w:proofErr w:type="spellEnd"/>
      <w:r w:rsidRPr="00FA68C9">
        <w:rPr>
          <w:sz w:val="16"/>
        </w:rPr>
        <w:t xml:space="preserve"> (1971) sense, policy is an ideological apparatus that unifies the interests of intuitions by calling forth its subjects: [I]t “recruits” subjects among the individuals (it recruits them all), or ‘transforms’ the individuals into subjects (it transforms them all) by that very process which I have called interpellation or hailing, and which can be imagined along the lines of the most common everyday police (or other) hailing: “Hey, you there” . . . . (p. 174). Policy, for Freire, is intrinsically connected to the role of university academics or intellectuals. And the university, according to Freire, must be understood in relation to broader spheres of public activity. Freire’s question cited previously regarding the relationship between politics and academic policy (1994, p. 134) therefore resonates as we address the same question while raising further concerns about the relationship between our own teaching praxis and sites of institutional power in the broader sphere of public pedagogy that continue to regulate universities. We are constantly in search of effective ways to undermine, sidestep, and where possible, ignore the contradictions, gaps and generalities of academic policy. Our practice shows us that</w:t>
      </w:r>
      <w:r w:rsidRPr="00FA68C9">
        <w:rPr>
          <w:u w:val="single"/>
        </w:rPr>
        <w:t xml:space="preserve"> </w:t>
      </w:r>
      <w:r w:rsidRPr="00FA68C9">
        <w:rPr>
          <w:highlight w:val="green"/>
          <w:u w:val="single"/>
        </w:rPr>
        <w:t>social justice policy</w:t>
      </w:r>
      <w:r w:rsidRPr="00FA68C9">
        <w:rPr>
          <w:sz w:val="16"/>
        </w:rPr>
        <w:t xml:space="preserve"> in its current formulations </w:t>
      </w:r>
      <w:r w:rsidRPr="00FA68C9">
        <w:rPr>
          <w:u w:val="single"/>
        </w:rPr>
        <w:t xml:space="preserve">is an expedient way of dealing with the messy, difficult business of a practice of social justice that </w:t>
      </w:r>
      <w:r w:rsidRPr="00FA68C9">
        <w:rPr>
          <w:highlight w:val="green"/>
          <w:u w:val="single"/>
        </w:rPr>
        <w:t xml:space="preserve">requires a more concerted </w:t>
      </w:r>
      <w:proofErr w:type="spellStart"/>
      <w:r w:rsidRPr="00FA68C9">
        <w:rPr>
          <w:highlight w:val="green"/>
          <w:u w:val="single"/>
        </w:rPr>
        <w:t>spatio</w:t>
      </w:r>
      <w:proofErr w:type="spellEnd"/>
      <w:r w:rsidRPr="00FA68C9">
        <w:rPr>
          <w:highlight w:val="green"/>
          <w:u w:val="single"/>
        </w:rPr>
        <w:t>-temporal focus</w:t>
      </w:r>
      <w:r w:rsidRPr="00FA68C9">
        <w:rPr>
          <w:sz w:val="16"/>
        </w:rPr>
        <w:t xml:space="preserve">. As we understand it, </w:t>
      </w:r>
      <w:r w:rsidRPr="00FA68C9">
        <w:rPr>
          <w:highlight w:val="green"/>
          <w:u w:val="single"/>
        </w:rPr>
        <w:t>education policy is</w:t>
      </w:r>
      <w:r w:rsidRPr="00FA68C9">
        <w:rPr>
          <w:sz w:val="16"/>
        </w:rPr>
        <w:t xml:space="preserve"> a product of what Giroux calls </w:t>
      </w:r>
      <w:r w:rsidRPr="00FA68C9">
        <w:rPr>
          <w:highlight w:val="green"/>
          <w:u w:val="single"/>
        </w:rPr>
        <w:t>“corporate time”, a temporality embraced by neoliberalism that strips away</w:t>
      </w:r>
      <w:r w:rsidRPr="00FA68C9">
        <w:rPr>
          <w:u w:val="single"/>
        </w:rPr>
        <w:t xml:space="preserve"> any </w:t>
      </w:r>
      <w:r w:rsidRPr="00FA68C9">
        <w:rPr>
          <w:highlight w:val="green"/>
          <w:u w:val="single"/>
        </w:rPr>
        <w:t>worthwhile application of social justice by nurturing “a narrow sense of leadership, agency, and public values … largely indifferent to those concerns that are critical to a just society, but are not commercial in nature”</w:t>
      </w:r>
      <w:r w:rsidRPr="00FA68C9">
        <w:rPr>
          <w:sz w:val="16"/>
        </w:rPr>
        <w:t xml:space="preserve"> (2011, p. 116). Although Giroux’s application of this concept focuses on faculty and academics’ roles within corporatized structures, corporate time can be applied also to the time and space applied to the development and fostering of knowledge, of pedagogical practice, all forms of scholarly enterprise, and in this instance, to the rapid and expedient 17 development of policies that are seen to be in place as exemplars, evidence and testament to universities’ commitment to social justice principles. Implications </w:t>
      </w:r>
      <w:r w:rsidRPr="00FA68C9">
        <w:rPr>
          <w:highlight w:val="green"/>
          <w:u w:val="single"/>
        </w:rPr>
        <w:t>for Critical Pedagogy The disjunctions between policy and practice</w:t>
      </w:r>
      <w:r w:rsidRPr="00FA68C9">
        <w:rPr>
          <w:sz w:val="16"/>
        </w:rPr>
        <w:t xml:space="preserve"> that we have marked above are but a very small sample of what we see and frequently hear as educators and</w:t>
      </w:r>
      <w:r w:rsidRPr="00FA68C9">
        <w:rPr>
          <w:u w:val="single"/>
        </w:rPr>
        <w:t xml:space="preserve"> </w:t>
      </w:r>
      <w:r w:rsidRPr="00FA68C9">
        <w:rPr>
          <w:highlight w:val="green"/>
          <w:u w:val="single"/>
        </w:rPr>
        <w:t>have</w:t>
      </w:r>
      <w:r w:rsidRPr="00FA68C9">
        <w:rPr>
          <w:u w:val="single"/>
        </w:rPr>
        <w:t xml:space="preserve"> </w:t>
      </w:r>
      <w:r w:rsidRPr="00FA68C9">
        <w:rPr>
          <w:highlight w:val="green"/>
          <w:u w:val="single"/>
        </w:rPr>
        <w:t>considerable implications for any form of critical pedagogy that seeks to dismantle the</w:t>
      </w:r>
      <w:r w:rsidRPr="00FA68C9">
        <w:rPr>
          <w:u w:val="single"/>
        </w:rPr>
        <w:t xml:space="preserve"> seeming </w:t>
      </w:r>
      <w:r w:rsidRPr="00FA68C9">
        <w:rPr>
          <w:highlight w:val="green"/>
          <w:u w:val="single"/>
        </w:rPr>
        <w:t>hegemony of neoliberalism in</w:t>
      </w:r>
      <w:r w:rsidRPr="00FA68C9">
        <w:rPr>
          <w:u w:val="single"/>
        </w:rPr>
        <w:t xml:space="preserve"> higher </w:t>
      </w:r>
      <w:r w:rsidRPr="00FA68C9">
        <w:rPr>
          <w:highlight w:val="green"/>
          <w:u w:val="single"/>
        </w:rPr>
        <w:t>education. Policy itself is a pedagogical tool. It ‘teaches’ us</w:t>
      </w:r>
      <w:r w:rsidRPr="00FA68C9">
        <w:rPr>
          <w:u w:val="single"/>
        </w:rPr>
        <w:t xml:space="preserve"> and our students </w:t>
      </w:r>
      <w:r w:rsidRPr="00FA68C9">
        <w:rPr>
          <w:highlight w:val="green"/>
          <w:u w:val="single"/>
        </w:rPr>
        <w:t>how to behave, what is at stake, what is important</w:t>
      </w:r>
      <w:r w:rsidRPr="00FA68C9">
        <w:rPr>
          <w:u w:val="single"/>
        </w:rPr>
        <w:t>.</w:t>
      </w:r>
      <w:r w:rsidRPr="00FA68C9">
        <w:rPr>
          <w:sz w:val="16"/>
        </w:rPr>
        <w:t xml:space="preserve"> Often </w:t>
      </w:r>
      <w:r w:rsidRPr="00FA68C9">
        <w:rPr>
          <w:highlight w:val="green"/>
          <w:u w:val="single"/>
        </w:rPr>
        <w:t>under the guise of social justice,</w:t>
      </w:r>
      <w:r w:rsidRPr="00FA68C9">
        <w:rPr>
          <w:u w:val="single"/>
        </w:rPr>
        <w:t xml:space="preserve"> </w:t>
      </w:r>
      <w:r w:rsidRPr="00FA68C9">
        <w:rPr>
          <w:highlight w:val="green"/>
          <w:u w:val="single"/>
        </w:rPr>
        <w:t xml:space="preserve">policy appears to defend the </w:t>
      </w:r>
      <w:proofErr w:type="spellStart"/>
      <w:r w:rsidRPr="00FA68C9">
        <w:rPr>
          <w:highlight w:val="green"/>
          <w:u w:val="single"/>
        </w:rPr>
        <w:t>defenceless</w:t>
      </w:r>
      <w:proofErr w:type="spellEnd"/>
      <w:r w:rsidRPr="00FA68C9">
        <w:rPr>
          <w:u w:val="single"/>
        </w:rPr>
        <w:t xml:space="preserve"> and </w:t>
      </w:r>
      <w:r w:rsidRPr="00FA68C9">
        <w:rPr>
          <w:highlight w:val="green"/>
          <w:u w:val="single"/>
        </w:rPr>
        <w:t>yet</w:t>
      </w:r>
      <w:r w:rsidRPr="00FA68C9">
        <w:rPr>
          <w:sz w:val="16"/>
          <w:highlight w:val="green"/>
        </w:rPr>
        <w:t>,</w:t>
      </w:r>
      <w:r w:rsidRPr="00FA68C9">
        <w:rPr>
          <w:sz w:val="16"/>
        </w:rPr>
        <w:t xml:space="preserve"> as we have shown, </w:t>
      </w:r>
      <w:r w:rsidRPr="00FA68C9">
        <w:rPr>
          <w:highlight w:val="green"/>
          <w:u w:val="single"/>
        </w:rPr>
        <w:t>policy’s inability to differentiate</w:t>
      </w:r>
      <w:r w:rsidRPr="00FA68C9">
        <w:rPr>
          <w:u w:val="single"/>
        </w:rPr>
        <w:t xml:space="preserve"> </w:t>
      </w:r>
      <w:r w:rsidRPr="00FA68C9">
        <w:rPr>
          <w:highlight w:val="green"/>
          <w:u w:val="single"/>
        </w:rPr>
        <w:t>can have real</w:t>
      </w:r>
      <w:r w:rsidRPr="00FA68C9">
        <w:rPr>
          <w:u w:val="single"/>
        </w:rPr>
        <w:t xml:space="preserve">, political and social </w:t>
      </w:r>
      <w:r w:rsidRPr="00FA68C9">
        <w:rPr>
          <w:highlight w:val="green"/>
          <w:u w:val="single"/>
        </w:rPr>
        <w:t>consequences because it can only be interpreted through the lens of generality.</w:t>
      </w:r>
      <w:r w:rsidRPr="00FA68C9">
        <w:rPr>
          <w:u w:val="single"/>
        </w:rPr>
        <w:t xml:space="preserve"> </w:t>
      </w:r>
      <w:r w:rsidRPr="00FA68C9">
        <w:rPr>
          <w:sz w:val="16"/>
        </w:rPr>
        <w:t>As a pedagogical device, therefore</w:t>
      </w:r>
      <w:r w:rsidRPr="00FA68C9">
        <w:rPr>
          <w:sz w:val="16"/>
          <w:highlight w:val="green"/>
        </w:rPr>
        <w:t xml:space="preserve">, </w:t>
      </w:r>
      <w:r w:rsidRPr="00FA68C9">
        <w:rPr>
          <w:highlight w:val="green"/>
          <w:u w:val="single"/>
        </w:rPr>
        <w:t>policy flies in the face of any meaningful</w:t>
      </w:r>
      <w:r w:rsidRPr="00FA68C9">
        <w:rPr>
          <w:u w:val="single"/>
        </w:rPr>
        <w:t xml:space="preserve"> or critical </w:t>
      </w:r>
      <w:r w:rsidRPr="00FA68C9">
        <w:rPr>
          <w:highlight w:val="green"/>
          <w:u w:val="single"/>
        </w:rPr>
        <w:t>engagement with discriminatory practice. At the level of social justice, decontextualized</w:t>
      </w:r>
      <w:r w:rsidRPr="00FA68C9">
        <w:rPr>
          <w:u w:val="single"/>
        </w:rPr>
        <w:t xml:space="preserve"> and undifferentiated </w:t>
      </w:r>
      <w:r w:rsidRPr="00FA68C9">
        <w:rPr>
          <w:highlight w:val="green"/>
          <w:u w:val="single"/>
        </w:rPr>
        <w:t>statements about the specificities of marginality</w:t>
      </w:r>
      <w:r w:rsidRPr="00FA68C9">
        <w:rPr>
          <w:sz w:val="16"/>
        </w:rPr>
        <w:t xml:space="preserve">, whatever they may be, can </w:t>
      </w:r>
      <w:r w:rsidRPr="00FA68C9">
        <w:rPr>
          <w:highlight w:val="green"/>
          <w:u w:val="single"/>
        </w:rPr>
        <w:t>act as impediments to critical pedagogy because</w:t>
      </w:r>
      <w:r w:rsidRPr="00FA68C9">
        <w:rPr>
          <w:u w:val="single"/>
        </w:rPr>
        <w:t xml:space="preserve"> they conform to the generic codes of generality. </w:t>
      </w:r>
      <w:r w:rsidRPr="00FA68C9">
        <w:rPr>
          <w:highlight w:val="green"/>
          <w:u w:val="single"/>
        </w:rPr>
        <w:t>Within policy frameworks, the vicissitudes of race, gender, class, disability and so on are recycled and co-opted into an overarching schema that positions</w:t>
      </w:r>
      <w:r w:rsidRPr="00FA68C9">
        <w:rPr>
          <w:sz w:val="16"/>
        </w:rPr>
        <w:t xml:space="preserve"> us — students and educators — as </w:t>
      </w:r>
      <w:r w:rsidRPr="00FA68C9">
        <w:rPr>
          <w:highlight w:val="green"/>
          <w:u w:val="single"/>
        </w:rPr>
        <w:t>subjects in the vagaries of a power structure which cannot be clearly understood or articulated because it is dis-articulated from the broader network of power that informs it, but whose force nevertheless governs our practice.</w:t>
      </w:r>
    </w:p>
    <w:p w:rsidR="00BE0801" w:rsidRPr="00FA68C9" w:rsidRDefault="00BE0801" w:rsidP="00BE0801">
      <w:pPr>
        <w:pStyle w:val="Heading3"/>
        <w:rPr>
          <w:rFonts w:cs="Arial"/>
        </w:rPr>
      </w:pPr>
      <w:r w:rsidRPr="00FA68C9">
        <w:rPr>
          <w:rFonts w:cs="Arial"/>
        </w:rPr>
        <w:t>2nc link – cultural competence</w:t>
      </w:r>
    </w:p>
    <w:p w:rsidR="00BE0801" w:rsidRPr="00FA68C9" w:rsidRDefault="00BE0801" w:rsidP="00BE0801">
      <w:pPr>
        <w:pStyle w:val="Heading4"/>
        <w:rPr>
          <w:rFonts w:cs="Arial"/>
        </w:rPr>
      </w:pPr>
      <w:r w:rsidRPr="00FA68C9">
        <w:rPr>
          <w:rFonts w:cs="Arial"/>
        </w:rPr>
        <w:t>When associated with the state, educational discourse about cultural inclusivity inevitably becomes rolled in to neoliberal education reforms</w:t>
      </w:r>
    </w:p>
    <w:p w:rsidR="00BE0801" w:rsidRPr="00FA68C9" w:rsidRDefault="00BE0801" w:rsidP="00BE0801">
      <w:proofErr w:type="spellStart"/>
      <w:r w:rsidRPr="00FA68C9">
        <w:rPr>
          <w:rStyle w:val="Style13ptBold"/>
        </w:rPr>
        <w:t>Atasay</w:t>
      </w:r>
      <w:proofErr w:type="spellEnd"/>
      <w:r w:rsidRPr="00FA68C9">
        <w:rPr>
          <w:rStyle w:val="Style13ptBold"/>
        </w:rPr>
        <w:t xml:space="preserve"> 15</w:t>
      </w:r>
      <w:r w:rsidRPr="00FA68C9">
        <w:t xml:space="preserve"> “Neoliberal Multiculturalism Embedded in Social Justice Education: Commodification of Multicultural Education for the 21st Century”. </w:t>
      </w:r>
      <w:proofErr w:type="spellStart"/>
      <w:r w:rsidRPr="00FA68C9">
        <w:t>Engin</w:t>
      </w:r>
      <w:proofErr w:type="spellEnd"/>
      <w:r w:rsidRPr="00FA68C9">
        <w:t xml:space="preserve"> </w:t>
      </w:r>
      <w:proofErr w:type="spellStart"/>
      <w:r w:rsidRPr="00FA68C9">
        <w:t>Atasay</w:t>
      </w:r>
      <w:proofErr w:type="spellEnd"/>
      <w:r w:rsidRPr="00FA68C9">
        <w:t xml:space="preserve"> is an Assistant Professor of Education at Bristol Community College (Fall River, Massachusetts). His research interests are centered on philosophy, international political economy and </w:t>
      </w:r>
      <w:proofErr w:type="spellStart"/>
      <w:r w:rsidRPr="00FA68C9">
        <w:t>poststructural</w:t>
      </w:r>
      <w:proofErr w:type="spellEnd"/>
      <w:r w:rsidRPr="00FA68C9">
        <w:t xml:space="preserve"> theories of power relations and subjectivity. Journal for Critical Education Policy Studies, January 2015 edition. </w:t>
      </w:r>
      <w:hyperlink r:id="rId11" w:history="1">
        <w:r w:rsidRPr="00FA68C9">
          <w:rPr>
            <w:rStyle w:val="Hyperlink"/>
          </w:rPr>
          <w:t>http://www.jceps.com/wp-content/uploads/2015/01/12-3-07.pdf</w:t>
        </w:r>
      </w:hyperlink>
      <w:r w:rsidRPr="00FA68C9">
        <w:t xml:space="preserve"> WS</w:t>
      </w:r>
    </w:p>
    <w:p w:rsidR="00BE0801" w:rsidRPr="00FA68C9" w:rsidRDefault="00BE0801" w:rsidP="00BE0801">
      <w:pPr>
        <w:rPr>
          <w:rFonts w:eastAsia="Times New Roman"/>
          <w:sz w:val="24"/>
        </w:rPr>
      </w:pPr>
    </w:p>
    <w:p w:rsidR="00BE0801" w:rsidRPr="00FA68C9" w:rsidRDefault="00BE0801" w:rsidP="00BE0801">
      <w:pPr>
        <w:rPr>
          <w:rFonts w:eastAsia="Times New Roman"/>
          <w:sz w:val="24"/>
        </w:rPr>
      </w:pPr>
      <w:r w:rsidRPr="00FA68C9">
        <w:rPr>
          <w:rStyle w:val="StyleUnderline"/>
          <w:highlight w:val="yellow"/>
        </w:rPr>
        <w:t>Critical education scholars</w:t>
      </w:r>
      <w:r w:rsidRPr="00FA68C9">
        <w:rPr>
          <w:rStyle w:val="StyleUnderline"/>
        </w:rPr>
        <w:t xml:space="preserve"> </w:t>
      </w:r>
      <w:r w:rsidRPr="00FA68C9">
        <w:rPr>
          <w:rStyle w:val="StyleUnderline"/>
          <w:highlight w:val="yellow"/>
        </w:rPr>
        <w:t>have raised</w:t>
      </w:r>
      <w:r w:rsidRPr="00FA68C9">
        <w:rPr>
          <w:rStyle w:val="StyleUnderline"/>
        </w:rPr>
        <w:t xml:space="preserve"> their </w:t>
      </w:r>
      <w:r w:rsidRPr="00FA68C9">
        <w:rPr>
          <w:rStyle w:val="StyleUnderline"/>
          <w:highlight w:val="yellow"/>
        </w:rPr>
        <w:t>concerns</w:t>
      </w:r>
      <w:r w:rsidRPr="00FA68C9">
        <w:rPr>
          <w:rStyle w:val="StyleUnderline"/>
        </w:rPr>
        <w:t xml:space="preserve"> </w:t>
      </w:r>
      <w:r w:rsidRPr="00FA68C9">
        <w:rPr>
          <w:rStyle w:val="StyleUnderline"/>
          <w:highlight w:val="yellow"/>
        </w:rPr>
        <w:t>about</w:t>
      </w:r>
      <w:r w:rsidRPr="00FA68C9">
        <w:rPr>
          <w:rStyle w:val="StyleUnderline"/>
        </w:rPr>
        <w:t xml:space="preserve"> the </w:t>
      </w:r>
      <w:r w:rsidRPr="00FA68C9">
        <w:rPr>
          <w:rStyle w:val="StyleUnderline"/>
          <w:highlight w:val="yellow"/>
        </w:rPr>
        <w:t>educational reforms</w:t>
      </w:r>
      <w:r w:rsidRPr="00FA68C9">
        <w:rPr>
          <w:rStyle w:val="StyleUnderline"/>
        </w:rPr>
        <w:t xml:space="preserve"> and practices </w:t>
      </w:r>
      <w:r w:rsidRPr="00FA68C9">
        <w:rPr>
          <w:rStyle w:val="StyleUnderline"/>
          <w:highlight w:val="yellow"/>
        </w:rPr>
        <w:t>in our neoliberal moment in parallel to multiculturalism</w:t>
      </w:r>
      <w:r w:rsidRPr="00FA68C9">
        <w:rPr>
          <w:rStyle w:val="StyleUnderline"/>
        </w:rPr>
        <w:t>,</w:t>
      </w:r>
      <w:r w:rsidRPr="00FA68C9">
        <w:rPr>
          <w:rFonts w:eastAsia="Times New Roman"/>
          <w:sz w:val="24"/>
        </w:rPr>
        <w:t xml:space="preserve"> </w:t>
      </w:r>
      <w:r w:rsidRPr="00FA68C9">
        <w:rPr>
          <w:rStyle w:val="StyleUnderline"/>
        </w:rPr>
        <w:t xml:space="preserve">suggesting that </w:t>
      </w:r>
      <w:r w:rsidRPr="00FA68C9">
        <w:rPr>
          <w:rStyle w:val="StyleUnderline"/>
          <w:highlight w:val="yellow"/>
        </w:rPr>
        <w:t>the transformative social justice scope of multiculturalism has become captured by a neoliberal socio-economic and educational dispositive that sets up administrative terrains of controlling social justice discourses</w:t>
      </w:r>
      <w:r w:rsidRPr="00FA68C9">
        <w:rPr>
          <w:rFonts w:eastAsia="Times New Roman"/>
          <w:sz w:val="24"/>
        </w:rPr>
        <w:t xml:space="preserve"> (</w:t>
      </w:r>
      <w:proofErr w:type="spellStart"/>
      <w:r w:rsidRPr="00FA68C9">
        <w:rPr>
          <w:rFonts w:eastAsia="Times New Roman"/>
          <w:sz w:val="24"/>
        </w:rPr>
        <w:t>Darder</w:t>
      </w:r>
      <w:proofErr w:type="spellEnd"/>
      <w:r w:rsidRPr="00FA68C9">
        <w:rPr>
          <w:rFonts w:eastAsia="Times New Roman"/>
          <w:sz w:val="24"/>
        </w:rPr>
        <w:t xml:space="preserve">, 2012; Giroux, 2009). </w:t>
      </w:r>
      <w:proofErr w:type="spellStart"/>
      <w:r w:rsidRPr="00FA68C9">
        <w:rPr>
          <w:rFonts w:eastAsia="Times New Roman"/>
          <w:sz w:val="24"/>
        </w:rPr>
        <w:t>Engin</w:t>
      </w:r>
      <w:proofErr w:type="spellEnd"/>
      <w:r w:rsidRPr="00FA68C9">
        <w:rPr>
          <w:rFonts w:eastAsia="Times New Roman"/>
          <w:sz w:val="24"/>
        </w:rPr>
        <w:t xml:space="preserve"> </w:t>
      </w:r>
      <w:proofErr w:type="spellStart"/>
      <w:r w:rsidRPr="00FA68C9">
        <w:rPr>
          <w:rFonts w:eastAsia="Times New Roman"/>
          <w:sz w:val="24"/>
        </w:rPr>
        <w:t>Atasay</w:t>
      </w:r>
      <w:proofErr w:type="spellEnd"/>
      <w:r w:rsidRPr="00FA68C9">
        <w:rPr>
          <w:rFonts w:eastAsia="Times New Roman"/>
          <w:sz w:val="24"/>
        </w:rPr>
        <w:t xml:space="preserve"> 180 | P a g e </w:t>
      </w:r>
      <w:r w:rsidRPr="00FA68C9">
        <w:rPr>
          <w:rStyle w:val="StyleUnderline"/>
          <w:highlight w:val="yellow"/>
        </w:rPr>
        <w:t>Multicultural education attempts to pose a subversive, progressive and transformative educational experience and practice but these hopes are hindered by being encapsulating in a discourse of “neoliberal multiculturalism</w:t>
      </w:r>
      <w:r w:rsidRPr="00FA68C9">
        <w:rPr>
          <w:rFonts w:eastAsia="Times New Roman"/>
          <w:sz w:val="24"/>
        </w:rPr>
        <w:t xml:space="preserve">” (Mitchell, 2003; Hale, 2005; </w:t>
      </w:r>
      <w:proofErr w:type="spellStart"/>
      <w:r w:rsidRPr="00FA68C9">
        <w:rPr>
          <w:rFonts w:eastAsia="Times New Roman"/>
          <w:sz w:val="24"/>
        </w:rPr>
        <w:t>Melamed</w:t>
      </w:r>
      <w:proofErr w:type="spellEnd"/>
      <w:r w:rsidRPr="00FA68C9">
        <w:rPr>
          <w:rFonts w:eastAsia="Times New Roman"/>
          <w:sz w:val="24"/>
        </w:rPr>
        <w:t xml:space="preserve">, 2006; </w:t>
      </w:r>
      <w:proofErr w:type="spellStart"/>
      <w:r w:rsidRPr="00FA68C9">
        <w:rPr>
          <w:rFonts w:eastAsia="Times New Roman"/>
          <w:sz w:val="24"/>
        </w:rPr>
        <w:t>Darder</w:t>
      </w:r>
      <w:proofErr w:type="spellEnd"/>
      <w:r w:rsidRPr="00FA68C9">
        <w:rPr>
          <w:rFonts w:eastAsia="Times New Roman"/>
          <w:sz w:val="24"/>
        </w:rPr>
        <w:t xml:space="preserve">, 2012). </w:t>
      </w:r>
      <w:proofErr w:type="spellStart"/>
      <w:r w:rsidRPr="00FA68C9">
        <w:rPr>
          <w:rFonts w:eastAsia="Times New Roman"/>
          <w:sz w:val="24"/>
        </w:rPr>
        <w:t>Katharyne</w:t>
      </w:r>
      <w:proofErr w:type="spellEnd"/>
      <w:r w:rsidRPr="00FA68C9">
        <w:rPr>
          <w:rFonts w:eastAsia="Times New Roman"/>
          <w:sz w:val="24"/>
        </w:rPr>
        <w:t xml:space="preserve"> Mitchell’s (2003) essay, Educating the National Citizen in Neoliberal Times, raises attention to how this neoliberal discourse is co-opted in multicultural educational discourses. Mitchell argues </w:t>
      </w:r>
      <w:r w:rsidRPr="00FA68C9">
        <w:rPr>
          <w:rFonts w:eastAsia="Times New Roman"/>
          <w:sz w:val="24"/>
          <w:highlight w:val="yellow"/>
        </w:rPr>
        <w:t xml:space="preserve">that </w:t>
      </w:r>
      <w:r w:rsidRPr="00FA68C9">
        <w:rPr>
          <w:rStyle w:val="StyleUnderline"/>
          <w:highlight w:val="yellow"/>
        </w:rPr>
        <w:t>the spirit of multiculturalism in education has shifted</w:t>
      </w:r>
      <w:r w:rsidRPr="00FA68C9">
        <w:rPr>
          <w:rStyle w:val="StyleUnderline"/>
        </w:rPr>
        <w:t xml:space="preserve"> from a concern with the formation of tolerant and democratic national citizens who can work with and through difference, </w:t>
      </w:r>
      <w:r w:rsidRPr="00FA68C9">
        <w:rPr>
          <w:rStyle w:val="StyleUnderline"/>
          <w:highlight w:val="yellow"/>
        </w:rPr>
        <w:t>to a more strategic use of citizenship and diversity for competitive advantage in the global marketplace.</w:t>
      </w:r>
      <w:r w:rsidRPr="00FA68C9">
        <w:rPr>
          <w:rStyle w:val="StyleUnderline"/>
        </w:rPr>
        <w:t xml:space="preserve"> </w:t>
      </w:r>
      <w:r w:rsidRPr="00FA68C9">
        <w:rPr>
          <w:rStyle w:val="StyleUnderline"/>
          <w:highlight w:val="yellow"/>
        </w:rPr>
        <w:t>This shift</w:t>
      </w:r>
      <w:r w:rsidRPr="00FA68C9">
        <w:rPr>
          <w:rStyle w:val="StyleUnderline"/>
        </w:rPr>
        <w:t xml:space="preserve"> is directly linked with and </w:t>
      </w:r>
      <w:r w:rsidRPr="00FA68C9">
        <w:rPr>
          <w:rStyle w:val="StyleUnderline"/>
          <w:highlight w:val="yellow"/>
        </w:rPr>
        <w:t>helps to facilitate the entrenchment of neoliberalism</w:t>
      </w:r>
      <w:r w:rsidRPr="00FA68C9">
        <w:rPr>
          <w:rStyle w:val="StyleUnderline"/>
        </w:rPr>
        <w:t xml:space="preserve"> as it supports a privatization agenda, reduces the costs of social reproduction for the government, and aids in the constitution of subjects oriented to individual survival and/or success in the global economy</w:t>
      </w:r>
      <w:r w:rsidRPr="00FA68C9">
        <w:rPr>
          <w:rFonts w:eastAsia="Times New Roman"/>
          <w:sz w:val="24"/>
        </w:rPr>
        <w:t xml:space="preserve">. Neoliberal multiculturalism, as </w:t>
      </w:r>
      <w:proofErr w:type="spellStart"/>
      <w:r w:rsidRPr="00FA68C9">
        <w:rPr>
          <w:rFonts w:eastAsia="Times New Roman"/>
          <w:sz w:val="24"/>
        </w:rPr>
        <w:t>Darder</w:t>
      </w:r>
      <w:proofErr w:type="spellEnd"/>
      <w:r w:rsidRPr="00FA68C9">
        <w:rPr>
          <w:rFonts w:eastAsia="Times New Roman"/>
          <w:sz w:val="24"/>
        </w:rPr>
        <w:t xml:space="preserve"> puts it, is a Conservative ideology of multiculturalism that deploys a meritocratic justification linked principally to economic benefit to justify inequalities. As such, those who practice neoliberal multiculturalism enact a structure of public recognition, acknowledgement and acceptance of multicultural subjects, based on an ethos of self-reliance, individualism, and competition, </w:t>
      </w:r>
      <w:r w:rsidRPr="00FA68C9">
        <w:rPr>
          <w:rStyle w:val="StyleUnderline"/>
          <w:highlight w:val="yellow"/>
        </w:rPr>
        <w:t>while simultaneously</w:t>
      </w:r>
      <w:r w:rsidRPr="00FA68C9">
        <w:rPr>
          <w:rStyle w:val="StyleUnderline"/>
        </w:rPr>
        <w:t xml:space="preserve"> (and conveniently) </w:t>
      </w:r>
      <w:r w:rsidRPr="00FA68C9">
        <w:rPr>
          <w:rStyle w:val="StyleUnderline"/>
          <w:highlight w:val="yellow"/>
        </w:rPr>
        <w:t>undermining discourses</w:t>
      </w:r>
      <w:r w:rsidRPr="00FA68C9">
        <w:rPr>
          <w:rStyle w:val="StyleUnderline"/>
        </w:rPr>
        <w:t xml:space="preserve"> and social practices </w:t>
      </w:r>
      <w:r w:rsidRPr="00FA68C9">
        <w:rPr>
          <w:rStyle w:val="StyleUnderline"/>
          <w:highlight w:val="yellow"/>
        </w:rPr>
        <w:t>that call for collective social action and fundamental structural change</w:t>
      </w:r>
      <w:r w:rsidRPr="00FA68C9">
        <w:rPr>
          <w:rFonts w:eastAsia="Times New Roman"/>
          <w:sz w:val="24"/>
        </w:rPr>
        <w:t xml:space="preserve"> (</w:t>
      </w:r>
      <w:proofErr w:type="spellStart"/>
      <w:r w:rsidRPr="00FA68C9">
        <w:rPr>
          <w:rFonts w:eastAsia="Times New Roman"/>
          <w:sz w:val="24"/>
        </w:rPr>
        <w:t>Darder</w:t>
      </w:r>
      <w:proofErr w:type="spellEnd"/>
      <w:r w:rsidRPr="00FA68C9">
        <w:rPr>
          <w:rFonts w:eastAsia="Times New Roman"/>
          <w:sz w:val="24"/>
        </w:rPr>
        <w:t xml:space="preserve">, 2012, p. 417). Indeed, </w:t>
      </w:r>
      <w:r w:rsidRPr="00FA68C9">
        <w:rPr>
          <w:rStyle w:val="StyleUnderline"/>
        </w:rPr>
        <w:t>the discourse of multiculturalism often entails an economic rationale in the United States</w:t>
      </w:r>
      <w:r w:rsidRPr="00FA68C9">
        <w:rPr>
          <w:rFonts w:eastAsia="Times New Roman"/>
          <w:sz w:val="24"/>
        </w:rPr>
        <w:t xml:space="preserve">. </w:t>
      </w:r>
      <w:r w:rsidRPr="00FA68C9">
        <w:rPr>
          <w:rStyle w:val="StyleUnderline"/>
        </w:rPr>
        <w:t>The ‘</w:t>
      </w:r>
      <w:r w:rsidRPr="00FA68C9">
        <w:rPr>
          <w:rStyle w:val="StyleUnderline"/>
          <w:highlight w:val="yellow"/>
        </w:rPr>
        <w:t>social justice education’ discourse</w:t>
      </w:r>
      <w:r w:rsidRPr="00FA68C9">
        <w:rPr>
          <w:rStyle w:val="StyleUnderline"/>
        </w:rPr>
        <w:t xml:space="preserve">— broadly defined by multicultural education texts as democratic educational practices that strive to provide equal access and opportunity for underrepresented students in learning and educational attainment— </w:t>
      </w:r>
      <w:r w:rsidRPr="00FA68C9">
        <w:rPr>
          <w:rStyle w:val="StyleUnderline"/>
          <w:highlight w:val="yellow"/>
        </w:rPr>
        <w:t>is particularly</w:t>
      </w:r>
      <w:r w:rsidRPr="00FA68C9">
        <w:rPr>
          <w:rStyle w:val="StyleUnderline"/>
        </w:rPr>
        <w:t xml:space="preserve"> vulnerable and </w:t>
      </w:r>
      <w:r w:rsidRPr="00FA68C9">
        <w:rPr>
          <w:rStyle w:val="StyleUnderline"/>
          <w:highlight w:val="yellow"/>
        </w:rPr>
        <w:t>at risk of being co-opted into a neoliberal economic discourse</w:t>
      </w:r>
      <w:r w:rsidRPr="00FA68C9">
        <w:rPr>
          <w:rStyle w:val="StyleUnderline"/>
        </w:rPr>
        <w:t>.</w:t>
      </w:r>
      <w:r w:rsidRPr="00FA68C9">
        <w:rPr>
          <w:rFonts w:eastAsia="Times New Roman"/>
          <w:sz w:val="24"/>
        </w:rPr>
        <w:t xml:space="preserve"> </w:t>
      </w:r>
      <w:r w:rsidRPr="00FA68C9">
        <w:rPr>
          <w:rStyle w:val="StyleUnderline"/>
        </w:rPr>
        <w:t>As the social welfare agenda of neoliberal reforms seek to pursue the fictitious premise of ‘raising all boats’ within a market driven coalition, social justice discourses are being captured by this</w:t>
      </w:r>
      <w:r w:rsidRPr="00FA68C9">
        <w:rPr>
          <w:rFonts w:eastAsia="Times New Roman"/>
          <w:sz w:val="24"/>
        </w:rPr>
        <w:t xml:space="preserve"> Neoliberal Multiculturalism Embedded in Social Justice Education 181 | P a g e </w:t>
      </w:r>
      <w:r w:rsidRPr="00FA68C9">
        <w:rPr>
          <w:rStyle w:val="StyleUnderline"/>
        </w:rPr>
        <w:t xml:space="preserve">liberal promise. The United States context offers a compelling example of how neoliberal economic reforms and policies operate through social justice education discourse in schools and education initiatives. </w:t>
      </w:r>
      <w:r w:rsidRPr="00FA68C9">
        <w:rPr>
          <w:rFonts w:eastAsia="Times New Roman"/>
          <w:sz w:val="24"/>
        </w:rPr>
        <w:t xml:space="preserve">The Bush administration’s 2002 National Security Strategy (U.S. </w:t>
      </w:r>
      <w:proofErr w:type="spellStart"/>
      <w:r w:rsidRPr="00FA68C9">
        <w:rPr>
          <w:rFonts w:eastAsia="Times New Roman"/>
          <w:sz w:val="24"/>
        </w:rPr>
        <w:t>Dept</w:t>
      </w:r>
      <w:proofErr w:type="spellEnd"/>
      <w:r w:rsidRPr="00FA68C9">
        <w:rPr>
          <w:rFonts w:eastAsia="Times New Roman"/>
          <w:sz w:val="24"/>
        </w:rPr>
        <w:t xml:space="preserve"> of State), suggests a multicultural movement in which the U.S. takes the lead in opening markets as well as minds to accept greater </w:t>
      </w:r>
      <w:proofErr w:type="spellStart"/>
      <w:r w:rsidRPr="00FA68C9">
        <w:rPr>
          <w:rFonts w:eastAsia="Times New Roman"/>
          <w:sz w:val="24"/>
        </w:rPr>
        <w:t>intereconomic</w:t>
      </w:r>
      <w:proofErr w:type="spellEnd"/>
      <w:r w:rsidRPr="00FA68C9">
        <w:rPr>
          <w:rFonts w:eastAsia="Times New Roman"/>
          <w:sz w:val="24"/>
        </w:rPr>
        <w:t xml:space="preserve"> and cultural exchange. In this regime of freedom, multiculturalism provides the inclusive doctrine that will include all the world’s poor in the expanding circle of development. The document outlines an economic re-structuring of U.S. schools as well as schools around the world in accordance with principles of social “freedom” and “opening” of local economies to investment. Jodi </w:t>
      </w:r>
      <w:proofErr w:type="spellStart"/>
      <w:r w:rsidRPr="00FA68C9">
        <w:rPr>
          <w:rFonts w:eastAsia="Times New Roman"/>
          <w:sz w:val="24"/>
        </w:rPr>
        <w:t>Melamed’s</w:t>
      </w:r>
      <w:proofErr w:type="spellEnd"/>
      <w:r w:rsidRPr="00FA68C9">
        <w:rPr>
          <w:rFonts w:eastAsia="Times New Roman"/>
          <w:sz w:val="24"/>
        </w:rPr>
        <w:t xml:space="preserve"> (2006) essay title, The Spirit of Neoliberalism: From Racial Liberalism to Multicultural Neoliberalism, suggests that such </w:t>
      </w:r>
      <w:r w:rsidRPr="00FA68C9">
        <w:rPr>
          <w:rStyle w:val="StyleUnderline"/>
        </w:rPr>
        <w:t>neoliberal discourses that preach ‘inclusive pluralism’ revise a racial logic</w:t>
      </w:r>
      <w:r w:rsidRPr="00FA68C9">
        <w:rPr>
          <w:rFonts w:eastAsia="Times New Roman"/>
          <w:sz w:val="24"/>
        </w:rPr>
        <w:t xml:space="preserve">.. </w:t>
      </w:r>
      <w:proofErr w:type="spellStart"/>
      <w:r w:rsidRPr="00FA68C9">
        <w:rPr>
          <w:rFonts w:eastAsia="Times New Roman"/>
          <w:sz w:val="24"/>
        </w:rPr>
        <w:t>Melamed</w:t>
      </w:r>
      <w:proofErr w:type="spellEnd"/>
      <w:r w:rsidRPr="00FA68C9">
        <w:rPr>
          <w:rFonts w:eastAsia="Times New Roman"/>
          <w:sz w:val="24"/>
        </w:rPr>
        <w:t xml:space="preserve"> argues that: Like racial liberalism, </w:t>
      </w:r>
      <w:r w:rsidRPr="00FA68C9">
        <w:rPr>
          <w:rStyle w:val="StyleUnderline"/>
          <w:highlight w:val="yellow"/>
        </w:rPr>
        <w:t>contemporary neoliberal multiculturalism sutures official antiracism to state policy in a manner that prevents the calling into question of global capitalism.</w:t>
      </w:r>
      <w:r w:rsidRPr="00FA68C9">
        <w:rPr>
          <w:rFonts w:eastAsia="Times New Roman"/>
          <w:sz w:val="24"/>
        </w:rPr>
        <w:t xml:space="preserve"> </w:t>
      </w:r>
      <w:r w:rsidRPr="00FA68C9">
        <w:rPr>
          <w:rStyle w:val="StyleUnderline"/>
        </w:rPr>
        <w:t>However</w:t>
      </w:r>
      <w:r w:rsidRPr="00FA68C9">
        <w:rPr>
          <w:rStyle w:val="StyleUnderline"/>
          <w:highlight w:val="yellow"/>
        </w:rPr>
        <w:t>, it deracializes official antiracism to an unprecedented degree, turning (deracialized) racial reference into a series of rhetorical gestures of ethical right and certainty</w:t>
      </w:r>
      <w:r w:rsidRPr="00FA68C9">
        <w:rPr>
          <w:rStyle w:val="StyleUnderline"/>
        </w:rPr>
        <w:t>.</w:t>
      </w:r>
      <w:r w:rsidRPr="00FA68C9">
        <w:rPr>
          <w:rFonts w:eastAsia="Times New Roman"/>
          <w:sz w:val="24"/>
        </w:rPr>
        <w:t xml:space="preserve"> Concepts previously associated with 1980s and 1990s liberal multiculturalism— “openness,” “diversity,” and “freedom” — are recycled such that “open societies” and “economic freedoms” (shibboleths for neoliberal measures) come to signify human rights that the United States has a duty to secure for the world (2006, p.16). The re-structuring proposals are designed to “unleash” and capture the productive potential of all individuals, stressing the social freedoms associated with transforming their economies, needless to say, are not merely altruistic attempts to foster experiential education. The </w:t>
      </w:r>
      <w:r w:rsidRPr="00FA68C9">
        <w:rPr>
          <w:rStyle w:val="StyleUnderline"/>
          <w:highlight w:val="yellow"/>
        </w:rPr>
        <w:t>educational freedoms are acceptable only if the learning coincides with the demands of the neoliberal market</w:t>
      </w:r>
      <w:r w:rsidRPr="00FA68C9">
        <w:rPr>
          <w:rStyle w:val="StyleUnderline"/>
        </w:rPr>
        <w:t>.</w:t>
      </w:r>
      <w:r w:rsidRPr="00FA68C9">
        <w:rPr>
          <w:rFonts w:eastAsia="Times New Roman"/>
          <w:sz w:val="24"/>
        </w:rPr>
        <w:t xml:space="preserve"> MCE scholars mentioned in the previous section have already placed attention to this emerging </w:t>
      </w:r>
      <w:proofErr w:type="spellStart"/>
      <w:r w:rsidRPr="00FA68C9">
        <w:rPr>
          <w:rFonts w:eastAsia="Times New Roman"/>
          <w:sz w:val="24"/>
        </w:rPr>
        <w:t>Engin</w:t>
      </w:r>
      <w:proofErr w:type="spellEnd"/>
      <w:r w:rsidRPr="00FA68C9">
        <w:rPr>
          <w:rFonts w:eastAsia="Times New Roman"/>
          <w:sz w:val="24"/>
        </w:rPr>
        <w:t xml:space="preserve"> </w:t>
      </w:r>
      <w:proofErr w:type="spellStart"/>
      <w:r w:rsidRPr="00FA68C9">
        <w:rPr>
          <w:rFonts w:eastAsia="Times New Roman"/>
          <w:sz w:val="24"/>
        </w:rPr>
        <w:t>Atasay</w:t>
      </w:r>
      <w:proofErr w:type="spellEnd"/>
      <w:r w:rsidRPr="00FA68C9">
        <w:rPr>
          <w:rFonts w:eastAsia="Times New Roman"/>
          <w:sz w:val="24"/>
        </w:rPr>
        <w:t xml:space="preserve"> 182 | P a g e economic discourse which threatens to create greater social disparities based on social membership/capital. However, MCE texts fail to offer </w:t>
      </w:r>
      <w:proofErr w:type="spellStart"/>
      <w:r w:rsidRPr="00FA68C9">
        <w:rPr>
          <w:rFonts w:eastAsia="Times New Roman"/>
          <w:sz w:val="24"/>
        </w:rPr>
        <w:t>reconceptualizations</w:t>
      </w:r>
      <w:proofErr w:type="spellEnd"/>
      <w:r w:rsidRPr="00FA68C9">
        <w:rPr>
          <w:rFonts w:eastAsia="Times New Roman"/>
          <w:sz w:val="24"/>
        </w:rPr>
        <w:t xml:space="preserve"> of how we may define democratic education that is not co-opted by the neoliberal discourse. Charles R. Hale’s (2005) work, which illustrates a market driven multicultural movement, may shed light as to how MCE texts are constrained by neoliberal multiculturalism, which acts as a veil; a ‘wolf cloaked in sheep’s clothing’ so to speak. Hale argues that neoliberal governance includes the limited recognition of cultural rights, the strengthening of civil society, and endorsement of the principle of intercultural equality, which makes it appealing to social justice concerns MCE scholars advocate for. Hale asserts: </w:t>
      </w:r>
    </w:p>
    <w:p w:rsidR="00BE0801" w:rsidRPr="00FA68C9" w:rsidRDefault="00BE0801" w:rsidP="00BE0801"/>
    <w:p w:rsidR="00BE0801" w:rsidRPr="00FA68C9" w:rsidRDefault="00BE0801" w:rsidP="00BE0801">
      <w:pPr>
        <w:pStyle w:val="Heading4"/>
        <w:rPr>
          <w:rFonts w:cs="Arial"/>
        </w:rPr>
      </w:pPr>
      <w:r w:rsidRPr="00FA68C9">
        <w:rPr>
          <w:rFonts w:cs="Arial"/>
        </w:rPr>
        <w:t>Cultural competency standards become boxes to be checked, producing no reform and re-entrenching neoliberal discourse</w:t>
      </w:r>
    </w:p>
    <w:p w:rsidR="00BE0801" w:rsidRPr="00FA68C9" w:rsidRDefault="00BE0801" w:rsidP="00BE0801">
      <w:pPr>
        <w:rPr>
          <w:b/>
        </w:rPr>
      </w:pPr>
      <w:proofErr w:type="spellStart"/>
      <w:r w:rsidRPr="00FA68C9">
        <w:rPr>
          <w:rStyle w:val="Style13ptBold"/>
        </w:rPr>
        <w:t>McGloin</w:t>
      </w:r>
      <w:proofErr w:type="spellEnd"/>
      <w:r w:rsidRPr="00FA68C9">
        <w:rPr>
          <w:rStyle w:val="Style13ptBold"/>
        </w:rPr>
        <w:t xml:space="preserve"> and Sterling 11</w:t>
      </w:r>
      <w:r w:rsidRPr="00FA68C9">
        <w:t xml:space="preserve">, </w:t>
      </w:r>
      <w:r w:rsidRPr="00FA68C9">
        <w:rPr>
          <w:sz w:val="18"/>
        </w:rPr>
        <w:t xml:space="preserve">Colleen </w:t>
      </w:r>
      <w:proofErr w:type="spellStart"/>
      <w:r w:rsidRPr="00FA68C9">
        <w:rPr>
          <w:sz w:val="18"/>
        </w:rPr>
        <w:t>McGloin</w:t>
      </w:r>
      <w:proofErr w:type="spellEnd"/>
      <w:r w:rsidRPr="00FA68C9">
        <w:rPr>
          <w:sz w:val="18"/>
        </w:rPr>
        <w:t xml:space="preserve"> is a senior lecturer in Indigenous Studies. She comes from a multi-disciplinary background in English Studies and Cultural Studies and is interested in interdisciplinary approaches to teaching and learning. Colleen’s key research interests are in critical pedagogy as a body of knowledge that is politically and socially motivated toward social justice</w:t>
      </w:r>
      <w:r w:rsidRPr="00FA68C9">
        <w:rPr>
          <w:color w:val="000000"/>
          <w:sz w:val="18"/>
          <w:szCs w:val="21"/>
          <w:shd w:val="clear" w:color="auto" w:fill="FFFFFF"/>
        </w:rPr>
        <w:t xml:space="preserve">. </w:t>
      </w:r>
      <w:r w:rsidRPr="00FA68C9">
        <w:rPr>
          <w:sz w:val="18"/>
        </w:rPr>
        <w:t xml:space="preserve">Jeannette </w:t>
      </w:r>
      <w:proofErr w:type="spellStart"/>
      <w:r w:rsidRPr="00FA68C9">
        <w:rPr>
          <w:sz w:val="18"/>
        </w:rPr>
        <w:t>Stirling</w:t>
      </w:r>
      <w:proofErr w:type="spellEnd"/>
      <w:r w:rsidRPr="00FA68C9">
        <w:rPr>
          <w:sz w:val="18"/>
        </w:rPr>
        <w:t xml:space="preserve"> is a senior lecturer at the University of Wollongong. Her abiding research interests are in those intersections between policy, practice, and institutional </w:t>
      </w:r>
      <w:proofErr w:type="spellStart"/>
      <w:r w:rsidRPr="00FA68C9">
        <w:rPr>
          <w:sz w:val="18"/>
        </w:rPr>
        <w:t>culture.March</w:t>
      </w:r>
      <w:proofErr w:type="spellEnd"/>
      <w:r w:rsidRPr="00FA68C9">
        <w:rPr>
          <w:sz w:val="18"/>
        </w:rPr>
        <w:t xml:space="preserve"> 2011 (Collen </w:t>
      </w:r>
      <w:proofErr w:type="spellStart"/>
      <w:r w:rsidRPr="00FA68C9">
        <w:rPr>
          <w:sz w:val="18"/>
        </w:rPr>
        <w:t>McGloin</w:t>
      </w:r>
      <w:proofErr w:type="spellEnd"/>
      <w:r w:rsidRPr="00FA68C9">
        <w:rPr>
          <w:sz w:val="18"/>
        </w:rPr>
        <w:t xml:space="preserve"> &amp; Jeannette </w:t>
      </w:r>
      <w:proofErr w:type="spellStart"/>
      <w:r w:rsidRPr="00FA68C9">
        <w:rPr>
          <w:sz w:val="18"/>
        </w:rPr>
        <w:t>Stirling</w:t>
      </w:r>
      <w:proofErr w:type="spellEnd"/>
      <w:r w:rsidRPr="00FA68C9">
        <w:rPr>
          <w:sz w:val="18"/>
        </w:rPr>
        <w:t xml:space="preserve">, Cultural Studies Review Volume 17 Number 1, “Two Left Feet Dancing in Academe to the Rhythms of Neoliberal Discourse”, </w:t>
      </w:r>
      <w:hyperlink r:id="rId12" w:history="1">
        <w:r w:rsidRPr="00FA68C9">
          <w:rPr>
            <w:rStyle w:val="Hyperlink"/>
            <w:sz w:val="18"/>
          </w:rPr>
          <w:t>http://epress.lib.uts.edu.au/journals/index.php/csrj/article/view/1725/2150</w:t>
        </w:r>
      </w:hyperlink>
      <w:r w:rsidRPr="00FA68C9">
        <w:rPr>
          <w:sz w:val="18"/>
        </w:rPr>
        <w:t xml:space="preserve">) </w:t>
      </w:r>
      <w:r w:rsidRPr="00FA68C9">
        <w:rPr>
          <w:b/>
          <w:sz w:val="18"/>
        </w:rPr>
        <w:t xml:space="preserve">*note The Bradley Review of Higher Education was a review initiated by the Australian Government in March 2008. The purpose of the review was to consider and report on the future direction of the higher education sector and seek recommendations for reform and continuing improvement. It recommended increased cultural competency in Australian higher-education </w:t>
      </w:r>
      <w:r w:rsidRPr="00FA68C9">
        <w:rPr>
          <w:sz w:val="18"/>
        </w:rPr>
        <w:t>J.W.</w:t>
      </w:r>
    </w:p>
    <w:p w:rsidR="00BE0801" w:rsidRPr="00FA68C9" w:rsidRDefault="00BE0801" w:rsidP="00BE0801">
      <w:pPr>
        <w:rPr>
          <w:sz w:val="16"/>
        </w:rPr>
      </w:pPr>
      <w:r w:rsidRPr="00FA68C9">
        <w:rPr>
          <w:highlight w:val="green"/>
          <w:u w:val="single"/>
        </w:rPr>
        <w:t>The</w:t>
      </w:r>
      <w:r w:rsidRPr="00FA68C9">
        <w:rPr>
          <w:rFonts w:ascii="MS Gothic" w:eastAsia="MS Gothic" w:hAnsi="MS Gothic" w:cs="MS Gothic" w:hint="eastAsia"/>
          <w:u w:val="single"/>
        </w:rPr>
        <w:t> </w:t>
      </w:r>
      <w:r w:rsidRPr="00FA68C9">
        <w:rPr>
          <w:u w:val="single"/>
        </w:rPr>
        <w:t>Bradley</w:t>
      </w:r>
      <w:r w:rsidRPr="00FA68C9">
        <w:rPr>
          <w:rFonts w:ascii="MS Gothic" w:eastAsia="MS Gothic" w:hAnsi="MS Gothic" w:cs="MS Gothic" w:hint="eastAsia"/>
          <w:u w:val="single"/>
        </w:rPr>
        <w:t> </w:t>
      </w:r>
      <w:r w:rsidRPr="00FA68C9">
        <w:rPr>
          <w:highlight w:val="green"/>
          <w:u w:val="single"/>
        </w:rPr>
        <w:t>Report’s</w:t>
      </w:r>
      <w:r w:rsidRPr="00FA68C9">
        <w:rPr>
          <w:rFonts w:ascii="MS Gothic" w:eastAsia="MS Gothic" w:hAnsi="MS Gothic" w:cs="MS Gothic" w:hint="eastAsia"/>
          <w:sz w:val="16"/>
        </w:rPr>
        <w:t> </w:t>
      </w:r>
      <w:r w:rsidRPr="00FA68C9">
        <w:rPr>
          <w:sz w:val="16"/>
        </w:rPr>
        <w:t>authors</w:t>
      </w:r>
      <w:r w:rsidRPr="00FA68C9">
        <w:rPr>
          <w:rFonts w:ascii="MS Gothic" w:eastAsia="MS Gothic" w:hAnsi="MS Gothic" w:cs="MS Gothic" w:hint="eastAsia"/>
          <w:sz w:val="16"/>
        </w:rPr>
        <w:t> </w:t>
      </w:r>
      <w:r w:rsidRPr="00FA68C9">
        <w:rPr>
          <w:sz w:val="16"/>
        </w:rPr>
        <w:t>outline</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vision</w:t>
      </w:r>
      <w:r w:rsidRPr="00FA68C9">
        <w:rPr>
          <w:rFonts w:ascii="MS Gothic" w:eastAsia="MS Gothic" w:hAnsi="MS Gothic" w:cs="MS Gothic" w:hint="eastAsia"/>
          <w:sz w:val="16"/>
        </w:rPr>
        <w:t> </w:t>
      </w:r>
      <w:r w:rsidRPr="00FA68C9">
        <w:rPr>
          <w:sz w:val="16"/>
        </w:rPr>
        <w:t>for</w:t>
      </w:r>
      <w:r w:rsidRPr="00FA68C9">
        <w:rPr>
          <w:rFonts w:ascii="MS Gothic" w:eastAsia="MS Gothic" w:hAnsi="MS Gothic" w:cs="MS Gothic" w:hint="eastAsia"/>
          <w:sz w:val="16"/>
        </w:rPr>
        <w:t> </w:t>
      </w:r>
      <w:r w:rsidRPr="00FA68C9">
        <w:rPr>
          <w:sz w:val="16"/>
        </w:rPr>
        <w:t>national</w:t>
      </w:r>
      <w:r w:rsidRPr="00FA68C9">
        <w:rPr>
          <w:rFonts w:ascii="MS Gothic" w:eastAsia="MS Gothic" w:hAnsi="MS Gothic" w:cs="MS Gothic" w:hint="eastAsia"/>
          <w:sz w:val="16"/>
        </w:rPr>
        <w:t> </w:t>
      </w:r>
      <w:r w:rsidRPr="00FA68C9">
        <w:rPr>
          <w:sz w:val="16"/>
        </w:rPr>
        <w:t>higher</w:t>
      </w:r>
      <w:r w:rsidRPr="00FA68C9">
        <w:rPr>
          <w:rFonts w:ascii="MS Gothic" w:eastAsia="MS Gothic" w:hAnsi="MS Gothic" w:cs="MS Gothic" w:hint="eastAsia"/>
          <w:sz w:val="16"/>
        </w:rPr>
        <w:t> </w:t>
      </w:r>
      <w:r w:rsidRPr="00FA68C9">
        <w:rPr>
          <w:sz w:val="16"/>
        </w:rPr>
        <w:t>education</w:t>
      </w:r>
      <w:r w:rsidRPr="00FA68C9">
        <w:rPr>
          <w:rFonts w:ascii="MS Gothic" w:eastAsia="MS Gothic" w:hAnsi="MS Gothic" w:cs="MS Gothic" w:hint="eastAsia"/>
          <w:sz w:val="16"/>
        </w:rPr>
        <w:t> </w:t>
      </w:r>
      <w:r w:rsidRPr="00FA68C9">
        <w:rPr>
          <w:sz w:val="16"/>
        </w:rPr>
        <w:t>to 2020.</w:t>
      </w:r>
      <w:r w:rsidRPr="00FA68C9">
        <w:rPr>
          <w:rFonts w:ascii="MS Gothic" w:eastAsia="MS Gothic" w:hAnsi="MS Gothic" w:cs="MS Gothic" w:hint="eastAsia"/>
          <w:sz w:val="16"/>
        </w:rPr>
        <w:t> </w:t>
      </w:r>
      <w:r w:rsidRPr="00FA68C9">
        <w:rPr>
          <w:sz w:val="16"/>
        </w:rPr>
        <w:t>They</w:t>
      </w:r>
      <w:r w:rsidRPr="00FA68C9">
        <w:rPr>
          <w:rFonts w:ascii="MS Gothic" w:eastAsia="MS Gothic" w:hAnsi="MS Gothic" w:cs="MS Gothic" w:hint="eastAsia"/>
          <w:sz w:val="16"/>
        </w:rPr>
        <w:t> </w:t>
      </w:r>
      <w:r w:rsidRPr="00FA68C9">
        <w:rPr>
          <w:sz w:val="16"/>
        </w:rPr>
        <w:t>argue</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realise</w:t>
      </w:r>
      <w:r w:rsidRPr="00FA68C9">
        <w:rPr>
          <w:rFonts w:ascii="MS Gothic" w:eastAsia="MS Gothic" w:hAnsi="MS Gothic" w:cs="MS Gothic" w:hint="eastAsia"/>
          <w:sz w:val="16"/>
        </w:rPr>
        <w:t> </w:t>
      </w:r>
      <w:r w:rsidRPr="00FA68C9">
        <w:rPr>
          <w:sz w:val="16"/>
        </w:rPr>
        <w:t>this</w:t>
      </w:r>
      <w:r w:rsidRPr="00FA68C9">
        <w:rPr>
          <w:rFonts w:ascii="MS Gothic" w:eastAsia="MS Gothic" w:hAnsi="MS Gothic" w:cs="MS Gothic" w:hint="eastAsia"/>
          <w:sz w:val="16"/>
        </w:rPr>
        <w:t> </w:t>
      </w:r>
      <w:r w:rsidRPr="00FA68C9">
        <w:rPr>
          <w:sz w:val="16"/>
        </w:rPr>
        <w:t>vision,</w:t>
      </w:r>
      <w:r w:rsidRPr="00FA68C9">
        <w:rPr>
          <w:rFonts w:ascii="MS Gothic" w:eastAsia="MS Gothic" w:hAnsi="MS Gothic" w:cs="MS Gothic" w:hint="eastAsia"/>
          <w:sz w:val="16"/>
        </w:rPr>
        <w:t> </w:t>
      </w:r>
      <w:r w:rsidRPr="00FA68C9">
        <w:rPr>
          <w:sz w:val="16"/>
        </w:rPr>
        <w:t>‘A</w:t>
      </w:r>
      <w:r w:rsidRPr="00FA68C9">
        <w:rPr>
          <w:rFonts w:ascii="MS Gothic" w:eastAsia="MS Gothic" w:hAnsi="MS Gothic" w:cs="MS Gothic" w:hint="eastAsia"/>
          <w:sz w:val="16"/>
        </w:rPr>
        <w:t> </w:t>
      </w:r>
      <w:r w:rsidRPr="00FA68C9">
        <w:rPr>
          <w:sz w:val="16"/>
        </w:rPr>
        <w:t>streamlined</w:t>
      </w:r>
      <w:r w:rsidRPr="00FA68C9">
        <w:rPr>
          <w:rFonts w:ascii="MS Gothic" w:eastAsia="MS Gothic" w:hAnsi="MS Gothic" w:cs="MS Gothic" w:hint="eastAsia"/>
          <w:sz w:val="16"/>
        </w:rPr>
        <w:t> </w:t>
      </w:r>
      <w:r w:rsidRPr="00FA68C9">
        <w:rPr>
          <w:sz w:val="16"/>
        </w:rPr>
        <w:t>system</w:t>
      </w:r>
      <w:r w:rsidRPr="00FA68C9">
        <w:rPr>
          <w:rFonts w:ascii="MS Gothic" w:eastAsia="MS Gothic" w:hAnsi="MS Gothic" w:cs="MS Gothic" w:hint="eastAsia"/>
          <w:sz w:val="16"/>
        </w:rPr>
        <w:t> </w:t>
      </w:r>
      <w:r w:rsidRPr="00FA68C9">
        <w:rPr>
          <w:sz w:val="16"/>
        </w:rPr>
        <w:t>with</w:t>
      </w:r>
      <w:r w:rsidRPr="00FA68C9">
        <w:rPr>
          <w:rFonts w:ascii="MS Gothic" w:eastAsia="MS Gothic" w:hAnsi="MS Gothic" w:cs="MS Gothic" w:hint="eastAsia"/>
          <w:sz w:val="16"/>
        </w:rPr>
        <w:t> </w:t>
      </w:r>
      <w:r w:rsidRPr="00FA68C9">
        <w:rPr>
          <w:sz w:val="16"/>
        </w:rPr>
        <w:t>clearer</w:t>
      </w:r>
      <w:r w:rsidRPr="00FA68C9">
        <w:rPr>
          <w:rFonts w:ascii="MS Gothic" w:eastAsia="MS Gothic" w:hAnsi="MS Gothic" w:cs="MS Gothic" w:hint="eastAsia"/>
          <w:sz w:val="16"/>
        </w:rPr>
        <w:t> </w:t>
      </w:r>
      <w:r w:rsidRPr="00FA68C9">
        <w:rPr>
          <w:sz w:val="16"/>
        </w:rPr>
        <w:t>roles</w:t>
      </w:r>
      <w:r w:rsidRPr="00FA68C9">
        <w:rPr>
          <w:rFonts w:ascii="MS Gothic" w:eastAsia="MS Gothic" w:hAnsi="MS Gothic" w:cs="MS Gothic" w:hint="eastAsia"/>
          <w:sz w:val="16"/>
        </w:rPr>
        <w:t> </w:t>
      </w:r>
      <w:r w:rsidRPr="00FA68C9">
        <w:rPr>
          <w:sz w:val="16"/>
        </w:rPr>
        <w:t xml:space="preserve"> for</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Australian</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state</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territory</w:t>
      </w:r>
      <w:r w:rsidRPr="00FA68C9">
        <w:rPr>
          <w:rFonts w:ascii="MS Gothic" w:eastAsia="MS Gothic" w:hAnsi="MS Gothic" w:cs="MS Gothic" w:hint="eastAsia"/>
          <w:sz w:val="16"/>
        </w:rPr>
        <w:t> </w:t>
      </w:r>
      <w:r w:rsidRPr="00FA68C9">
        <w:rPr>
          <w:sz w:val="16"/>
        </w:rPr>
        <w:t>governments,</w:t>
      </w:r>
      <w:r w:rsidRPr="00FA68C9">
        <w:rPr>
          <w:rFonts w:ascii="MS Gothic" w:eastAsia="MS Gothic" w:hAnsi="MS Gothic" w:cs="MS Gothic" w:hint="eastAsia"/>
          <w:sz w:val="16"/>
        </w:rPr>
        <w:t> </w:t>
      </w:r>
      <w:r w:rsidRPr="00FA68C9">
        <w:rPr>
          <w:sz w:val="16"/>
        </w:rPr>
        <w:t>greater</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fairer</w:t>
      </w:r>
      <w:r w:rsidRPr="00FA68C9">
        <w:rPr>
          <w:rFonts w:ascii="MS Gothic" w:eastAsia="MS Gothic" w:hAnsi="MS Gothic" w:cs="MS Gothic" w:hint="eastAsia"/>
          <w:sz w:val="16"/>
        </w:rPr>
        <w:t> </w:t>
      </w:r>
      <w:r w:rsidRPr="00FA68C9">
        <w:rPr>
          <w:sz w:val="16"/>
        </w:rPr>
        <w:t>choice,</w:t>
      </w:r>
      <w:r w:rsidRPr="00FA68C9">
        <w:rPr>
          <w:rFonts w:ascii="MS Gothic" w:eastAsia="MS Gothic" w:hAnsi="MS Gothic" w:cs="MS Gothic" w:hint="eastAsia"/>
          <w:sz w:val="16"/>
        </w:rPr>
        <w:t> </w:t>
      </w:r>
      <w:r w:rsidRPr="00FA68C9">
        <w:rPr>
          <w:sz w:val="16"/>
        </w:rPr>
        <w:t xml:space="preserve"> more</w:t>
      </w:r>
      <w:r w:rsidRPr="00FA68C9">
        <w:rPr>
          <w:rFonts w:ascii="MS Gothic" w:eastAsia="MS Gothic" w:hAnsi="MS Gothic" w:cs="MS Gothic" w:hint="eastAsia"/>
          <w:sz w:val="16"/>
        </w:rPr>
        <w:t> </w:t>
      </w:r>
      <w:r w:rsidRPr="00FA68C9">
        <w:rPr>
          <w:sz w:val="16"/>
        </w:rPr>
        <w:t>effective</w:t>
      </w:r>
      <w:r w:rsidRPr="00FA68C9">
        <w:rPr>
          <w:rFonts w:ascii="MS Gothic" w:eastAsia="MS Gothic" w:hAnsi="MS Gothic" w:cs="MS Gothic" w:hint="eastAsia"/>
          <w:sz w:val="16"/>
        </w:rPr>
        <w:t> </w:t>
      </w:r>
      <w:r w:rsidRPr="00FA68C9">
        <w:rPr>
          <w:sz w:val="16"/>
        </w:rPr>
        <w:t>regulation</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greater</w:t>
      </w:r>
      <w:r w:rsidRPr="00FA68C9">
        <w:rPr>
          <w:rFonts w:ascii="MS Gothic" w:eastAsia="MS Gothic" w:hAnsi="MS Gothic" w:cs="MS Gothic" w:hint="eastAsia"/>
          <w:sz w:val="16"/>
        </w:rPr>
        <w:t> </w:t>
      </w:r>
      <w:r w:rsidRPr="00FA68C9">
        <w:rPr>
          <w:sz w:val="16"/>
        </w:rPr>
        <w:t>flexibility</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provision</w:t>
      </w:r>
      <w:r w:rsidRPr="00FA68C9">
        <w:rPr>
          <w:rFonts w:ascii="MS Gothic" w:eastAsia="MS Gothic" w:hAnsi="MS Gothic" w:cs="MS Gothic" w:hint="eastAsia"/>
          <w:sz w:val="16"/>
        </w:rPr>
        <w:t> </w:t>
      </w:r>
      <w:r w:rsidRPr="00FA68C9">
        <w:rPr>
          <w:sz w:val="16"/>
        </w:rPr>
        <w:t>is</w:t>
      </w:r>
      <w:r w:rsidRPr="00FA68C9">
        <w:rPr>
          <w:rFonts w:ascii="MS Gothic" w:eastAsia="MS Gothic" w:hAnsi="MS Gothic" w:cs="MS Gothic" w:hint="eastAsia"/>
          <w:sz w:val="16"/>
        </w:rPr>
        <w:t> </w:t>
      </w:r>
      <w:r w:rsidRPr="00FA68C9">
        <w:rPr>
          <w:sz w:val="16"/>
        </w:rPr>
        <w:t>needed.’2</w:t>
      </w:r>
      <w:r w:rsidRPr="00FA68C9">
        <w:rPr>
          <w:rFonts w:ascii="MS Gothic" w:eastAsia="MS Gothic" w:hAnsi="MS Gothic" w:cs="MS Gothic" w:hint="eastAsia"/>
          <w:sz w:val="16"/>
        </w:rPr>
        <w:t> </w:t>
      </w:r>
      <w:r w:rsidRPr="00FA68C9">
        <w:rPr>
          <w:sz w:val="16"/>
        </w:rPr>
        <w:t>While</w:t>
      </w:r>
      <w:r w:rsidRPr="00FA68C9">
        <w:rPr>
          <w:rFonts w:ascii="MS Gothic" w:eastAsia="MS Gothic" w:hAnsi="MS Gothic" w:cs="MS Gothic" w:hint="eastAsia"/>
          <w:sz w:val="16"/>
        </w:rPr>
        <w:t> </w:t>
      </w:r>
      <w:r w:rsidRPr="00FA68C9">
        <w:rPr>
          <w:sz w:val="16"/>
        </w:rPr>
        <w:t>not</w:t>
      </w:r>
      <w:r w:rsidRPr="00FA68C9">
        <w:rPr>
          <w:rFonts w:ascii="MS Gothic" w:eastAsia="MS Gothic" w:hAnsi="MS Gothic" w:cs="MS Gothic" w:hint="eastAsia"/>
          <w:sz w:val="16"/>
        </w:rPr>
        <w:t> </w:t>
      </w:r>
      <w:r w:rsidRPr="00FA68C9">
        <w:rPr>
          <w:sz w:val="16"/>
        </w:rPr>
        <w:t xml:space="preserve"> prescribing</w:t>
      </w:r>
      <w:r w:rsidRPr="00FA68C9">
        <w:rPr>
          <w:rFonts w:ascii="MS Gothic" w:eastAsia="MS Gothic" w:hAnsi="MS Gothic" w:cs="MS Gothic" w:hint="eastAsia"/>
          <w:sz w:val="16"/>
        </w:rPr>
        <w:t> </w:t>
      </w:r>
      <w:r w:rsidRPr="00FA68C9">
        <w:rPr>
          <w:sz w:val="16"/>
        </w:rPr>
        <w:t>any</w:t>
      </w:r>
      <w:r w:rsidRPr="00FA68C9">
        <w:rPr>
          <w:rFonts w:ascii="MS Gothic" w:eastAsia="MS Gothic" w:hAnsi="MS Gothic" w:cs="MS Gothic" w:hint="eastAsia"/>
          <w:sz w:val="16"/>
        </w:rPr>
        <w:t> </w:t>
      </w:r>
      <w:r w:rsidRPr="00FA68C9">
        <w:rPr>
          <w:sz w:val="16"/>
        </w:rPr>
        <w:t>formal</w:t>
      </w:r>
      <w:r w:rsidRPr="00FA68C9">
        <w:rPr>
          <w:rFonts w:ascii="MS Gothic" w:eastAsia="MS Gothic" w:hAnsi="MS Gothic" w:cs="MS Gothic" w:hint="eastAsia"/>
          <w:sz w:val="16"/>
        </w:rPr>
        <w:t> </w:t>
      </w:r>
      <w:r w:rsidRPr="00FA68C9">
        <w:rPr>
          <w:sz w:val="16"/>
        </w:rPr>
        <w:t>restructuring</w:t>
      </w:r>
      <w:r w:rsidRPr="00FA68C9">
        <w:rPr>
          <w:rFonts w:ascii="MS Gothic" w:eastAsia="MS Gothic" w:hAnsi="MS Gothic" w:cs="MS Gothic" w:hint="eastAsia"/>
          <w:sz w:val="16"/>
        </w:rPr>
        <w:t> </w:t>
      </w:r>
      <w:r w:rsidRPr="00FA68C9">
        <w:rPr>
          <w:sz w:val="16"/>
        </w:rPr>
        <w:t>processes</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such,</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report</w:t>
      </w:r>
      <w:r w:rsidRPr="00FA68C9">
        <w:rPr>
          <w:rFonts w:ascii="MS Gothic" w:eastAsia="MS Gothic" w:hAnsi="MS Gothic" w:cs="MS Gothic" w:hint="eastAsia"/>
          <w:sz w:val="16"/>
        </w:rPr>
        <w:t> </w:t>
      </w:r>
      <w:r w:rsidRPr="00FA68C9">
        <w:rPr>
          <w:sz w:val="16"/>
        </w:rPr>
        <w:t>panel</w:t>
      </w:r>
      <w:r w:rsidRPr="00FA68C9">
        <w:rPr>
          <w:rFonts w:ascii="MS Gothic" w:eastAsia="MS Gothic" w:hAnsi="MS Gothic" w:cs="MS Gothic" w:hint="eastAsia"/>
          <w:sz w:val="16"/>
        </w:rPr>
        <w:t> </w:t>
      </w:r>
      <w:r w:rsidRPr="00FA68C9">
        <w:rPr>
          <w:sz w:val="16"/>
        </w:rPr>
        <w:t>develop</w:t>
      </w:r>
      <w:r w:rsidRPr="00FA68C9">
        <w:rPr>
          <w:rFonts w:ascii="MS Gothic" w:eastAsia="MS Gothic" w:hAnsi="MS Gothic" w:cs="MS Gothic" w:hint="eastAsia"/>
          <w:sz w:val="16"/>
        </w:rPr>
        <w:t> </w:t>
      </w:r>
      <w:r w:rsidRPr="00FA68C9">
        <w:rPr>
          <w:sz w:val="16"/>
        </w:rPr>
        <w:t>a</w:t>
      </w:r>
      <w:r w:rsidRPr="00FA68C9">
        <w:rPr>
          <w:rFonts w:ascii="MS Gothic" w:eastAsia="MS Gothic" w:hAnsi="MS Gothic" w:cs="MS Gothic" w:hint="eastAsia"/>
          <w:sz w:val="16"/>
        </w:rPr>
        <w:t> </w:t>
      </w:r>
      <w:r w:rsidRPr="00FA68C9">
        <w:rPr>
          <w:sz w:val="16"/>
        </w:rPr>
        <w:t xml:space="preserve"> </w:t>
      </w:r>
      <w:r w:rsidRPr="00FA68C9">
        <w:rPr>
          <w:highlight w:val="green"/>
          <w:u w:val="single"/>
        </w:rPr>
        <w:t>narrative</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progressive</w:t>
      </w:r>
      <w:r w:rsidRPr="00FA68C9">
        <w:rPr>
          <w:rFonts w:ascii="MS Gothic" w:eastAsia="MS Gothic" w:hAnsi="MS Gothic" w:cs="MS Gothic" w:hint="eastAsia"/>
          <w:u w:val="single"/>
        </w:rPr>
        <w:t> </w:t>
      </w:r>
      <w:r w:rsidRPr="00FA68C9">
        <w:rPr>
          <w:u w:val="single"/>
        </w:rPr>
        <w:t>institutional</w:t>
      </w:r>
      <w:r w:rsidRPr="00FA68C9">
        <w:rPr>
          <w:rFonts w:ascii="MS Gothic" w:eastAsia="MS Gothic" w:hAnsi="MS Gothic" w:cs="MS Gothic" w:hint="eastAsia"/>
          <w:u w:val="single"/>
        </w:rPr>
        <w:t> </w:t>
      </w:r>
      <w:r w:rsidRPr="00FA68C9">
        <w:rPr>
          <w:highlight w:val="green"/>
          <w:u w:val="single"/>
        </w:rPr>
        <w:t>policies</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highlight w:val="green"/>
          <w:u w:val="single"/>
        </w:rPr>
        <w:t>mobilises</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language</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 xml:space="preserve"> neoliberalist</w:t>
      </w:r>
      <w:r w:rsidRPr="00FA68C9">
        <w:rPr>
          <w:rFonts w:ascii="MS Gothic" w:eastAsia="MS Gothic" w:hAnsi="MS Gothic" w:cs="MS Gothic" w:hint="eastAsia"/>
          <w:highlight w:val="green"/>
          <w:u w:val="single"/>
        </w:rPr>
        <w:t> </w:t>
      </w:r>
      <w:r w:rsidRPr="00FA68C9">
        <w:rPr>
          <w:highlight w:val="green"/>
          <w:u w:val="single"/>
        </w:rPr>
        <w:t>discourse</w:t>
      </w:r>
      <w:r w:rsidRPr="00FA68C9">
        <w:rPr>
          <w:sz w:val="16"/>
          <w:highlight w:val="green"/>
        </w:rPr>
        <w:t>.</w:t>
      </w:r>
      <w:r w:rsidRPr="00FA68C9">
        <w:rPr>
          <w:rFonts w:ascii="MS Gothic" w:eastAsia="MS Gothic" w:hAnsi="MS Gothic" w:cs="MS Gothic" w:hint="eastAsia"/>
          <w:sz w:val="16"/>
          <w:highlight w:val="green"/>
        </w:rPr>
        <w:t> </w:t>
      </w:r>
      <w:r w:rsidRPr="00FA68C9">
        <w:rPr>
          <w:highlight w:val="green"/>
          <w:u w:val="single"/>
        </w:rPr>
        <w:t>To</w:t>
      </w:r>
      <w:r w:rsidRPr="00FA68C9">
        <w:rPr>
          <w:rFonts w:ascii="MS Gothic" w:eastAsia="MS Gothic" w:hAnsi="MS Gothic" w:cs="MS Gothic" w:hint="eastAsia"/>
          <w:sz w:val="16"/>
        </w:rPr>
        <w:t> </w:t>
      </w:r>
      <w:r w:rsidRPr="00FA68C9">
        <w:rPr>
          <w:sz w:val="16"/>
        </w:rPr>
        <w:t>be</w:t>
      </w:r>
      <w:r w:rsidRPr="00FA68C9">
        <w:rPr>
          <w:rFonts w:ascii="MS Gothic" w:eastAsia="MS Gothic" w:hAnsi="MS Gothic" w:cs="MS Gothic" w:hint="eastAsia"/>
          <w:sz w:val="16"/>
        </w:rPr>
        <w:t> </w:t>
      </w:r>
      <w:r w:rsidRPr="00FA68C9">
        <w:rPr>
          <w:sz w:val="16"/>
        </w:rPr>
        <w:t>successful</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highlight w:val="green"/>
          <w:u w:val="single"/>
        </w:rPr>
        <w:t>attract</w:t>
      </w:r>
      <w:r w:rsidRPr="00FA68C9">
        <w:rPr>
          <w:sz w:val="16"/>
        </w:rPr>
        <w:t>ing</w:t>
      </w:r>
      <w:r w:rsidRPr="00FA68C9">
        <w:rPr>
          <w:rFonts w:ascii="MS Gothic" w:eastAsia="MS Gothic" w:hAnsi="MS Gothic" w:cs="MS Gothic" w:hint="eastAsia"/>
          <w:sz w:val="16"/>
        </w:rPr>
        <w:t> </w:t>
      </w:r>
      <w:r w:rsidRPr="00FA68C9">
        <w:rPr>
          <w:sz w:val="16"/>
        </w:rPr>
        <w:t>government</w:t>
      </w:r>
      <w:r w:rsidRPr="00FA68C9">
        <w:rPr>
          <w:rFonts w:ascii="MS Gothic" w:eastAsia="MS Gothic" w:hAnsi="MS Gothic" w:cs="MS Gothic" w:hint="eastAsia"/>
          <w:sz w:val="16"/>
        </w:rPr>
        <w:t> </w:t>
      </w:r>
      <w:r w:rsidRPr="00FA68C9">
        <w:rPr>
          <w:highlight w:val="green"/>
          <w:u w:val="single"/>
        </w:rPr>
        <w:t>funding,</w:t>
      </w:r>
      <w:r w:rsidRPr="00FA68C9">
        <w:rPr>
          <w:rFonts w:ascii="MS Gothic" w:eastAsia="MS Gothic" w:hAnsi="MS Gothic" w:cs="MS Gothic" w:hint="eastAsia"/>
          <w:highlight w:val="green"/>
          <w:u w:val="single"/>
        </w:rPr>
        <w:t> </w:t>
      </w:r>
      <w:r w:rsidRPr="00FA68C9">
        <w:rPr>
          <w:highlight w:val="green"/>
          <w:u w:val="single"/>
        </w:rPr>
        <w:t xml:space="preserve"> institutions</w:t>
      </w:r>
      <w:r w:rsidRPr="00FA68C9">
        <w:rPr>
          <w:rFonts w:ascii="MS Gothic" w:eastAsia="MS Gothic" w:hAnsi="MS Gothic" w:cs="MS Gothic" w:hint="eastAsia"/>
          <w:u w:val="single"/>
        </w:rPr>
        <w:t> </w:t>
      </w:r>
      <w:r w:rsidRPr="00FA68C9">
        <w:rPr>
          <w:u w:val="single"/>
        </w:rPr>
        <w:t>are</w:t>
      </w:r>
      <w:r w:rsidRPr="00FA68C9">
        <w:rPr>
          <w:rFonts w:ascii="MS Gothic" w:eastAsia="MS Gothic" w:hAnsi="MS Gothic" w:cs="MS Gothic" w:hint="eastAsia"/>
          <w:u w:val="single"/>
        </w:rPr>
        <w:t> </w:t>
      </w:r>
      <w:r w:rsidRPr="00FA68C9">
        <w:rPr>
          <w:u w:val="single"/>
        </w:rPr>
        <w:t>advised</w:t>
      </w:r>
      <w:r w:rsidRPr="00FA68C9">
        <w:rPr>
          <w:rFonts w:ascii="MS Gothic" w:eastAsia="MS Gothic" w:hAnsi="MS Gothic" w:cs="MS Gothic" w:hint="eastAsia"/>
          <w:u w:val="single"/>
        </w:rPr>
        <w:t> </w:t>
      </w:r>
      <w:r w:rsidRPr="00FA68C9">
        <w:rPr>
          <w:u w:val="single"/>
        </w:rPr>
        <w:t>to</w:t>
      </w:r>
      <w:r w:rsidRPr="00FA68C9">
        <w:rPr>
          <w:rFonts w:ascii="MS Gothic" w:eastAsia="MS Gothic" w:hAnsi="MS Gothic" w:cs="MS Gothic" w:hint="eastAsia"/>
          <w:u w:val="single"/>
        </w:rPr>
        <w:t> </w:t>
      </w:r>
      <w:r w:rsidRPr="00FA68C9">
        <w:rPr>
          <w:highlight w:val="green"/>
          <w:u w:val="single"/>
        </w:rPr>
        <w:t>foster</w:t>
      </w:r>
      <w:r w:rsidRPr="00FA68C9">
        <w:rPr>
          <w:rFonts w:ascii="MS Gothic" w:eastAsia="MS Gothic" w:hAnsi="MS Gothic" w:cs="MS Gothic" w:hint="eastAsia"/>
          <w:highlight w:val="green"/>
          <w:u w:val="single"/>
        </w:rPr>
        <w:t> </w:t>
      </w:r>
      <w:r w:rsidRPr="00FA68C9">
        <w:rPr>
          <w:highlight w:val="green"/>
          <w:u w:val="single"/>
        </w:rPr>
        <w:t>innovative</w:t>
      </w:r>
      <w:r w:rsidRPr="00FA68C9">
        <w:rPr>
          <w:rFonts w:ascii="MS Gothic" w:eastAsia="MS Gothic" w:hAnsi="MS Gothic" w:cs="MS Gothic" w:hint="eastAsia"/>
          <w:highlight w:val="green"/>
          <w:u w:val="single"/>
        </w:rPr>
        <w:t> </w:t>
      </w:r>
      <w:r w:rsidRPr="00FA68C9">
        <w:rPr>
          <w:highlight w:val="green"/>
          <w:u w:val="single"/>
        </w:rPr>
        <w:t>cultures</w:t>
      </w:r>
      <w:r w:rsidRPr="00FA68C9">
        <w:rPr>
          <w:rFonts w:ascii="MS Gothic" w:eastAsia="MS Gothic" w:hAnsi="MS Gothic" w:cs="MS Gothic" w:hint="eastAsia"/>
          <w:highlight w:val="green"/>
          <w:u w:val="single"/>
        </w:rPr>
        <w:t> </w:t>
      </w:r>
      <w:r w:rsidRPr="00FA68C9">
        <w:rPr>
          <w:highlight w:val="green"/>
          <w:u w:val="single"/>
        </w:rPr>
        <w:t>that</w:t>
      </w:r>
      <w:r w:rsidRPr="00FA68C9">
        <w:rPr>
          <w:rFonts w:ascii="MS Gothic" w:eastAsia="MS Gothic" w:hAnsi="MS Gothic" w:cs="MS Gothic" w:hint="eastAsia"/>
          <w:highlight w:val="green"/>
          <w:u w:val="single"/>
        </w:rPr>
        <w:t> </w:t>
      </w:r>
      <w:r w:rsidRPr="00FA68C9">
        <w:rPr>
          <w:highlight w:val="green"/>
          <w:u w:val="single"/>
        </w:rPr>
        <w:t>are</w:t>
      </w:r>
      <w:r w:rsidRPr="00FA68C9">
        <w:rPr>
          <w:rFonts w:ascii="MS Gothic" w:eastAsia="MS Gothic" w:hAnsi="MS Gothic" w:cs="MS Gothic" w:hint="eastAsia"/>
          <w:u w:val="single"/>
        </w:rPr>
        <w:t> </w:t>
      </w:r>
      <w:r w:rsidRPr="00FA68C9">
        <w:rPr>
          <w:u w:val="single"/>
        </w:rPr>
        <w:t>nevertheless</w:t>
      </w:r>
      <w:r w:rsidRPr="00FA68C9">
        <w:rPr>
          <w:rFonts w:ascii="MS Gothic" w:eastAsia="MS Gothic" w:hAnsi="MS Gothic" w:cs="MS Gothic" w:hint="eastAsia"/>
          <w:u w:val="single"/>
        </w:rPr>
        <w:t> </w:t>
      </w:r>
      <w:r w:rsidRPr="00FA68C9">
        <w:rPr>
          <w:highlight w:val="green"/>
          <w:u w:val="single"/>
        </w:rPr>
        <w:t>regulated</w:t>
      </w:r>
      <w:r w:rsidRPr="00FA68C9">
        <w:rPr>
          <w:rFonts w:ascii="MS Gothic" w:eastAsia="MS Gothic" w:hAnsi="MS Gothic" w:cs="MS Gothic" w:hint="eastAsia"/>
          <w:highlight w:val="green"/>
          <w:u w:val="single"/>
        </w:rPr>
        <w:t> </w:t>
      </w:r>
      <w:r w:rsidRPr="00FA68C9">
        <w:rPr>
          <w:highlight w:val="green"/>
          <w:u w:val="single"/>
        </w:rPr>
        <w:t xml:space="preserve"> at</w:t>
      </w:r>
      <w:r w:rsidRPr="00FA68C9">
        <w:rPr>
          <w:rFonts w:ascii="MS Gothic" w:eastAsia="MS Gothic" w:hAnsi="MS Gothic" w:cs="MS Gothic" w:hint="eastAsia"/>
          <w:highlight w:val="green"/>
          <w:u w:val="single"/>
        </w:rPr>
        <w:t> </w:t>
      </w:r>
      <w:r w:rsidRPr="00FA68C9">
        <w:rPr>
          <w:highlight w:val="green"/>
          <w:u w:val="single"/>
        </w:rPr>
        <w:t>a</w:t>
      </w:r>
      <w:r w:rsidRPr="00FA68C9">
        <w:rPr>
          <w:rFonts w:ascii="MS Gothic" w:eastAsia="MS Gothic" w:hAnsi="MS Gothic" w:cs="MS Gothic" w:hint="eastAsia"/>
          <w:highlight w:val="green"/>
          <w:u w:val="single"/>
        </w:rPr>
        <w:t> </w:t>
      </w:r>
      <w:r w:rsidRPr="00FA68C9">
        <w:rPr>
          <w:highlight w:val="green"/>
          <w:u w:val="single"/>
        </w:rPr>
        <w:t>semantic</w:t>
      </w:r>
      <w:r w:rsidRPr="00FA68C9">
        <w:rPr>
          <w:rFonts w:ascii="MS Gothic" w:eastAsia="MS Gothic" w:hAnsi="MS Gothic" w:cs="MS Gothic" w:hint="eastAsia"/>
          <w:highlight w:val="green"/>
          <w:u w:val="single"/>
        </w:rPr>
        <w:t> </w:t>
      </w:r>
      <w:r w:rsidRPr="00FA68C9">
        <w:rPr>
          <w:highlight w:val="green"/>
          <w:u w:val="single"/>
        </w:rPr>
        <w:t>level</w:t>
      </w:r>
      <w:r w:rsidRPr="00FA68C9">
        <w:rPr>
          <w:rFonts w:ascii="MS Gothic" w:eastAsia="MS Gothic" w:hAnsi="MS Gothic" w:cs="MS Gothic" w:hint="eastAsia"/>
          <w:highlight w:val="green"/>
          <w:u w:val="single"/>
        </w:rPr>
        <w:t> </w:t>
      </w:r>
      <w:r w:rsidRPr="00FA68C9">
        <w:rPr>
          <w:highlight w:val="green"/>
          <w:u w:val="single"/>
        </w:rPr>
        <w:t>by</w:t>
      </w:r>
      <w:r w:rsidRPr="00FA68C9">
        <w:rPr>
          <w:rFonts w:ascii="MS Gothic" w:eastAsia="MS Gothic" w:hAnsi="MS Gothic" w:cs="MS Gothic" w:hint="eastAsia"/>
          <w:highlight w:val="green"/>
          <w:u w:val="single"/>
        </w:rPr>
        <w:t> </w:t>
      </w:r>
      <w:r w:rsidRPr="00FA68C9">
        <w:rPr>
          <w:highlight w:val="green"/>
          <w:u w:val="single"/>
        </w:rPr>
        <w:t>words</w:t>
      </w:r>
      <w:r w:rsidRPr="00FA68C9">
        <w:rPr>
          <w:rFonts w:ascii="MS Gothic" w:eastAsia="MS Gothic" w:hAnsi="MS Gothic" w:cs="MS Gothic" w:hint="eastAsia"/>
          <w:highlight w:val="green"/>
          <w:u w:val="single"/>
        </w:rPr>
        <w:t> </w:t>
      </w:r>
      <w:r w:rsidRPr="00FA68C9">
        <w:rPr>
          <w:highlight w:val="green"/>
          <w:u w:val="single"/>
        </w:rPr>
        <w:t>such</w:t>
      </w:r>
      <w:r w:rsidRPr="00FA68C9">
        <w:rPr>
          <w:rFonts w:ascii="MS Gothic" w:eastAsia="MS Gothic" w:hAnsi="MS Gothic" w:cs="MS Gothic" w:hint="eastAsia"/>
          <w:highlight w:val="green"/>
          <w:u w:val="single"/>
        </w:rPr>
        <w:t> </w:t>
      </w:r>
      <w:r w:rsidRPr="00FA68C9">
        <w:rPr>
          <w:highlight w:val="green"/>
          <w:u w:val="single"/>
        </w:rPr>
        <w:t>as</w:t>
      </w:r>
      <w:r w:rsidRPr="00FA68C9">
        <w:rPr>
          <w:rFonts w:ascii="MS Gothic" w:eastAsia="MS Gothic" w:hAnsi="MS Gothic" w:cs="MS Gothic" w:hint="eastAsia"/>
          <w:highlight w:val="green"/>
          <w:u w:val="single"/>
        </w:rPr>
        <w:t> </w:t>
      </w:r>
      <w:r w:rsidRPr="00FA68C9">
        <w:rPr>
          <w:highlight w:val="green"/>
          <w:u w:val="single"/>
        </w:rPr>
        <w:t>‘accountability’,</w:t>
      </w:r>
      <w:r w:rsidRPr="00FA68C9">
        <w:rPr>
          <w:rFonts w:ascii="MS Gothic" w:eastAsia="MS Gothic" w:hAnsi="MS Gothic" w:cs="MS Gothic" w:hint="eastAsia"/>
          <w:highlight w:val="green"/>
          <w:u w:val="single"/>
        </w:rPr>
        <w:t> </w:t>
      </w:r>
      <w:r w:rsidRPr="00FA68C9">
        <w:rPr>
          <w:highlight w:val="green"/>
          <w:u w:val="single"/>
        </w:rPr>
        <w:t>‘competiveness’</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 xml:space="preserve"> ‘performance</w:t>
      </w:r>
      <w:r w:rsidRPr="00FA68C9">
        <w:rPr>
          <w:rFonts w:ascii="MS Gothic" w:eastAsia="MS Gothic" w:hAnsi="MS Gothic" w:cs="MS Gothic" w:hint="eastAsia"/>
          <w:highlight w:val="green"/>
          <w:u w:val="single"/>
        </w:rPr>
        <w:t> </w:t>
      </w:r>
      <w:r w:rsidRPr="00FA68C9">
        <w:rPr>
          <w:highlight w:val="green"/>
          <w:u w:val="single"/>
        </w:rPr>
        <w:t>indicators’,</w:t>
      </w:r>
      <w:r w:rsidRPr="00FA68C9">
        <w:rPr>
          <w:rFonts w:ascii="MS Gothic" w:eastAsia="MS Gothic" w:hAnsi="MS Gothic" w:cs="MS Gothic" w:hint="eastAsia"/>
          <w:u w:val="single"/>
        </w:rPr>
        <w:t> </w:t>
      </w:r>
      <w:r w:rsidRPr="00FA68C9">
        <w:rPr>
          <w:u w:val="single"/>
        </w:rPr>
        <w:t>and</w:t>
      </w:r>
      <w:r w:rsidRPr="00FA68C9">
        <w:rPr>
          <w:rFonts w:ascii="MS Gothic" w:eastAsia="MS Gothic" w:hAnsi="MS Gothic" w:cs="MS Gothic" w:hint="eastAsia"/>
          <w:u w:val="single"/>
        </w:rPr>
        <w:t> </w:t>
      </w:r>
      <w:r w:rsidRPr="00FA68C9">
        <w:rPr>
          <w:u w:val="single"/>
        </w:rPr>
        <w:t>at</w:t>
      </w:r>
      <w:r w:rsidRPr="00FA68C9">
        <w:rPr>
          <w:rFonts w:ascii="MS Gothic" w:eastAsia="MS Gothic" w:hAnsi="MS Gothic" w:cs="MS Gothic" w:hint="eastAsia"/>
          <w:u w:val="single"/>
        </w:rPr>
        <w:t> </w:t>
      </w:r>
      <w:r w:rsidRPr="00FA68C9">
        <w:rPr>
          <w:u w:val="single"/>
        </w:rPr>
        <w:t>the</w:t>
      </w:r>
      <w:r w:rsidRPr="00FA68C9">
        <w:rPr>
          <w:rFonts w:ascii="MS Gothic" w:eastAsia="MS Gothic" w:hAnsi="MS Gothic" w:cs="MS Gothic" w:hint="eastAsia"/>
          <w:u w:val="single"/>
        </w:rPr>
        <w:t> </w:t>
      </w:r>
      <w:r w:rsidRPr="00FA68C9">
        <w:rPr>
          <w:u w:val="single"/>
        </w:rPr>
        <w:t>policy</w:t>
      </w:r>
      <w:r w:rsidRPr="00FA68C9">
        <w:rPr>
          <w:rFonts w:ascii="MS Gothic" w:eastAsia="MS Gothic" w:hAnsi="MS Gothic" w:cs="MS Gothic" w:hint="eastAsia"/>
          <w:u w:val="single"/>
        </w:rPr>
        <w:t> </w:t>
      </w:r>
      <w:r w:rsidRPr="00FA68C9">
        <w:rPr>
          <w:u w:val="single"/>
        </w:rPr>
        <w:t>level</w:t>
      </w:r>
      <w:r w:rsidRPr="00FA68C9">
        <w:rPr>
          <w:rFonts w:ascii="MS Gothic" w:eastAsia="MS Gothic" w:hAnsi="MS Gothic" w:cs="MS Gothic" w:hint="eastAsia"/>
          <w:u w:val="single"/>
        </w:rPr>
        <w:t> </w:t>
      </w:r>
      <w:r w:rsidRPr="00FA68C9">
        <w:rPr>
          <w:u w:val="single"/>
        </w:rPr>
        <w:t>by</w:t>
      </w:r>
      <w:r w:rsidRPr="00FA68C9">
        <w:rPr>
          <w:rFonts w:ascii="MS Gothic" w:eastAsia="MS Gothic" w:hAnsi="MS Gothic" w:cs="MS Gothic" w:hint="eastAsia"/>
          <w:u w:val="single"/>
        </w:rPr>
        <w:t> </w:t>
      </w:r>
      <w:r w:rsidRPr="00FA68C9">
        <w:rPr>
          <w:u w:val="single"/>
        </w:rPr>
        <w:t>the</w:t>
      </w:r>
      <w:r w:rsidRPr="00FA68C9">
        <w:rPr>
          <w:rFonts w:ascii="MS Gothic" w:eastAsia="MS Gothic" w:hAnsi="MS Gothic" w:cs="MS Gothic" w:hint="eastAsia"/>
          <w:u w:val="single"/>
        </w:rPr>
        <w:t> </w:t>
      </w:r>
      <w:r w:rsidRPr="00FA68C9">
        <w:rPr>
          <w:u w:val="single"/>
        </w:rPr>
        <w:t>economic</w:t>
      </w:r>
      <w:r w:rsidRPr="00FA68C9">
        <w:rPr>
          <w:rFonts w:ascii="MS Gothic" w:eastAsia="MS Gothic" w:hAnsi="MS Gothic" w:cs="MS Gothic" w:hint="eastAsia"/>
          <w:u w:val="single"/>
        </w:rPr>
        <w:t> </w:t>
      </w:r>
      <w:r w:rsidRPr="00FA68C9">
        <w:rPr>
          <w:u w:val="single"/>
        </w:rPr>
        <w:t>imperatives</w:t>
      </w:r>
      <w:r w:rsidRPr="00FA68C9">
        <w:rPr>
          <w:rFonts w:ascii="MS Gothic" w:eastAsia="MS Gothic" w:hAnsi="MS Gothic" w:cs="MS Gothic" w:hint="eastAsia"/>
          <w:u w:val="single"/>
        </w:rPr>
        <w:t> </w:t>
      </w:r>
      <w:r w:rsidRPr="00FA68C9">
        <w:rPr>
          <w:u w:val="single"/>
        </w:rPr>
        <w:t>of</w:t>
      </w:r>
      <w:r w:rsidRPr="00FA68C9">
        <w:rPr>
          <w:rFonts w:ascii="MS Gothic" w:eastAsia="MS Gothic" w:hAnsi="MS Gothic" w:cs="MS Gothic" w:hint="eastAsia"/>
          <w:u w:val="single"/>
        </w:rPr>
        <w:t> </w:t>
      </w:r>
      <w:r w:rsidRPr="00FA68C9">
        <w:rPr>
          <w:u w:val="single"/>
        </w:rPr>
        <w:t>the</w:t>
      </w:r>
      <w:r w:rsidRPr="00FA68C9">
        <w:rPr>
          <w:rFonts w:ascii="MS Gothic" w:eastAsia="MS Gothic" w:hAnsi="MS Gothic" w:cs="MS Gothic" w:hint="eastAsia"/>
          <w:u w:val="single"/>
        </w:rPr>
        <w:t> </w:t>
      </w:r>
      <w:r w:rsidRPr="00FA68C9">
        <w:rPr>
          <w:u w:val="single"/>
        </w:rPr>
        <w:t xml:space="preserve"> national</w:t>
      </w:r>
      <w:r w:rsidRPr="00FA68C9">
        <w:rPr>
          <w:rFonts w:ascii="MS Gothic" w:eastAsia="MS Gothic" w:hAnsi="MS Gothic" w:cs="MS Gothic" w:hint="eastAsia"/>
          <w:u w:val="single"/>
        </w:rPr>
        <w:t> </w:t>
      </w:r>
      <w:r w:rsidRPr="00FA68C9">
        <w:rPr>
          <w:u w:val="single"/>
        </w:rPr>
        <w:t>and</w:t>
      </w:r>
      <w:r w:rsidRPr="00FA68C9">
        <w:rPr>
          <w:rFonts w:ascii="MS Gothic" w:eastAsia="MS Gothic" w:hAnsi="MS Gothic" w:cs="MS Gothic" w:hint="eastAsia"/>
          <w:u w:val="single"/>
        </w:rPr>
        <w:t> </w:t>
      </w:r>
      <w:r w:rsidRPr="00FA68C9">
        <w:rPr>
          <w:u w:val="single"/>
        </w:rPr>
        <w:t>international</w:t>
      </w:r>
      <w:r w:rsidRPr="00FA68C9">
        <w:rPr>
          <w:rFonts w:ascii="MS Gothic" w:eastAsia="MS Gothic" w:hAnsi="MS Gothic" w:cs="MS Gothic" w:hint="eastAsia"/>
          <w:u w:val="single"/>
        </w:rPr>
        <w:t> </w:t>
      </w:r>
      <w:r w:rsidRPr="00FA68C9">
        <w:rPr>
          <w:u w:val="single"/>
        </w:rPr>
        <w:t>marketplace.</w:t>
      </w:r>
      <w:r w:rsidRPr="00FA68C9">
        <w:rPr>
          <w:rFonts w:ascii="MS Gothic" w:eastAsia="MS Gothic" w:hAnsi="MS Gothic" w:cs="MS Gothic" w:hint="eastAsia"/>
          <w:sz w:val="16"/>
        </w:rPr>
        <w:t> </w:t>
      </w:r>
      <w:r w:rsidRPr="00FA68C9">
        <w:rPr>
          <w:sz w:val="16"/>
        </w:rPr>
        <w:t xml:space="preserve"> In</w:t>
      </w:r>
      <w:r w:rsidRPr="00FA68C9">
        <w:rPr>
          <w:rFonts w:ascii="MS Gothic" w:eastAsia="MS Gothic" w:hAnsi="MS Gothic" w:cs="MS Gothic" w:hint="eastAsia"/>
          <w:sz w:val="16"/>
        </w:rPr>
        <w:t> </w:t>
      </w:r>
      <w:r w:rsidRPr="00FA68C9">
        <w:rPr>
          <w:sz w:val="16"/>
        </w:rPr>
        <w:t>key</w:t>
      </w:r>
      <w:r w:rsidRPr="00FA68C9">
        <w:rPr>
          <w:rFonts w:ascii="MS Gothic" w:eastAsia="MS Gothic" w:hAnsi="MS Gothic" w:cs="MS Gothic" w:hint="eastAsia"/>
          <w:sz w:val="16"/>
        </w:rPr>
        <w:t> </w:t>
      </w:r>
      <w:r w:rsidRPr="00FA68C9">
        <w:rPr>
          <w:sz w:val="16"/>
        </w:rPr>
        <w:t>areas</w:t>
      </w:r>
      <w:r w:rsidRPr="00FA68C9">
        <w:rPr>
          <w:rFonts w:ascii="MS Gothic" w:eastAsia="MS Gothic" w:hAnsi="MS Gothic" w:cs="MS Gothic" w:hint="eastAsia"/>
          <w:sz w:val="16"/>
        </w:rPr>
        <w:t> </w:t>
      </w:r>
      <w:r w:rsidRPr="00FA68C9">
        <w:rPr>
          <w:sz w:val="16"/>
        </w:rPr>
        <w:t>our</w:t>
      </w:r>
      <w:r w:rsidRPr="00FA68C9">
        <w:rPr>
          <w:rFonts w:ascii="MS Gothic" w:eastAsia="MS Gothic" w:hAnsi="MS Gothic" w:cs="MS Gothic" w:hint="eastAsia"/>
          <w:sz w:val="16"/>
        </w:rPr>
        <w:t> </w:t>
      </w:r>
      <w:r w:rsidRPr="00FA68C9">
        <w:rPr>
          <w:sz w:val="16"/>
        </w:rPr>
        <w:t>home</w:t>
      </w:r>
      <w:r w:rsidRPr="00FA68C9">
        <w:rPr>
          <w:rFonts w:ascii="MS Gothic" w:eastAsia="MS Gothic" w:hAnsi="MS Gothic" w:cs="MS Gothic" w:hint="eastAsia"/>
          <w:sz w:val="16"/>
        </w:rPr>
        <w:t> </w:t>
      </w:r>
      <w:r w:rsidRPr="00FA68C9">
        <w:rPr>
          <w:sz w:val="16"/>
        </w:rPr>
        <w:t>university</w:t>
      </w:r>
      <w:r w:rsidRPr="00FA68C9">
        <w:rPr>
          <w:rFonts w:ascii="MS Gothic" w:eastAsia="MS Gothic" w:hAnsi="MS Gothic" w:cs="MS Gothic" w:hint="eastAsia"/>
          <w:sz w:val="16"/>
        </w:rPr>
        <w:t> </w:t>
      </w:r>
      <w:r w:rsidRPr="00FA68C9">
        <w:rPr>
          <w:sz w:val="16"/>
        </w:rPr>
        <w:t>has</w:t>
      </w:r>
      <w:r w:rsidRPr="00FA68C9">
        <w:rPr>
          <w:rFonts w:ascii="MS Gothic" w:eastAsia="MS Gothic" w:hAnsi="MS Gothic" w:cs="MS Gothic" w:hint="eastAsia"/>
          <w:sz w:val="16"/>
        </w:rPr>
        <w:t> </w:t>
      </w:r>
      <w:r w:rsidRPr="00FA68C9">
        <w:rPr>
          <w:sz w:val="16"/>
        </w:rPr>
        <w:t>pre</w:t>
      </w:r>
      <w:r w:rsidRPr="00FA68C9">
        <w:rPr>
          <w:rFonts w:ascii="Cambria Math" w:hAnsi="Cambria Math" w:cs="Cambria Math"/>
          <w:sz w:val="16"/>
        </w:rPr>
        <w:t>‐</w:t>
      </w:r>
      <w:r w:rsidRPr="00FA68C9">
        <w:rPr>
          <w:sz w:val="16"/>
        </w:rPr>
        <w:t>empted</w:t>
      </w:r>
      <w:r w:rsidRPr="00FA68C9">
        <w:rPr>
          <w:rFonts w:ascii="MS Gothic" w:eastAsia="MS Gothic" w:hAnsi="MS Gothic" w:cs="MS Gothic" w:hint="eastAsia"/>
          <w:sz w:val="16"/>
        </w:rPr>
        <w:t> </w:t>
      </w:r>
      <w:r w:rsidRPr="00FA68C9">
        <w:rPr>
          <w:sz w:val="16"/>
        </w:rPr>
        <w:t>some</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 xml:space="preserve"> recommendations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report:</w:t>
      </w:r>
      <w:r w:rsidRPr="00FA68C9">
        <w:rPr>
          <w:rFonts w:ascii="MS Gothic" w:eastAsia="MS Gothic" w:hAnsi="MS Gothic" w:cs="MS Gothic" w:hint="eastAsia"/>
          <w:sz w:val="16"/>
        </w:rPr>
        <w:t> </w:t>
      </w:r>
      <w:r w:rsidRPr="00FA68C9">
        <w:rPr>
          <w:sz w:val="16"/>
        </w:rPr>
        <w:t>most</w:t>
      </w:r>
      <w:r w:rsidRPr="00FA68C9">
        <w:rPr>
          <w:rFonts w:ascii="MS Gothic" w:eastAsia="MS Gothic" w:hAnsi="MS Gothic" w:cs="MS Gothic" w:hint="eastAsia"/>
          <w:sz w:val="16"/>
        </w:rPr>
        <w:t> </w:t>
      </w:r>
      <w:r w:rsidRPr="00FA68C9">
        <w:rPr>
          <w:sz w:val="16"/>
        </w:rPr>
        <w:t>notably</w:t>
      </w:r>
      <w:r w:rsidRPr="00FA68C9">
        <w:rPr>
          <w:rFonts w:ascii="MS Gothic" w:eastAsia="MS Gothic" w:hAnsi="MS Gothic" w:cs="MS Gothic" w:hint="eastAsia"/>
          <w:sz w:val="16"/>
        </w:rPr>
        <w:t> </w:t>
      </w:r>
      <w:r w:rsidRPr="00FA68C9">
        <w:rPr>
          <w:sz w:val="16"/>
        </w:rPr>
        <w:t>with</w:t>
      </w:r>
      <w:r w:rsidRPr="00FA68C9">
        <w:rPr>
          <w:rFonts w:ascii="MS Gothic" w:eastAsia="MS Gothic" w:hAnsi="MS Gothic" w:cs="MS Gothic" w:hint="eastAsia"/>
          <w:sz w:val="16"/>
        </w:rPr>
        <w:t> </w:t>
      </w:r>
      <w:r w:rsidRPr="00FA68C9">
        <w:rPr>
          <w:sz w:val="16"/>
        </w:rPr>
        <w:t>initiatives</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provide</w:t>
      </w:r>
      <w:r w:rsidRPr="00FA68C9">
        <w:rPr>
          <w:rFonts w:ascii="MS Gothic" w:eastAsia="MS Gothic" w:hAnsi="MS Gothic" w:cs="MS Gothic" w:hint="eastAsia"/>
          <w:sz w:val="16"/>
        </w:rPr>
        <w:t> </w:t>
      </w:r>
      <w:r w:rsidRPr="00FA68C9">
        <w:rPr>
          <w:sz w:val="16"/>
        </w:rPr>
        <w:t>access</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 xml:space="preserve"> higher</w:t>
      </w:r>
      <w:r w:rsidRPr="00FA68C9">
        <w:rPr>
          <w:rFonts w:ascii="MS Gothic" w:eastAsia="MS Gothic" w:hAnsi="MS Gothic" w:cs="MS Gothic" w:hint="eastAsia"/>
          <w:sz w:val="16"/>
        </w:rPr>
        <w:t> </w:t>
      </w:r>
      <w:r w:rsidRPr="00FA68C9">
        <w:rPr>
          <w:sz w:val="16"/>
        </w:rPr>
        <w:t>education</w:t>
      </w:r>
      <w:r w:rsidRPr="00FA68C9">
        <w:rPr>
          <w:rFonts w:ascii="MS Gothic" w:eastAsia="MS Gothic" w:hAnsi="MS Gothic" w:cs="MS Gothic" w:hint="eastAsia"/>
          <w:sz w:val="16"/>
        </w:rPr>
        <w:t> </w:t>
      </w:r>
      <w:r w:rsidRPr="00FA68C9">
        <w:rPr>
          <w:sz w:val="16"/>
        </w:rPr>
        <w:t>for</w:t>
      </w:r>
      <w:r w:rsidRPr="00FA68C9">
        <w:rPr>
          <w:rFonts w:ascii="MS Gothic" w:eastAsia="MS Gothic" w:hAnsi="MS Gothic" w:cs="MS Gothic" w:hint="eastAsia"/>
          <w:sz w:val="16"/>
        </w:rPr>
        <w:t> </w:t>
      </w:r>
      <w:r w:rsidRPr="00FA68C9">
        <w:rPr>
          <w:sz w:val="16"/>
        </w:rPr>
        <w:t>equity</w:t>
      </w:r>
      <w:r w:rsidRPr="00FA68C9">
        <w:rPr>
          <w:rFonts w:ascii="MS Gothic" w:eastAsia="MS Gothic" w:hAnsi="MS Gothic" w:cs="MS Gothic" w:hint="eastAsia"/>
          <w:sz w:val="16"/>
        </w:rPr>
        <w:t> </w:t>
      </w:r>
      <w:r w:rsidRPr="00FA68C9">
        <w:rPr>
          <w:sz w:val="16"/>
        </w:rPr>
        <w:t>students</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those</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‘low</w:t>
      </w:r>
      <w:r w:rsidRPr="00FA68C9">
        <w:rPr>
          <w:rFonts w:ascii="MS Gothic" w:eastAsia="MS Gothic" w:hAnsi="MS Gothic" w:cs="MS Gothic" w:hint="eastAsia"/>
          <w:sz w:val="16"/>
        </w:rPr>
        <w:t> </w:t>
      </w:r>
      <w:r w:rsidRPr="00FA68C9">
        <w:rPr>
          <w:sz w:val="16"/>
        </w:rPr>
        <w:t>socio</w:t>
      </w:r>
      <w:r w:rsidRPr="00FA68C9">
        <w:rPr>
          <w:rFonts w:ascii="Cambria Math" w:hAnsi="Cambria Math" w:cs="Cambria Math"/>
          <w:sz w:val="16"/>
        </w:rPr>
        <w:t>‐</w:t>
      </w:r>
      <w:r w:rsidRPr="00FA68C9">
        <w:rPr>
          <w:sz w:val="16"/>
        </w:rPr>
        <w:t>economic</w:t>
      </w:r>
      <w:r w:rsidRPr="00FA68C9">
        <w:rPr>
          <w:rFonts w:ascii="MS Gothic" w:eastAsia="MS Gothic" w:hAnsi="MS Gothic" w:cs="MS Gothic" w:hint="eastAsia"/>
          <w:sz w:val="16"/>
        </w:rPr>
        <w:t> </w:t>
      </w:r>
      <w:r w:rsidRPr="00FA68C9">
        <w:rPr>
          <w:sz w:val="16"/>
        </w:rPr>
        <w:t>status’</w:t>
      </w:r>
      <w:r w:rsidRPr="00FA68C9">
        <w:rPr>
          <w:rFonts w:ascii="MS Gothic" w:eastAsia="MS Gothic" w:hAnsi="MS Gothic" w:cs="MS Gothic" w:hint="eastAsia"/>
          <w:sz w:val="16"/>
        </w:rPr>
        <w:t> </w:t>
      </w:r>
      <w:r w:rsidRPr="00FA68C9">
        <w:rPr>
          <w:sz w:val="16"/>
        </w:rPr>
        <w:t>from</w:t>
      </w:r>
      <w:r w:rsidRPr="00FA68C9">
        <w:rPr>
          <w:rFonts w:ascii="MS Gothic" w:eastAsia="MS Gothic" w:hAnsi="MS Gothic" w:cs="MS Gothic" w:hint="eastAsia"/>
          <w:sz w:val="16"/>
        </w:rPr>
        <w:t> </w:t>
      </w:r>
      <w:r w:rsidRPr="00FA68C9">
        <w:rPr>
          <w:sz w:val="16"/>
        </w:rPr>
        <w:t xml:space="preserve"> regional</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remote</w:t>
      </w:r>
      <w:r w:rsidRPr="00FA68C9">
        <w:rPr>
          <w:rFonts w:ascii="MS Gothic" w:eastAsia="MS Gothic" w:hAnsi="MS Gothic" w:cs="MS Gothic" w:hint="eastAsia"/>
          <w:sz w:val="16"/>
        </w:rPr>
        <w:t> </w:t>
      </w:r>
      <w:r w:rsidRPr="00FA68C9">
        <w:rPr>
          <w:sz w:val="16"/>
        </w:rPr>
        <w:t>areas</w:t>
      </w:r>
      <w:r w:rsidRPr="00FA68C9">
        <w:rPr>
          <w:rFonts w:ascii="MS Gothic" w:eastAsia="MS Gothic" w:hAnsi="MS Gothic" w:cs="MS Gothic" w:hint="eastAsia"/>
          <w:sz w:val="16"/>
        </w:rPr>
        <w:t> </w:t>
      </w:r>
      <w:r w:rsidRPr="00FA68C9">
        <w:rPr>
          <w:sz w:val="16"/>
        </w:rPr>
        <w:t>through</w:t>
      </w:r>
      <w:r w:rsidRPr="00FA68C9">
        <w:rPr>
          <w:rFonts w:ascii="MS Gothic" w:eastAsia="MS Gothic" w:hAnsi="MS Gothic" w:cs="MS Gothic" w:hint="eastAsia"/>
          <w:sz w:val="16"/>
        </w:rPr>
        <w:t> </w:t>
      </w:r>
      <w:r w:rsidRPr="00FA68C9">
        <w:rPr>
          <w:sz w:val="16"/>
        </w:rPr>
        <w:t>a</w:t>
      </w:r>
      <w:r w:rsidRPr="00FA68C9">
        <w:rPr>
          <w:rFonts w:ascii="MS Gothic" w:eastAsia="MS Gothic" w:hAnsi="MS Gothic" w:cs="MS Gothic" w:hint="eastAsia"/>
          <w:sz w:val="16"/>
        </w:rPr>
        <w:t> </w:t>
      </w:r>
      <w:r w:rsidRPr="00FA68C9">
        <w:rPr>
          <w:sz w:val="16"/>
        </w:rPr>
        <w:t>network</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access</w:t>
      </w:r>
      <w:r w:rsidRPr="00FA68C9">
        <w:rPr>
          <w:rFonts w:ascii="MS Gothic" w:eastAsia="MS Gothic" w:hAnsi="MS Gothic" w:cs="MS Gothic" w:hint="eastAsia"/>
          <w:sz w:val="16"/>
        </w:rPr>
        <w:t> </w:t>
      </w:r>
      <w:r w:rsidRPr="00FA68C9">
        <w:rPr>
          <w:sz w:val="16"/>
        </w:rPr>
        <w:t>centres</w:t>
      </w:r>
      <w:r w:rsidRPr="00FA68C9">
        <w:rPr>
          <w:rFonts w:ascii="MS Gothic" w:eastAsia="MS Gothic" w:hAnsi="MS Gothic" w:cs="MS Gothic" w:hint="eastAsia"/>
          <w:sz w:val="16"/>
        </w:rPr>
        <w:t> </w:t>
      </w:r>
      <w:r w:rsidRPr="00FA68C9">
        <w:rPr>
          <w:sz w:val="16"/>
        </w:rPr>
        <w:t>established</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2000,</w:t>
      </w:r>
      <w:r w:rsidRPr="00FA68C9">
        <w:rPr>
          <w:rFonts w:ascii="MS Gothic" w:eastAsia="MS Gothic" w:hAnsi="MS Gothic" w:cs="MS Gothic" w:hint="eastAsia"/>
          <w:sz w:val="16"/>
        </w:rPr>
        <w:t> </w:t>
      </w:r>
      <w:r w:rsidRPr="00FA68C9">
        <w:rPr>
          <w:sz w:val="16"/>
        </w:rPr>
        <w:t xml:space="preserve"> and</w:t>
      </w:r>
      <w:r w:rsidRPr="00FA68C9">
        <w:rPr>
          <w:rFonts w:ascii="MS Gothic" w:eastAsia="MS Gothic" w:hAnsi="MS Gothic" w:cs="MS Gothic" w:hint="eastAsia"/>
          <w:sz w:val="16"/>
        </w:rPr>
        <w:t> </w:t>
      </w:r>
      <w:r w:rsidRPr="00FA68C9">
        <w:rPr>
          <w:sz w:val="16"/>
        </w:rPr>
        <w:t>through</w:t>
      </w:r>
      <w:r w:rsidRPr="00FA68C9">
        <w:rPr>
          <w:rFonts w:ascii="MS Gothic" w:eastAsia="MS Gothic" w:hAnsi="MS Gothic" w:cs="MS Gothic" w:hint="eastAsia"/>
          <w:sz w:val="16"/>
        </w:rPr>
        <w:t> </w:t>
      </w:r>
      <w:r w:rsidRPr="00FA68C9">
        <w:rPr>
          <w:sz w:val="16"/>
        </w:rPr>
        <w:t>an</w:t>
      </w:r>
      <w:r w:rsidRPr="00FA68C9">
        <w:rPr>
          <w:rFonts w:ascii="MS Gothic" w:eastAsia="MS Gothic" w:hAnsi="MS Gothic" w:cs="MS Gothic" w:hint="eastAsia"/>
          <w:sz w:val="16"/>
        </w:rPr>
        <w:t> </w:t>
      </w:r>
      <w:r w:rsidRPr="00FA68C9">
        <w:rPr>
          <w:sz w:val="16"/>
        </w:rPr>
        <w:t>Indigenous</w:t>
      </w:r>
      <w:r w:rsidRPr="00FA68C9">
        <w:rPr>
          <w:rFonts w:ascii="MS Gothic" w:eastAsia="MS Gothic" w:hAnsi="MS Gothic" w:cs="MS Gothic" w:hint="eastAsia"/>
          <w:sz w:val="16"/>
        </w:rPr>
        <w:t> </w:t>
      </w:r>
      <w:r w:rsidRPr="00FA68C9">
        <w:rPr>
          <w:sz w:val="16"/>
        </w:rPr>
        <w:t>Centre,</w:t>
      </w:r>
      <w:r w:rsidRPr="00FA68C9">
        <w:rPr>
          <w:rFonts w:ascii="MS Gothic" w:eastAsia="MS Gothic" w:hAnsi="MS Gothic" w:cs="MS Gothic" w:hint="eastAsia"/>
          <w:sz w:val="16"/>
        </w:rPr>
        <w:t> </w:t>
      </w:r>
      <w:r w:rsidRPr="00FA68C9">
        <w:rPr>
          <w:sz w:val="16"/>
        </w:rPr>
        <w:t>located</w:t>
      </w:r>
      <w:r w:rsidRPr="00FA68C9">
        <w:rPr>
          <w:rFonts w:ascii="MS Gothic" w:eastAsia="MS Gothic" w:hAnsi="MS Gothic" w:cs="MS Gothic" w:hint="eastAsia"/>
          <w:sz w:val="16"/>
        </w:rPr>
        <w:t> </w:t>
      </w:r>
      <w:r w:rsidRPr="00FA68C9">
        <w:rPr>
          <w:sz w:val="16"/>
        </w:rPr>
        <w:t>on</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central</w:t>
      </w:r>
      <w:r w:rsidRPr="00FA68C9">
        <w:rPr>
          <w:rFonts w:ascii="MS Gothic" w:eastAsia="MS Gothic" w:hAnsi="MS Gothic" w:cs="MS Gothic" w:hint="eastAsia"/>
          <w:sz w:val="16"/>
        </w:rPr>
        <w:t> </w:t>
      </w:r>
      <w:r w:rsidRPr="00FA68C9">
        <w:rPr>
          <w:sz w:val="16"/>
        </w:rPr>
        <w:t>campus</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provide</w:t>
      </w:r>
      <w:r w:rsidRPr="00FA68C9">
        <w:rPr>
          <w:rFonts w:ascii="MS Gothic" w:eastAsia="MS Gothic" w:hAnsi="MS Gothic" w:cs="MS Gothic" w:hint="eastAsia"/>
          <w:sz w:val="16"/>
        </w:rPr>
        <w:t> </w:t>
      </w:r>
      <w:r w:rsidRPr="00FA68C9">
        <w:rPr>
          <w:sz w:val="16"/>
        </w:rPr>
        <w:t>support</w:t>
      </w:r>
      <w:r w:rsidRPr="00FA68C9">
        <w:rPr>
          <w:rFonts w:ascii="MS Gothic" w:eastAsia="MS Gothic" w:hAnsi="MS Gothic" w:cs="MS Gothic" w:hint="eastAsia"/>
          <w:sz w:val="16"/>
        </w:rPr>
        <w:t> </w:t>
      </w:r>
      <w:r w:rsidRPr="00FA68C9">
        <w:rPr>
          <w:sz w:val="16"/>
        </w:rPr>
        <w:t xml:space="preserve"> and</w:t>
      </w:r>
      <w:r w:rsidRPr="00FA68C9">
        <w:rPr>
          <w:rFonts w:ascii="MS Gothic" w:eastAsia="MS Gothic" w:hAnsi="MS Gothic" w:cs="MS Gothic" w:hint="eastAsia"/>
          <w:sz w:val="16"/>
        </w:rPr>
        <w:t> </w:t>
      </w:r>
      <w:r w:rsidRPr="00FA68C9">
        <w:rPr>
          <w:sz w:val="16"/>
        </w:rPr>
        <w:t>mentoring</w:t>
      </w:r>
      <w:r w:rsidRPr="00FA68C9">
        <w:rPr>
          <w:rFonts w:ascii="MS Gothic" w:eastAsia="MS Gothic" w:hAnsi="MS Gothic" w:cs="MS Gothic" w:hint="eastAsia"/>
          <w:sz w:val="16"/>
        </w:rPr>
        <w:t> </w:t>
      </w:r>
      <w:r w:rsidRPr="00FA68C9">
        <w:rPr>
          <w:sz w:val="16"/>
        </w:rPr>
        <w:t>for</w:t>
      </w:r>
      <w:r w:rsidRPr="00FA68C9">
        <w:rPr>
          <w:rFonts w:ascii="MS Gothic" w:eastAsia="MS Gothic" w:hAnsi="MS Gothic" w:cs="MS Gothic" w:hint="eastAsia"/>
          <w:sz w:val="16"/>
        </w:rPr>
        <w:t> </w:t>
      </w:r>
      <w:r w:rsidRPr="00FA68C9">
        <w:rPr>
          <w:sz w:val="16"/>
        </w:rPr>
        <w:t>Indigenous</w:t>
      </w:r>
      <w:r w:rsidRPr="00FA68C9">
        <w:rPr>
          <w:rFonts w:ascii="MS Gothic" w:eastAsia="MS Gothic" w:hAnsi="MS Gothic" w:cs="MS Gothic" w:hint="eastAsia"/>
          <w:sz w:val="16"/>
        </w:rPr>
        <w:t> </w:t>
      </w:r>
      <w:r w:rsidRPr="00FA68C9">
        <w:rPr>
          <w:sz w:val="16"/>
        </w:rPr>
        <w:t>students</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well</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delivering</w:t>
      </w:r>
      <w:r w:rsidRPr="00FA68C9">
        <w:rPr>
          <w:rFonts w:ascii="MS Gothic" w:eastAsia="MS Gothic" w:hAnsi="MS Gothic" w:cs="MS Gothic" w:hint="eastAsia"/>
          <w:sz w:val="16"/>
        </w:rPr>
        <w:t> </w:t>
      </w:r>
      <w:r w:rsidRPr="00FA68C9">
        <w:rPr>
          <w:sz w:val="16"/>
        </w:rPr>
        <w:t>Indigenous</w:t>
      </w:r>
      <w:r w:rsidRPr="00FA68C9">
        <w:rPr>
          <w:rFonts w:ascii="MS Gothic" w:eastAsia="MS Gothic" w:hAnsi="MS Gothic" w:cs="MS Gothic" w:hint="eastAsia"/>
          <w:sz w:val="16"/>
        </w:rPr>
        <w:t> </w:t>
      </w:r>
      <w:r w:rsidRPr="00FA68C9">
        <w:rPr>
          <w:sz w:val="16"/>
        </w:rPr>
        <w:t>studies</w:t>
      </w:r>
      <w:r w:rsidRPr="00FA68C9">
        <w:rPr>
          <w:rFonts w:ascii="MS Gothic" w:eastAsia="MS Gothic" w:hAnsi="MS Gothic" w:cs="MS Gothic" w:hint="eastAsia"/>
          <w:sz w:val="16"/>
        </w:rPr>
        <w:t> </w:t>
      </w:r>
      <w:r w:rsidRPr="00FA68C9">
        <w:rPr>
          <w:sz w:val="16"/>
        </w:rPr>
        <w:t xml:space="preserve"> subjects</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regional</w:t>
      </w:r>
      <w:r w:rsidRPr="00FA68C9">
        <w:rPr>
          <w:rFonts w:ascii="MS Gothic" w:eastAsia="MS Gothic" w:hAnsi="MS Gothic" w:cs="MS Gothic" w:hint="eastAsia"/>
          <w:sz w:val="16"/>
        </w:rPr>
        <w:t> </w:t>
      </w:r>
      <w:r w:rsidRPr="00FA68C9">
        <w:rPr>
          <w:sz w:val="16"/>
        </w:rPr>
        <w:t>network.</w:t>
      </w:r>
      <w:r w:rsidRPr="00FA68C9">
        <w:rPr>
          <w:rFonts w:ascii="MS Gothic" w:eastAsia="MS Gothic" w:hAnsi="MS Gothic" w:cs="MS Gothic" w:hint="eastAsia"/>
          <w:sz w:val="16"/>
        </w:rPr>
        <w:t> </w:t>
      </w:r>
      <w:r w:rsidRPr="00FA68C9">
        <w:rPr>
          <w:sz w:val="16"/>
        </w:rPr>
        <w:t>These</w:t>
      </w:r>
      <w:r w:rsidRPr="00FA68C9">
        <w:rPr>
          <w:rFonts w:ascii="MS Gothic" w:eastAsia="MS Gothic" w:hAnsi="MS Gothic" w:cs="MS Gothic" w:hint="eastAsia"/>
          <w:sz w:val="16"/>
        </w:rPr>
        <w:t> </w:t>
      </w:r>
      <w:r w:rsidRPr="00FA68C9">
        <w:rPr>
          <w:sz w:val="16"/>
        </w:rPr>
        <w:t>are</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areas</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which</w:t>
      </w:r>
      <w:r w:rsidRPr="00FA68C9">
        <w:rPr>
          <w:rFonts w:ascii="MS Gothic" w:eastAsia="MS Gothic" w:hAnsi="MS Gothic" w:cs="MS Gothic" w:hint="eastAsia"/>
          <w:sz w:val="16"/>
        </w:rPr>
        <w:t> </w:t>
      </w:r>
      <w:r w:rsidRPr="00FA68C9">
        <w:rPr>
          <w:sz w:val="16"/>
        </w:rPr>
        <w:t>we</w:t>
      </w:r>
      <w:r w:rsidRPr="00FA68C9">
        <w:rPr>
          <w:rFonts w:ascii="MS Gothic" w:eastAsia="MS Gothic" w:hAnsi="MS Gothic" w:cs="MS Gothic" w:hint="eastAsia"/>
          <w:sz w:val="16"/>
        </w:rPr>
        <w:t> </w:t>
      </w:r>
      <w:r w:rsidRPr="00FA68C9">
        <w:rPr>
          <w:sz w:val="16"/>
        </w:rPr>
        <w:t>both</w:t>
      </w:r>
      <w:r w:rsidRPr="00FA68C9">
        <w:rPr>
          <w:rFonts w:ascii="MS Gothic" w:eastAsia="MS Gothic" w:hAnsi="MS Gothic" w:cs="MS Gothic" w:hint="eastAsia"/>
          <w:sz w:val="16"/>
        </w:rPr>
        <w:t> </w:t>
      </w:r>
      <w:r w:rsidRPr="00FA68C9">
        <w:rPr>
          <w:sz w:val="16"/>
        </w:rPr>
        <w:t>work</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 xml:space="preserve"> where</w:t>
      </w:r>
      <w:r w:rsidRPr="00FA68C9">
        <w:rPr>
          <w:rFonts w:ascii="MS Gothic" w:eastAsia="MS Gothic" w:hAnsi="MS Gothic" w:cs="MS Gothic" w:hint="eastAsia"/>
          <w:sz w:val="16"/>
        </w:rPr>
        <w:t> </w:t>
      </w:r>
      <w:r w:rsidRPr="00FA68C9">
        <w:rPr>
          <w:sz w:val="16"/>
        </w:rPr>
        <w:t>we</w:t>
      </w:r>
      <w:r w:rsidRPr="00FA68C9">
        <w:rPr>
          <w:rFonts w:ascii="MS Gothic" w:eastAsia="MS Gothic" w:hAnsi="MS Gothic" w:cs="MS Gothic" w:hint="eastAsia"/>
          <w:sz w:val="16"/>
        </w:rPr>
        <w:t> </w:t>
      </w:r>
      <w:r w:rsidRPr="00FA68C9">
        <w:rPr>
          <w:sz w:val="16"/>
        </w:rPr>
        <w:t>have</w:t>
      </w:r>
      <w:r w:rsidRPr="00FA68C9">
        <w:rPr>
          <w:rFonts w:ascii="MS Gothic" w:eastAsia="MS Gothic" w:hAnsi="MS Gothic" w:cs="MS Gothic" w:hint="eastAsia"/>
          <w:sz w:val="16"/>
        </w:rPr>
        <w:t> </w:t>
      </w:r>
      <w:r w:rsidRPr="00FA68C9">
        <w:rPr>
          <w:sz w:val="16"/>
        </w:rPr>
        <w:t>noted</w:t>
      </w:r>
      <w:r w:rsidRPr="00FA68C9">
        <w:rPr>
          <w:rFonts w:ascii="MS Gothic" w:eastAsia="MS Gothic" w:hAnsi="MS Gothic" w:cs="MS Gothic" w:hint="eastAsia"/>
          <w:sz w:val="16"/>
        </w:rPr>
        <w:t> </w:t>
      </w:r>
      <w:r w:rsidRPr="00FA68C9">
        <w:rPr>
          <w:sz w:val="16"/>
        </w:rPr>
        <w:t>over</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past</w:t>
      </w:r>
      <w:r w:rsidRPr="00FA68C9">
        <w:rPr>
          <w:rFonts w:ascii="MS Gothic" w:eastAsia="MS Gothic" w:hAnsi="MS Gothic" w:cs="MS Gothic" w:hint="eastAsia"/>
          <w:sz w:val="16"/>
        </w:rPr>
        <w:t> </w:t>
      </w:r>
      <w:r w:rsidRPr="00FA68C9">
        <w:rPr>
          <w:sz w:val="16"/>
        </w:rPr>
        <w:t>few</w:t>
      </w:r>
      <w:r w:rsidRPr="00FA68C9">
        <w:rPr>
          <w:rFonts w:ascii="MS Gothic" w:eastAsia="MS Gothic" w:hAnsi="MS Gothic" w:cs="MS Gothic" w:hint="eastAsia"/>
          <w:sz w:val="16"/>
        </w:rPr>
        <w:t> </w:t>
      </w:r>
      <w:r w:rsidRPr="00FA68C9">
        <w:rPr>
          <w:sz w:val="16"/>
        </w:rPr>
        <w:t>years</w:t>
      </w:r>
      <w:r w:rsidRPr="00FA68C9">
        <w:rPr>
          <w:rFonts w:ascii="MS Gothic" w:eastAsia="MS Gothic" w:hAnsi="MS Gothic" w:cs="MS Gothic" w:hint="eastAsia"/>
          <w:sz w:val="16"/>
        </w:rPr>
        <w:t> </w:t>
      </w:r>
      <w:r w:rsidRPr="00FA68C9">
        <w:rPr>
          <w:sz w:val="16"/>
        </w:rPr>
        <w:t>growing</w:t>
      </w:r>
      <w:r w:rsidRPr="00FA68C9">
        <w:rPr>
          <w:rFonts w:ascii="MS Gothic" w:eastAsia="MS Gothic" w:hAnsi="MS Gothic" w:cs="MS Gothic" w:hint="eastAsia"/>
          <w:sz w:val="16"/>
        </w:rPr>
        <w:t> </w:t>
      </w:r>
      <w:r w:rsidRPr="00FA68C9">
        <w:rPr>
          <w:sz w:val="16"/>
        </w:rPr>
        <w:t>tensions</w:t>
      </w:r>
      <w:r w:rsidRPr="00FA68C9">
        <w:rPr>
          <w:rFonts w:ascii="MS Gothic" w:eastAsia="MS Gothic" w:hAnsi="MS Gothic" w:cs="MS Gothic" w:hint="eastAsia"/>
          <w:sz w:val="16"/>
        </w:rPr>
        <w:t> </w:t>
      </w:r>
      <w:r w:rsidRPr="00FA68C9">
        <w:rPr>
          <w:sz w:val="16"/>
        </w:rPr>
        <w:t>between</w:t>
      </w:r>
      <w:r w:rsidRPr="00FA68C9">
        <w:rPr>
          <w:rFonts w:ascii="MS Gothic" w:eastAsia="MS Gothic" w:hAnsi="MS Gothic" w:cs="MS Gothic" w:hint="eastAsia"/>
          <w:sz w:val="16"/>
        </w:rPr>
        <w:t> </w:t>
      </w:r>
      <w:r w:rsidRPr="00FA68C9">
        <w:rPr>
          <w:sz w:val="16"/>
        </w:rPr>
        <w:t>imperatives</w:t>
      </w:r>
      <w:r w:rsidRPr="00FA68C9">
        <w:rPr>
          <w:rFonts w:ascii="MS Gothic" w:eastAsia="MS Gothic" w:hAnsi="MS Gothic" w:cs="MS Gothic" w:hint="eastAsia"/>
          <w:sz w:val="16"/>
        </w:rPr>
        <w:t> </w:t>
      </w:r>
      <w:r w:rsidRPr="00FA68C9">
        <w:rPr>
          <w:sz w:val="16"/>
        </w:rPr>
        <w:t xml:space="preserve"> to</w:t>
      </w:r>
      <w:r w:rsidRPr="00FA68C9">
        <w:rPr>
          <w:rFonts w:ascii="MS Gothic" w:eastAsia="MS Gothic" w:hAnsi="MS Gothic" w:cs="MS Gothic" w:hint="eastAsia"/>
          <w:sz w:val="16"/>
        </w:rPr>
        <w:t> </w:t>
      </w:r>
      <w:r w:rsidRPr="00FA68C9">
        <w:rPr>
          <w:sz w:val="16"/>
        </w:rPr>
        <w:t>increase</w:t>
      </w:r>
      <w:r w:rsidRPr="00FA68C9">
        <w:rPr>
          <w:rFonts w:ascii="MS Gothic" w:eastAsia="MS Gothic" w:hAnsi="MS Gothic" w:cs="MS Gothic" w:hint="eastAsia"/>
          <w:sz w:val="16"/>
        </w:rPr>
        <w:t> </w:t>
      </w:r>
      <w:r w:rsidRPr="00FA68C9">
        <w:rPr>
          <w:sz w:val="16"/>
        </w:rPr>
        <w:t>access</w:t>
      </w:r>
      <w:r w:rsidRPr="00FA68C9">
        <w:rPr>
          <w:rFonts w:ascii="MS Gothic" w:eastAsia="MS Gothic" w:hAnsi="MS Gothic" w:cs="MS Gothic" w:hint="eastAsia"/>
          <w:sz w:val="16"/>
        </w:rPr>
        <w:t> </w:t>
      </w:r>
      <w:r w:rsidRPr="00FA68C9">
        <w:rPr>
          <w:sz w:val="16"/>
        </w:rPr>
        <w:t>for</w:t>
      </w:r>
      <w:r w:rsidRPr="00FA68C9">
        <w:rPr>
          <w:rFonts w:ascii="MS Gothic" w:eastAsia="MS Gothic" w:hAnsi="MS Gothic" w:cs="MS Gothic" w:hint="eastAsia"/>
          <w:sz w:val="16"/>
        </w:rPr>
        <w:t> </w:t>
      </w:r>
      <w:r w:rsidRPr="00FA68C9">
        <w:rPr>
          <w:sz w:val="16"/>
        </w:rPr>
        <w:t>equity</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Indigenous</w:t>
      </w:r>
      <w:r w:rsidRPr="00FA68C9">
        <w:rPr>
          <w:rFonts w:ascii="MS Gothic" w:eastAsia="MS Gothic" w:hAnsi="MS Gothic" w:cs="MS Gothic" w:hint="eastAsia"/>
          <w:sz w:val="16"/>
        </w:rPr>
        <w:t> </w:t>
      </w:r>
      <w:r w:rsidRPr="00FA68C9">
        <w:rPr>
          <w:sz w:val="16"/>
        </w:rPr>
        <w:t>students,</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seemingly</w:t>
      </w:r>
      <w:r w:rsidRPr="00FA68C9">
        <w:rPr>
          <w:rFonts w:ascii="MS Gothic" w:eastAsia="MS Gothic" w:hAnsi="MS Gothic" w:cs="MS Gothic" w:hint="eastAsia"/>
          <w:sz w:val="16"/>
        </w:rPr>
        <w:t> </w:t>
      </w:r>
      <w:r w:rsidRPr="00FA68C9">
        <w:rPr>
          <w:sz w:val="16"/>
        </w:rPr>
        <w:t>irresolvable</w:t>
      </w:r>
      <w:r w:rsidRPr="00FA68C9">
        <w:rPr>
          <w:rFonts w:ascii="MS Gothic" w:eastAsia="MS Gothic" w:hAnsi="MS Gothic" w:cs="MS Gothic" w:hint="eastAsia"/>
          <w:sz w:val="16"/>
        </w:rPr>
        <w:t> </w:t>
      </w:r>
      <w:r w:rsidRPr="00FA68C9">
        <w:rPr>
          <w:sz w:val="16"/>
        </w:rPr>
        <w:t xml:space="preserve"> difficulties</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sustaining</w:t>
      </w:r>
      <w:r w:rsidRPr="00FA68C9">
        <w:rPr>
          <w:rFonts w:ascii="MS Gothic" w:eastAsia="MS Gothic" w:hAnsi="MS Gothic" w:cs="MS Gothic" w:hint="eastAsia"/>
          <w:sz w:val="16"/>
        </w:rPr>
        <w:t> </w:t>
      </w:r>
      <w:r w:rsidRPr="00FA68C9">
        <w:rPr>
          <w:sz w:val="16"/>
        </w:rPr>
        <w:t>programs</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facilitate</w:t>
      </w:r>
      <w:r w:rsidRPr="00FA68C9">
        <w:rPr>
          <w:rFonts w:ascii="MS Gothic" w:eastAsia="MS Gothic" w:hAnsi="MS Gothic" w:cs="MS Gothic" w:hint="eastAsia"/>
          <w:sz w:val="16"/>
        </w:rPr>
        <w:t> </w:t>
      </w:r>
      <w:r w:rsidRPr="00FA68C9">
        <w:rPr>
          <w:sz w:val="16"/>
        </w:rPr>
        <w:t>successful</w:t>
      </w:r>
      <w:r w:rsidRPr="00FA68C9">
        <w:rPr>
          <w:rFonts w:ascii="MS Gothic" w:eastAsia="MS Gothic" w:hAnsi="MS Gothic" w:cs="MS Gothic" w:hint="eastAsia"/>
          <w:sz w:val="16"/>
        </w:rPr>
        <w:t> </w:t>
      </w:r>
      <w:r w:rsidRPr="00FA68C9">
        <w:rPr>
          <w:sz w:val="16"/>
        </w:rPr>
        <w:t>transition</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retention</w:t>
      </w:r>
      <w:r w:rsidRPr="00FA68C9">
        <w:rPr>
          <w:rFonts w:ascii="MS Gothic" w:eastAsia="MS Gothic" w:hAnsi="MS Gothic" w:cs="MS Gothic" w:hint="eastAsia"/>
          <w:sz w:val="16"/>
        </w:rPr>
        <w:t> </w:t>
      </w:r>
      <w:r w:rsidRPr="00FA68C9">
        <w:rPr>
          <w:sz w:val="16"/>
        </w:rPr>
        <w:t xml:space="preserve"> in</w:t>
      </w:r>
      <w:r w:rsidRPr="00FA68C9">
        <w:rPr>
          <w:rFonts w:ascii="MS Gothic" w:eastAsia="MS Gothic" w:hAnsi="MS Gothic" w:cs="MS Gothic" w:hint="eastAsia"/>
          <w:sz w:val="16"/>
        </w:rPr>
        <w:t> </w:t>
      </w:r>
      <w:r w:rsidRPr="00FA68C9">
        <w:rPr>
          <w:sz w:val="16"/>
        </w:rPr>
        <w:t>a</w:t>
      </w:r>
      <w:r w:rsidRPr="00FA68C9">
        <w:rPr>
          <w:rFonts w:ascii="MS Gothic" w:eastAsia="MS Gothic" w:hAnsi="MS Gothic" w:cs="MS Gothic" w:hint="eastAsia"/>
          <w:sz w:val="16"/>
        </w:rPr>
        <w:t> </w:t>
      </w:r>
      <w:r w:rsidRPr="00FA68C9">
        <w:rPr>
          <w:sz w:val="16"/>
        </w:rPr>
        <w:t>higher</w:t>
      </w:r>
      <w:r w:rsidRPr="00FA68C9">
        <w:rPr>
          <w:rFonts w:ascii="MS Gothic" w:eastAsia="MS Gothic" w:hAnsi="MS Gothic" w:cs="MS Gothic" w:hint="eastAsia"/>
          <w:sz w:val="16"/>
        </w:rPr>
        <w:t> </w:t>
      </w:r>
      <w:r w:rsidRPr="00FA68C9">
        <w:rPr>
          <w:sz w:val="16"/>
        </w:rPr>
        <w:t>education</w:t>
      </w:r>
      <w:r w:rsidRPr="00FA68C9">
        <w:rPr>
          <w:rFonts w:ascii="MS Gothic" w:eastAsia="MS Gothic" w:hAnsi="MS Gothic" w:cs="MS Gothic" w:hint="eastAsia"/>
          <w:sz w:val="16"/>
        </w:rPr>
        <w:t> </w:t>
      </w:r>
      <w:r w:rsidRPr="00FA68C9">
        <w:rPr>
          <w:sz w:val="16"/>
        </w:rPr>
        <w:t>environment.</w:t>
      </w:r>
      <w:r w:rsidRPr="00FA68C9">
        <w:rPr>
          <w:rFonts w:ascii="MS Gothic" w:eastAsia="MS Gothic" w:hAnsi="MS Gothic" w:cs="MS Gothic" w:hint="eastAsia"/>
          <w:sz w:val="16"/>
        </w:rPr>
        <w:t> </w:t>
      </w:r>
      <w:r w:rsidRPr="00FA68C9">
        <w:rPr>
          <w:sz w:val="16"/>
        </w:rPr>
        <w:t>We</w:t>
      </w:r>
      <w:r w:rsidRPr="00FA68C9">
        <w:rPr>
          <w:rFonts w:ascii="MS Gothic" w:eastAsia="MS Gothic" w:hAnsi="MS Gothic" w:cs="MS Gothic" w:hint="eastAsia"/>
          <w:sz w:val="16"/>
        </w:rPr>
        <w:t> </w:t>
      </w:r>
      <w:r w:rsidRPr="00FA68C9">
        <w:rPr>
          <w:sz w:val="16"/>
        </w:rPr>
        <w:t>argue</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at</w:t>
      </w:r>
      <w:r w:rsidRPr="00FA68C9">
        <w:rPr>
          <w:rFonts w:ascii="MS Gothic" w:eastAsia="MS Gothic" w:hAnsi="MS Gothic" w:cs="MS Gothic" w:hint="eastAsia"/>
          <w:sz w:val="16"/>
        </w:rPr>
        <w:t> </w:t>
      </w:r>
      <w:r w:rsidRPr="00FA68C9">
        <w:rPr>
          <w:sz w:val="16"/>
        </w:rPr>
        <w:t>least</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part,</w:t>
      </w:r>
      <w:r w:rsidRPr="00FA68C9">
        <w:rPr>
          <w:rFonts w:ascii="MS Gothic" w:eastAsia="MS Gothic" w:hAnsi="MS Gothic" w:cs="MS Gothic" w:hint="eastAsia"/>
          <w:sz w:val="16"/>
        </w:rPr>
        <w:t> </w:t>
      </w:r>
      <w:r w:rsidRPr="00FA68C9">
        <w:rPr>
          <w:sz w:val="16"/>
        </w:rPr>
        <w:t>some</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these</w:t>
      </w:r>
      <w:r w:rsidRPr="00FA68C9">
        <w:rPr>
          <w:rFonts w:ascii="MS Gothic" w:eastAsia="MS Gothic" w:hAnsi="MS Gothic" w:cs="MS Gothic" w:hint="eastAsia"/>
          <w:sz w:val="16"/>
        </w:rPr>
        <w:t> </w:t>
      </w:r>
      <w:r w:rsidRPr="00FA68C9">
        <w:rPr>
          <w:sz w:val="16"/>
        </w:rPr>
        <w:t xml:space="preserve"> difficulties</w:t>
      </w:r>
      <w:r w:rsidRPr="00FA68C9">
        <w:rPr>
          <w:rFonts w:ascii="MS Gothic" w:eastAsia="MS Gothic" w:hAnsi="MS Gothic" w:cs="MS Gothic" w:hint="eastAsia"/>
          <w:sz w:val="16"/>
        </w:rPr>
        <w:t> </w:t>
      </w:r>
      <w:r w:rsidRPr="00FA68C9">
        <w:rPr>
          <w:sz w:val="16"/>
        </w:rPr>
        <w:t>can</w:t>
      </w:r>
      <w:r w:rsidRPr="00FA68C9">
        <w:rPr>
          <w:rFonts w:ascii="MS Gothic" w:eastAsia="MS Gothic" w:hAnsi="MS Gothic" w:cs="MS Gothic" w:hint="eastAsia"/>
          <w:sz w:val="16"/>
        </w:rPr>
        <w:t> </w:t>
      </w:r>
      <w:r w:rsidRPr="00FA68C9">
        <w:rPr>
          <w:sz w:val="16"/>
        </w:rPr>
        <w:t>be</w:t>
      </w:r>
      <w:r w:rsidRPr="00FA68C9">
        <w:rPr>
          <w:rFonts w:ascii="MS Gothic" w:eastAsia="MS Gothic" w:hAnsi="MS Gothic" w:cs="MS Gothic" w:hint="eastAsia"/>
          <w:sz w:val="16"/>
        </w:rPr>
        <w:t> </w:t>
      </w:r>
      <w:r w:rsidRPr="00FA68C9">
        <w:rPr>
          <w:sz w:val="16"/>
        </w:rPr>
        <w:t>traced</w:t>
      </w:r>
      <w:r w:rsidRPr="00FA68C9">
        <w:rPr>
          <w:rFonts w:ascii="MS Gothic" w:eastAsia="MS Gothic" w:hAnsi="MS Gothic" w:cs="MS Gothic" w:hint="eastAsia"/>
          <w:sz w:val="16"/>
        </w:rPr>
        <w:t> </w:t>
      </w:r>
      <w:r w:rsidRPr="00FA68C9">
        <w:rPr>
          <w:sz w:val="16"/>
        </w:rPr>
        <w:t>back</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increasing</w:t>
      </w:r>
      <w:r w:rsidRPr="00FA68C9">
        <w:rPr>
          <w:rFonts w:ascii="MS Gothic" w:eastAsia="MS Gothic" w:hAnsi="MS Gothic" w:cs="MS Gothic" w:hint="eastAsia"/>
          <w:sz w:val="16"/>
        </w:rPr>
        <w:t> </w:t>
      </w:r>
      <w:r w:rsidRPr="00FA68C9">
        <w:rPr>
          <w:sz w:val="16"/>
        </w:rPr>
        <w:t>corporatisation</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universities</w:t>
      </w:r>
      <w:r w:rsidRPr="00FA68C9">
        <w:rPr>
          <w:rFonts w:ascii="MS Gothic" w:eastAsia="MS Gothic" w:hAnsi="MS Gothic" w:cs="MS Gothic" w:hint="eastAsia"/>
          <w:sz w:val="16"/>
        </w:rPr>
        <w:t> </w:t>
      </w:r>
      <w:r w:rsidRPr="00FA68C9">
        <w:rPr>
          <w:sz w:val="16"/>
        </w:rPr>
        <w:t xml:space="preserve"> within</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matrices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neoliberalist</w:t>
      </w:r>
      <w:r w:rsidRPr="00FA68C9">
        <w:rPr>
          <w:rFonts w:ascii="MS Gothic" w:eastAsia="MS Gothic" w:hAnsi="MS Gothic" w:cs="MS Gothic" w:hint="eastAsia"/>
          <w:sz w:val="16"/>
        </w:rPr>
        <w:t> </w:t>
      </w:r>
      <w:r w:rsidRPr="00FA68C9">
        <w:rPr>
          <w:sz w:val="16"/>
        </w:rPr>
        <w:t>discourse</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higher</w:t>
      </w:r>
      <w:r w:rsidRPr="00FA68C9">
        <w:rPr>
          <w:rFonts w:ascii="MS Gothic" w:eastAsia="MS Gothic" w:hAnsi="MS Gothic" w:cs="MS Gothic" w:hint="eastAsia"/>
          <w:sz w:val="16"/>
        </w:rPr>
        <w:t> </w:t>
      </w:r>
      <w:r w:rsidRPr="00FA68C9">
        <w:rPr>
          <w:sz w:val="16"/>
        </w:rPr>
        <w:t>education</w:t>
      </w:r>
      <w:r w:rsidRPr="00FA68C9">
        <w:rPr>
          <w:rFonts w:ascii="MS Gothic" w:eastAsia="MS Gothic" w:hAnsi="MS Gothic" w:cs="MS Gothic" w:hint="eastAsia"/>
          <w:sz w:val="16"/>
        </w:rPr>
        <w:t> </w:t>
      </w:r>
      <w:r w:rsidRPr="00FA68C9">
        <w:rPr>
          <w:sz w:val="16"/>
        </w:rPr>
        <w:t>management.</w:t>
      </w:r>
      <w:r w:rsidRPr="00FA68C9">
        <w:rPr>
          <w:rFonts w:ascii="MS Gothic" w:eastAsia="MS Gothic" w:hAnsi="MS Gothic" w:cs="MS Gothic" w:hint="eastAsia"/>
          <w:sz w:val="16"/>
        </w:rPr>
        <w:t> </w:t>
      </w:r>
      <w:r w:rsidRPr="00FA68C9">
        <w:rPr>
          <w:sz w:val="16"/>
        </w:rPr>
        <w:t xml:space="preserve"> On</w:t>
      </w:r>
      <w:r w:rsidRPr="00FA68C9">
        <w:rPr>
          <w:rFonts w:ascii="MS Gothic" w:eastAsia="MS Gothic" w:hAnsi="MS Gothic" w:cs="MS Gothic" w:hint="eastAsia"/>
          <w:sz w:val="16"/>
        </w:rPr>
        <w:t> </w:t>
      </w:r>
      <w:r w:rsidRPr="00FA68C9">
        <w:rPr>
          <w:sz w:val="16"/>
        </w:rPr>
        <w:t>one</w:t>
      </w:r>
      <w:r w:rsidRPr="00FA68C9">
        <w:rPr>
          <w:rFonts w:ascii="MS Gothic" w:eastAsia="MS Gothic" w:hAnsi="MS Gothic" w:cs="MS Gothic" w:hint="eastAsia"/>
          <w:sz w:val="16"/>
        </w:rPr>
        <w:t> </w:t>
      </w:r>
      <w:r w:rsidRPr="00FA68C9">
        <w:rPr>
          <w:sz w:val="16"/>
        </w:rPr>
        <w:t>hand,</w:t>
      </w:r>
      <w:r w:rsidRPr="00FA68C9">
        <w:rPr>
          <w:rFonts w:ascii="MS Gothic" w:eastAsia="MS Gothic" w:hAnsi="MS Gothic" w:cs="MS Gothic" w:hint="eastAsia"/>
          <w:sz w:val="16"/>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managerial</w:t>
      </w:r>
      <w:r w:rsidRPr="00FA68C9">
        <w:rPr>
          <w:rFonts w:ascii="MS Gothic" w:eastAsia="MS Gothic" w:hAnsi="MS Gothic" w:cs="MS Gothic" w:hint="eastAsia"/>
          <w:highlight w:val="green"/>
          <w:u w:val="single"/>
        </w:rPr>
        <w:t> </w:t>
      </w:r>
      <w:r w:rsidRPr="00FA68C9">
        <w:rPr>
          <w:highlight w:val="green"/>
          <w:u w:val="single"/>
        </w:rPr>
        <w:t>language</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Bradley</w:t>
      </w:r>
      <w:r w:rsidRPr="00FA68C9">
        <w:rPr>
          <w:rFonts w:ascii="MS Gothic" w:eastAsia="MS Gothic" w:hAnsi="MS Gothic" w:cs="MS Gothic" w:hint="eastAsia"/>
          <w:sz w:val="16"/>
        </w:rPr>
        <w:t> </w:t>
      </w:r>
      <w:r w:rsidRPr="00FA68C9">
        <w:rPr>
          <w:sz w:val="16"/>
        </w:rPr>
        <w:t>Report</w:t>
      </w:r>
      <w:r w:rsidRPr="00FA68C9">
        <w:rPr>
          <w:rFonts w:ascii="MS Gothic" w:eastAsia="MS Gothic" w:hAnsi="MS Gothic" w:cs="MS Gothic" w:hint="eastAsia"/>
          <w:sz w:val="16"/>
        </w:rPr>
        <w:t> </w:t>
      </w:r>
      <w:r w:rsidRPr="00FA68C9">
        <w:rPr>
          <w:sz w:val="16"/>
        </w:rPr>
        <w:t>is</w:t>
      </w:r>
      <w:r w:rsidRPr="00FA68C9">
        <w:rPr>
          <w:rFonts w:ascii="MS Gothic" w:eastAsia="MS Gothic" w:hAnsi="MS Gothic" w:cs="MS Gothic" w:hint="eastAsia"/>
          <w:sz w:val="16"/>
        </w:rPr>
        <w:t> </w:t>
      </w:r>
      <w:r w:rsidRPr="00FA68C9">
        <w:rPr>
          <w:sz w:val="16"/>
        </w:rPr>
        <w:t>a</w:t>
      </w:r>
      <w:r w:rsidRPr="00FA68C9">
        <w:rPr>
          <w:rFonts w:ascii="MS Gothic" w:eastAsia="MS Gothic" w:hAnsi="MS Gothic" w:cs="MS Gothic" w:hint="eastAsia"/>
          <w:sz w:val="16"/>
        </w:rPr>
        <w:t> </w:t>
      </w:r>
      <w:r w:rsidRPr="00FA68C9">
        <w:rPr>
          <w:sz w:val="16"/>
        </w:rPr>
        <w:t>call</w:t>
      </w:r>
      <w:r w:rsidRPr="00FA68C9">
        <w:rPr>
          <w:rFonts w:ascii="MS Gothic" w:eastAsia="MS Gothic" w:hAnsi="MS Gothic" w:cs="MS Gothic" w:hint="eastAsia"/>
          <w:sz w:val="16"/>
        </w:rPr>
        <w:t> </w:t>
      </w:r>
      <w:r w:rsidRPr="00FA68C9">
        <w:rPr>
          <w:sz w:val="16"/>
        </w:rPr>
        <w:t>for</w:t>
      </w:r>
      <w:r w:rsidRPr="00FA68C9">
        <w:rPr>
          <w:rFonts w:ascii="MS Gothic" w:eastAsia="MS Gothic" w:hAnsi="MS Gothic" w:cs="MS Gothic" w:hint="eastAsia"/>
          <w:sz w:val="16"/>
        </w:rPr>
        <w:t> </w:t>
      </w:r>
      <w:r w:rsidRPr="00FA68C9">
        <w:rPr>
          <w:sz w:val="16"/>
        </w:rPr>
        <w:t xml:space="preserve"> greater</w:t>
      </w:r>
      <w:r w:rsidRPr="00FA68C9">
        <w:rPr>
          <w:rFonts w:ascii="MS Gothic" w:eastAsia="MS Gothic" w:hAnsi="MS Gothic" w:cs="MS Gothic" w:hint="eastAsia"/>
          <w:sz w:val="16"/>
        </w:rPr>
        <w:t> </w:t>
      </w:r>
      <w:r w:rsidRPr="00FA68C9">
        <w:rPr>
          <w:sz w:val="16"/>
        </w:rPr>
        <w:t>transparency</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practice</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draws</w:t>
      </w:r>
      <w:r w:rsidRPr="00FA68C9">
        <w:rPr>
          <w:rFonts w:ascii="MS Gothic" w:eastAsia="MS Gothic" w:hAnsi="MS Gothic" w:cs="MS Gothic" w:hint="eastAsia"/>
          <w:sz w:val="16"/>
        </w:rPr>
        <w:t> </w:t>
      </w:r>
      <w:r w:rsidRPr="00FA68C9">
        <w:rPr>
          <w:sz w:val="16"/>
        </w:rPr>
        <w:t>on</w:t>
      </w:r>
      <w:r w:rsidRPr="00FA68C9">
        <w:rPr>
          <w:rFonts w:ascii="MS Gothic" w:eastAsia="MS Gothic" w:hAnsi="MS Gothic" w:cs="MS Gothic" w:hint="eastAsia"/>
          <w:sz w:val="16"/>
        </w:rPr>
        <w:t> </w:t>
      </w:r>
      <w:r w:rsidRPr="00FA68C9">
        <w:rPr>
          <w:sz w:val="16"/>
        </w:rPr>
        <w:t>various</w:t>
      </w:r>
      <w:r w:rsidRPr="00FA68C9">
        <w:rPr>
          <w:rFonts w:ascii="MS Gothic" w:eastAsia="MS Gothic" w:hAnsi="MS Gothic" w:cs="MS Gothic" w:hint="eastAsia"/>
          <w:sz w:val="16"/>
        </w:rPr>
        <w:t> </w:t>
      </w:r>
      <w:r w:rsidRPr="00FA68C9">
        <w:rPr>
          <w:sz w:val="16"/>
        </w:rPr>
        <w:t>regimes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surveillance— performance</w:t>
      </w:r>
      <w:r w:rsidRPr="00FA68C9">
        <w:rPr>
          <w:rFonts w:ascii="MS Gothic" w:eastAsia="MS Gothic" w:hAnsi="MS Gothic" w:cs="MS Gothic" w:hint="eastAsia"/>
          <w:sz w:val="16"/>
        </w:rPr>
        <w:t> </w:t>
      </w:r>
      <w:r w:rsidRPr="00FA68C9">
        <w:rPr>
          <w:sz w:val="16"/>
        </w:rPr>
        <w:t>indicators,</w:t>
      </w:r>
      <w:r w:rsidRPr="00FA68C9">
        <w:rPr>
          <w:rFonts w:ascii="MS Gothic" w:eastAsia="MS Gothic" w:hAnsi="MS Gothic" w:cs="MS Gothic" w:hint="eastAsia"/>
          <w:sz w:val="16"/>
        </w:rPr>
        <w:t> </w:t>
      </w:r>
      <w:r w:rsidRPr="00FA68C9">
        <w:rPr>
          <w:sz w:val="16"/>
        </w:rPr>
        <w:t>external</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internal</w:t>
      </w:r>
      <w:r w:rsidRPr="00FA68C9">
        <w:rPr>
          <w:rFonts w:ascii="MS Gothic" w:eastAsia="MS Gothic" w:hAnsi="MS Gothic" w:cs="MS Gothic" w:hint="eastAsia"/>
          <w:sz w:val="16"/>
        </w:rPr>
        <w:t> </w:t>
      </w:r>
      <w:r w:rsidRPr="00FA68C9">
        <w:rPr>
          <w:sz w:val="16"/>
        </w:rPr>
        <w:t>audits</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reviews—to</w:t>
      </w:r>
      <w:r w:rsidRPr="00FA68C9">
        <w:rPr>
          <w:rFonts w:ascii="MS Gothic" w:eastAsia="MS Gothic" w:hAnsi="MS Gothic" w:cs="MS Gothic" w:hint="eastAsia"/>
          <w:sz w:val="16"/>
        </w:rPr>
        <w:t> </w:t>
      </w:r>
      <w:r w:rsidRPr="00FA68C9">
        <w:rPr>
          <w:sz w:val="16"/>
        </w:rPr>
        <w:t>measure</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 xml:space="preserve"> police</w:t>
      </w:r>
      <w:r w:rsidRPr="00FA68C9">
        <w:rPr>
          <w:rFonts w:ascii="MS Gothic" w:eastAsia="MS Gothic" w:hAnsi="MS Gothic" w:cs="MS Gothic" w:hint="eastAsia"/>
          <w:sz w:val="16"/>
        </w:rPr>
        <w:t> </w:t>
      </w:r>
      <w:r w:rsidRPr="00FA68C9">
        <w:rPr>
          <w:sz w:val="16"/>
        </w:rPr>
        <w:t>accountability.</w:t>
      </w:r>
      <w:r w:rsidRPr="00FA68C9">
        <w:rPr>
          <w:rFonts w:ascii="MS Gothic" w:eastAsia="MS Gothic" w:hAnsi="MS Gothic" w:cs="MS Gothic" w:hint="eastAsia"/>
          <w:sz w:val="16"/>
        </w:rPr>
        <w:t> </w:t>
      </w:r>
      <w:r w:rsidRPr="00FA68C9">
        <w:rPr>
          <w:sz w:val="16"/>
        </w:rPr>
        <w:t>On</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other</w:t>
      </w:r>
      <w:r w:rsidRPr="00FA68C9">
        <w:rPr>
          <w:rFonts w:ascii="MS Gothic" w:eastAsia="MS Gothic" w:hAnsi="MS Gothic" w:cs="MS Gothic" w:hint="eastAsia"/>
          <w:sz w:val="16"/>
        </w:rPr>
        <w:t> </w:t>
      </w:r>
      <w:r w:rsidRPr="00FA68C9">
        <w:rPr>
          <w:sz w:val="16"/>
        </w:rPr>
        <w:t>hand,</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other</w:t>
      </w:r>
      <w:r w:rsidRPr="00FA68C9">
        <w:rPr>
          <w:rFonts w:ascii="MS Gothic" w:eastAsia="MS Gothic" w:hAnsi="MS Gothic" w:cs="MS Gothic" w:hint="eastAsia"/>
          <w:sz w:val="16"/>
        </w:rPr>
        <w:t> </w:t>
      </w:r>
      <w:r w:rsidRPr="00FA68C9">
        <w:rPr>
          <w:sz w:val="16"/>
        </w:rPr>
        <w:t>researchers</w:t>
      </w:r>
      <w:r w:rsidRPr="00FA68C9">
        <w:rPr>
          <w:rFonts w:ascii="MS Gothic" w:eastAsia="MS Gothic" w:hAnsi="MS Gothic" w:cs="MS Gothic" w:hint="eastAsia"/>
          <w:sz w:val="16"/>
        </w:rPr>
        <w:t> </w:t>
      </w:r>
      <w:r w:rsidRPr="00FA68C9">
        <w:rPr>
          <w:sz w:val="16"/>
        </w:rPr>
        <w:t>have</w:t>
      </w:r>
      <w:r w:rsidRPr="00FA68C9">
        <w:rPr>
          <w:rFonts w:ascii="MS Gothic" w:eastAsia="MS Gothic" w:hAnsi="MS Gothic" w:cs="MS Gothic" w:hint="eastAsia"/>
          <w:sz w:val="16"/>
        </w:rPr>
        <w:t> </w:t>
      </w:r>
      <w:r w:rsidRPr="00FA68C9">
        <w:rPr>
          <w:sz w:val="16"/>
        </w:rPr>
        <w:t>noted,</w:t>
      </w:r>
      <w:r w:rsidRPr="00FA68C9">
        <w:rPr>
          <w:rFonts w:ascii="MS Gothic" w:eastAsia="MS Gothic" w:hAnsi="MS Gothic" w:cs="MS Gothic" w:hint="eastAsia"/>
          <w:sz w:val="16"/>
        </w:rPr>
        <w:t> </w:t>
      </w:r>
      <w:r w:rsidRPr="00FA68C9">
        <w:rPr>
          <w:sz w:val="16"/>
        </w:rPr>
        <w:t>this</w:t>
      </w:r>
      <w:r w:rsidRPr="00FA68C9">
        <w:rPr>
          <w:rFonts w:ascii="MS Gothic" w:eastAsia="MS Gothic" w:hAnsi="MS Gothic" w:cs="MS Gothic" w:hint="eastAsia"/>
          <w:sz w:val="16"/>
        </w:rPr>
        <w:t> </w:t>
      </w:r>
      <w:r w:rsidRPr="00FA68C9">
        <w:rPr>
          <w:u w:val="single"/>
        </w:rPr>
        <w:t>is</w:t>
      </w:r>
      <w:r w:rsidRPr="00FA68C9">
        <w:rPr>
          <w:rFonts w:ascii="MS Gothic" w:eastAsia="MS Gothic" w:hAnsi="MS Gothic" w:cs="MS Gothic" w:hint="eastAsia"/>
          <w:u w:val="single"/>
        </w:rPr>
        <w:t> </w:t>
      </w:r>
      <w:r w:rsidRPr="00FA68C9">
        <w:rPr>
          <w:u w:val="single"/>
        </w:rPr>
        <w:t xml:space="preserve"> a</w:t>
      </w:r>
      <w:r w:rsidRPr="00FA68C9">
        <w:rPr>
          <w:rFonts w:ascii="MS Gothic" w:eastAsia="MS Gothic" w:hAnsi="MS Gothic" w:cs="MS Gothic" w:hint="eastAsia"/>
          <w:u w:val="single"/>
        </w:rPr>
        <w:t> </w:t>
      </w:r>
      <w:r w:rsidRPr="00FA68C9">
        <w:rPr>
          <w:u w:val="single"/>
        </w:rPr>
        <w:t>language</w:t>
      </w:r>
      <w:r w:rsidRPr="00FA68C9">
        <w:rPr>
          <w:rFonts w:ascii="MS Gothic" w:eastAsia="MS Gothic" w:hAnsi="MS Gothic" w:cs="MS Gothic" w:hint="eastAsia"/>
          <w:u w:val="single"/>
        </w:rPr>
        <w:t> </w:t>
      </w:r>
      <w:r w:rsidRPr="00FA68C9">
        <w:rPr>
          <w:u w:val="single"/>
        </w:rPr>
        <w:t>economy</w:t>
      </w:r>
      <w:r w:rsidRPr="00FA68C9">
        <w:rPr>
          <w:rFonts w:ascii="MS Gothic" w:eastAsia="MS Gothic" w:hAnsi="MS Gothic" w:cs="MS Gothic" w:hint="eastAsia"/>
          <w:u w:val="single"/>
        </w:rPr>
        <w:t> </w:t>
      </w:r>
      <w:r w:rsidRPr="00FA68C9">
        <w:rPr>
          <w:u w:val="single"/>
        </w:rPr>
        <w:t>that</w:t>
      </w:r>
      <w:r w:rsidRPr="00FA68C9">
        <w:rPr>
          <w:rFonts w:ascii="MS Gothic" w:eastAsia="MS Gothic" w:hAnsi="MS Gothic" w:cs="MS Gothic" w:hint="eastAsia"/>
          <w:u w:val="single"/>
        </w:rPr>
        <w:t> </w:t>
      </w:r>
      <w:r w:rsidRPr="00FA68C9">
        <w:rPr>
          <w:highlight w:val="green"/>
          <w:u w:val="single"/>
        </w:rPr>
        <w:t>fosters</w:t>
      </w:r>
      <w:r w:rsidRPr="00FA68C9">
        <w:rPr>
          <w:rFonts w:ascii="MS Gothic" w:eastAsia="MS Gothic" w:hAnsi="MS Gothic" w:cs="MS Gothic" w:hint="eastAsia"/>
          <w:highlight w:val="green"/>
          <w:u w:val="single"/>
        </w:rPr>
        <w:t> </w:t>
      </w:r>
      <w:r w:rsidRPr="00FA68C9">
        <w:rPr>
          <w:highlight w:val="green"/>
          <w:u w:val="single"/>
        </w:rPr>
        <w:t>a</w:t>
      </w:r>
      <w:r w:rsidRPr="00FA68C9">
        <w:rPr>
          <w:rFonts w:ascii="MS Gothic" w:eastAsia="MS Gothic" w:hAnsi="MS Gothic" w:cs="MS Gothic" w:hint="eastAsia"/>
          <w:highlight w:val="green"/>
          <w:u w:val="single"/>
        </w:rPr>
        <w:t> </w:t>
      </w:r>
      <w:r w:rsidRPr="00FA68C9">
        <w:rPr>
          <w:highlight w:val="green"/>
          <w:u w:val="single"/>
        </w:rPr>
        <w:t>climate</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distrust</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suspicion</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an</w:t>
      </w:r>
      <w:r w:rsidRPr="00FA68C9">
        <w:rPr>
          <w:rFonts w:ascii="MS Gothic" w:eastAsia="MS Gothic" w:hAnsi="MS Gothic" w:cs="MS Gothic" w:hint="eastAsia"/>
          <w:highlight w:val="green"/>
          <w:u w:val="single"/>
        </w:rPr>
        <w:t> </w:t>
      </w:r>
      <w:r w:rsidRPr="00FA68C9">
        <w:rPr>
          <w:highlight w:val="green"/>
          <w:u w:val="single"/>
        </w:rPr>
        <w:t>urgency</w:t>
      </w:r>
      <w:r w:rsidRPr="00FA68C9">
        <w:rPr>
          <w:rFonts w:ascii="MS Gothic" w:eastAsia="MS Gothic" w:hAnsi="MS Gothic" w:cs="MS Gothic" w:hint="eastAsia"/>
          <w:highlight w:val="green"/>
          <w:u w:val="single"/>
        </w:rPr>
        <w:t> </w:t>
      </w:r>
      <w:r w:rsidRPr="00FA68C9">
        <w:rPr>
          <w:highlight w:val="green"/>
          <w:u w:val="single"/>
        </w:rPr>
        <w:t xml:space="preserve"> ‘to</w:t>
      </w:r>
      <w:r w:rsidRPr="00FA68C9">
        <w:rPr>
          <w:rFonts w:ascii="MS Gothic" w:eastAsia="MS Gothic" w:hAnsi="MS Gothic" w:cs="MS Gothic" w:hint="eastAsia"/>
          <w:highlight w:val="green"/>
          <w:u w:val="single"/>
        </w:rPr>
        <w:t> </w:t>
      </w:r>
      <w:r w:rsidRPr="00FA68C9">
        <w:rPr>
          <w:highlight w:val="green"/>
          <w:u w:val="single"/>
        </w:rPr>
        <w:t>be</w:t>
      </w:r>
      <w:r w:rsidRPr="00FA68C9">
        <w:rPr>
          <w:rFonts w:ascii="MS Gothic" w:eastAsia="MS Gothic" w:hAnsi="MS Gothic" w:cs="MS Gothic" w:hint="eastAsia"/>
          <w:highlight w:val="green"/>
          <w:u w:val="single"/>
        </w:rPr>
        <w:t> </w:t>
      </w:r>
      <w:r w:rsidRPr="00FA68C9">
        <w:rPr>
          <w:highlight w:val="green"/>
          <w:u w:val="single"/>
        </w:rPr>
        <w:t>seen’</w:t>
      </w:r>
      <w:r w:rsidRPr="00FA68C9">
        <w:rPr>
          <w:rFonts w:ascii="MS Gothic" w:eastAsia="MS Gothic" w:hAnsi="MS Gothic" w:cs="MS Gothic" w:hint="eastAsia"/>
          <w:highlight w:val="green"/>
          <w:u w:val="single"/>
        </w:rPr>
        <w:t> </w:t>
      </w:r>
      <w:r w:rsidRPr="00FA68C9">
        <w:rPr>
          <w:highlight w:val="green"/>
          <w:u w:val="single"/>
        </w:rPr>
        <w:t>to</w:t>
      </w:r>
      <w:r w:rsidRPr="00FA68C9">
        <w:rPr>
          <w:rFonts w:ascii="MS Gothic" w:eastAsia="MS Gothic" w:hAnsi="MS Gothic" w:cs="MS Gothic" w:hint="eastAsia"/>
          <w:highlight w:val="green"/>
          <w:u w:val="single"/>
        </w:rPr>
        <w:t> </w:t>
      </w:r>
      <w:r w:rsidRPr="00FA68C9">
        <w:rPr>
          <w:highlight w:val="green"/>
          <w:u w:val="single"/>
        </w:rPr>
        <w:t>be</w:t>
      </w:r>
      <w:r w:rsidRPr="00FA68C9">
        <w:rPr>
          <w:rFonts w:ascii="MS Gothic" w:eastAsia="MS Gothic" w:hAnsi="MS Gothic" w:cs="MS Gothic" w:hint="eastAsia"/>
          <w:highlight w:val="green"/>
          <w:u w:val="single"/>
        </w:rPr>
        <w:t> </w:t>
      </w:r>
      <w:r w:rsidRPr="00FA68C9">
        <w:rPr>
          <w:highlight w:val="green"/>
          <w:u w:val="single"/>
        </w:rPr>
        <w:t>compliant</w:t>
      </w:r>
      <w:r w:rsidRPr="00FA68C9">
        <w:rPr>
          <w:u w:val="single"/>
        </w:rPr>
        <w:t>.3</w:t>
      </w:r>
      <w:r w:rsidRPr="00FA68C9">
        <w:rPr>
          <w:rFonts w:ascii="MS Gothic" w:eastAsia="MS Gothic" w:hAnsi="MS Gothic" w:cs="MS Gothic" w:hint="eastAsia"/>
          <w:u w:val="single"/>
        </w:rPr>
        <w:t> </w:t>
      </w:r>
      <w:r w:rsidRPr="00FA68C9">
        <w:rPr>
          <w:u w:val="single"/>
        </w:rPr>
        <w:t>Indeed,</w:t>
      </w:r>
      <w:r w:rsidRPr="00FA68C9">
        <w:rPr>
          <w:rFonts w:ascii="MS Gothic" w:eastAsia="MS Gothic" w:hAnsi="MS Gothic" w:cs="MS Gothic" w:hint="eastAsia"/>
          <w:u w:val="single"/>
        </w:rPr>
        <w:t> </w:t>
      </w:r>
      <w:r w:rsidRPr="00FA68C9">
        <w:rPr>
          <w:highlight w:val="green"/>
          <w:u w:val="single"/>
        </w:rPr>
        <w:t>so</w:t>
      </w:r>
      <w:r w:rsidRPr="00FA68C9">
        <w:rPr>
          <w:rFonts w:ascii="MS Gothic" w:eastAsia="MS Gothic" w:hAnsi="MS Gothic" w:cs="MS Gothic" w:hint="eastAsia"/>
          <w:highlight w:val="green"/>
          <w:u w:val="single"/>
        </w:rPr>
        <w:t> </w:t>
      </w:r>
      <w:r w:rsidRPr="00FA68C9">
        <w:rPr>
          <w:highlight w:val="green"/>
          <w:u w:val="single"/>
        </w:rPr>
        <w:t>much</w:t>
      </w:r>
      <w:r w:rsidRPr="00FA68C9">
        <w:rPr>
          <w:rFonts w:ascii="MS Gothic" w:eastAsia="MS Gothic" w:hAnsi="MS Gothic" w:cs="MS Gothic" w:hint="eastAsia"/>
          <w:highlight w:val="green"/>
          <w:u w:val="single"/>
        </w:rPr>
        <w:t> </w:t>
      </w:r>
      <w:r w:rsidRPr="00FA68C9">
        <w:rPr>
          <w:highlight w:val="green"/>
          <w:u w:val="single"/>
        </w:rPr>
        <w:t>time</w:t>
      </w:r>
      <w:r w:rsidRPr="00FA68C9">
        <w:rPr>
          <w:rFonts w:ascii="MS Gothic" w:eastAsia="MS Gothic" w:hAnsi="MS Gothic" w:cs="MS Gothic" w:hint="eastAsia"/>
          <w:highlight w:val="green"/>
          <w:u w:val="single"/>
        </w:rPr>
        <w:t> </w:t>
      </w:r>
      <w:r w:rsidRPr="00FA68C9">
        <w:rPr>
          <w:highlight w:val="green"/>
          <w:u w:val="single"/>
        </w:rPr>
        <w:t>can</w:t>
      </w:r>
      <w:r w:rsidRPr="00FA68C9">
        <w:rPr>
          <w:rFonts w:ascii="MS Gothic" w:eastAsia="MS Gothic" w:hAnsi="MS Gothic" w:cs="MS Gothic" w:hint="eastAsia"/>
          <w:highlight w:val="green"/>
          <w:u w:val="single"/>
        </w:rPr>
        <w:t> </w:t>
      </w:r>
      <w:r w:rsidRPr="00FA68C9">
        <w:rPr>
          <w:highlight w:val="green"/>
          <w:u w:val="single"/>
        </w:rPr>
        <w:t>be</w:t>
      </w:r>
      <w:r w:rsidRPr="00FA68C9">
        <w:rPr>
          <w:rFonts w:ascii="MS Gothic" w:eastAsia="MS Gothic" w:hAnsi="MS Gothic" w:cs="MS Gothic" w:hint="eastAsia"/>
          <w:highlight w:val="green"/>
          <w:u w:val="single"/>
        </w:rPr>
        <w:t> </w:t>
      </w:r>
      <w:r w:rsidRPr="00FA68C9">
        <w:rPr>
          <w:highlight w:val="green"/>
          <w:u w:val="single"/>
        </w:rPr>
        <w:t>spent</w:t>
      </w:r>
      <w:r w:rsidRPr="00FA68C9">
        <w:rPr>
          <w:rFonts w:ascii="MS Gothic" w:eastAsia="MS Gothic" w:hAnsi="MS Gothic" w:cs="MS Gothic" w:hint="eastAsia"/>
          <w:u w:val="single"/>
        </w:rPr>
        <w:t> </w:t>
      </w:r>
      <w:r w:rsidRPr="00FA68C9">
        <w:rPr>
          <w:highlight w:val="green"/>
          <w:u w:val="single"/>
        </w:rPr>
        <w:t>benchmarking,</w:t>
      </w:r>
      <w:r w:rsidRPr="00FA68C9">
        <w:rPr>
          <w:rFonts w:ascii="MS Gothic" w:eastAsia="MS Gothic" w:hAnsi="MS Gothic" w:cs="MS Gothic" w:hint="eastAsia"/>
          <w:highlight w:val="green"/>
          <w:u w:val="single"/>
        </w:rPr>
        <w:t> </w:t>
      </w:r>
      <w:r w:rsidRPr="00FA68C9">
        <w:rPr>
          <w:highlight w:val="green"/>
          <w:u w:val="single"/>
        </w:rPr>
        <w:t xml:space="preserve"> organising</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attending</w:t>
      </w:r>
      <w:r w:rsidRPr="00FA68C9">
        <w:rPr>
          <w:rFonts w:ascii="MS Gothic" w:eastAsia="MS Gothic" w:hAnsi="MS Gothic" w:cs="MS Gothic" w:hint="eastAsia"/>
          <w:highlight w:val="green"/>
          <w:u w:val="single"/>
        </w:rPr>
        <w:t> </w:t>
      </w:r>
      <w:r w:rsidRPr="00FA68C9">
        <w:rPr>
          <w:highlight w:val="green"/>
          <w:u w:val="single"/>
        </w:rPr>
        <w:t>review</w:t>
      </w:r>
      <w:r w:rsidRPr="00FA68C9">
        <w:rPr>
          <w:rFonts w:ascii="MS Gothic" w:eastAsia="MS Gothic" w:hAnsi="MS Gothic" w:cs="MS Gothic" w:hint="eastAsia"/>
          <w:highlight w:val="green"/>
          <w:u w:val="single"/>
        </w:rPr>
        <w:t> </w:t>
      </w:r>
      <w:r w:rsidRPr="00FA68C9">
        <w:rPr>
          <w:highlight w:val="green"/>
          <w:u w:val="single"/>
        </w:rPr>
        <w:t>meetings</w:t>
      </w:r>
      <w:r w:rsidRPr="00FA68C9">
        <w:rPr>
          <w:u w:val="single"/>
        </w:rPr>
        <w:t>,</w:t>
      </w:r>
      <w:r w:rsidRPr="00FA68C9">
        <w:rPr>
          <w:rFonts w:ascii="MS Gothic" w:eastAsia="MS Gothic" w:hAnsi="MS Gothic" w:cs="MS Gothic" w:hint="eastAsia"/>
          <w:u w:val="single"/>
        </w:rPr>
        <w:t> </w:t>
      </w:r>
      <w:r w:rsidRPr="00FA68C9">
        <w:rPr>
          <w:u w:val="single"/>
        </w:rPr>
        <w:t>writing</w:t>
      </w:r>
      <w:r w:rsidRPr="00FA68C9">
        <w:rPr>
          <w:rFonts w:ascii="MS Gothic" w:eastAsia="MS Gothic" w:hAnsi="MS Gothic" w:cs="MS Gothic" w:hint="eastAsia"/>
          <w:u w:val="single"/>
        </w:rPr>
        <w:t> </w:t>
      </w:r>
      <w:r w:rsidRPr="00FA68C9">
        <w:rPr>
          <w:u w:val="single"/>
        </w:rPr>
        <w:t>applications</w:t>
      </w:r>
      <w:r w:rsidRPr="00FA68C9">
        <w:rPr>
          <w:rFonts w:ascii="MS Gothic" w:eastAsia="MS Gothic" w:hAnsi="MS Gothic" w:cs="MS Gothic" w:hint="eastAsia"/>
          <w:u w:val="single"/>
        </w:rPr>
        <w:t> </w:t>
      </w:r>
      <w:r w:rsidRPr="00FA68C9">
        <w:rPr>
          <w:u w:val="single"/>
        </w:rPr>
        <w:t>for</w:t>
      </w:r>
      <w:r w:rsidRPr="00FA68C9">
        <w:rPr>
          <w:rFonts w:ascii="MS Gothic" w:eastAsia="MS Gothic" w:hAnsi="MS Gothic" w:cs="MS Gothic" w:hint="eastAsia"/>
          <w:u w:val="single"/>
        </w:rPr>
        <w:t> </w:t>
      </w:r>
      <w:r w:rsidRPr="00FA68C9">
        <w:rPr>
          <w:u w:val="single"/>
        </w:rPr>
        <w:t>various</w:t>
      </w:r>
      <w:r w:rsidRPr="00FA68C9">
        <w:rPr>
          <w:rFonts w:ascii="MS Gothic" w:eastAsia="MS Gothic" w:hAnsi="MS Gothic" w:cs="MS Gothic" w:hint="eastAsia"/>
          <w:u w:val="single"/>
        </w:rPr>
        <w:t> </w:t>
      </w:r>
      <w:r w:rsidRPr="00FA68C9">
        <w:rPr>
          <w:u w:val="single"/>
        </w:rPr>
        <w:t>awards</w:t>
      </w:r>
      <w:r w:rsidRPr="00FA68C9">
        <w:rPr>
          <w:rFonts w:ascii="MS Gothic" w:eastAsia="MS Gothic" w:hAnsi="MS Gothic" w:cs="MS Gothic" w:hint="eastAsia"/>
          <w:u w:val="single"/>
        </w:rPr>
        <w:t> </w:t>
      </w:r>
      <w:r w:rsidRPr="00FA68C9">
        <w:rPr>
          <w:u w:val="single"/>
        </w:rPr>
        <w:t xml:space="preserve"> and</w:t>
      </w:r>
      <w:r w:rsidRPr="00FA68C9">
        <w:rPr>
          <w:rFonts w:ascii="MS Gothic" w:eastAsia="MS Gothic" w:hAnsi="MS Gothic" w:cs="MS Gothic" w:hint="eastAsia"/>
          <w:u w:val="single"/>
        </w:rPr>
        <w:t> </w:t>
      </w:r>
      <w:r w:rsidRPr="00FA68C9">
        <w:rPr>
          <w:u w:val="single"/>
        </w:rPr>
        <w:t>citations</w:t>
      </w:r>
      <w:r w:rsidRPr="00FA68C9">
        <w:rPr>
          <w:rFonts w:ascii="MS Gothic" w:eastAsia="MS Gothic" w:hAnsi="MS Gothic" w:cs="MS Gothic" w:hint="eastAsia"/>
          <w:u w:val="single"/>
        </w:rPr>
        <w:t> </w:t>
      </w:r>
      <w:r w:rsidRPr="00FA68C9">
        <w:rPr>
          <w:highlight w:val="green"/>
          <w:u w:val="single"/>
        </w:rPr>
        <w:t>that</w:t>
      </w:r>
      <w:r w:rsidRPr="00FA68C9">
        <w:rPr>
          <w:rFonts w:ascii="MS Gothic" w:eastAsia="MS Gothic" w:hAnsi="MS Gothic" w:cs="MS Gothic" w:hint="eastAsia"/>
          <w:highlight w:val="green"/>
          <w:u w:val="single"/>
        </w:rPr>
        <w:t> </w:t>
      </w:r>
      <w:r w:rsidRPr="00FA68C9">
        <w:rPr>
          <w:highlight w:val="green"/>
          <w:u w:val="single"/>
        </w:rPr>
        <w:t>signify</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individual’s</w:t>
      </w:r>
      <w:r w:rsidRPr="00FA68C9">
        <w:rPr>
          <w:rFonts w:ascii="MS Gothic" w:eastAsia="MS Gothic" w:hAnsi="MS Gothic" w:cs="MS Gothic" w:hint="eastAsia"/>
          <w:u w:val="single"/>
        </w:rPr>
        <w:t> </w:t>
      </w:r>
      <w:r w:rsidRPr="00FA68C9">
        <w:rPr>
          <w:u w:val="single"/>
        </w:rPr>
        <w:t>capacity,</w:t>
      </w:r>
      <w:r w:rsidRPr="00FA68C9">
        <w:rPr>
          <w:rFonts w:ascii="MS Gothic" w:eastAsia="MS Gothic" w:hAnsi="MS Gothic" w:cs="MS Gothic" w:hint="eastAsia"/>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u w:val="single"/>
        </w:rPr>
        <w:t>by</w:t>
      </w:r>
      <w:r w:rsidRPr="00FA68C9">
        <w:rPr>
          <w:rFonts w:ascii="MS Gothic" w:eastAsia="MS Gothic" w:hAnsi="MS Gothic" w:cs="MS Gothic" w:hint="eastAsia"/>
          <w:u w:val="single"/>
        </w:rPr>
        <w:t> </w:t>
      </w:r>
      <w:r w:rsidRPr="00FA68C9">
        <w:rPr>
          <w:u w:val="single"/>
        </w:rPr>
        <w:t>extension</w:t>
      </w:r>
      <w:r w:rsidRPr="00FA68C9">
        <w:rPr>
          <w:rFonts w:ascii="MS Gothic" w:eastAsia="MS Gothic" w:hAnsi="MS Gothic" w:cs="MS Gothic" w:hint="eastAsia"/>
          <w:u w:val="single"/>
        </w:rPr>
        <w:t> </w:t>
      </w:r>
      <w:r w:rsidRPr="00FA68C9">
        <w:rPr>
          <w:u w:val="single"/>
        </w:rPr>
        <w:t>the</w:t>
      </w:r>
      <w:r w:rsidRPr="00FA68C9">
        <w:rPr>
          <w:rFonts w:ascii="MS Gothic" w:eastAsia="MS Gothic" w:hAnsi="MS Gothic" w:cs="MS Gothic" w:hint="eastAsia"/>
          <w:u w:val="single"/>
        </w:rPr>
        <w:t> </w:t>
      </w:r>
      <w:r w:rsidRPr="00FA68C9">
        <w:rPr>
          <w:highlight w:val="green"/>
          <w:u w:val="single"/>
        </w:rPr>
        <w:t>institution’s</w:t>
      </w:r>
      <w:r w:rsidRPr="00FA68C9">
        <w:rPr>
          <w:rFonts w:ascii="MS Gothic" w:eastAsia="MS Gothic" w:hAnsi="MS Gothic" w:cs="MS Gothic" w:hint="eastAsia"/>
          <w:highlight w:val="green"/>
          <w:u w:val="single"/>
        </w:rPr>
        <w:t> </w:t>
      </w:r>
      <w:r w:rsidRPr="00FA68C9">
        <w:rPr>
          <w:highlight w:val="green"/>
          <w:u w:val="single"/>
        </w:rPr>
        <w:t xml:space="preserve"> capacity,</w:t>
      </w:r>
      <w:r w:rsidRPr="00FA68C9">
        <w:rPr>
          <w:rFonts w:ascii="MS Gothic" w:eastAsia="MS Gothic" w:hAnsi="MS Gothic" w:cs="MS Gothic" w:hint="eastAsia"/>
          <w:highlight w:val="green"/>
          <w:u w:val="single"/>
        </w:rPr>
        <w:t> </w:t>
      </w:r>
      <w:r w:rsidRPr="00FA68C9">
        <w:rPr>
          <w:highlight w:val="green"/>
          <w:u w:val="single"/>
        </w:rPr>
        <w:t>for</w:t>
      </w:r>
      <w:r w:rsidRPr="00FA68C9">
        <w:rPr>
          <w:rFonts w:ascii="MS Gothic" w:eastAsia="MS Gothic" w:hAnsi="MS Gothic" w:cs="MS Gothic" w:hint="eastAsia"/>
          <w:highlight w:val="green"/>
          <w:u w:val="single"/>
        </w:rPr>
        <w:t> </w:t>
      </w:r>
      <w:r w:rsidRPr="00FA68C9">
        <w:rPr>
          <w:highlight w:val="green"/>
          <w:u w:val="single"/>
        </w:rPr>
        <w:t>marketable</w:t>
      </w:r>
      <w:r w:rsidRPr="00FA68C9">
        <w:rPr>
          <w:rFonts w:ascii="MS Gothic" w:eastAsia="MS Gothic" w:hAnsi="MS Gothic" w:cs="MS Gothic" w:hint="eastAsia"/>
          <w:highlight w:val="green"/>
          <w:u w:val="single"/>
        </w:rPr>
        <w:t> </w:t>
      </w:r>
      <w:r w:rsidRPr="00FA68C9">
        <w:rPr>
          <w:highlight w:val="green"/>
          <w:u w:val="single"/>
        </w:rPr>
        <w:t>excellence,</w:t>
      </w:r>
      <w:r w:rsidRPr="00FA68C9">
        <w:rPr>
          <w:rFonts w:ascii="MS Gothic" w:eastAsia="MS Gothic" w:hAnsi="MS Gothic" w:cs="MS Gothic" w:hint="eastAsia"/>
          <w:highlight w:val="green"/>
          <w:u w:val="single"/>
        </w:rPr>
        <w:t> </w:t>
      </w:r>
      <w:r w:rsidRPr="00FA68C9">
        <w:rPr>
          <w:highlight w:val="green"/>
          <w:u w:val="single"/>
        </w:rPr>
        <w:t>that</w:t>
      </w:r>
      <w:r w:rsidRPr="00FA68C9">
        <w:rPr>
          <w:rFonts w:ascii="MS Gothic" w:eastAsia="MS Gothic" w:hAnsi="MS Gothic" w:cs="MS Gothic" w:hint="eastAsia"/>
          <w:highlight w:val="green"/>
          <w:u w:val="single"/>
        </w:rPr>
        <w:t> </w:t>
      </w:r>
      <w:r w:rsidRPr="00FA68C9">
        <w:rPr>
          <w:highlight w:val="green"/>
          <w:u w:val="single"/>
        </w:rPr>
        <w:t>teaching</w:t>
      </w:r>
      <w:r w:rsidRPr="00FA68C9">
        <w:rPr>
          <w:rFonts w:ascii="MS Gothic" w:eastAsia="MS Gothic" w:hAnsi="MS Gothic" w:cs="MS Gothic" w:hint="eastAsia"/>
          <w:highlight w:val="green"/>
          <w:u w:val="single"/>
        </w:rPr>
        <w:t> </w:t>
      </w:r>
      <w:r w:rsidRPr="00FA68C9">
        <w:rPr>
          <w:highlight w:val="green"/>
          <w:u w:val="single"/>
        </w:rPr>
        <w:t>academics</w:t>
      </w:r>
      <w:r w:rsidRPr="00FA68C9">
        <w:rPr>
          <w:rFonts w:ascii="MS Gothic" w:eastAsia="MS Gothic" w:hAnsi="MS Gothic" w:cs="MS Gothic" w:hint="eastAsia"/>
          <w:u w:val="single"/>
        </w:rPr>
        <w:t> </w:t>
      </w:r>
      <w:r w:rsidRPr="00FA68C9">
        <w:rPr>
          <w:u w:val="single"/>
        </w:rPr>
        <w:t>can</w:t>
      </w:r>
      <w:r w:rsidRPr="00FA68C9">
        <w:rPr>
          <w:rFonts w:ascii="MS Gothic" w:eastAsia="MS Gothic" w:hAnsi="MS Gothic" w:cs="MS Gothic" w:hint="eastAsia"/>
          <w:u w:val="single"/>
        </w:rPr>
        <w:t> </w:t>
      </w:r>
      <w:r w:rsidRPr="00FA68C9">
        <w:rPr>
          <w:highlight w:val="green"/>
          <w:u w:val="single"/>
        </w:rPr>
        <w:t>end</w:t>
      </w:r>
      <w:r w:rsidRPr="00FA68C9">
        <w:rPr>
          <w:rFonts w:ascii="MS Gothic" w:eastAsia="MS Gothic" w:hAnsi="MS Gothic" w:cs="MS Gothic" w:hint="eastAsia"/>
          <w:highlight w:val="green"/>
          <w:u w:val="single"/>
        </w:rPr>
        <w:t> </w:t>
      </w:r>
      <w:r w:rsidRPr="00FA68C9">
        <w:rPr>
          <w:highlight w:val="green"/>
          <w:u w:val="single"/>
        </w:rPr>
        <w:t>up</w:t>
      </w:r>
      <w:r w:rsidRPr="00FA68C9">
        <w:rPr>
          <w:rFonts w:ascii="MS Gothic" w:eastAsia="MS Gothic" w:hAnsi="MS Gothic" w:cs="MS Gothic" w:hint="eastAsia"/>
          <w:highlight w:val="green"/>
          <w:u w:val="single"/>
        </w:rPr>
        <w:t> </w:t>
      </w:r>
      <w:r w:rsidRPr="00FA68C9">
        <w:rPr>
          <w:highlight w:val="green"/>
          <w:u w:val="single"/>
        </w:rPr>
        <w:t>feeling</w:t>
      </w:r>
      <w:r w:rsidRPr="00FA68C9">
        <w:rPr>
          <w:rFonts w:ascii="MS Gothic" w:eastAsia="MS Gothic" w:hAnsi="MS Gothic" w:cs="MS Gothic" w:hint="eastAsia"/>
          <w:u w:val="single"/>
        </w:rPr>
        <w:t> </w:t>
      </w:r>
      <w:r w:rsidRPr="00FA68C9">
        <w:rPr>
          <w:u w:val="single"/>
        </w:rPr>
        <w:t>as</w:t>
      </w:r>
      <w:r w:rsidRPr="00FA68C9">
        <w:rPr>
          <w:rFonts w:ascii="MS Gothic" w:eastAsia="MS Gothic" w:hAnsi="MS Gothic" w:cs="MS Gothic" w:hint="eastAsia"/>
          <w:u w:val="single"/>
        </w:rPr>
        <w:t> </w:t>
      </w:r>
      <w:r w:rsidRPr="00FA68C9">
        <w:rPr>
          <w:u w:val="single"/>
        </w:rPr>
        <w:t xml:space="preserve"> though</w:t>
      </w:r>
      <w:r w:rsidRPr="00FA68C9">
        <w:rPr>
          <w:rFonts w:ascii="MS Gothic" w:eastAsia="MS Gothic" w:hAnsi="MS Gothic" w:cs="MS Gothic" w:hint="eastAsia"/>
          <w:u w:val="single"/>
        </w:rPr>
        <w:t> </w:t>
      </w:r>
      <w:r w:rsidRPr="00FA68C9">
        <w:rPr>
          <w:highlight w:val="green"/>
          <w:u w:val="single"/>
        </w:rPr>
        <w:t>they</w:t>
      </w:r>
      <w:r w:rsidRPr="00FA68C9">
        <w:rPr>
          <w:rFonts w:ascii="MS Gothic" w:eastAsia="MS Gothic" w:hAnsi="MS Gothic" w:cs="MS Gothic" w:hint="eastAsia"/>
          <w:highlight w:val="green"/>
          <w:u w:val="single"/>
        </w:rPr>
        <w:t> </w:t>
      </w:r>
      <w:r w:rsidRPr="00FA68C9">
        <w:rPr>
          <w:highlight w:val="green"/>
          <w:u w:val="single"/>
        </w:rPr>
        <w:t>are</w:t>
      </w:r>
      <w:r w:rsidRPr="00FA68C9">
        <w:rPr>
          <w:rFonts w:ascii="MS Gothic" w:eastAsia="MS Gothic" w:hAnsi="MS Gothic" w:cs="MS Gothic" w:hint="eastAsia"/>
          <w:highlight w:val="green"/>
          <w:u w:val="single"/>
        </w:rPr>
        <w:t> </w:t>
      </w:r>
      <w:r w:rsidRPr="00FA68C9">
        <w:rPr>
          <w:sz w:val="16"/>
        </w:rPr>
        <w:t>players</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scenes</w:t>
      </w:r>
      <w:r w:rsidRPr="00FA68C9">
        <w:rPr>
          <w:rFonts w:ascii="MS Gothic" w:eastAsia="MS Gothic" w:hAnsi="MS Gothic" w:cs="MS Gothic" w:hint="eastAsia"/>
          <w:sz w:val="16"/>
        </w:rPr>
        <w:t> </w:t>
      </w:r>
      <w:r w:rsidRPr="00FA68C9">
        <w:rPr>
          <w:sz w:val="16"/>
        </w:rPr>
        <w:t>reminiscent</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Fritz</w:t>
      </w:r>
      <w:r w:rsidRPr="00FA68C9">
        <w:rPr>
          <w:rFonts w:ascii="MS Gothic" w:eastAsia="MS Gothic" w:hAnsi="MS Gothic" w:cs="MS Gothic" w:hint="eastAsia"/>
          <w:sz w:val="16"/>
        </w:rPr>
        <w:t> </w:t>
      </w:r>
      <w:r w:rsidRPr="00FA68C9">
        <w:rPr>
          <w:sz w:val="16"/>
        </w:rPr>
        <w:t>Lang’s</w:t>
      </w:r>
      <w:r w:rsidRPr="00FA68C9">
        <w:rPr>
          <w:rFonts w:ascii="MS Gothic" w:eastAsia="MS Gothic" w:hAnsi="MS Gothic" w:cs="MS Gothic" w:hint="eastAsia"/>
          <w:sz w:val="16"/>
        </w:rPr>
        <w:t> </w:t>
      </w:r>
      <w:r w:rsidRPr="00FA68C9">
        <w:rPr>
          <w:sz w:val="16"/>
        </w:rPr>
        <w:t>1927</w:t>
      </w:r>
      <w:r w:rsidRPr="00FA68C9">
        <w:rPr>
          <w:rFonts w:ascii="MS Gothic" w:eastAsia="MS Gothic" w:hAnsi="MS Gothic" w:cs="MS Gothic" w:hint="eastAsia"/>
          <w:sz w:val="16"/>
        </w:rPr>
        <w:t> </w:t>
      </w:r>
      <w:r w:rsidRPr="00FA68C9">
        <w:rPr>
          <w:sz w:val="16"/>
        </w:rPr>
        <w:t>film</w:t>
      </w:r>
      <w:r w:rsidRPr="00FA68C9">
        <w:rPr>
          <w:rFonts w:ascii="MS Gothic" w:eastAsia="MS Gothic" w:hAnsi="MS Gothic" w:cs="MS Gothic" w:hint="eastAsia"/>
          <w:sz w:val="16"/>
        </w:rPr>
        <w:t> </w:t>
      </w:r>
      <w:r w:rsidRPr="00FA68C9">
        <w:rPr>
          <w:sz w:val="16"/>
        </w:rPr>
        <w:t>Metropolis:</w:t>
      </w:r>
      <w:r w:rsidRPr="00FA68C9">
        <w:rPr>
          <w:rFonts w:ascii="MS Gothic" w:eastAsia="MS Gothic" w:hAnsi="MS Gothic" w:cs="MS Gothic" w:hint="eastAsia"/>
          <w:sz w:val="16"/>
        </w:rPr>
        <w:t> </w:t>
      </w:r>
      <w:r w:rsidRPr="00FA68C9">
        <w:rPr>
          <w:sz w:val="16"/>
        </w:rPr>
        <w:t xml:space="preserve"> </w:t>
      </w:r>
      <w:r w:rsidRPr="00FA68C9">
        <w:rPr>
          <w:highlight w:val="green"/>
          <w:u w:val="single"/>
        </w:rPr>
        <w:t>workers</w:t>
      </w:r>
      <w:r w:rsidRPr="00FA68C9">
        <w:rPr>
          <w:rFonts w:ascii="MS Gothic" w:eastAsia="MS Gothic" w:hAnsi="MS Gothic" w:cs="MS Gothic" w:hint="eastAsia"/>
          <w:highlight w:val="green"/>
          <w:u w:val="single"/>
        </w:rPr>
        <w:t> </w:t>
      </w:r>
      <w:r w:rsidRPr="00FA68C9">
        <w:rPr>
          <w:highlight w:val="green"/>
          <w:u w:val="single"/>
        </w:rPr>
        <w:t>only</w:t>
      </w:r>
      <w:r w:rsidRPr="00FA68C9">
        <w:rPr>
          <w:rFonts w:ascii="MS Gothic" w:eastAsia="MS Gothic" w:hAnsi="MS Gothic" w:cs="MS Gothic" w:hint="eastAsia"/>
          <w:highlight w:val="green"/>
          <w:u w:val="single"/>
        </w:rPr>
        <w:t> </w:t>
      </w:r>
      <w:r w:rsidRPr="00FA68C9">
        <w:rPr>
          <w:highlight w:val="green"/>
          <w:u w:val="single"/>
        </w:rPr>
        <w:t>there</w:t>
      </w:r>
      <w:r w:rsidRPr="00FA68C9">
        <w:rPr>
          <w:rFonts w:ascii="MS Gothic" w:eastAsia="MS Gothic" w:hAnsi="MS Gothic" w:cs="MS Gothic" w:hint="eastAsia"/>
          <w:highlight w:val="green"/>
          <w:u w:val="single"/>
        </w:rPr>
        <w:t> </w:t>
      </w:r>
      <w:r w:rsidRPr="00FA68C9">
        <w:rPr>
          <w:highlight w:val="green"/>
          <w:u w:val="single"/>
        </w:rPr>
        <w:t>to</w:t>
      </w:r>
      <w:r w:rsidRPr="00FA68C9">
        <w:rPr>
          <w:rFonts w:ascii="MS Gothic" w:eastAsia="MS Gothic" w:hAnsi="MS Gothic" w:cs="MS Gothic" w:hint="eastAsia"/>
          <w:highlight w:val="green"/>
          <w:u w:val="single"/>
        </w:rPr>
        <w:t> </w:t>
      </w:r>
      <w:r w:rsidRPr="00FA68C9">
        <w:rPr>
          <w:highlight w:val="green"/>
          <w:u w:val="single"/>
        </w:rPr>
        <w:t>service</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apparatus</w:t>
      </w:r>
      <w:r w:rsidRPr="00FA68C9">
        <w:rPr>
          <w:sz w:val="16"/>
        </w:rPr>
        <w:t>.</w:t>
      </w:r>
      <w:r w:rsidRPr="00FA68C9">
        <w:rPr>
          <w:rFonts w:ascii="MS Gothic" w:eastAsia="MS Gothic" w:hAnsi="MS Gothic" w:cs="MS Gothic" w:hint="eastAsia"/>
          <w:sz w:val="16"/>
        </w:rPr>
        <w:t>  </w:t>
      </w:r>
      <w:r w:rsidRPr="00FA68C9">
        <w:rPr>
          <w:sz w:val="16"/>
        </w:rPr>
        <w:t xml:space="preserve"> Stephen</w:t>
      </w:r>
      <w:r w:rsidRPr="00FA68C9">
        <w:rPr>
          <w:rFonts w:ascii="MS Gothic" w:eastAsia="MS Gothic" w:hAnsi="MS Gothic" w:cs="MS Gothic" w:hint="eastAsia"/>
          <w:sz w:val="16"/>
        </w:rPr>
        <w:t> </w:t>
      </w:r>
      <w:r w:rsidRPr="00FA68C9">
        <w:rPr>
          <w:sz w:val="16"/>
        </w:rPr>
        <w:t>Ball</w:t>
      </w:r>
      <w:r w:rsidRPr="00FA68C9">
        <w:rPr>
          <w:rFonts w:ascii="MS Gothic" w:eastAsia="MS Gothic" w:hAnsi="MS Gothic" w:cs="MS Gothic" w:hint="eastAsia"/>
          <w:sz w:val="16"/>
        </w:rPr>
        <w:t> </w:t>
      </w:r>
      <w:r w:rsidRPr="00FA68C9">
        <w:rPr>
          <w:sz w:val="16"/>
        </w:rPr>
        <w:t>effectively</w:t>
      </w:r>
      <w:r w:rsidRPr="00FA68C9">
        <w:rPr>
          <w:rFonts w:ascii="MS Gothic" w:eastAsia="MS Gothic" w:hAnsi="MS Gothic" w:cs="MS Gothic" w:hint="eastAsia"/>
          <w:sz w:val="16"/>
        </w:rPr>
        <w:t> </w:t>
      </w:r>
      <w:r w:rsidRPr="00FA68C9">
        <w:rPr>
          <w:sz w:val="16"/>
        </w:rPr>
        <w:t>captures</w:t>
      </w:r>
      <w:r w:rsidRPr="00FA68C9">
        <w:rPr>
          <w:rFonts w:ascii="MS Gothic" w:eastAsia="MS Gothic" w:hAnsi="MS Gothic" w:cs="MS Gothic" w:hint="eastAsia"/>
          <w:sz w:val="16"/>
        </w:rPr>
        <w:t> </w:t>
      </w:r>
      <w:r w:rsidRPr="00FA68C9">
        <w:rPr>
          <w:sz w:val="16"/>
        </w:rPr>
        <w:t>this</w:t>
      </w:r>
      <w:r w:rsidRPr="00FA68C9">
        <w:rPr>
          <w:rFonts w:ascii="MS Gothic" w:eastAsia="MS Gothic" w:hAnsi="MS Gothic" w:cs="MS Gothic" w:hint="eastAsia"/>
          <w:sz w:val="16"/>
        </w:rPr>
        <w:t> </w:t>
      </w:r>
      <w:r w:rsidRPr="00FA68C9">
        <w:rPr>
          <w:sz w:val="16"/>
        </w:rPr>
        <w:t>scenario</w:t>
      </w:r>
      <w:r w:rsidRPr="00FA68C9">
        <w:rPr>
          <w:rFonts w:ascii="MS Gothic" w:eastAsia="MS Gothic" w:hAnsi="MS Gothic" w:cs="MS Gothic" w:hint="eastAsia"/>
          <w:sz w:val="16"/>
        </w:rPr>
        <w:t> </w:t>
      </w:r>
      <w:r w:rsidRPr="00FA68C9">
        <w:rPr>
          <w:sz w:val="16"/>
        </w:rPr>
        <w:t>with</w:t>
      </w:r>
      <w:r w:rsidRPr="00FA68C9">
        <w:rPr>
          <w:rFonts w:ascii="MS Gothic" w:eastAsia="MS Gothic" w:hAnsi="MS Gothic" w:cs="MS Gothic" w:hint="eastAsia"/>
          <w:sz w:val="16"/>
        </w:rPr>
        <w:t> </w:t>
      </w:r>
      <w:r w:rsidRPr="00FA68C9">
        <w:rPr>
          <w:sz w:val="16"/>
        </w:rPr>
        <w:t>his</w:t>
      </w:r>
      <w:r w:rsidRPr="00FA68C9">
        <w:rPr>
          <w:rFonts w:ascii="MS Gothic" w:eastAsia="MS Gothic" w:hAnsi="MS Gothic" w:cs="MS Gothic" w:hint="eastAsia"/>
          <w:sz w:val="16"/>
        </w:rPr>
        <w:t> </w:t>
      </w:r>
      <w:r w:rsidRPr="00FA68C9">
        <w:rPr>
          <w:sz w:val="16"/>
        </w:rPr>
        <w:t>argument</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 xml:space="preserve"> ‘policy</w:t>
      </w:r>
      <w:r w:rsidRPr="00FA68C9">
        <w:rPr>
          <w:rFonts w:ascii="MS Gothic" w:eastAsia="MS Gothic" w:hAnsi="MS Gothic" w:cs="MS Gothic" w:hint="eastAsia"/>
          <w:highlight w:val="green"/>
          <w:u w:val="single"/>
        </w:rPr>
        <w:t> </w:t>
      </w:r>
      <w:r w:rsidRPr="00FA68C9">
        <w:rPr>
          <w:highlight w:val="green"/>
          <w:u w:val="single"/>
        </w:rPr>
        <w:t>technologies’</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sz w:val="16"/>
        </w:rPr>
        <w:t> </w:t>
      </w:r>
      <w:r w:rsidRPr="00FA68C9">
        <w:rPr>
          <w:sz w:val="16"/>
        </w:rPr>
        <w:t>higher</w:t>
      </w:r>
      <w:r w:rsidRPr="00FA68C9">
        <w:rPr>
          <w:rFonts w:ascii="MS Gothic" w:eastAsia="MS Gothic" w:hAnsi="MS Gothic" w:cs="MS Gothic" w:hint="eastAsia"/>
          <w:sz w:val="16"/>
        </w:rPr>
        <w:t> </w:t>
      </w:r>
      <w:r w:rsidRPr="00FA68C9">
        <w:rPr>
          <w:highlight w:val="green"/>
          <w:u w:val="single"/>
        </w:rPr>
        <w:t>education,</w:t>
      </w:r>
      <w:r w:rsidRPr="00FA68C9">
        <w:rPr>
          <w:rFonts w:ascii="MS Gothic" w:eastAsia="MS Gothic" w:hAnsi="MS Gothic" w:cs="MS Gothic" w:hint="eastAsia"/>
          <w:highlight w:val="green"/>
          <w:u w:val="single"/>
        </w:rPr>
        <w:t> </w:t>
      </w:r>
      <w:r w:rsidRPr="00FA68C9">
        <w:rPr>
          <w:highlight w:val="green"/>
          <w:u w:val="single"/>
        </w:rPr>
        <w:t>with</w:t>
      </w:r>
      <w:r w:rsidRPr="00FA68C9">
        <w:rPr>
          <w:rFonts w:ascii="MS Gothic" w:eastAsia="MS Gothic" w:hAnsi="MS Gothic" w:cs="MS Gothic" w:hint="eastAsia"/>
          <w:sz w:val="16"/>
        </w:rPr>
        <w:t> </w:t>
      </w:r>
      <w:r w:rsidRPr="00FA68C9">
        <w:rPr>
          <w:sz w:val="16"/>
        </w:rPr>
        <w:t>their</w:t>
      </w:r>
      <w:r w:rsidRPr="00FA68C9">
        <w:rPr>
          <w:rFonts w:ascii="MS Gothic" w:eastAsia="MS Gothic" w:hAnsi="MS Gothic" w:cs="MS Gothic" w:hint="eastAsia"/>
          <w:sz w:val="16"/>
        </w:rPr>
        <w:t> </w:t>
      </w:r>
      <w:r w:rsidRPr="00FA68C9">
        <w:rPr>
          <w:sz w:val="16"/>
        </w:rPr>
        <w:t>attendant</w:t>
      </w:r>
      <w:r w:rsidRPr="00FA68C9">
        <w:rPr>
          <w:rFonts w:ascii="MS Gothic" w:eastAsia="MS Gothic" w:hAnsi="MS Gothic" w:cs="MS Gothic" w:hint="eastAsia"/>
          <w:sz w:val="16"/>
        </w:rPr>
        <w:t> </w:t>
      </w:r>
      <w:r w:rsidRPr="00FA68C9">
        <w:rPr>
          <w:highlight w:val="green"/>
          <w:u w:val="single"/>
        </w:rPr>
        <w:t>demands</w:t>
      </w:r>
      <w:r w:rsidRPr="00FA68C9">
        <w:rPr>
          <w:rFonts w:ascii="MS Gothic" w:eastAsia="MS Gothic" w:hAnsi="MS Gothic" w:cs="MS Gothic" w:hint="eastAsia"/>
          <w:highlight w:val="green"/>
          <w:u w:val="single"/>
        </w:rPr>
        <w:t> </w:t>
      </w:r>
      <w:r w:rsidRPr="00FA68C9">
        <w:rPr>
          <w:highlight w:val="green"/>
          <w:u w:val="single"/>
        </w:rPr>
        <w:t>for</w:t>
      </w:r>
      <w:r w:rsidRPr="00FA68C9">
        <w:rPr>
          <w:rFonts w:ascii="MS Gothic" w:eastAsia="MS Gothic" w:hAnsi="MS Gothic" w:cs="MS Gothic" w:hint="eastAsia"/>
          <w:highlight w:val="green"/>
          <w:u w:val="single"/>
        </w:rPr>
        <w:t> </w:t>
      </w:r>
      <w:r w:rsidRPr="00FA68C9">
        <w:rPr>
          <w:highlight w:val="green"/>
          <w:u w:val="single"/>
        </w:rPr>
        <w:t xml:space="preserve"> ‘performativity’,</w:t>
      </w:r>
      <w:r w:rsidRPr="00FA68C9">
        <w:rPr>
          <w:rFonts w:ascii="MS Gothic" w:eastAsia="MS Gothic" w:hAnsi="MS Gothic" w:cs="MS Gothic" w:hint="eastAsia"/>
          <w:highlight w:val="green"/>
          <w:u w:val="single"/>
        </w:rPr>
        <w:t> </w:t>
      </w:r>
      <w:r w:rsidRPr="00FA68C9">
        <w:rPr>
          <w:highlight w:val="green"/>
          <w:u w:val="single"/>
        </w:rPr>
        <w:t>create:4</w:t>
      </w:r>
      <w:r w:rsidRPr="00FA68C9">
        <w:rPr>
          <w:rFonts w:ascii="MS Gothic" w:eastAsia="MS Gothic" w:hAnsi="MS Gothic" w:cs="MS Gothic" w:hint="eastAsia"/>
          <w:highlight w:val="green"/>
          <w:u w:val="single"/>
        </w:rPr>
        <w:t> </w:t>
      </w:r>
      <w:r w:rsidRPr="00FA68C9">
        <w:rPr>
          <w:highlight w:val="green"/>
          <w:u w:val="single"/>
        </w:rPr>
        <w:t xml:space="preserve"> a</w:t>
      </w:r>
      <w:r w:rsidRPr="00FA68C9">
        <w:rPr>
          <w:rFonts w:ascii="MS Gothic" w:eastAsia="MS Gothic" w:hAnsi="MS Gothic" w:cs="MS Gothic" w:hint="eastAsia"/>
          <w:highlight w:val="green"/>
          <w:u w:val="single"/>
        </w:rPr>
        <w:t> </w:t>
      </w:r>
      <w:r w:rsidRPr="00FA68C9">
        <w:rPr>
          <w:highlight w:val="green"/>
          <w:u w:val="single"/>
        </w:rPr>
        <w:t>culture</w:t>
      </w:r>
      <w:r w:rsidRPr="00FA68C9">
        <w:rPr>
          <w:rFonts w:ascii="MS Gothic" w:eastAsia="MS Gothic" w:hAnsi="MS Gothic" w:cs="MS Gothic" w:hint="eastAsia"/>
          <w:u w:val="single"/>
        </w:rPr>
        <w:t> </w:t>
      </w:r>
      <w:r w:rsidRPr="00FA68C9">
        <w:rPr>
          <w:u w:val="single"/>
        </w:rPr>
        <w:t>and</w:t>
      </w:r>
      <w:r w:rsidRPr="00FA68C9">
        <w:rPr>
          <w:rFonts w:ascii="MS Gothic" w:eastAsia="MS Gothic" w:hAnsi="MS Gothic" w:cs="MS Gothic" w:hint="eastAsia"/>
          <w:u w:val="single"/>
        </w:rPr>
        <w:t> </w:t>
      </w:r>
      <w:r w:rsidRPr="00FA68C9">
        <w:rPr>
          <w:u w:val="single"/>
        </w:rPr>
        <w:t>a</w:t>
      </w:r>
      <w:r w:rsidRPr="00FA68C9">
        <w:rPr>
          <w:rFonts w:ascii="MS Gothic" w:eastAsia="MS Gothic" w:hAnsi="MS Gothic" w:cs="MS Gothic" w:hint="eastAsia"/>
          <w:u w:val="single"/>
        </w:rPr>
        <w:t> </w:t>
      </w:r>
      <w:r w:rsidRPr="00FA68C9">
        <w:rPr>
          <w:u w:val="single"/>
        </w:rPr>
        <w:t>mode</w:t>
      </w:r>
      <w:r w:rsidRPr="00FA68C9">
        <w:rPr>
          <w:rFonts w:ascii="MS Gothic" w:eastAsia="MS Gothic" w:hAnsi="MS Gothic" w:cs="MS Gothic" w:hint="eastAsia"/>
          <w:u w:val="single"/>
        </w:rPr>
        <w:t> </w:t>
      </w:r>
      <w:r w:rsidRPr="00FA68C9">
        <w:rPr>
          <w:u w:val="single"/>
        </w:rPr>
        <w:t>of</w:t>
      </w:r>
      <w:r w:rsidRPr="00FA68C9">
        <w:rPr>
          <w:rFonts w:ascii="MS Gothic" w:eastAsia="MS Gothic" w:hAnsi="MS Gothic" w:cs="MS Gothic" w:hint="eastAsia"/>
          <w:u w:val="single"/>
        </w:rPr>
        <w:t> </w:t>
      </w:r>
      <w:r w:rsidRPr="00FA68C9">
        <w:rPr>
          <w:u w:val="single"/>
        </w:rPr>
        <w:t>regulation</w:t>
      </w:r>
      <w:r w:rsidRPr="00FA68C9">
        <w:rPr>
          <w:rFonts w:ascii="MS Gothic" w:eastAsia="MS Gothic" w:hAnsi="MS Gothic" w:cs="MS Gothic" w:hint="eastAsia"/>
          <w:u w:val="single"/>
        </w:rPr>
        <w:t> </w:t>
      </w:r>
      <w:r w:rsidRPr="00FA68C9">
        <w:rPr>
          <w:highlight w:val="green"/>
          <w:u w:val="single"/>
        </w:rPr>
        <w:t>that</w:t>
      </w:r>
      <w:r w:rsidRPr="00FA68C9">
        <w:rPr>
          <w:rFonts w:ascii="MS Gothic" w:eastAsia="MS Gothic" w:hAnsi="MS Gothic" w:cs="MS Gothic" w:hint="eastAsia"/>
          <w:highlight w:val="green"/>
          <w:u w:val="single"/>
        </w:rPr>
        <w:t> </w:t>
      </w:r>
      <w:r w:rsidRPr="00FA68C9">
        <w:rPr>
          <w:highlight w:val="green"/>
          <w:u w:val="single"/>
        </w:rPr>
        <w:t>employs</w:t>
      </w:r>
      <w:r w:rsidRPr="00FA68C9">
        <w:rPr>
          <w:rFonts w:ascii="MS Gothic" w:eastAsia="MS Gothic" w:hAnsi="MS Gothic" w:cs="MS Gothic" w:hint="eastAsia"/>
          <w:highlight w:val="green"/>
          <w:u w:val="single"/>
        </w:rPr>
        <w:t> </w:t>
      </w:r>
      <w:r w:rsidRPr="00FA68C9">
        <w:rPr>
          <w:highlight w:val="green"/>
          <w:u w:val="single"/>
        </w:rPr>
        <w:t>judgements,</w:t>
      </w:r>
      <w:r w:rsidRPr="00FA68C9">
        <w:rPr>
          <w:rFonts w:ascii="MS Gothic" w:eastAsia="MS Gothic" w:hAnsi="MS Gothic" w:cs="MS Gothic" w:hint="eastAsia"/>
          <w:highlight w:val="green"/>
          <w:u w:val="single"/>
        </w:rPr>
        <w:t> </w:t>
      </w:r>
      <w:r w:rsidRPr="00FA68C9">
        <w:rPr>
          <w:highlight w:val="green"/>
          <w:u w:val="single"/>
        </w:rPr>
        <w:t>comparisons</w:t>
      </w:r>
      <w:r w:rsidRPr="00FA68C9">
        <w:rPr>
          <w:rFonts w:ascii="MS Gothic" w:eastAsia="MS Gothic" w:hAnsi="MS Gothic" w:cs="MS Gothic" w:hint="eastAsia"/>
          <w:highlight w:val="green"/>
          <w:u w:val="single"/>
        </w:rPr>
        <w:t> </w:t>
      </w:r>
      <w:r w:rsidRPr="00FA68C9">
        <w:rPr>
          <w:highlight w:val="green"/>
          <w:u w:val="single"/>
        </w:rPr>
        <w:t xml:space="preserve"> and</w:t>
      </w:r>
      <w:r w:rsidRPr="00FA68C9">
        <w:rPr>
          <w:rFonts w:ascii="MS Gothic" w:eastAsia="MS Gothic" w:hAnsi="MS Gothic" w:cs="MS Gothic" w:hint="eastAsia"/>
          <w:highlight w:val="green"/>
          <w:u w:val="single"/>
        </w:rPr>
        <w:t> </w:t>
      </w:r>
      <w:r w:rsidRPr="00FA68C9">
        <w:rPr>
          <w:highlight w:val="green"/>
          <w:u w:val="single"/>
        </w:rPr>
        <w:t>displays</w:t>
      </w:r>
      <w:r w:rsidRPr="00FA68C9">
        <w:rPr>
          <w:rFonts w:ascii="MS Gothic" w:eastAsia="MS Gothic" w:hAnsi="MS Gothic" w:cs="MS Gothic" w:hint="eastAsia"/>
          <w:highlight w:val="green"/>
          <w:u w:val="single"/>
        </w:rPr>
        <w:t> </w:t>
      </w:r>
      <w:r w:rsidRPr="00FA68C9">
        <w:rPr>
          <w:highlight w:val="green"/>
          <w:u w:val="single"/>
        </w:rPr>
        <w:t>as</w:t>
      </w:r>
      <w:r w:rsidRPr="00FA68C9">
        <w:rPr>
          <w:rFonts w:ascii="MS Gothic" w:eastAsia="MS Gothic" w:hAnsi="MS Gothic" w:cs="MS Gothic" w:hint="eastAsia"/>
          <w:highlight w:val="green"/>
          <w:u w:val="single"/>
        </w:rPr>
        <w:t> </w:t>
      </w:r>
      <w:r w:rsidRPr="00FA68C9">
        <w:rPr>
          <w:highlight w:val="green"/>
          <w:u w:val="single"/>
        </w:rPr>
        <w:t>means</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incentive,</w:t>
      </w:r>
      <w:r w:rsidRPr="00FA68C9">
        <w:rPr>
          <w:rFonts w:ascii="MS Gothic" w:eastAsia="MS Gothic" w:hAnsi="MS Gothic" w:cs="MS Gothic" w:hint="eastAsia"/>
          <w:highlight w:val="green"/>
          <w:u w:val="single"/>
        </w:rPr>
        <w:t> </w:t>
      </w:r>
      <w:r w:rsidRPr="00FA68C9">
        <w:rPr>
          <w:highlight w:val="green"/>
          <w:u w:val="single"/>
        </w:rPr>
        <w:t>control,</w:t>
      </w:r>
      <w:r w:rsidRPr="00FA68C9">
        <w:rPr>
          <w:rFonts w:ascii="MS Gothic" w:eastAsia="MS Gothic" w:hAnsi="MS Gothic" w:cs="MS Gothic" w:hint="eastAsia"/>
          <w:highlight w:val="green"/>
          <w:u w:val="single"/>
        </w:rPr>
        <w:t> </w:t>
      </w:r>
      <w:r w:rsidRPr="00FA68C9">
        <w:rPr>
          <w:highlight w:val="green"/>
          <w:u w:val="single"/>
        </w:rPr>
        <w:t>attrition</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change—based</w:t>
      </w:r>
      <w:r w:rsidRPr="00FA68C9">
        <w:rPr>
          <w:rFonts w:ascii="MS Gothic" w:eastAsia="MS Gothic" w:hAnsi="MS Gothic" w:cs="MS Gothic" w:hint="eastAsia"/>
          <w:highlight w:val="green"/>
          <w:u w:val="single"/>
        </w:rPr>
        <w:t> </w:t>
      </w:r>
      <w:r w:rsidRPr="00FA68C9">
        <w:rPr>
          <w:highlight w:val="green"/>
          <w:u w:val="single"/>
        </w:rPr>
        <w:t xml:space="preserve"> on</w:t>
      </w:r>
      <w:r w:rsidRPr="00FA68C9">
        <w:rPr>
          <w:rFonts w:ascii="MS Gothic" w:eastAsia="MS Gothic" w:hAnsi="MS Gothic" w:cs="MS Gothic" w:hint="eastAsia"/>
          <w:highlight w:val="green"/>
          <w:u w:val="single"/>
        </w:rPr>
        <w:t> </w:t>
      </w:r>
      <w:r w:rsidRPr="00FA68C9">
        <w:rPr>
          <w:highlight w:val="green"/>
          <w:u w:val="single"/>
        </w:rPr>
        <w:t>rewards</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sanctions</w:t>
      </w:r>
      <w:r w:rsidRPr="00FA68C9">
        <w:rPr>
          <w:rFonts w:ascii="MS Gothic" w:eastAsia="MS Gothic" w:hAnsi="MS Gothic" w:cs="MS Gothic" w:hint="eastAsia"/>
          <w:highlight w:val="green"/>
          <w:u w:val="single"/>
        </w:rPr>
        <w:t> </w:t>
      </w:r>
      <w:r w:rsidRPr="00FA68C9">
        <w:rPr>
          <w:highlight w:val="green"/>
          <w:u w:val="single"/>
        </w:rPr>
        <w:t>(both</w:t>
      </w:r>
      <w:r w:rsidRPr="00FA68C9">
        <w:rPr>
          <w:rFonts w:ascii="MS Gothic" w:eastAsia="MS Gothic" w:hAnsi="MS Gothic" w:cs="MS Gothic" w:hint="eastAsia"/>
          <w:highlight w:val="green"/>
          <w:u w:val="single"/>
        </w:rPr>
        <w:t> </w:t>
      </w:r>
      <w:r w:rsidRPr="00FA68C9">
        <w:rPr>
          <w:highlight w:val="green"/>
          <w:u w:val="single"/>
        </w:rPr>
        <w:t>material</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symbolic).</w:t>
      </w:r>
      <w:r w:rsidRPr="00FA68C9">
        <w:rPr>
          <w:rFonts w:ascii="MS Gothic" w:eastAsia="MS Gothic" w:hAnsi="MS Gothic" w:cs="MS Gothic" w:hint="eastAsia"/>
          <w:sz w:val="16"/>
          <w:highlight w:val="green"/>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performances</w:t>
      </w:r>
      <w:r w:rsidRPr="00FA68C9">
        <w:rPr>
          <w:rFonts w:ascii="MS Gothic" w:eastAsia="MS Gothic" w:hAnsi="MS Gothic" w:cs="MS Gothic" w:hint="eastAsia"/>
          <w:highlight w:val="green"/>
          <w:u w:val="single"/>
        </w:rPr>
        <w:t> </w:t>
      </w:r>
      <w:r w:rsidRPr="00FA68C9">
        <w:rPr>
          <w:highlight w:val="green"/>
          <w:u w:val="single"/>
        </w:rPr>
        <w:t xml:space="preserve"> (of</w:t>
      </w:r>
      <w:r w:rsidRPr="00FA68C9">
        <w:rPr>
          <w:rFonts w:ascii="MS Gothic" w:eastAsia="MS Gothic" w:hAnsi="MS Gothic" w:cs="MS Gothic" w:hint="eastAsia"/>
          <w:highlight w:val="green"/>
          <w:u w:val="single"/>
        </w:rPr>
        <w:t> </w:t>
      </w:r>
      <w:r w:rsidRPr="00FA68C9">
        <w:rPr>
          <w:highlight w:val="green"/>
          <w:u w:val="single"/>
        </w:rPr>
        <w:t>individual</w:t>
      </w:r>
      <w:r w:rsidRPr="00FA68C9">
        <w:rPr>
          <w:rFonts w:ascii="MS Gothic" w:eastAsia="MS Gothic" w:hAnsi="MS Gothic" w:cs="MS Gothic" w:hint="eastAsia"/>
          <w:highlight w:val="green"/>
          <w:u w:val="single"/>
        </w:rPr>
        <w:t> </w:t>
      </w:r>
      <w:r w:rsidRPr="00FA68C9">
        <w:rPr>
          <w:highlight w:val="green"/>
          <w:u w:val="single"/>
        </w:rPr>
        <w:t>subjects</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u w:val="single"/>
        </w:rPr>
        <w:t>organizations)</w:t>
      </w:r>
      <w:r w:rsidRPr="00FA68C9">
        <w:rPr>
          <w:rFonts w:ascii="MS Gothic" w:eastAsia="MS Gothic" w:hAnsi="MS Gothic" w:cs="MS Gothic" w:hint="eastAsia"/>
          <w:u w:val="single"/>
        </w:rPr>
        <w:t> </w:t>
      </w:r>
      <w:r w:rsidRPr="00FA68C9">
        <w:rPr>
          <w:highlight w:val="green"/>
          <w:u w:val="single"/>
        </w:rPr>
        <w:t>serve</w:t>
      </w:r>
      <w:r w:rsidRPr="00FA68C9">
        <w:rPr>
          <w:rFonts w:ascii="MS Gothic" w:eastAsia="MS Gothic" w:hAnsi="MS Gothic" w:cs="MS Gothic" w:hint="eastAsia"/>
          <w:highlight w:val="green"/>
          <w:u w:val="single"/>
        </w:rPr>
        <w:t> </w:t>
      </w:r>
      <w:r w:rsidRPr="00FA68C9">
        <w:rPr>
          <w:highlight w:val="green"/>
          <w:u w:val="single"/>
        </w:rPr>
        <w:t>as</w:t>
      </w:r>
      <w:r w:rsidRPr="00FA68C9">
        <w:rPr>
          <w:rFonts w:ascii="MS Gothic" w:eastAsia="MS Gothic" w:hAnsi="MS Gothic" w:cs="MS Gothic" w:hint="eastAsia"/>
          <w:highlight w:val="green"/>
          <w:u w:val="single"/>
        </w:rPr>
        <w:t> </w:t>
      </w:r>
      <w:r w:rsidRPr="00FA68C9">
        <w:rPr>
          <w:highlight w:val="green"/>
          <w:u w:val="single"/>
        </w:rPr>
        <w:t>measure</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productivity</w:t>
      </w:r>
      <w:r w:rsidRPr="00FA68C9">
        <w:rPr>
          <w:rFonts w:ascii="MS Gothic" w:eastAsia="MS Gothic" w:hAnsi="MS Gothic" w:cs="MS Gothic" w:hint="eastAsia"/>
          <w:u w:val="single"/>
        </w:rPr>
        <w:t> </w:t>
      </w:r>
      <w:r w:rsidRPr="00FA68C9">
        <w:rPr>
          <w:u w:val="single"/>
        </w:rPr>
        <w:t xml:space="preserve"> or</w:t>
      </w:r>
      <w:r w:rsidRPr="00FA68C9">
        <w:rPr>
          <w:rFonts w:ascii="MS Gothic" w:eastAsia="MS Gothic" w:hAnsi="MS Gothic" w:cs="MS Gothic" w:hint="eastAsia"/>
          <w:u w:val="single"/>
        </w:rPr>
        <w:t> </w:t>
      </w:r>
      <w:r w:rsidRPr="00FA68C9">
        <w:rPr>
          <w:u w:val="single"/>
        </w:rPr>
        <w:t>output,</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u w:val="single"/>
        </w:rPr>
        <w:t>displays</w:t>
      </w:r>
      <w:r w:rsidRPr="00FA68C9">
        <w:rPr>
          <w:rFonts w:ascii="MS Gothic" w:eastAsia="MS Gothic" w:hAnsi="MS Gothic" w:cs="MS Gothic" w:hint="eastAsia"/>
          <w:u w:val="single"/>
        </w:rPr>
        <w:t> </w:t>
      </w:r>
      <w:r w:rsidRPr="00FA68C9">
        <w:rPr>
          <w:u w:val="single"/>
        </w:rPr>
        <w:t>of</w:t>
      </w:r>
      <w:r w:rsidRPr="00FA68C9">
        <w:rPr>
          <w:rFonts w:ascii="MS Gothic" w:eastAsia="MS Gothic" w:hAnsi="MS Gothic" w:cs="MS Gothic" w:hint="eastAsia"/>
          <w:u w:val="single"/>
        </w:rPr>
        <w:t> </w:t>
      </w:r>
      <w:r w:rsidRPr="00FA68C9">
        <w:rPr>
          <w:u w:val="single"/>
        </w:rPr>
        <w:t>‘quality’,</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u w:val="single"/>
        </w:rPr>
        <w:t>‘moments’</w:t>
      </w:r>
      <w:r w:rsidRPr="00FA68C9">
        <w:rPr>
          <w:rFonts w:ascii="MS Gothic" w:eastAsia="MS Gothic" w:hAnsi="MS Gothic" w:cs="MS Gothic" w:hint="eastAsia"/>
          <w:u w:val="single"/>
        </w:rPr>
        <w:t> </w:t>
      </w:r>
      <w:r w:rsidRPr="00FA68C9">
        <w:rPr>
          <w:u w:val="single"/>
        </w:rPr>
        <w:t>of</w:t>
      </w:r>
      <w:r w:rsidRPr="00FA68C9">
        <w:rPr>
          <w:rFonts w:ascii="MS Gothic" w:eastAsia="MS Gothic" w:hAnsi="MS Gothic" w:cs="MS Gothic" w:hint="eastAsia"/>
          <w:u w:val="single"/>
        </w:rPr>
        <w:t> </w:t>
      </w:r>
      <w:r w:rsidRPr="00FA68C9">
        <w:rPr>
          <w:u w:val="single"/>
        </w:rPr>
        <w:t>promotion</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u w:val="single"/>
        </w:rPr>
        <w:t>inspection.</w:t>
      </w:r>
      <w:r w:rsidRPr="00FA68C9">
        <w:rPr>
          <w:rFonts w:ascii="MS Gothic" w:eastAsia="MS Gothic" w:hAnsi="MS Gothic" w:cs="MS Gothic" w:hint="eastAsia"/>
          <w:u w:val="single"/>
        </w:rPr>
        <w:t> </w:t>
      </w:r>
      <w:r w:rsidRPr="00FA68C9">
        <w:rPr>
          <w:u w:val="single"/>
        </w:rPr>
        <w:t xml:space="preserve"> As</w:t>
      </w:r>
      <w:r w:rsidRPr="00FA68C9">
        <w:rPr>
          <w:rFonts w:ascii="MS Gothic" w:eastAsia="MS Gothic" w:hAnsi="MS Gothic" w:cs="MS Gothic" w:hint="eastAsia"/>
          <w:u w:val="single"/>
        </w:rPr>
        <w:t> </w:t>
      </w:r>
      <w:r w:rsidRPr="00FA68C9">
        <w:rPr>
          <w:u w:val="single"/>
        </w:rPr>
        <w:t>such</w:t>
      </w:r>
      <w:r w:rsidRPr="00FA68C9">
        <w:rPr>
          <w:rFonts w:ascii="MS Gothic" w:eastAsia="MS Gothic" w:hAnsi="MS Gothic" w:cs="MS Gothic" w:hint="eastAsia"/>
          <w:u w:val="single"/>
        </w:rPr>
        <w:t> </w:t>
      </w:r>
      <w:r w:rsidRPr="00FA68C9">
        <w:rPr>
          <w:highlight w:val="green"/>
          <w:u w:val="single"/>
        </w:rPr>
        <w:t>they</w:t>
      </w:r>
      <w:r w:rsidRPr="00FA68C9">
        <w:rPr>
          <w:rFonts w:ascii="MS Gothic" w:eastAsia="MS Gothic" w:hAnsi="MS Gothic" w:cs="MS Gothic" w:hint="eastAsia"/>
          <w:u w:val="single"/>
        </w:rPr>
        <w:t> </w:t>
      </w:r>
      <w:r w:rsidRPr="00FA68C9">
        <w:rPr>
          <w:u w:val="single"/>
        </w:rPr>
        <w:t>stand</w:t>
      </w:r>
      <w:r w:rsidRPr="00FA68C9">
        <w:rPr>
          <w:rFonts w:ascii="MS Gothic" w:eastAsia="MS Gothic" w:hAnsi="MS Gothic" w:cs="MS Gothic" w:hint="eastAsia"/>
          <w:u w:val="single"/>
        </w:rPr>
        <w:t> </w:t>
      </w:r>
      <w:r w:rsidRPr="00FA68C9">
        <w:rPr>
          <w:u w:val="single"/>
        </w:rPr>
        <w:t>for,</w:t>
      </w:r>
      <w:r w:rsidRPr="00FA68C9">
        <w:rPr>
          <w:rFonts w:ascii="MS Gothic" w:eastAsia="MS Gothic" w:hAnsi="MS Gothic" w:cs="MS Gothic" w:hint="eastAsia"/>
          <w:u w:val="single"/>
        </w:rPr>
        <w:t> </w:t>
      </w:r>
      <w:r w:rsidRPr="00FA68C9">
        <w:rPr>
          <w:u w:val="single"/>
        </w:rPr>
        <w:t>encapsulate</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highlight w:val="green"/>
          <w:u w:val="single"/>
        </w:rPr>
        <w:t>represent</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worth</w:t>
      </w:r>
      <w:r w:rsidRPr="00FA68C9">
        <w:rPr>
          <w:u w:val="single"/>
        </w:rPr>
        <w:t>,</w:t>
      </w:r>
      <w:r w:rsidRPr="00FA68C9">
        <w:rPr>
          <w:rFonts w:ascii="MS Gothic" w:eastAsia="MS Gothic" w:hAnsi="MS Gothic" w:cs="MS Gothic" w:hint="eastAsia"/>
          <w:u w:val="single"/>
        </w:rPr>
        <w:t> </w:t>
      </w:r>
      <w:r w:rsidRPr="00FA68C9">
        <w:rPr>
          <w:u w:val="single"/>
        </w:rPr>
        <w:t>quality</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u w:val="single"/>
        </w:rPr>
        <w:t xml:space="preserve"> value</w:t>
      </w:r>
      <w:r w:rsidRPr="00FA68C9">
        <w:rPr>
          <w:rFonts w:ascii="MS Gothic" w:eastAsia="MS Gothic" w:hAnsi="MS Gothic" w:cs="MS Gothic" w:hint="eastAsia"/>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an</w:t>
      </w:r>
      <w:r w:rsidRPr="00FA68C9">
        <w:rPr>
          <w:rFonts w:ascii="MS Gothic" w:eastAsia="MS Gothic" w:hAnsi="MS Gothic" w:cs="MS Gothic" w:hint="eastAsia"/>
          <w:highlight w:val="green"/>
          <w:u w:val="single"/>
        </w:rPr>
        <w:t> </w:t>
      </w:r>
      <w:r w:rsidRPr="00FA68C9">
        <w:rPr>
          <w:highlight w:val="green"/>
          <w:u w:val="single"/>
        </w:rPr>
        <w:t>individual</w:t>
      </w:r>
      <w:r w:rsidRPr="00FA68C9">
        <w:rPr>
          <w:rFonts w:ascii="MS Gothic" w:eastAsia="MS Gothic" w:hAnsi="MS Gothic" w:cs="MS Gothic" w:hint="eastAsia"/>
          <w:u w:val="single"/>
        </w:rPr>
        <w:t> </w:t>
      </w:r>
      <w:r w:rsidRPr="00FA68C9">
        <w:rPr>
          <w:u w:val="single"/>
        </w:rPr>
        <w:t>or</w:t>
      </w:r>
      <w:r w:rsidRPr="00FA68C9">
        <w:rPr>
          <w:rFonts w:ascii="MS Gothic" w:eastAsia="MS Gothic" w:hAnsi="MS Gothic" w:cs="MS Gothic" w:hint="eastAsia"/>
          <w:u w:val="single"/>
        </w:rPr>
        <w:t> </w:t>
      </w:r>
      <w:r w:rsidRPr="00FA68C9">
        <w:rPr>
          <w:u w:val="single"/>
        </w:rPr>
        <w:t>organization</w:t>
      </w:r>
      <w:r w:rsidRPr="00FA68C9">
        <w:rPr>
          <w:rFonts w:ascii="MS Gothic" w:eastAsia="MS Gothic" w:hAnsi="MS Gothic" w:cs="MS Gothic" w:hint="eastAsia"/>
          <w:u w:val="single"/>
        </w:rPr>
        <w:t> </w:t>
      </w:r>
      <w:r w:rsidRPr="00FA68C9">
        <w:rPr>
          <w:u w:val="single"/>
        </w:rPr>
        <w:t>within</w:t>
      </w:r>
      <w:r w:rsidRPr="00FA68C9">
        <w:rPr>
          <w:rFonts w:ascii="MS Gothic" w:eastAsia="MS Gothic" w:hAnsi="MS Gothic" w:cs="MS Gothic" w:hint="eastAsia"/>
          <w:u w:val="single"/>
        </w:rPr>
        <w:t> </w:t>
      </w:r>
      <w:r w:rsidRPr="00FA68C9">
        <w:rPr>
          <w:u w:val="single"/>
        </w:rPr>
        <w:t>a</w:t>
      </w:r>
      <w:r w:rsidRPr="00FA68C9">
        <w:rPr>
          <w:rFonts w:ascii="MS Gothic" w:eastAsia="MS Gothic" w:hAnsi="MS Gothic" w:cs="MS Gothic" w:hint="eastAsia"/>
          <w:u w:val="single"/>
        </w:rPr>
        <w:t> </w:t>
      </w:r>
      <w:r w:rsidRPr="00FA68C9">
        <w:rPr>
          <w:u w:val="single"/>
        </w:rPr>
        <w:t>field</w:t>
      </w:r>
      <w:r w:rsidRPr="00FA68C9">
        <w:rPr>
          <w:rFonts w:ascii="MS Gothic" w:eastAsia="MS Gothic" w:hAnsi="MS Gothic" w:cs="MS Gothic" w:hint="eastAsia"/>
          <w:u w:val="single"/>
        </w:rPr>
        <w:t> </w:t>
      </w:r>
      <w:r w:rsidRPr="00FA68C9">
        <w:rPr>
          <w:u w:val="single"/>
        </w:rPr>
        <w:t>of</w:t>
      </w:r>
      <w:r w:rsidRPr="00FA68C9">
        <w:rPr>
          <w:rFonts w:ascii="MS Gothic" w:eastAsia="MS Gothic" w:hAnsi="MS Gothic" w:cs="MS Gothic" w:hint="eastAsia"/>
          <w:u w:val="single"/>
        </w:rPr>
        <w:t> </w:t>
      </w:r>
      <w:r w:rsidRPr="00FA68C9">
        <w:rPr>
          <w:u w:val="single"/>
        </w:rPr>
        <w:t>judgement</w:t>
      </w:r>
      <w:r w:rsidRPr="00FA68C9">
        <w:rPr>
          <w:sz w:val="16"/>
        </w:rPr>
        <w:t>.</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 xml:space="preserve"> issue</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who</w:t>
      </w:r>
      <w:r w:rsidRPr="00FA68C9">
        <w:rPr>
          <w:rFonts w:ascii="MS Gothic" w:eastAsia="MS Gothic" w:hAnsi="MS Gothic" w:cs="MS Gothic" w:hint="eastAsia"/>
          <w:sz w:val="16"/>
        </w:rPr>
        <w:t> </w:t>
      </w:r>
      <w:r w:rsidRPr="00FA68C9">
        <w:rPr>
          <w:sz w:val="16"/>
        </w:rPr>
        <w:t>controls</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field</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judgement</w:t>
      </w:r>
      <w:r w:rsidRPr="00FA68C9">
        <w:rPr>
          <w:rFonts w:ascii="MS Gothic" w:eastAsia="MS Gothic" w:hAnsi="MS Gothic" w:cs="MS Gothic" w:hint="eastAsia"/>
          <w:sz w:val="16"/>
        </w:rPr>
        <w:t> </w:t>
      </w:r>
      <w:r w:rsidRPr="00FA68C9">
        <w:rPr>
          <w:sz w:val="16"/>
        </w:rPr>
        <w:t>is</w:t>
      </w:r>
      <w:r w:rsidRPr="00FA68C9">
        <w:rPr>
          <w:rFonts w:ascii="MS Gothic" w:eastAsia="MS Gothic" w:hAnsi="MS Gothic" w:cs="MS Gothic" w:hint="eastAsia"/>
          <w:sz w:val="16"/>
        </w:rPr>
        <w:t> </w:t>
      </w:r>
      <w:r w:rsidRPr="00FA68C9">
        <w:rPr>
          <w:sz w:val="16"/>
        </w:rPr>
        <w:t>crucial.5</w:t>
      </w:r>
      <w:r w:rsidRPr="00FA68C9">
        <w:rPr>
          <w:rFonts w:ascii="MS Gothic" w:eastAsia="MS Gothic" w:hAnsi="MS Gothic" w:cs="MS Gothic" w:hint="eastAsia"/>
          <w:sz w:val="16"/>
        </w:rPr>
        <w:t> </w:t>
      </w:r>
      <w:r w:rsidRPr="00FA68C9">
        <w:rPr>
          <w:sz w:val="16"/>
        </w:rPr>
        <w:t xml:space="preserve"> He</w:t>
      </w:r>
      <w:r w:rsidRPr="00FA68C9">
        <w:rPr>
          <w:rFonts w:ascii="MS Gothic" w:eastAsia="MS Gothic" w:hAnsi="MS Gothic" w:cs="MS Gothic" w:hint="eastAsia"/>
          <w:sz w:val="16"/>
        </w:rPr>
        <w:t> </w:t>
      </w:r>
      <w:r w:rsidRPr="00FA68C9">
        <w:rPr>
          <w:sz w:val="16"/>
        </w:rPr>
        <w:t>suggests</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rather</w:t>
      </w:r>
      <w:r w:rsidRPr="00FA68C9">
        <w:rPr>
          <w:rFonts w:ascii="MS Gothic" w:eastAsia="MS Gothic" w:hAnsi="MS Gothic" w:cs="MS Gothic" w:hint="eastAsia"/>
          <w:sz w:val="16"/>
        </w:rPr>
        <w:t> </w:t>
      </w:r>
      <w:r w:rsidRPr="00FA68C9">
        <w:rPr>
          <w:sz w:val="16"/>
        </w:rPr>
        <w:t>than</w:t>
      </w:r>
      <w:r w:rsidRPr="00FA68C9">
        <w:rPr>
          <w:rFonts w:ascii="MS Gothic" w:eastAsia="MS Gothic" w:hAnsi="MS Gothic" w:cs="MS Gothic" w:hint="eastAsia"/>
          <w:sz w:val="16"/>
        </w:rPr>
        <w:t> </w:t>
      </w:r>
      <w:r w:rsidRPr="00FA68C9">
        <w:rPr>
          <w:sz w:val="16"/>
        </w:rPr>
        <w:t>producing</w:t>
      </w:r>
      <w:r w:rsidRPr="00FA68C9">
        <w:rPr>
          <w:rFonts w:ascii="MS Gothic" w:eastAsia="MS Gothic" w:hAnsi="MS Gothic" w:cs="MS Gothic" w:hint="eastAsia"/>
          <w:sz w:val="16"/>
        </w:rPr>
        <w:t> </w:t>
      </w:r>
      <w:r w:rsidRPr="00FA68C9">
        <w:rPr>
          <w:sz w:val="16"/>
        </w:rPr>
        <w:t>an</w:t>
      </w:r>
      <w:r w:rsidRPr="00FA68C9">
        <w:rPr>
          <w:rFonts w:ascii="MS Gothic" w:eastAsia="MS Gothic" w:hAnsi="MS Gothic" w:cs="MS Gothic" w:hint="eastAsia"/>
          <w:sz w:val="16"/>
        </w:rPr>
        <w:t> </w:t>
      </w:r>
      <w:r w:rsidRPr="00FA68C9">
        <w:rPr>
          <w:sz w:val="16"/>
        </w:rPr>
        <w:t>integrated</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sustainable</w:t>
      </w:r>
      <w:r w:rsidRPr="00FA68C9">
        <w:rPr>
          <w:rFonts w:ascii="MS Gothic" w:eastAsia="MS Gothic" w:hAnsi="MS Gothic" w:cs="MS Gothic" w:hint="eastAsia"/>
          <w:sz w:val="16"/>
        </w:rPr>
        <w:t> </w:t>
      </w:r>
      <w:r w:rsidRPr="00FA68C9">
        <w:rPr>
          <w:sz w:val="16"/>
        </w:rPr>
        <w:t>teaching</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 xml:space="preserve"> learning</w:t>
      </w:r>
      <w:r w:rsidRPr="00FA68C9">
        <w:rPr>
          <w:rFonts w:ascii="MS Gothic" w:eastAsia="MS Gothic" w:hAnsi="MS Gothic" w:cs="MS Gothic" w:hint="eastAsia"/>
          <w:sz w:val="16"/>
        </w:rPr>
        <w:t> </w:t>
      </w:r>
      <w:r w:rsidRPr="00FA68C9">
        <w:rPr>
          <w:sz w:val="16"/>
        </w:rPr>
        <w:t>environment,</w:t>
      </w:r>
      <w:r w:rsidRPr="00FA68C9">
        <w:rPr>
          <w:rFonts w:ascii="MS Gothic" w:eastAsia="MS Gothic" w:hAnsi="MS Gothic" w:cs="MS Gothic" w:hint="eastAsia"/>
          <w:sz w:val="16"/>
        </w:rPr>
        <w:t> </w:t>
      </w:r>
      <w:r w:rsidRPr="00FA68C9">
        <w:rPr>
          <w:highlight w:val="green"/>
          <w:u w:val="single"/>
        </w:rPr>
        <w:t>these</w:t>
      </w:r>
      <w:r w:rsidRPr="00FA68C9">
        <w:rPr>
          <w:rFonts w:ascii="MS Gothic" w:eastAsia="MS Gothic" w:hAnsi="MS Gothic" w:cs="MS Gothic" w:hint="eastAsia"/>
          <w:highlight w:val="green"/>
          <w:u w:val="single"/>
        </w:rPr>
        <w:t> </w:t>
      </w:r>
      <w:r w:rsidRPr="00FA68C9">
        <w:rPr>
          <w:highlight w:val="green"/>
          <w:u w:val="single"/>
        </w:rPr>
        <w:t>regulating</w:t>
      </w:r>
      <w:r w:rsidRPr="00FA68C9">
        <w:rPr>
          <w:rFonts w:ascii="MS Gothic" w:eastAsia="MS Gothic" w:hAnsi="MS Gothic" w:cs="MS Gothic" w:hint="eastAsia"/>
          <w:highlight w:val="green"/>
          <w:u w:val="single"/>
        </w:rPr>
        <w:t> </w:t>
      </w:r>
      <w:r w:rsidRPr="00FA68C9">
        <w:rPr>
          <w:highlight w:val="green"/>
          <w:u w:val="single"/>
        </w:rPr>
        <w:t>technologies</w:t>
      </w:r>
      <w:r w:rsidRPr="00FA68C9">
        <w:rPr>
          <w:rFonts w:ascii="MS Gothic" w:eastAsia="MS Gothic" w:hAnsi="MS Gothic" w:cs="MS Gothic" w:hint="eastAsia"/>
          <w:u w:val="single"/>
        </w:rPr>
        <w:t> </w:t>
      </w:r>
      <w:r w:rsidRPr="00FA68C9">
        <w:rPr>
          <w:u w:val="single"/>
        </w:rPr>
        <w:t>too</w:t>
      </w:r>
      <w:r w:rsidRPr="00FA68C9">
        <w:rPr>
          <w:rFonts w:ascii="MS Gothic" w:eastAsia="MS Gothic" w:hAnsi="MS Gothic" w:cs="MS Gothic" w:hint="eastAsia"/>
          <w:u w:val="single"/>
        </w:rPr>
        <w:t> </w:t>
      </w:r>
      <w:r w:rsidRPr="00FA68C9">
        <w:rPr>
          <w:u w:val="single"/>
        </w:rPr>
        <w:t>often</w:t>
      </w:r>
      <w:r w:rsidRPr="00FA68C9">
        <w:rPr>
          <w:rFonts w:ascii="MS Gothic" w:eastAsia="MS Gothic" w:hAnsi="MS Gothic" w:cs="MS Gothic" w:hint="eastAsia"/>
          <w:u w:val="single"/>
        </w:rPr>
        <w:t> </w:t>
      </w:r>
      <w:r w:rsidRPr="00FA68C9">
        <w:rPr>
          <w:highlight w:val="green"/>
          <w:u w:val="single"/>
        </w:rPr>
        <w:t>result</w:t>
      </w:r>
      <w:r w:rsidRPr="00FA68C9">
        <w:rPr>
          <w:rFonts w:ascii="MS Gothic" w:eastAsia="MS Gothic" w:hAnsi="MS Gothic" w:cs="MS Gothic" w:hint="eastAsia"/>
          <w:highlight w:val="green"/>
          <w:u w:val="single"/>
        </w:rPr>
        <w:t> </w:t>
      </w:r>
      <w:r w:rsidRPr="00FA68C9">
        <w:rPr>
          <w:highlight w:val="green"/>
          <w:u w:val="single"/>
        </w:rPr>
        <w:t>in</w:t>
      </w:r>
      <w:r w:rsidRPr="00FA68C9">
        <w:rPr>
          <w:rFonts w:ascii="MS Gothic" w:eastAsia="MS Gothic" w:hAnsi="MS Gothic" w:cs="MS Gothic" w:hint="eastAsia"/>
          <w:highlight w:val="green"/>
          <w:u w:val="single"/>
        </w:rPr>
        <w:t> </w:t>
      </w:r>
      <w:r w:rsidRPr="00FA68C9">
        <w:rPr>
          <w:highlight w:val="green"/>
          <w:u w:val="single"/>
        </w:rPr>
        <w:t>‘spectacle,</w:t>
      </w:r>
      <w:r w:rsidRPr="00FA68C9">
        <w:rPr>
          <w:rFonts w:ascii="MS Gothic" w:eastAsia="MS Gothic" w:hAnsi="MS Gothic" w:cs="MS Gothic" w:hint="eastAsia"/>
          <w:highlight w:val="green"/>
          <w:u w:val="single"/>
        </w:rPr>
        <w:t> </w:t>
      </w:r>
      <w:r w:rsidRPr="00FA68C9">
        <w:rPr>
          <w:highlight w:val="green"/>
          <w:u w:val="single"/>
        </w:rPr>
        <w:t>or</w:t>
      </w:r>
      <w:r w:rsidRPr="00FA68C9">
        <w:rPr>
          <w:rFonts w:ascii="MS Gothic" w:eastAsia="MS Gothic" w:hAnsi="MS Gothic" w:cs="MS Gothic" w:hint="eastAsia"/>
          <w:highlight w:val="green"/>
          <w:u w:val="single"/>
        </w:rPr>
        <w:t> </w:t>
      </w:r>
      <w:r w:rsidRPr="00FA68C9">
        <w:rPr>
          <w:highlight w:val="green"/>
          <w:u w:val="single"/>
        </w:rPr>
        <w:t xml:space="preserve"> game</w:t>
      </w:r>
      <w:r w:rsidRPr="00FA68C9">
        <w:rPr>
          <w:rFonts w:ascii="Cambria Math" w:hAnsi="Cambria Math" w:cs="Cambria Math"/>
          <w:highlight w:val="green"/>
          <w:u w:val="single"/>
        </w:rPr>
        <w:t>‐</w:t>
      </w:r>
      <w:r w:rsidRPr="00FA68C9">
        <w:rPr>
          <w:highlight w:val="green"/>
          <w:u w:val="single"/>
        </w:rPr>
        <w:t>playing,</w:t>
      </w:r>
      <w:r w:rsidRPr="00FA68C9">
        <w:rPr>
          <w:rFonts w:ascii="MS Gothic" w:eastAsia="MS Gothic" w:hAnsi="MS Gothic" w:cs="MS Gothic" w:hint="eastAsia"/>
          <w:highlight w:val="green"/>
          <w:u w:val="single"/>
        </w:rPr>
        <w:t> </w:t>
      </w:r>
      <w:r w:rsidRPr="00FA68C9">
        <w:rPr>
          <w:highlight w:val="green"/>
          <w:u w:val="single"/>
        </w:rPr>
        <w:t>or</w:t>
      </w:r>
      <w:r w:rsidRPr="00FA68C9">
        <w:rPr>
          <w:rFonts w:ascii="MS Gothic" w:eastAsia="MS Gothic" w:hAnsi="MS Gothic" w:cs="MS Gothic" w:hint="eastAsia"/>
          <w:highlight w:val="green"/>
          <w:u w:val="single"/>
        </w:rPr>
        <w:t> </w:t>
      </w:r>
      <w:r w:rsidRPr="00FA68C9">
        <w:rPr>
          <w:highlight w:val="green"/>
          <w:u w:val="single"/>
        </w:rPr>
        <w:t>cynical</w:t>
      </w:r>
      <w:r w:rsidRPr="00FA68C9">
        <w:rPr>
          <w:rFonts w:ascii="MS Gothic" w:eastAsia="MS Gothic" w:hAnsi="MS Gothic" w:cs="MS Gothic" w:hint="eastAsia"/>
          <w:highlight w:val="green"/>
          <w:u w:val="single"/>
        </w:rPr>
        <w:t> </w:t>
      </w:r>
      <w:r w:rsidRPr="00FA68C9">
        <w:rPr>
          <w:highlight w:val="green"/>
          <w:u w:val="single"/>
        </w:rPr>
        <w:t>compliance’:</w:t>
      </w:r>
      <w:r w:rsidRPr="00FA68C9">
        <w:rPr>
          <w:rFonts w:ascii="MS Gothic" w:eastAsia="MS Gothic" w:hAnsi="MS Gothic" w:cs="MS Gothic" w:hint="eastAsia"/>
          <w:highlight w:val="green"/>
          <w:u w:val="single"/>
        </w:rPr>
        <w:t> </w:t>
      </w:r>
      <w:r w:rsidRPr="00FA68C9">
        <w:rPr>
          <w:u w:val="single"/>
        </w:rPr>
        <w:t>what</w:t>
      </w:r>
      <w:r w:rsidRPr="00FA68C9">
        <w:rPr>
          <w:rFonts w:ascii="MS Gothic" w:eastAsia="MS Gothic" w:hAnsi="MS Gothic" w:cs="MS Gothic" w:hint="eastAsia"/>
          <w:u w:val="single"/>
        </w:rPr>
        <w:t> </w:t>
      </w:r>
      <w:r w:rsidRPr="00FA68C9">
        <w:rPr>
          <w:u w:val="single"/>
        </w:rPr>
        <w:t>he</w:t>
      </w:r>
      <w:r w:rsidRPr="00FA68C9">
        <w:rPr>
          <w:rFonts w:ascii="MS Gothic" w:eastAsia="MS Gothic" w:hAnsi="MS Gothic" w:cs="MS Gothic" w:hint="eastAsia"/>
          <w:u w:val="single"/>
        </w:rPr>
        <w:t> </w:t>
      </w:r>
      <w:r w:rsidRPr="00FA68C9">
        <w:rPr>
          <w:u w:val="single"/>
        </w:rPr>
        <w:t>calls</w:t>
      </w:r>
      <w:r w:rsidRPr="00FA68C9">
        <w:rPr>
          <w:rFonts w:ascii="MS Gothic" w:eastAsia="MS Gothic" w:hAnsi="MS Gothic" w:cs="MS Gothic" w:hint="eastAsia"/>
          <w:u w:val="single"/>
        </w:rPr>
        <w:t> </w:t>
      </w:r>
      <w:r w:rsidRPr="00FA68C9">
        <w:rPr>
          <w:u w:val="single"/>
        </w:rPr>
        <w:t>‘</w:t>
      </w:r>
      <w:r w:rsidRPr="00FA68C9">
        <w:rPr>
          <w:highlight w:val="green"/>
          <w:u w:val="single"/>
        </w:rPr>
        <w:t>fabrications’</w:t>
      </w:r>
      <w:r w:rsidRPr="00FA68C9">
        <w:rPr>
          <w:rFonts w:ascii="MS Gothic" w:eastAsia="MS Gothic" w:hAnsi="MS Gothic" w:cs="MS Gothic" w:hint="eastAsia"/>
          <w:highlight w:val="green"/>
          <w:u w:val="single"/>
        </w:rPr>
        <w:t> </w:t>
      </w:r>
      <w:r w:rsidRPr="00FA68C9">
        <w:rPr>
          <w:highlight w:val="green"/>
          <w:u w:val="single"/>
        </w:rPr>
        <w:t>comprised</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 xml:space="preserve"> privileged</w:t>
      </w:r>
      <w:r w:rsidRPr="00FA68C9">
        <w:rPr>
          <w:rFonts w:ascii="MS Gothic" w:eastAsia="MS Gothic" w:hAnsi="MS Gothic" w:cs="MS Gothic" w:hint="eastAsia"/>
          <w:highlight w:val="green"/>
          <w:u w:val="single"/>
        </w:rPr>
        <w:t> </w:t>
      </w:r>
      <w:r w:rsidRPr="00FA68C9">
        <w:rPr>
          <w:highlight w:val="green"/>
          <w:u w:val="single"/>
        </w:rPr>
        <w:t>signifiers</w:t>
      </w:r>
      <w:r w:rsidRPr="00FA68C9">
        <w:rPr>
          <w:rFonts w:ascii="MS Gothic" w:eastAsia="MS Gothic" w:hAnsi="MS Gothic" w:cs="MS Gothic" w:hint="eastAsia"/>
          <w:highlight w:val="green"/>
          <w:u w:val="single"/>
        </w:rPr>
        <w:t> </w:t>
      </w:r>
      <w:r w:rsidRPr="00FA68C9">
        <w:rPr>
          <w:highlight w:val="green"/>
          <w:u w:val="single"/>
        </w:rPr>
        <w:t>sanctioned</w:t>
      </w:r>
      <w:r w:rsidRPr="00FA68C9">
        <w:rPr>
          <w:rFonts w:ascii="MS Gothic" w:eastAsia="MS Gothic" w:hAnsi="MS Gothic" w:cs="MS Gothic" w:hint="eastAsia"/>
          <w:highlight w:val="green"/>
          <w:u w:val="single"/>
        </w:rPr>
        <w:t> </w:t>
      </w:r>
      <w:r w:rsidRPr="00FA68C9">
        <w:rPr>
          <w:highlight w:val="green"/>
          <w:u w:val="single"/>
        </w:rPr>
        <w:t>by</w:t>
      </w:r>
      <w:r w:rsidRPr="00FA68C9">
        <w:rPr>
          <w:rFonts w:ascii="MS Gothic" w:eastAsia="MS Gothic" w:hAnsi="MS Gothic" w:cs="MS Gothic" w:hint="eastAsia"/>
          <w:highlight w:val="green"/>
          <w:u w:val="single"/>
        </w:rPr>
        <w:t> </w:t>
      </w:r>
      <w:r w:rsidRPr="00FA68C9">
        <w:rPr>
          <w:highlight w:val="green"/>
          <w:u w:val="single"/>
        </w:rPr>
        <w:t>an</w:t>
      </w:r>
      <w:r w:rsidRPr="00FA68C9">
        <w:rPr>
          <w:rFonts w:ascii="MS Gothic" w:eastAsia="MS Gothic" w:hAnsi="MS Gothic" w:cs="MS Gothic" w:hint="eastAsia"/>
          <w:highlight w:val="green"/>
          <w:u w:val="single"/>
        </w:rPr>
        <w:t> </w:t>
      </w:r>
      <w:r w:rsidRPr="00FA68C9">
        <w:rPr>
          <w:highlight w:val="green"/>
          <w:u w:val="single"/>
        </w:rPr>
        <w:t>organisation.</w:t>
      </w:r>
      <w:r w:rsidRPr="00FA68C9">
        <w:rPr>
          <w:u w:val="single"/>
        </w:rPr>
        <w:t>6</w:t>
      </w:r>
      <w:r w:rsidRPr="00FA68C9">
        <w:rPr>
          <w:rFonts w:ascii="MS Gothic" w:eastAsia="MS Gothic" w:hAnsi="MS Gothic" w:cs="MS Gothic" w:hint="eastAsia"/>
          <w:u w:val="single"/>
        </w:rPr>
        <w:t> </w:t>
      </w:r>
      <w:r w:rsidRPr="00FA68C9">
        <w:rPr>
          <w:sz w:val="16"/>
        </w:rPr>
        <w:t>Pressures</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be</w:t>
      </w:r>
      <w:r w:rsidRPr="00FA68C9">
        <w:rPr>
          <w:rFonts w:ascii="MS Gothic" w:eastAsia="MS Gothic" w:hAnsi="MS Gothic" w:cs="MS Gothic" w:hint="eastAsia"/>
          <w:sz w:val="16"/>
        </w:rPr>
        <w:t> </w:t>
      </w:r>
      <w:r w:rsidRPr="00FA68C9">
        <w:rPr>
          <w:sz w:val="16"/>
        </w:rPr>
        <w:t>competitive,</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 xml:space="preserve"> identify</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realise</w:t>
      </w:r>
      <w:r w:rsidRPr="00FA68C9">
        <w:rPr>
          <w:rFonts w:ascii="MS Gothic" w:eastAsia="MS Gothic" w:hAnsi="MS Gothic" w:cs="MS Gothic" w:hint="eastAsia"/>
          <w:sz w:val="16"/>
        </w:rPr>
        <w:t> </w:t>
      </w:r>
      <w:r w:rsidRPr="00FA68C9">
        <w:rPr>
          <w:sz w:val="16"/>
        </w:rPr>
        <w:t>key</w:t>
      </w:r>
      <w:r w:rsidRPr="00FA68C9">
        <w:rPr>
          <w:rFonts w:ascii="MS Gothic" w:eastAsia="MS Gothic" w:hAnsi="MS Gothic" w:cs="MS Gothic" w:hint="eastAsia"/>
          <w:sz w:val="16"/>
        </w:rPr>
        <w:t> </w:t>
      </w:r>
      <w:r w:rsidRPr="00FA68C9">
        <w:rPr>
          <w:sz w:val="16"/>
        </w:rPr>
        <w:t>performance</w:t>
      </w:r>
      <w:r w:rsidRPr="00FA68C9">
        <w:rPr>
          <w:rFonts w:ascii="MS Gothic" w:eastAsia="MS Gothic" w:hAnsi="MS Gothic" w:cs="MS Gothic" w:hint="eastAsia"/>
          <w:sz w:val="16"/>
        </w:rPr>
        <w:t> </w:t>
      </w:r>
      <w:r w:rsidRPr="00FA68C9">
        <w:rPr>
          <w:sz w:val="16"/>
        </w:rPr>
        <w:t>indicators,</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be</w:t>
      </w:r>
      <w:r w:rsidRPr="00FA68C9">
        <w:rPr>
          <w:rFonts w:ascii="MS Gothic" w:eastAsia="MS Gothic" w:hAnsi="MS Gothic" w:cs="MS Gothic" w:hint="eastAsia"/>
          <w:sz w:val="16"/>
        </w:rPr>
        <w:t> </w:t>
      </w:r>
      <w:r w:rsidRPr="00FA68C9">
        <w:rPr>
          <w:sz w:val="16"/>
        </w:rPr>
        <w:t>constantly</w:t>
      </w:r>
      <w:r w:rsidRPr="00FA68C9">
        <w:rPr>
          <w:rFonts w:ascii="MS Gothic" w:eastAsia="MS Gothic" w:hAnsi="MS Gothic" w:cs="MS Gothic" w:hint="eastAsia"/>
          <w:sz w:val="16"/>
        </w:rPr>
        <w:t> </w:t>
      </w:r>
      <w:r w:rsidRPr="00FA68C9">
        <w:rPr>
          <w:sz w:val="16"/>
        </w:rPr>
        <w:t>innovative,</w:t>
      </w:r>
      <w:r w:rsidRPr="00FA68C9">
        <w:rPr>
          <w:rFonts w:ascii="MS Gothic" w:eastAsia="MS Gothic" w:hAnsi="MS Gothic" w:cs="MS Gothic" w:hint="eastAsia"/>
          <w:sz w:val="16"/>
        </w:rPr>
        <w:t> </w:t>
      </w:r>
      <w:r w:rsidRPr="00FA68C9">
        <w:rPr>
          <w:sz w:val="16"/>
        </w:rPr>
        <w:t xml:space="preserve"> entrepreneurial</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so</w:t>
      </w:r>
      <w:r w:rsidRPr="00FA68C9">
        <w:rPr>
          <w:rFonts w:ascii="MS Gothic" w:eastAsia="MS Gothic" w:hAnsi="MS Gothic" w:cs="MS Gothic" w:hint="eastAsia"/>
          <w:sz w:val="16"/>
        </w:rPr>
        <w:t> </w:t>
      </w:r>
      <w:r w:rsidRPr="00FA68C9">
        <w:rPr>
          <w:sz w:val="16"/>
        </w:rPr>
        <w:t>on,</w:t>
      </w:r>
      <w:r w:rsidRPr="00FA68C9">
        <w:rPr>
          <w:rFonts w:ascii="MS Gothic" w:eastAsia="MS Gothic" w:hAnsi="MS Gothic" w:cs="MS Gothic" w:hint="eastAsia"/>
          <w:sz w:val="16"/>
        </w:rPr>
        <w:t> </w:t>
      </w:r>
      <w:r w:rsidRPr="00FA68C9">
        <w:rPr>
          <w:sz w:val="16"/>
        </w:rPr>
        <w:t>comprise</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apparatus—the</w:t>
      </w:r>
      <w:r w:rsidRPr="00FA68C9">
        <w:rPr>
          <w:rFonts w:ascii="MS Gothic" w:eastAsia="MS Gothic" w:hAnsi="MS Gothic" w:cs="MS Gothic" w:hint="eastAsia"/>
          <w:sz w:val="16"/>
        </w:rPr>
        <w:t> </w:t>
      </w:r>
      <w:r w:rsidRPr="00FA68C9">
        <w:rPr>
          <w:sz w:val="16"/>
        </w:rPr>
        <w:t>policy</w:t>
      </w:r>
      <w:r w:rsidRPr="00FA68C9">
        <w:rPr>
          <w:rFonts w:ascii="MS Gothic" w:eastAsia="MS Gothic" w:hAnsi="MS Gothic" w:cs="MS Gothic" w:hint="eastAsia"/>
          <w:sz w:val="16"/>
        </w:rPr>
        <w:t> </w:t>
      </w:r>
      <w:r w:rsidRPr="00FA68C9">
        <w:rPr>
          <w:sz w:val="16"/>
        </w:rPr>
        <w:t>technologies—still</w:t>
      </w:r>
      <w:r w:rsidRPr="00FA68C9">
        <w:rPr>
          <w:rFonts w:ascii="MS Gothic" w:eastAsia="MS Gothic" w:hAnsi="MS Gothic" w:cs="MS Gothic" w:hint="eastAsia"/>
          <w:sz w:val="16"/>
        </w:rPr>
        <w:t> </w:t>
      </w:r>
      <w:r w:rsidRPr="00FA68C9">
        <w:rPr>
          <w:sz w:val="16"/>
        </w:rPr>
        <w:t xml:space="preserve"> governing</w:t>
      </w:r>
      <w:r w:rsidRPr="00FA68C9">
        <w:rPr>
          <w:rFonts w:ascii="MS Gothic" w:eastAsia="MS Gothic" w:hAnsi="MS Gothic" w:cs="MS Gothic" w:hint="eastAsia"/>
          <w:sz w:val="16"/>
        </w:rPr>
        <w:t> </w:t>
      </w:r>
      <w:r w:rsidRPr="00FA68C9">
        <w:rPr>
          <w:sz w:val="16"/>
        </w:rPr>
        <w:t>many</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our</w:t>
      </w:r>
      <w:r w:rsidRPr="00FA68C9">
        <w:rPr>
          <w:rFonts w:ascii="MS Gothic" w:eastAsia="MS Gothic" w:hAnsi="MS Gothic" w:cs="MS Gothic" w:hint="eastAsia"/>
          <w:sz w:val="16"/>
        </w:rPr>
        <w:t> </w:t>
      </w:r>
      <w:r w:rsidRPr="00FA68C9">
        <w:rPr>
          <w:sz w:val="16"/>
        </w:rPr>
        <w:t>professional</w:t>
      </w:r>
      <w:r w:rsidRPr="00FA68C9">
        <w:rPr>
          <w:rFonts w:ascii="MS Gothic" w:eastAsia="MS Gothic" w:hAnsi="MS Gothic" w:cs="MS Gothic" w:hint="eastAsia"/>
          <w:sz w:val="16"/>
        </w:rPr>
        <w:t> </w:t>
      </w:r>
      <w:r w:rsidRPr="00FA68C9">
        <w:rPr>
          <w:sz w:val="16"/>
        </w:rPr>
        <w:t>lives</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2011.</w:t>
      </w:r>
      <w:r w:rsidRPr="00FA68C9">
        <w:rPr>
          <w:rFonts w:ascii="MS Gothic" w:eastAsia="MS Gothic" w:hAnsi="MS Gothic" w:cs="MS Gothic" w:hint="eastAsia"/>
          <w:sz w:val="16"/>
        </w:rPr>
        <w:t> </w:t>
      </w:r>
      <w:r w:rsidRPr="00FA68C9">
        <w:rPr>
          <w:sz w:val="16"/>
        </w:rPr>
        <w:t>It</w:t>
      </w:r>
      <w:r w:rsidRPr="00FA68C9">
        <w:rPr>
          <w:rFonts w:ascii="MS Gothic" w:eastAsia="MS Gothic" w:hAnsi="MS Gothic" w:cs="MS Gothic" w:hint="eastAsia"/>
          <w:sz w:val="16"/>
        </w:rPr>
        <w:t> </w:t>
      </w:r>
      <w:r w:rsidRPr="00FA68C9">
        <w:rPr>
          <w:sz w:val="16"/>
        </w:rPr>
        <w:t>is</w:t>
      </w:r>
      <w:r w:rsidRPr="00FA68C9">
        <w:rPr>
          <w:rFonts w:ascii="MS Gothic" w:eastAsia="MS Gothic" w:hAnsi="MS Gothic" w:cs="MS Gothic" w:hint="eastAsia"/>
          <w:sz w:val="16"/>
        </w:rPr>
        <w:t> </w:t>
      </w:r>
      <w:r w:rsidRPr="00FA68C9">
        <w:rPr>
          <w:sz w:val="16"/>
        </w:rPr>
        <w:t>an</w:t>
      </w:r>
      <w:r w:rsidRPr="00FA68C9">
        <w:rPr>
          <w:rFonts w:ascii="MS Gothic" w:eastAsia="MS Gothic" w:hAnsi="MS Gothic" w:cs="MS Gothic" w:hint="eastAsia"/>
          <w:sz w:val="16"/>
        </w:rPr>
        <w:t> </w:t>
      </w:r>
      <w:r w:rsidRPr="00FA68C9">
        <w:rPr>
          <w:sz w:val="16"/>
        </w:rPr>
        <w:t>idea</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Colleen</w:t>
      </w:r>
      <w:r w:rsidRPr="00FA68C9">
        <w:rPr>
          <w:rFonts w:ascii="MS Gothic" w:eastAsia="MS Gothic" w:hAnsi="MS Gothic" w:cs="MS Gothic" w:hint="eastAsia"/>
          <w:sz w:val="16"/>
        </w:rPr>
        <w:t> </w:t>
      </w:r>
      <w:r w:rsidRPr="00FA68C9">
        <w:rPr>
          <w:sz w:val="16"/>
        </w:rPr>
        <w:t>McGloin</w:t>
      </w:r>
      <w:r w:rsidRPr="00FA68C9">
        <w:rPr>
          <w:rFonts w:ascii="MS Gothic" w:eastAsia="MS Gothic" w:hAnsi="MS Gothic" w:cs="MS Gothic" w:hint="eastAsia"/>
          <w:sz w:val="16"/>
        </w:rPr>
        <w:t> </w:t>
      </w:r>
      <w:r w:rsidRPr="00FA68C9">
        <w:rPr>
          <w:sz w:val="16"/>
        </w:rPr>
        <w:t xml:space="preserve"> explores</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relation</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cultural</w:t>
      </w:r>
      <w:r w:rsidRPr="00FA68C9">
        <w:rPr>
          <w:rFonts w:ascii="MS Gothic" w:eastAsia="MS Gothic" w:hAnsi="MS Gothic" w:cs="MS Gothic" w:hint="eastAsia"/>
          <w:sz w:val="16"/>
        </w:rPr>
        <w:t> </w:t>
      </w:r>
      <w:r w:rsidRPr="00FA68C9">
        <w:rPr>
          <w:sz w:val="16"/>
        </w:rPr>
        <w:t>politics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teaching</w:t>
      </w:r>
      <w:r w:rsidRPr="00FA68C9">
        <w:rPr>
          <w:rFonts w:ascii="MS Gothic" w:eastAsia="MS Gothic" w:hAnsi="MS Gothic" w:cs="MS Gothic" w:hint="eastAsia"/>
          <w:sz w:val="16"/>
        </w:rPr>
        <w:t> </w:t>
      </w:r>
      <w:r w:rsidRPr="00FA68C9">
        <w:rPr>
          <w:sz w:val="16"/>
        </w:rPr>
        <w:t>awards</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an</w:t>
      </w:r>
      <w:r w:rsidRPr="00FA68C9">
        <w:rPr>
          <w:rFonts w:ascii="MS Gothic" w:eastAsia="MS Gothic" w:hAnsi="MS Gothic" w:cs="MS Gothic" w:hint="eastAsia"/>
          <w:sz w:val="16"/>
        </w:rPr>
        <w:t> </w:t>
      </w:r>
      <w:r w:rsidRPr="00FA68C9">
        <w:rPr>
          <w:sz w:val="16"/>
        </w:rPr>
        <w:t>increasingly</w:t>
      </w:r>
      <w:r w:rsidRPr="00FA68C9">
        <w:rPr>
          <w:rFonts w:ascii="MS Gothic" w:eastAsia="MS Gothic" w:hAnsi="MS Gothic" w:cs="MS Gothic" w:hint="eastAsia"/>
          <w:sz w:val="16"/>
        </w:rPr>
        <w:t> </w:t>
      </w:r>
      <w:r w:rsidRPr="00FA68C9">
        <w:rPr>
          <w:sz w:val="16"/>
        </w:rPr>
        <w:t xml:space="preserve"> individualistic</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competitive</w:t>
      </w:r>
      <w:r w:rsidRPr="00FA68C9">
        <w:rPr>
          <w:rFonts w:ascii="MS Gothic" w:eastAsia="MS Gothic" w:hAnsi="MS Gothic" w:cs="MS Gothic" w:hint="eastAsia"/>
          <w:sz w:val="16"/>
        </w:rPr>
        <w:t> </w:t>
      </w:r>
      <w:r w:rsidRPr="00FA68C9">
        <w:rPr>
          <w:sz w:val="16"/>
        </w:rPr>
        <w:t>higher</w:t>
      </w:r>
      <w:r w:rsidRPr="00FA68C9">
        <w:rPr>
          <w:rFonts w:ascii="MS Gothic" w:eastAsia="MS Gothic" w:hAnsi="MS Gothic" w:cs="MS Gothic" w:hint="eastAsia"/>
          <w:sz w:val="16"/>
        </w:rPr>
        <w:t> </w:t>
      </w:r>
      <w:r w:rsidRPr="00FA68C9">
        <w:rPr>
          <w:sz w:val="16"/>
        </w:rPr>
        <w:t>education</w:t>
      </w:r>
      <w:r w:rsidRPr="00FA68C9">
        <w:rPr>
          <w:rFonts w:ascii="MS Gothic" w:eastAsia="MS Gothic" w:hAnsi="MS Gothic" w:cs="MS Gothic" w:hint="eastAsia"/>
          <w:sz w:val="16"/>
        </w:rPr>
        <w:t> </w:t>
      </w:r>
      <w:r w:rsidRPr="00FA68C9">
        <w:rPr>
          <w:sz w:val="16"/>
        </w:rPr>
        <w:t>climate.7</w:t>
      </w:r>
      <w:r w:rsidRPr="00FA68C9">
        <w:rPr>
          <w:rFonts w:ascii="MS Gothic" w:eastAsia="MS Gothic" w:hAnsi="MS Gothic" w:cs="MS Gothic" w:hint="eastAsia"/>
          <w:sz w:val="16"/>
        </w:rPr>
        <w:t> </w:t>
      </w:r>
      <w:r w:rsidRPr="00FA68C9">
        <w:rPr>
          <w:sz w:val="16"/>
        </w:rPr>
        <w:t xml:space="preserve"> In</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past</w:t>
      </w:r>
      <w:r w:rsidRPr="00FA68C9">
        <w:rPr>
          <w:rFonts w:ascii="MS Gothic" w:eastAsia="MS Gothic" w:hAnsi="MS Gothic" w:cs="MS Gothic" w:hint="eastAsia"/>
          <w:sz w:val="16"/>
        </w:rPr>
        <w:t> </w:t>
      </w:r>
      <w:r w:rsidRPr="00FA68C9">
        <w:rPr>
          <w:sz w:val="16"/>
        </w:rPr>
        <w:t>fifteen</w:t>
      </w:r>
      <w:r w:rsidRPr="00FA68C9">
        <w:rPr>
          <w:rFonts w:ascii="MS Gothic" w:eastAsia="MS Gothic" w:hAnsi="MS Gothic" w:cs="MS Gothic" w:hint="eastAsia"/>
          <w:sz w:val="16"/>
        </w:rPr>
        <w:t> </w:t>
      </w:r>
      <w:r w:rsidRPr="00FA68C9">
        <w:rPr>
          <w:sz w:val="16"/>
        </w:rPr>
        <w:t>years</w:t>
      </w:r>
      <w:r w:rsidRPr="00FA68C9">
        <w:rPr>
          <w:rFonts w:ascii="MS Gothic" w:eastAsia="MS Gothic" w:hAnsi="MS Gothic" w:cs="MS Gothic" w:hint="eastAsia"/>
          <w:sz w:val="16"/>
        </w:rPr>
        <w:t> </w:t>
      </w:r>
      <w:r w:rsidRPr="00FA68C9">
        <w:rPr>
          <w:sz w:val="16"/>
        </w:rPr>
        <w:t>or</w:t>
      </w:r>
      <w:r w:rsidRPr="00FA68C9">
        <w:rPr>
          <w:rFonts w:ascii="MS Gothic" w:eastAsia="MS Gothic" w:hAnsi="MS Gothic" w:cs="MS Gothic" w:hint="eastAsia"/>
          <w:sz w:val="16"/>
        </w:rPr>
        <w:t> </w:t>
      </w:r>
      <w:r w:rsidRPr="00FA68C9">
        <w:rPr>
          <w:sz w:val="16"/>
        </w:rPr>
        <w:t>so</w:t>
      </w:r>
      <w:r w:rsidRPr="00FA68C9">
        <w:rPr>
          <w:rFonts w:ascii="MS Gothic" w:eastAsia="MS Gothic" w:hAnsi="MS Gothic" w:cs="MS Gothic" w:hint="eastAsia"/>
          <w:sz w:val="16"/>
        </w:rPr>
        <w:t> </w:t>
      </w:r>
      <w:r w:rsidRPr="00FA68C9">
        <w:rPr>
          <w:sz w:val="16"/>
        </w:rPr>
        <w:t>there</w:t>
      </w:r>
      <w:r w:rsidRPr="00FA68C9">
        <w:rPr>
          <w:rFonts w:ascii="MS Gothic" w:eastAsia="MS Gothic" w:hAnsi="MS Gothic" w:cs="MS Gothic" w:hint="eastAsia"/>
          <w:sz w:val="16"/>
        </w:rPr>
        <w:t> </w:t>
      </w:r>
      <w:r w:rsidRPr="00FA68C9">
        <w:rPr>
          <w:sz w:val="16"/>
        </w:rPr>
        <w:t>has</w:t>
      </w:r>
      <w:r w:rsidRPr="00FA68C9">
        <w:rPr>
          <w:rFonts w:ascii="MS Gothic" w:eastAsia="MS Gothic" w:hAnsi="MS Gothic" w:cs="MS Gothic" w:hint="eastAsia"/>
          <w:sz w:val="16"/>
        </w:rPr>
        <w:t> </w:t>
      </w:r>
      <w:r w:rsidRPr="00FA68C9">
        <w:rPr>
          <w:sz w:val="16"/>
        </w:rPr>
        <w:t>been</w:t>
      </w:r>
      <w:r w:rsidRPr="00FA68C9">
        <w:rPr>
          <w:rFonts w:ascii="MS Gothic" w:eastAsia="MS Gothic" w:hAnsi="MS Gothic" w:cs="MS Gothic" w:hint="eastAsia"/>
          <w:sz w:val="16"/>
        </w:rPr>
        <w:t> </w:t>
      </w:r>
      <w:r w:rsidRPr="00FA68C9">
        <w:rPr>
          <w:highlight w:val="green"/>
          <w:u w:val="single"/>
        </w:rPr>
        <w:t>a</w:t>
      </w:r>
      <w:r w:rsidRPr="00FA68C9">
        <w:rPr>
          <w:rFonts w:ascii="MS Gothic" w:eastAsia="MS Gothic" w:hAnsi="MS Gothic" w:cs="MS Gothic" w:hint="eastAsia"/>
          <w:highlight w:val="green"/>
          <w:u w:val="single"/>
        </w:rPr>
        <w:t> </w:t>
      </w:r>
      <w:r w:rsidRPr="00FA68C9">
        <w:rPr>
          <w:highlight w:val="green"/>
          <w:u w:val="single"/>
        </w:rPr>
        <w:t>growing</w:t>
      </w:r>
      <w:r w:rsidRPr="00FA68C9">
        <w:rPr>
          <w:rFonts w:ascii="MS Gothic" w:eastAsia="MS Gothic" w:hAnsi="MS Gothic" w:cs="MS Gothic" w:hint="eastAsia"/>
          <w:highlight w:val="green"/>
          <w:u w:val="single"/>
        </w:rPr>
        <w:t> </w:t>
      </w:r>
      <w:r w:rsidRPr="00FA68C9">
        <w:rPr>
          <w:highlight w:val="green"/>
          <w:u w:val="single"/>
        </w:rPr>
        <w:t>body</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scholarly</w:t>
      </w:r>
      <w:r w:rsidRPr="00FA68C9">
        <w:rPr>
          <w:rFonts w:ascii="MS Gothic" w:eastAsia="MS Gothic" w:hAnsi="MS Gothic" w:cs="MS Gothic" w:hint="eastAsia"/>
          <w:highlight w:val="green"/>
          <w:u w:val="single"/>
        </w:rPr>
        <w:t> </w:t>
      </w:r>
      <w:r w:rsidRPr="00FA68C9">
        <w:rPr>
          <w:highlight w:val="green"/>
          <w:u w:val="single"/>
        </w:rPr>
        <w:t>work</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highlight w:val="green"/>
          <w:u w:val="single"/>
        </w:rPr>
        <w:t>en gages</w:t>
      </w:r>
      <w:r w:rsidRPr="00FA68C9">
        <w:rPr>
          <w:rFonts w:ascii="MS Gothic" w:eastAsia="MS Gothic" w:hAnsi="MS Gothic" w:cs="MS Gothic" w:hint="eastAsia"/>
          <w:highlight w:val="green"/>
          <w:u w:val="single"/>
        </w:rPr>
        <w:t> </w:t>
      </w:r>
      <w:r w:rsidRPr="00FA68C9">
        <w:rPr>
          <w:sz w:val="16"/>
        </w:rPr>
        <w:t>with</w:t>
      </w:r>
      <w:r w:rsidRPr="00FA68C9">
        <w:rPr>
          <w:rFonts w:ascii="MS Gothic" w:eastAsia="MS Gothic" w:hAnsi="MS Gothic" w:cs="MS Gothic" w:hint="eastAsia"/>
          <w:sz w:val="16"/>
        </w:rPr>
        <w:t> </w:t>
      </w:r>
      <w:r w:rsidRPr="00FA68C9">
        <w:rPr>
          <w:u w:val="single"/>
        </w:rPr>
        <w:t>higher</w:t>
      </w:r>
      <w:r w:rsidRPr="00FA68C9">
        <w:rPr>
          <w:rFonts w:ascii="MS Gothic" w:eastAsia="MS Gothic" w:hAnsi="MS Gothic" w:cs="MS Gothic" w:hint="eastAsia"/>
          <w:u w:val="single"/>
        </w:rPr>
        <w:t> </w:t>
      </w:r>
      <w:r w:rsidRPr="00FA68C9">
        <w:rPr>
          <w:highlight w:val="green"/>
          <w:u w:val="single"/>
        </w:rPr>
        <w:t>education</w:t>
      </w:r>
      <w:r w:rsidRPr="00FA68C9">
        <w:rPr>
          <w:rFonts w:ascii="MS Gothic" w:eastAsia="MS Gothic" w:hAnsi="MS Gothic" w:cs="MS Gothic" w:hint="eastAsia"/>
          <w:highlight w:val="green"/>
          <w:u w:val="single"/>
        </w:rPr>
        <w:t> </w:t>
      </w:r>
      <w:r w:rsidRPr="00FA68C9">
        <w:rPr>
          <w:highlight w:val="green"/>
          <w:u w:val="single"/>
        </w:rPr>
        <w:t>policy</w:t>
      </w:r>
      <w:r w:rsidRPr="00FA68C9">
        <w:rPr>
          <w:rFonts w:ascii="MS Gothic" w:eastAsia="MS Gothic" w:hAnsi="MS Gothic" w:cs="MS Gothic" w:hint="eastAsia"/>
          <w:highlight w:val="green"/>
          <w:u w:val="single"/>
        </w:rPr>
        <w:t> </w:t>
      </w:r>
      <w:r w:rsidRPr="00FA68C9">
        <w:rPr>
          <w:highlight w:val="green"/>
          <w:u w:val="single"/>
        </w:rPr>
        <w:t>as</w:t>
      </w:r>
      <w:r w:rsidRPr="00FA68C9">
        <w:rPr>
          <w:rFonts w:ascii="MS Gothic" w:eastAsia="MS Gothic" w:hAnsi="MS Gothic" w:cs="MS Gothic" w:hint="eastAsia"/>
          <w:highlight w:val="green"/>
          <w:u w:val="single"/>
        </w:rPr>
        <w:t> </w:t>
      </w:r>
      <w:r w:rsidRPr="00FA68C9">
        <w:rPr>
          <w:highlight w:val="green"/>
          <w:u w:val="single"/>
        </w:rPr>
        <w:t>discourse</w:t>
      </w:r>
      <w:r w:rsidRPr="00FA68C9">
        <w:rPr>
          <w:sz w:val="16"/>
        </w:rPr>
        <w:t>.</w:t>
      </w:r>
      <w:r w:rsidRPr="00FA68C9">
        <w:rPr>
          <w:rFonts w:ascii="MS Gothic" w:eastAsia="MS Gothic" w:hAnsi="MS Gothic" w:cs="MS Gothic" w:hint="eastAsia"/>
          <w:sz w:val="16"/>
        </w:rPr>
        <w:t> </w:t>
      </w:r>
      <w:r w:rsidRPr="00FA68C9">
        <w:rPr>
          <w:sz w:val="16"/>
        </w:rPr>
        <w:t>Following</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work</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 xml:space="preserve"> Michel</w:t>
      </w:r>
      <w:r w:rsidRPr="00FA68C9">
        <w:rPr>
          <w:rFonts w:ascii="MS Gothic" w:eastAsia="MS Gothic" w:hAnsi="MS Gothic" w:cs="MS Gothic" w:hint="eastAsia"/>
          <w:sz w:val="16"/>
        </w:rPr>
        <w:t> </w:t>
      </w:r>
      <w:r w:rsidRPr="00FA68C9">
        <w:rPr>
          <w:sz w:val="16"/>
        </w:rPr>
        <w:t>Foucault,</w:t>
      </w:r>
      <w:r w:rsidRPr="00FA68C9">
        <w:rPr>
          <w:rFonts w:ascii="MS Gothic" w:eastAsia="MS Gothic" w:hAnsi="MS Gothic" w:cs="MS Gothic" w:hint="eastAsia"/>
          <w:sz w:val="16"/>
        </w:rPr>
        <w:t> </w:t>
      </w:r>
      <w:r w:rsidRPr="00FA68C9">
        <w:rPr>
          <w:sz w:val="16"/>
        </w:rPr>
        <w:t>much</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this</w:t>
      </w:r>
      <w:r w:rsidRPr="00FA68C9">
        <w:rPr>
          <w:rFonts w:ascii="MS Gothic" w:eastAsia="MS Gothic" w:hAnsi="MS Gothic" w:cs="MS Gothic" w:hint="eastAsia"/>
          <w:sz w:val="16"/>
        </w:rPr>
        <w:t> </w:t>
      </w:r>
      <w:r w:rsidRPr="00FA68C9">
        <w:rPr>
          <w:sz w:val="16"/>
        </w:rPr>
        <w:t>work</w:t>
      </w:r>
      <w:r w:rsidRPr="00FA68C9">
        <w:rPr>
          <w:rFonts w:ascii="MS Gothic" w:eastAsia="MS Gothic" w:hAnsi="MS Gothic" w:cs="MS Gothic" w:hint="eastAsia"/>
          <w:sz w:val="16"/>
        </w:rPr>
        <w:t> </w:t>
      </w:r>
      <w:r w:rsidRPr="00FA68C9">
        <w:rPr>
          <w:sz w:val="16"/>
        </w:rPr>
        <w:t>has</w:t>
      </w:r>
      <w:r w:rsidRPr="00FA68C9">
        <w:rPr>
          <w:rFonts w:ascii="MS Gothic" w:eastAsia="MS Gothic" w:hAnsi="MS Gothic" w:cs="MS Gothic" w:hint="eastAsia"/>
          <w:sz w:val="16"/>
        </w:rPr>
        <w:t> </w:t>
      </w:r>
      <w:r w:rsidRPr="00FA68C9">
        <w:rPr>
          <w:sz w:val="16"/>
        </w:rPr>
        <w:t>set</w:t>
      </w:r>
      <w:r w:rsidRPr="00FA68C9">
        <w:rPr>
          <w:rFonts w:ascii="MS Gothic" w:eastAsia="MS Gothic" w:hAnsi="MS Gothic" w:cs="MS Gothic" w:hint="eastAsia"/>
          <w:sz w:val="16"/>
        </w:rPr>
        <w:t> </w:t>
      </w:r>
      <w:r w:rsidRPr="00FA68C9">
        <w:rPr>
          <w:sz w:val="16"/>
        </w:rPr>
        <w:t>about</w:t>
      </w:r>
      <w:r w:rsidRPr="00FA68C9">
        <w:rPr>
          <w:rFonts w:ascii="MS Gothic" w:eastAsia="MS Gothic" w:hAnsi="MS Gothic" w:cs="MS Gothic" w:hint="eastAsia"/>
          <w:sz w:val="16"/>
        </w:rPr>
        <w:t> </w:t>
      </w:r>
      <w:r w:rsidRPr="00FA68C9">
        <w:rPr>
          <w:sz w:val="16"/>
        </w:rPr>
        <w:t>examining</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ways</w:t>
      </w:r>
      <w:r w:rsidRPr="00FA68C9">
        <w:rPr>
          <w:rFonts w:ascii="MS Gothic" w:eastAsia="MS Gothic" w:hAnsi="MS Gothic" w:cs="MS Gothic" w:hint="eastAsia"/>
          <w:sz w:val="16"/>
        </w:rPr>
        <w:t> </w:t>
      </w:r>
      <w:r w:rsidRPr="00FA68C9">
        <w:rPr>
          <w:sz w:val="16"/>
        </w:rPr>
        <w:t>education</w:t>
      </w:r>
      <w:r w:rsidRPr="00FA68C9">
        <w:rPr>
          <w:rFonts w:ascii="MS Gothic" w:eastAsia="MS Gothic" w:hAnsi="MS Gothic" w:cs="MS Gothic" w:hint="eastAsia"/>
          <w:sz w:val="16"/>
        </w:rPr>
        <w:t> </w:t>
      </w:r>
      <w:r w:rsidRPr="00FA68C9">
        <w:rPr>
          <w:sz w:val="16"/>
        </w:rPr>
        <w:t xml:space="preserve"> policy</w:t>
      </w:r>
      <w:r w:rsidRPr="00FA68C9">
        <w:rPr>
          <w:rFonts w:ascii="MS Gothic" w:eastAsia="MS Gothic" w:hAnsi="MS Gothic" w:cs="MS Gothic" w:hint="eastAsia"/>
          <w:sz w:val="16"/>
        </w:rPr>
        <w:t> </w:t>
      </w:r>
      <w:r w:rsidRPr="00FA68C9">
        <w:rPr>
          <w:sz w:val="16"/>
        </w:rPr>
        <w:t>language</w:t>
      </w:r>
      <w:r w:rsidRPr="00FA68C9">
        <w:rPr>
          <w:rFonts w:ascii="MS Gothic" w:eastAsia="MS Gothic" w:hAnsi="MS Gothic" w:cs="MS Gothic" w:hint="eastAsia"/>
          <w:sz w:val="16"/>
        </w:rPr>
        <w:t> </w:t>
      </w:r>
      <w:r w:rsidRPr="00FA68C9">
        <w:rPr>
          <w:sz w:val="16"/>
        </w:rPr>
        <w:t>constitutes</w:t>
      </w:r>
      <w:r w:rsidRPr="00FA68C9">
        <w:rPr>
          <w:rFonts w:ascii="MS Gothic" w:eastAsia="MS Gothic" w:hAnsi="MS Gothic" w:cs="MS Gothic" w:hint="eastAsia"/>
          <w:sz w:val="16"/>
        </w:rPr>
        <w:t> </w:t>
      </w:r>
      <w:r w:rsidRPr="00FA68C9">
        <w:rPr>
          <w:sz w:val="16"/>
        </w:rPr>
        <w:t>academic</w:t>
      </w:r>
      <w:r w:rsidRPr="00FA68C9">
        <w:rPr>
          <w:rFonts w:ascii="MS Gothic" w:eastAsia="MS Gothic" w:hAnsi="MS Gothic" w:cs="MS Gothic" w:hint="eastAsia"/>
          <w:sz w:val="16"/>
        </w:rPr>
        <w:t> </w:t>
      </w:r>
      <w:r w:rsidRPr="00FA68C9">
        <w:rPr>
          <w:sz w:val="16"/>
        </w:rPr>
        <w:t>workers</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subjects.</w:t>
      </w:r>
      <w:r w:rsidRPr="00FA68C9">
        <w:rPr>
          <w:rFonts w:ascii="MS Gothic" w:eastAsia="MS Gothic" w:hAnsi="MS Gothic" w:cs="MS Gothic" w:hint="eastAsia"/>
          <w:sz w:val="16"/>
        </w:rPr>
        <w:t> </w:t>
      </w:r>
      <w:r w:rsidRPr="00FA68C9">
        <w:rPr>
          <w:sz w:val="16"/>
        </w:rPr>
        <w:t>Foucault</w:t>
      </w:r>
      <w:r w:rsidRPr="00FA68C9">
        <w:rPr>
          <w:rFonts w:ascii="MS Gothic" w:eastAsia="MS Gothic" w:hAnsi="MS Gothic" w:cs="MS Gothic" w:hint="eastAsia"/>
          <w:sz w:val="16"/>
        </w:rPr>
        <w:t> </w:t>
      </w:r>
      <w:r w:rsidRPr="00FA68C9">
        <w:rPr>
          <w:sz w:val="16"/>
        </w:rPr>
        <w:t>expressed</w:t>
      </w:r>
      <w:r w:rsidRPr="00FA68C9">
        <w:rPr>
          <w:rFonts w:ascii="MS Gothic" w:eastAsia="MS Gothic" w:hAnsi="MS Gothic" w:cs="MS Gothic" w:hint="eastAsia"/>
          <w:sz w:val="16"/>
        </w:rPr>
        <w:t> </w:t>
      </w:r>
      <w:r w:rsidRPr="00FA68C9">
        <w:rPr>
          <w:sz w:val="16"/>
        </w:rPr>
        <w:t xml:space="preserve"> reservations</w:t>
      </w:r>
      <w:r w:rsidRPr="00FA68C9">
        <w:rPr>
          <w:rFonts w:ascii="MS Gothic" w:eastAsia="MS Gothic" w:hAnsi="MS Gothic" w:cs="MS Gothic" w:hint="eastAsia"/>
          <w:sz w:val="16"/>
        </w:rPr>
        <w:t> </w:t>
      </w:r>
      <w:r w:rsidRPr="00FA68C9">
        <w:rPr>
          <w:sz w:val="16"/>
        </w:rPr>
        <w:t>about</w:t>
      </w:r>
      <w:r w:rsidRPr="00FA68C9">
        <w:rPr>
          <w:rFonts w:ascii="MS Gothic" w:eastAsia="MS Gothic" w:hAnsi="MS Gothic" w:cs="MS Gothic" w:hint="eastAsia"/>
          <w:sz w:val="16"/>
        </w:rPr>
        <w:t> </w:t>
      </w:r>
      <w:r w:rsidRPr="00FA68C9">
        <w:rPr>
          <w:sz w:val="16"/>
        </w:rPr>
        <w:t>merely</w:t>
      </w:r>
      <w:r w:rsidRPr="00FA68C9">
        <w:rPr>
          <w:rFonts w:ascii="MS Gothic" w:eastAsia="MS Gothic" w:hAnsi="MS Gothic" w:cs="MS Gothic" w:hint="eastAsia"/>
          <w:sz w:val="16"/>
        </w:rPr>
        <w:t> </w:t>
      </w:r>
      <w:r w:rsidRPr="00FA68C9">
        <w:rPr>
          <w:sz w:val="16"/>
        </w:rPr>
        <w:t>treating</w:t>
      </w:r>
      <w:r w:rsidRPr="00FA68C9">
        <w:rPr>
          <w:rFonts w:ascii="MS Gothic" w:eastAsia="MS Gothic" w:hAnsi="MS Gothic" w:cs="MS Gothic" w:hint="eastAsia"/>
          <w:sz w:val="16"/>
        </w:rPr>
        <w:t> </w:t>
      </w:r>
      <w:r w:rsidRPr="00FA68C9">
        <w:rPr>
          <w:sz w:val="16"/>
        </w:rPr>
        <w:t>discourse</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groups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signs</w:t>
      </w:r>
      <w:r w:rsidRPr="00FA68C9">
        <w:rPr>
          <w:rFonts w:ascii="MS Gothic" w:eastAsia="MS Gothic" w:hAnsi="MS Gothic" w:cs="MS Gothic" w:hint="eastAsia"/>
          <w:sz w:val="16"/>
        </w:rPr>
        <w:t> </w:t>
      </w:r>
      <w:r w:rsidRPr="00FA68C9">
        <w:rPr>
          <w:sz w:val="16"/>
        </w:rPr>
        <w:t>(signifying</w:t>
      </w:r>
      <w:r w:rsidRPr="00FA68C9">
        <w:rPr>
          <w:rFonts w:ascii="MS Gothic" w:eastAsia="MS Gothic" w:hAnsi="MS Gothic" w:cs="MS Gothic" w:hint="eastAsia"/>
          <w:sz w:val="16"/>
        </w:rPr>
        <w:t> </w:t>
      </w:r>
      <w:r w:rsidRPr="00FA68C9">
        <w:rPr>
          <w:sz w:val="16"/>
        </w:rPr>
        <w:t xml:space="preserve"> elements</w:t>
      </w:r>
      <w:r w:rsidRPr="00FA68C9">
        <w:rPr>
          <w:rFonts w:ascii="MS Gothic" w:eastAsia="MS Gothic" w:hAnsi="MS Gothic" w:cs="MS Gothic" w:hint="eastAsia"/>
          <w:sz w:val="16"/>
        </w:rPr>
        <w:t> </w:t>
      </w:r>
      <w:r w:rsidRPr="00FA68C9">
        <w:rPr>
          <w:sz w:val="16"/>
        </w:rPr>
        <w:t>referring</w:t>
      </w:r>
      <w:r w:rsidRPr="00FA68C9">
        <w:rPr>
          <w:rFonts w:ascii="MS Gothic" w:eastAsia="MS Gothic" w:hAnsi="MS Gothic" w:cs="MS Gothic" w:hint="eastAsia"/>
          <w:sz w:val="16"/>
        </w:rPr>
        <w:t> </w:t>
      </w:r>
      <w:r w:rsidRPr="00FA68C9">
        <w:rPr>
          <w:sz w:val="16"/>
        </w:rPr>
        <w:t>to</w:t>
      </w:r>
      <w:r w:rsidRPr="00FA68C9">
        <w:rPr>
          <w:rFonts w:ascii="MS Gothic" w:eastAsia="MS Gothic" w:hAnsi="MS Gothic" w:cs="MS Gothic" w:hint="eastAsia"/>
          <w:sz w:val="16"/>
        </w:rPr>
        <w:t> </w:t>
      </w:r>
      <w:r w:rsidRPr="00FA68C9">
        <w:rPr>
          <w:sz w:val="16"/>
        </w:rPr>
        <w:t>contents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representations)’.</w:t>
      </w:r>
      <w:r w:rsidRPr="00FA68C9">
        <w:rPr>
          <w:rFonts w:ascii="MS Gothic" w:eastAsia="MS Gothic" w:hAnsi="MS Gothic" w:cs="MS Gothic" w:hint="eastAsia"/>
          <w:sz w:val="16"/>
        </w:rPr>
        <w:t> </w:t>
      </w:r>
      <w:r w:rsidRPr="00FA68C9">
        <w:rPr>
          <w:sz w:val="16"/>
        </w:rPr>
        <w:t>He</w:t>
      </w:r>
      <w:r w:rsidRPr="00FA68C9">
        <w:rPr>
          <w:rFonts w:ascii="MS Gothic" w:eastAsia="MS Gothic" w:hAnsi="MS Gothic" w:cs="MS Gothic" w:hint="eastAsia"/>
          <w:sz w:val="16"/>
        </w:rPr>
        <w:t> </w:t>
      </w:r>
      <w:r w:rsidRPr="00FA68C9">
        <w:rPr>
          <w:sz w:val="16"/>
        </w:rPr>
        <w:t>insisted</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any</w:t>
      </w:r>
      <w:r w:rsidRPr="00FA68C9">
        <w:rPr>
          <w:rFonts w:ascii="MS Gothic" w:eastAsia="MS Gothic" w:hAnsi="MS Gothic" w:cs="MS Gothic" w:hint="eastAsia"/>
          <w:sz w:val="16"/>
        </w:rPr>
        <w:t> </w:t>
      </w:r>
      <w:r w:rsidRPr="00FA68C9">
        <w:rPr>
          <w:sz w:val="16"/>
        </w:rPr>
        <w:t>analysis</w:t>
      </w:r>
      <w:r w:rsidRPr="00FA68C9">
        <w:rPr>
          <w:rFonts w:ascii="MS Gothic" w:eastAsia="MS Gothic" w:hAnsi="MS Gothic" w:cs="MS Gothic" w:hint="eastAsia"/>
          <w:sz w:val="16"/>
        </w:rPr>
        <w:t> </w:t>
      </w:r>
      <w:r w:rsidRPr="00FA68C9">
        <w:rPr>
          <w:sz w:val="16"/>
        </w:rPr>
        <w:t xml:space="preserve"> should</w:t>
      </w:r>
      <w:r w:rsidRPr="00FA68C9">
        <w:rPr>
          <w:rFonts w:ascii="MS Gothic" w:eastAsia="MS Gothic" w:hAnsi="MS Gothic" w:cs="MS Gothic" w:hint="eastAsia"/>
          <w:sz w:val="16"/>
        </w:rPr>
        <w:t> </w:t>
      </w:r>
      <w:r w:rsidRPr="00FA68C9">
        <w:rPr>
          <w:sz w:val="16"/>
        </w:rPr>
        <w:t>entail</w:t>
      </w:r>
      <w:r w:rsidRPr="00FA68C9">
        <w:rPr>
          <w:rFonts w:ascii="MS Gothic" w:eastAsia="MS Gothic" w:hAnsi="MS Gothic" w:cs="MS Gothic" w:hint="eastAsia"/>
          <w:sz w:val="16"/>
        </w:rPr>
        <w:t> </w:t>
      </w:r>
      <w:r w:rsidRPr="00FA68C9">
        <w:rPr>
          <w:sz w:val="16"/>
        </w:rPr>
        <w:t>consideration</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discourse</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highlight w:val="green"/>
          <w:u w:val="single"/>
        </w:rPr>
        <w:t>a</w:t>
      </w:r>
      <w:r w:rsidRPr="00FA68C9">
        <w:rPr>
          <w:rFonts w:ascii="MS Gothic" w:eastAsia="MS Gothic" w:hAnsi="MS Gothic" w:cs="MS Gothic" w:hint="eastAsia"/>
          <w:highlight w:val="green"/>
          <w:u w:val="single"/>
        </w:rPr>
        <w:t> </w:t>
      </w:r>
      <w:r w:rsidRPr="00FA68C9">
        <w:rPr>
          <w:highlight w:val="green"/>
          <w:u w:val="single"/>
        </w:rPr>
        <w:t>set</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practices</w:t>
      </w:r>
      <w:r w:rsidRPr="00FA68C9">
        <w:rPr>
          <w:rFonts w:ascii="MS Gothic" w:eastAsia="MS Gothic" w:hAnsi="MS Gothic" w:cs="MS Gothic" w:hint="eastAsia"/>
          <w:highlight w:val="green"/>
          <w:u w:val="single"/>
        </w:rPr>
        <w:t> </w:t>
      </w:r>
      <w:r w:rsidRPr="00FA68C9">
        <w:rPr>
          <w:highlight w:val="green"/>
          <w:u w:val="single"/>
        </w:rPr>
        <w:t>‘that</w:t>
      </w:r>
      <w:r w:rsidRPr="00FA68C9">
        <w:rPr>
          <w:rFonts w:ascii="MS Gothic" w:eastAsia="MS Gothic" w:hAnsi="MS Gothic" w:cs="MS Gothic" w:hint="eastAsia"/>
          <w:highlight w:val="green"/>
          <w:u w:val="single"/>
        </w:rPr>
        <w:t> </w:t>
      </w:r>
      <w:r w:rsidRPr="00FA68C9">
        <w:rPr>
          <w:highlight w:val="green"/>
          <w:u w:val="single"/>
        </w:rPr>
        <w:t>systematically</w:t>
      </w:r>
      <w:r w:rsidRPr="00FA68C9">
        <w:rPr>
          <w:rFonts w:ascii="MS Gothic" w:eastAsia="MS Gothic" w:hAnsi="MS Gothic" w:cs="MS Gothic" w:hint="eastAsia"/>
          <w:highlight w:val="green"/>
          <w:u w:val="single"/>
        </w:rPr>
        <w:t> </w:t>
      </w:r>
      <w:r w:rsidRPr="00FA68C9">
        <w:rPr>
          <w:highlight w:val="green"/>
          <w:u w:val="single"/>
        </w:rPr>
        <w:t xml:space="preserve"> form</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objects</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which</w:t>
      </w:r>
      <w:r w:rsidRPr="00FA68C9">
        <w:rPr>
          <w:rFonts w:ascii="MS Gothic" w:eastAsia="MS Gothic" w:hAnsi="MS Gothic" w:cs="MS Gothic" w:hint="eastAsia"/>
          <w:highlight w:val="green"/>
          <w:u w:val="single"/>
        </w:rPr>
        <w:t> </w:t>
      </w:r>
      <w:r w:rsidRPr="00FA68C9">
        <w:rPr>
          <w:highlight w:val="green"/>
          <w:u w:val="single"/>
        </w:rPr>
        <w:t>they</w:t>
      </w:r>
      <w:r w:rsidRPr="00FA68C9">
        <w:rPr>
          <w:rFonts w:ascii="MS Gothic" w:eastAsia="MS Gothic" w:hAnsi="MS Gothic" w:cs="MS Gothic" w:hint="eastAsia"/>
          <w:highlight w:val="green"/>
          <w:u w:val="single"/>
        </w:rPr>
        <w:t> </w:t>
      </w:r>
      <w:r w:rsidRPr="00FA68C9">
        <w:rPr>
          <w:highlight w:val="green"/>
          <w:u w:val="single"/>
        </w:rPr>
        <w:t>speak’</w:t>
      </w:r>
      <w:r w:rsidRPr="00FA68C9">
        <w:rPr>
          <w:u w:val="single"/>
        </w:rPr>
        <w:t>.</w:t>
      </w:r>
      <w:r w:rsidRPr="00FA68C9">
        <w:rPr>
          <w:sz w:val="16"/>
        </w:rPr>
        <w:t>8</w:t>
      </w:r>
      <w:r w:rsidRPr="00FA68C9">
        <w:rPr>
          <w:rFonts w:ascii="MS Gothic" w:eastAsia="MS Gothic" w:hAnsi="MS Gothic" w:cs="MS Gothic" w:hint="eastAsia"/>
          <w:sz w:val="16"/>
        </w:rPr>
        <w:t> </w:t>
      </w:r>
      <w:r w:rsidRPr="00FA68C9">
        <w:rPr>
          <w:sz w:val="16"/>
        </w:rPr>
        <w:t>It</w:t>
      </w:r>
      <w:r w:rsidRPr="00FA68C9">
        <w:rPr>
          <w:rFonts w:ascii="MS Gothic" w:eastAsia="MS Gothic" w:hAnsi="MS Gothic" w:cs="MS Gothic" w:hint="eastAsia"/>
          <w:sz w:val="16"/>
        </w:rPr>
        <w:t> </w:t>
      </w:r>
      <w:r w:rsidRPr="00FA68C9">
        <w:rPr>
          <w:sz w:val="16"/>
        </w:rPr>
        <w:t>is</w:t>
      </w:r>
      <w:r w:rsidRPr="00FA68C9">
        <w:rPr>
          <w:rFonts w:ascii="MS Gothic" w:eastAsia="MS Gothic" w:hAnsi="MS Gothic" w:cs="MS Gothic" w:hint="eastAsia"/>
          <w:sz w:val="16"/>
        </w:rPr>
        <w:t> </w:t>
      </w:r>
      <w:r w:rsidRPr="00FA68C9">
        <w:rPr>
          <w:sz w:val="16"/>
        </w:rPr>
        <w:t>at</w:t>
      </w:r>
      <w:r w:rsidRPr="00FA68C9">
        <w:rPr>
          <w:rFonts w:ascii="MS Gothic" w:eastAsia="MS Gothic" w:hAnsi="MS Gothic" w:cs="MS Gothic" w:hint="eastAsia"/>
          <w:sz w:val="16"/>
        </w:rPr>
        <w:t> </w:t>
      </w:r>
      <w:r w:rsidRPr="00FA68C9">
        <w:rPr>
          <w:sz w:val="16"/>
        </w:rPr>
        <w:t>this</w:t>
      </w:r>
      <w:r w:rsidRPr="00FA68C9">
        <w:rPr>
          <w:rFonts w:ascii="MS Gothic" w:eastAsia="MS Gothic" w:hAnsi="MS Gothic" w:cs="MS Gothic" w:hint="eastAsia"/>
          <w:sz w:val="16"/>
        </w:rPr>
        <w:t> </w:t>
      </w:r>
      <w:r w:rsidRPr="00FA68C9">
        <w:rPr>
          <w:sz w:val="16"/>
        </w:rPr>
        <w:t>level</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researchers</w:t>
      </w:r>
      <w:r w:rsidRPr="00FA68C9">
        <w:rPr>
          <w:rFonts w:ascii="MS Gothic" w:eastAsia="MS Gothic" w:hAnsi="MS Gothic" w:cs="MS Gothic" w:hint="eastAsia"/>
          <w:sz w:val="16"/>
        </w:rPr>
        <w:t> </w:t>
      </w:r>
      <w:r w:rsidRPr="00FA68C9">
        <w:rPr>
          <w:sz w:val="16"/>
        </w:rPr>
        <w:t>such</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Ball,</w:t>
      </w:r>
      <w:r w:rsidRPr="00FA68C9">
        <w:rPr>
          <w:rFonts w:ascii="MS Gothic" w:eastAsia="MS Gothic" w:hAnsi="MS Gothic" w:cs="MS Gothic" w:hint="eastAsia"/>
          <w:sz w:val="16"/>
        </w:rPr>
        <w:t> </w:t>
      </w:r>
      <w:r w:rsidRPr="00FA68C9">
        <w:rPr>
          <w:sz w:val="16"/>
        </w:rPr>
        <w:t xml:space="preserve"> Bronwyn</w:t>
      </w:r>
      <w:r w:rsidRPr="00FA68C9">
        <w:rPr>
          <w:rFonts w:ascii="MS Gothic" w:eastAsia="MS Gothic" w:hAnsi="MS Gothic" w:cs="MS Gothic" w:hint="eastAsia"/>
          <w:sz w:val="16"/>
        </w:rPr>
        <w:t> </w:t>
      </w:r>
      <w:r w:rsidRPr="00FA68C9">
        <w:rPr>
          <w:sz w:val="16"/>
        </w:rPr>
        <w:t>Davies,</w:t>
      </w:r>
      <w:r w:rsidRPr="00FA68C9">
        <w:rPr>
          <w:rFonts w:ascii="MS Gothic" w:eastAsia="MS Gothic" w:hAnsi="MS Gothic" w:cs="MS Gothic" w:hint="eastAsia"/>
          <w:sz w:val="16"/>
        </w:rPr>
        <w:t> </w:t>
      </w:r>
      <w:r w:rsidRPr="00FA68C9">
        <w:rPr>
          <w:sz w:val="16"/>
        </w:rPr>
        <w:t>Henry</w:t>
      </w:r>
      <w:r w:rsidRPr="00FA68C9">
        <w:rPr>
          <w:rFonts w:ascii="MS Gothic" w:eastAsia="MS Gothic" w:hAnsi="MS Gothic" w:cs="MS Gothic" w:hint="eastAsia"/>
          <w:sz w:val="16"/>
        </w:rPr>
        <w:t> </w:t>
      </w:r>
      <w:r w:rsidRPr="00FA68C9">
        <w:rPr>
          <w:sz w:val="16"/>
        </w:rPr>
        <w:t>Giroux,</w:t>
      </w:r>
      <w:r w:rsidRPr="00FA68C9">
        <w:rPr>
          <w:rFonts w:ascii="MS Gothic" w:eastAsia="MS Gothic" w:hAnsi="MS Gothic" w:cs="MS Gothic" w:hint="eastAsia"/>
          <w:sz w:val="16"/>
        </w:rPr>
        <w:t> </w:t>
      </w:r>
      <w:r w:rsidRPr="00FA68C9">
        <w:rPr>
          <w:sz w:val="16"/>
        </w:rPr>
        <w:t>Peter</w:t>
      </w:r>
      <w:r w:rsidRPr="00FA68C9">
        <w:rPr>
          <w:rFonts w:ascii="MS Gothic" w:eastAsia="MS Gothic" w:hAnsi="MS Gothic" w:cs="MS Gothic" w:hint="eastAsia"/>
          <w:sz w:val="16"/>
        </w:rPr>
        <w:t> </w:t>
      </w:r>
      <w:r w:rsidRPr="00FA68C9">
        <w:rPr>
          <w:sz w:val="16"/>
        </w:rPr>
        <w:t>McLaren</w:t>
      </w:r>
      <w:r w:rsidRPr="00FA68C9">
        <w:rPr>
          <w:rFonts w:ascii="MS Gothic" w:eastAsia="MS Gothic" w:hAnsi="MS Gothic" w:cs="MS Gothic" w:hint="eastAsia"/>
          <w:sz w:val="16"/>
        </w:rPr>
        <w:t> </w:t>
      </w:r>
      <w:r w:rsidRPr="00FA68C9">
        <w:rPr>
          <w:sz w:val="16"/>
        </w:rPr>
        <w:t>and</w:t>
      </w:r>
      <w:r w:rsidRPr="00FA68C9">
        <w:rPr>
          <w:rFonts w:ascii="MS Gothic" w:eastAsia="MS Gothic" w:hAnsi="MS Gothic" w:cs="MS Gothic" w:hint="eastAsia"/>
          <w:sz w:val="16"/>
        </w:rPr>
        <w:t> </w:t>
      </w:r>
      <w:r w:rsidRPr="00FA68C9">
        <w:rPr>
          <w:sz w:val="16"/>
        </w:rPr>
        <w:t>others</w:t>
      </w:r>
      <w:r w:rsidRPr="00FA68C9">
        <w:rPr>
          <w:rFonts w:ascii="MS Gothic" w:eastAsia="MS Gothic" w:hAnsi="MS Gothic" w:cs="MS Gothic" w:hint="eastAsia"/>
          <w:sz w:val="16"/>
        </w:rPr>
        <w:t> </w:t>
      </w:r>
      <w:r w:rsidRPr="00FA68C9">
        <w:rPr>
          <w:sz w:val="16"/>
        </w:rPr>
        <w:t>engage</w:t>
      </w:r>
      <w:r w:rsidRPr="00FA68C9">
        <w:rPr>
          <w:rFonts w:ascii="MS Gothic" w:eastAsia="MS Gothic" w:hAnsi="MS Gothic" w:cs="MS Gothic" w:hint="eastAsia"/>
          <w:sz w:val="16"/>
        </w:rPr>
        <w:t> </w:t>
      </w:r>
      <w:r w:rsidRPr="00FA68C9">
        <w:rPr>
          <w:sz w:val="16"/>
        </w:rPr>
        <w:t>with</w:t>
      </w:r>
      <w:r w:rsidRPr="00FA68C9">
        <w:rPr>
          <w:rFonts w:ascii="MS Gothic" w:eastAsia="MS Gothic" w:hAnsi="MS Gothic" w:cs="MS Gothic" w:hint="eastAsia"/>
          <w:sz w:val="16"/>
        </w:rPr>
        <w:t> </w:t>
      </w:r>
      <w:r w:rsidRPr="00FA68C9">
        <w:rPr>
          <w:sz w:val="16"/>
        </w:rPr>
        <w:t>policy</w:t>
      </w:r>
      <w:r w:rsidRPr="00FA68C9">
        <w:rPr>
          <w:rFonts w:ascii="MS Gothic" w:eastAsia="MS Gothic" w:hAnsi="MS Gothic" w:cs="MS Gothic" w:hint="eastAsia"/>
          <w:sz w:val="16"/>
        </w:rPr>
        <w:t> </w:t>
      </w:r>
      <w:r w:rsidRPr="00FA68C9">
        <w:rPr>
          <w:sz w:val="16"/>
        </w:rPr>
        <w:t>as</w:t>
      </w:r>
      <w:r w:rsidRPr="00FA68C9">
        <w:rPr>
          <w:rFonts w:ascii="MS Gothic" w:eastAsia="MS Gothic" w:hAnsi="MS Gothic" w:cs="MS Gothic" w:hint="eastAsia"/>
          <w:sz w:val="16"/>
        </w:rPr>
        <w:t> </w:t>
      </w:r>
      <w:r w:rsidRPr="00FA68C9">
        <w:rPr>
          <w:sz w:val="16"/>
        </w:rPr>
        <w:t xml:space="preserve"> discourse</w:t>
      </w:r>
      <w:r w:rsidRPr="00FA68C9">
        <w:rPr>
          <w:rFonts w:ascii="MS Gothic" w:eastAsia="MS Gothic" w:hAnsi="MS Gothic" w:cs="MS Gothic" w:hint="eastAsia"/>
          <w:sz w:val="16"/>
        </w:rPr>
        <w:t> </w:t>
      </w:r>
      <w:r w:rsidRPr="00FA68C9">
        <w:rPr>
          <w:sz w:val="16"/>
        </w:rPr>
        <w:t>through</w:t>
      </w:r>
      <w:r w:rsidRPr="00FA68C9">
        <w:rPr>
          <w:rFonts w:ascii="MS Gothic" w:eastAsia="MS Gothic" w:hAnsi="MS Gothic" w:cs="MS Gothic" w:hint="eastAsia"/>
          <w:sz w:val="16"/>
        </w:rPr>
        <w:t> </w:t>
      </w:r>
      <w:r w:rsidRPr="00FA68C9">
        <w:rPr>
          <w:sz w:val="16"/>
        </w:rPr>
        <w:t>examining</w:t>
      </w:r>
      <w:r w:rsidRPr="00FA68C9">
        <w:rPr>
          <w:rFonts w:ascii="MS Gothic" w:eastAsia="MS Gothic" w:hAnsi="MS Gothic" w:cs="MS Gothic" w:hint="eastAsia"/>
          <w:sz w:val="16"/>
        </w:rPr>
        <w:t> </w:t>
      </w:r>
      <w:r w:rsidRPr="00FA68C9">
        <w:rPr>
          <w:sz w:val="16"/>
        </w:rPr>
        <w:t>those</w:t>
      </w:r>
      <w:r w:rsidRPr="00FA68C9">
        <w:rPr>
          <w:rFonts w:ascii="MS Gothic" w:eastAsia="MS Gothic" w:hAnsi="MS Gothic" w:cs="MS Gothic" w:hint="eastAsia"/>
          <w:sz w:val="16"/>
        </w:rPr>
        <w:t> </w:t>
      </w:r>
      <w:r w:rsidRPr="00FA68C9">
        <w:rPr>
          <w:sz w:val="16"/>
        </w:rPr>
        <w:t>practices</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sz w:val="16"/>
        </w:rPr>
        <w:t>derive</w:t>
      </w:r>
      <w:r w:rsidRPr="00FA68C9">
        <w:rPr>
          <w:rFonts w:ascii="MS Gothic" w:eastAsia="MS Gothic" w:hAnsi="MS Gothic" w:cs="MS Gothic" w:hint="eastAsia"/>
          <w:sz w:val="16"/>
        </w:rPr>
        <w:t> </w:t>
      </w:r>
      <w:r w:rsidRPr="00FA68C9">
        <w:rPr>
          <w:sz w:val="16"/>
        </w:rPr>
        <w:t>from</w:t>
      </w:r>
      <w:r w:rsidRPr="00FA68C9">
        <w:rPr>
          <w:rFonts w:ascii="MS Gothic" w:eastAsia="MS Gothic" w:hAnsi="MS Gothic" w:cs="MS Gothic" w:hint="eastAsia"/>
          <w:sz w:val="16"/>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fusion</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 xml:space="preserve"> neoliberalist</w:t>
      </w:r>
      <w:r w:rsidRPr="00FA68C9">
        <w:rPr>
          <w:rFonts w:ascii="MS Gothic" w:eastAsia="MS Gothic" w:hAnsi="MS Gothic" w:cs="MS Gothic" w:hint="eastAsia"/>
          <w:highlight w:val="green"/>
          <w:u w:val="single"/>
        </w:rPr>
        <w:t> </w:t>
      </w:r>
      <w:r w:rsidRPr="00FA68C9">
        <w:rPr>
          <w:highlight w:val="green"/>
          <w:u w:val="single"/>
        </w:rPr>
        <w:t>discourse</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language</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higher</w:t>
      </w:r>
      <w:r w:rsidRPr="00FA68C9">
        <w:rPr>
          <w:rFonts w:ascii="MS Gothic" w:eastAsia="MS Gothic" w:hAnsi="MS Gothic" w:cs="MS Gothic" w:hint="eastAsia"/>
          <w:highlight w:val="green"/>
          <w:u w:val="single"/>
        </w:rPr>
        <w:t> </w:t>
      </w:r>
      <w:r w:rsidRPr="00FA68C9">
        <w:rPr>
          <w:highlight w:val="green"/>
          <w:u w:val="single"/>
        </w:rPr>
        <w:t>education</w:t>
      </w:r>
      <w:r w:rsidRPr="00FA68C9">
        <w:rPr>
          <w:rFonts w:ascii="MS Gothic" w:eastAsia="MS Gothic" w:hAnsi="MS Gothic" w:cs="MS Gothic" w:hint="eastAsia"/>
          <w:highlight w:val="green"/>
          <w:u w:val="single"/>
        </w:rPr>
        <w:t> </w:t>
      </w:r>
      <w:r w:rsidRPr="00FA68C9">
        <w:rPr>
          <w:highlight w:val="green"/>
          <w:u w:val="single"/>
        </w:rPr>
        <w:t>management</w:t>
      </w:r>
      <w:r w:rsidRPr="00FA68C9">
        <w:rPr>
          <w:sz w:val="16"/>
        </w:rPr>
        <w:t>.9</w:t>
      </w:r>
      <w:r w:rsidRPr="00FA68C9">
        <w:rPr>
          <w:rFonts w:ascii="MS Gothic" w:eastAsia="MS Gothic" w:hAnsi="MS Gothic" w:cs="MS Gothic" w:hint="eastAsia"/>
          <w:sz w:val="16"/>
        </w:rPr>
        <w:t> </w:t>
      </w:r>
      <w:r w:rsidRPr="00FA68C9">
        <w:rPr>
          <w:sz w:val="16"/>
        </w:rPr>
        <w:t>In</w:t>
      </w:r>
      <w:r w:rsidRPr="00FA68C9">
        <w:rPr>
          <w:rFonts w:ascii="MS Gothic" w:eastAsia="MS Gothic" w:hAnsi="MS Gothic" w:cs="MS Gothic" w:hint="eastAsia"/>
          <w:sz w:val="16"/>
        </w:rPr>
        <w:t> </w:t>
      </w:r>
      <w:r w:rsidRPr="00FA68C9">
        <w:rPr>
          <w:sz w:val="16"/>
        </w:rPr>
        <w:t xml:space="preserve"> various</w:t>
      </w:r>
      <w:r w:rsidRPr="00FA68C9">
        <w:rPr>
          <w:rFonts w:ascii="MS Gothic" w:eastAsia="MS Gothic" w:hAnsi="MS Gothic" w:cs="MS Gothic" w:hint="eastAsia"/>
          <w:sz w:val="16"/>
        </w:rPr>
        <w:t> </w:t>
      </w:r>
      <w:r w:rsidRPr="00FA68C9">
        <w:rPr>
          <w:sz w:val="16"/>
        </w:rPr>
        <w:t>ways,</w:t>
      </w:r>
      <w:r w:rsidRPr="00FA68C9">
        <w:rPr>
          <w:rFonts w:ascii="MS Gothic" w:eastAsia="MS Gothic" w:hAnsi="MS Gothic" w:cs="MS Gothic" w:hint="eastAsia"/>
          <w:sz w:val="16"/>
        </w:rPr>
        <w:t> </w:t>
      </w:r>
      <w:r w:rsidRPr="00FA68C9">
        <w:rPr>
          <w:sz w:val="16"/>
        </w:rPr>
        <w:t>all</w:t>
      </w:r>
      <w:r w:rsidRPr="00FA68C9">
        <w:rPr>
          <w:rFonts w:ascii="MS Gothic" w:eastAsia="MS Gothic" w:hAnsi="MS Gothic" w:cs="MS Gothic" w:hint="eastAsia"/>
          <w:sz w:val="16"/>
        </w:rPr>
        <w:t> </w:t>
      </w:r>
      <w:r w:rsidRPr="00FA68C9">
        <w:rPr>
          <w:sz w:val="16"/>
        </w:rPr>
        <w:t>express</w:t>
      </w:r>
      <w:r w:rsidRPr="00FA68C9">
        <w:rPr>
          <w:rFonts w:ascii="MS Gothic" w:eastAsia="MS Gothic" w:hAnsi="MS Gothic" w:cs="MS Gothic" w:hint="eastAsia"/>
          <w:sz w:val="16"/>
        </w:rPr>
        <w:t> </w:t>
      </w:r>
      <w:r w:rsidRPr="00FA68C9">
        <w:rPr>
          <w:sz w:val="16"/>
        </w:rPr>
        <w:t>concerns</w:t>
      </w:r>
      <w:r w:rsidRPr="00FA68C9">
        <w:rPr>
          <w:rFonts w:ascii="MS Gothic" w:eastAsia="MS Gothic" w:hAnsi="MS Gothic" w:cs="MS Gothic" w:hint="eastAsia"/>
          <w:sz w:val="16"/>
        </w:rPr>
        <w:t> </w:t>
      </w:r>
      <w:r w:rsidRPr="00FA68C9">
        <w:rPr>
          <w:sz w:val="16"/>
        </w:rPr>
        <w:t>about</w:t>
      </w:r>
      <w:r w:rsidRPr="00FA68C9">
        <w:rPr>
          <w:rFonts w:ascii="MS Gothic" w:eastAsia="MS Gothic" w:hAnsi="MS Gothic" w:cs="MS Gothic" w:hint="eastAsia"/>
          <w:sz w:val="16"/>
        </w:rPr>
        <w:t> </w:t>
      </w:r>
      <w:r w:rsidRPr="00FA68C9">
        <w:rPr>
          <w:sz w:val="16"/>
        </w:rPr>
        <w:t>the</w:t>
      </w:r>
      <w:r w:rsidRPr="00FA68C9">
        <w:rPr>
          <w:rFonts w:ascii="MS Gothic" w:eastAsia="MS Gothic" w:hAnsi="MS Gothic" w:cs="MS Gothic" w:hint="eastAsia"/>
          <w:sz w:val="16"/>
        </w:rPr>
        <w:t> </w:t>
      </w:r>
      <w:r w:rsidRPr="00FA68C9">
        <w:rPr>
          <w:sz w:val="16"/>
        </w:rPr>
        <w:t>consequences</w:t>
      </w:r>
      <w:r w:rsidRPr="00FA68C9">
        <w:rPr>
          <w:rFonts w:ascii="MS Gothic" w:eastAsia="MS Gothic" w:hAnsi="MS Gothic" w:cs="MS Gothic" w:hint="eastAsia"/>
          <w:sz w:val="16"/>
        </w:rPr>
        <w:t> </w:t>
      </w:r>
      <w:r w:rsidRPr="00FA68C9">
        <w:rPr>
          <w:sz w:val="16"/>
        </w:rPr>
        <w:t>of</w:t>
      </w:r>
      <w:r w:rsidRPr="00FA68C9">
        <w:rPr>
          <w:rFonts w:ascii="MS Gothic" w:eastAsia="MS Gothic" w:hAnsi="MS Gothic" w:cs="MS Gothic" w:hint="eastAsia"/>
          <w:sz w:val="16"/>
        </w:rPr>
        <w:t> </w:t>
      </w:r>
      <w:r w:rsidRPr="00FA68C9">
        <w:rPr>
          <w:sz w:val="16"/>
        </w:rPr>
        <w:t>a</w:t>
      </w:r>
      <w:r w:rsidRPr="00FA68C9">
        <w:rPr>
          <w:rFonts w:ascii="MS Gothic" w:eastAsia="MS Gothic" w:hAnsi="MS Gothic" w:cs="MS Gothic" w:hint="eastAsia"/>
          <w:sz w:val="16"/>
        </w:rPr>
        <w:t> </w:t>
      </w:r>
      <w:r w:rsidRPr="00FA68C9">
        <w:rPr>
          <w:sz w:val="16"/>
        </w:rPr>
        <w:t>free</w:t>
      </w:r>
      <w:r w:rsidRPr="00FA68C9">
        <w:rPr>
          <w:rFonts w:ascii="MS Gothic" w:eastAsia="MS Gothic" w:hAnsi="MS Gothic" w:cs="MS Gothic" w:hint="eastAsia"/>
          <w:sz w:val="16"/>
        </w:rPr>
        <w:t> </w:t>
      </w:r>
      <w:r w:rsidRPr="00FA68C9">
        <w:rPr>
          <w:sz w:val="16"/>
        </w:rPr>
        <w:t>market</w:t>
      </w:r>
      <w:r w:rsidRPr="00FA68C9">
        <w:rPr>
          <w:rFonts w:ascii="MS Gothic" w:eastAsia="MS Gothic" w:hAnsi="MS Gothic" w:cs="MS Gothic" w:hint="eastAsia"/>
          <w:sz w:val="16"/>
        </w:rPr>
        <w:t> </w:t>
      </w:r>
      <w:r w:rsidRPr="00FA68C9">
        <w:rPr>
          <w:sz w:val="16"/>
        </w:rPr>
        <w:t xml:space="preserve"> fundamentalism</w:t>
      </w:r>
      <w:r w:rsidRPr="00FA68C9">
        <w:rPr>
          <w:rFonts w:ascii="MS Gothic" w:eastAsia="MS Gothic" w:hAnsi="MS Gothic" w:cs="MS Gothic" w:hint="eastAsia"/>
          <w:sz w:val="16"/>
        </w:rPr>
        <w:t> </w:t>
      </w:r>
      <w:r w:rsidRPr="00FA68C9">
        <w:rPr>
          <w:sz w:val="16"/>
        </w:rPr>
        <w:t>that</w:t>
      </w:r>
      <w:r w:rsidRPr="00FA68C9">
        <w:rPr>
          <w:rFonts w:ascii="MS Gothic" w:eastAsia="MS Gothic" w:hAnsi="MS Gothic" w:cs="MS Gothic" w:hint="eastAsia"/>
          <w:sz w:val="16"/>
        </w:rPr>
        <w:t> </w:t>
      </w:r>
      <w:r w:rsidRPr="00FA68C9">
        <w:rPr>
          <w:highlight w:val="green"/>
          <w:u w:val="single"/>
        </w:rPr>
        <w:t>produces</w:t>
      </w:r>
      <w:r w:rsidRPr="00FA68C9">
        <w:rPr>
          <w:rFonts w:ascii="MS Gothic" w:eastAsia="MS Gothic" w:hAnsi="MS Gothic" w:cs="MS Gothic" w:hint="eastAsia"/>
          <w:sz w:val="16"/>
        </w:rPr>
        <w:t> </w:t>
      </w:r>
      <w:r w:rsidRPr="00FA68C9">
        <w:rPr>
          <w:sz w:val="16"/>
        </w:rPr>
        <w:t>what</w:t>
      </w:r>
      <w:r w:rsidRPr="00FA68C9">
        <w:rPr>
          <w:rFonts w:ascii="MS Gothic" w:eastAsia="MS Gothic" w:hAnsi="MS Gothic" w:cs="MS Gothic" w:hint="eastAsia"/>
          <w:sz w:val="16"/>
        </w:rPr>
        <w:t> </w:t>
      </w:r>
      <w:r w:rsidRPr="00FA68C9">
        <w:rPr>
          <w:sz w:val="16"/>
        </w:rPr>
        <w:t>McLaren</w:t>
      </w:r>
      <w:r w:rsidRPr="00FA68C9">
        <w:rPr>
          <w:rFonts w:ascii="MS Gothic" w:eastAsia="MS Gothic" w:hAnsi="MS Gothic" w:cs="MS Gothic" w:hint="eastAsia"/>
          <w:sz w:val="16"/>
        </w:rPr>
        <w:t> </w:t>
      </w:r>
      <w:r w:rsidRPr="00FA68C9">
        <w:rPr>
          <w:sz w:val="16"/>
        </w:rPr>
        <w:t>calls</w:t>
      </w:r>
      <w:r w:rsidRPr="00FA68C9">
        <w:rPr>
          <w:rFonts w:ascii="MS Gothic" w:eastAsia="MS Gothic" w:hAnsi="MS Gothic" w:cs="MS Gothic" w:hint="eastAsia"/>
          <w:sz w:val="16"/>
        </w:rPr>
        <w:t> </w:t>
      </w:r>
      <w:r w:rsidRPr="00FA68C9">
        <w:rPr>
          <w:highlight w:val="green"/>
          <w:u w:val="single"/>
        </w:rPr>
        <w:t>the</w:t>
      </w:r>
      <w:r w:rsidRPr="00FA68C9">
        <w:rPr>
          <w:rFonts w:ascii="MS Gothic" w:eastAsia="MS Gothic" w:hAnsi="MS Gothic" w:cs="MS Gothic" w:hint="eastAsia"/>
          <w:sz w:val="16"/>
          <w:highlight w:val="green"/>
        </w:rPr>
        <w:t> </w:t>
      </w:r>
      <w:r w:rsidRPr="00FA68C9">
        <w:rPr>
          <w:sz w:val="16"/>
        </w:rPr>
        <w:t>‘pedagogical</w:t>
      </w:r>
      <w:r w:rsidRPr="00FA68C9">
        <w:rPr>
          <w:rFonts w:ascii="MS Gothic" w:eastAsia="MS Gothic" w:hAnsi="MS Gothic" w:cs="MS Gothic" w:hint="eastAsia"/>
          <w:sz w:val="16"/>
        </w:rPr>
        <w:t> </w:t>
      </w:r>
      <w:r w:rsidRPr="00FA68C9">
        <w:rPr>
          <w:sz w:val="16"/>
        </w:rPr>
        <w:t>unsaid’,</w:t>
      </w:r>
      <w:r w:rsidRPr="00FA68C9">
        <w:rPr>
          <w:rFonts w:ascii="MS Gothic" w:eastAsia="MS Gothic" w:hAnsi="MS Gothic" w:cs="MS Gothic" w:hint="eastAsia"/>
          <w:sz w:val="16"/>
        </w:rPr>
        <w:t> </w:t>
      </w:r>
      <w:r w:rsidRPr="00FA68C9">
        <w:rPr>
          <w:sz w:val="16"/>
        </w:rPr>
        <w:t>or</w:t>
      </w:r>
      <w:r w:rsidRPr="00FA68C9">
        <w:rPr>
          <w:rFonts w:ascii="MS Gothic" w:eastAsia="MS Gothic" w:hAnsi="MS Gothic" w:cs="MS Gothic" w:hint="eastAsia"/>
          <w:sz w:val="16"/>
        </w:rPr>
        <w:t> </w:t>
      </w:r>
      <w:r w:rsidRPr="00FA68C9">
        <w:rPr>
          <w:sz w:val="16"/>
        </w:rPr>
        <w:t xml:space="preserve"> </w:t>
      </w:r>
      <w:r w:rsidRPr="00FA68C9">
        <w:rPr>
          <w:highlight w:val="green"/>
          <w:u w:val="single"/>
        </w:rPr>
        <w:t>hidden</w:t>
      </w:r>
      <w:r w:rsidRPr="00FA68C9">
        <w:rPr>
          <w:rFonts w:ascii="MS Gothic" w:eastAsia="MS Gothic" w:hAnsi="MS Gothic" w:cs="MS Gothic" w:hint="eastAsia"/>
          <w:highlight w:val="green"/>
          <w:u w:val="single"/>
        </w:rPr>
        <w:t> </w:t>
      </w:r>
      <w:r w:rsidRPr="00FA68C9">
        <w:rPr>
          <w:highlight w:val="green"/>
          <w:u w:val="single"/>
        </w:rPr>
        <w:t>curriculum,</w:t>
      </w:r>
      <w:r w:rsidRPr="00FA68C9">
        <w:rPr>
          <w:rFonts w:ascii="MS Gothic" w:eastAsia="MS Gothic" w:hAnsi="MS Gothic" w:cs="MS Gothic" w:hint="eastAsia"/>
          <w:highlight w:val="green"/>
          <w:u w:val="single"/>
        </w:rPr>
        <w:t> </w:t>
      </w:r>
      <w:r w:rsidRPr="00FA68C9">
        <w:rPr>
          <w:highlight w:val="green"/>
          <w:u w:val="single"/>
        </w:rPr>
        <w:t>that</w:t>
      </w:r>
      <w:r w:rsidRPr="00FA68C9">
        <w:rPr>
          <w:rFonts w:ascii="MS Gothic" w:eastAsia="MS Gothic" w:hAnsi="MS Gothic" w:cs="MS Gothic" w:hint="eastAsia"/>
          <w:highlight w:val="green"/>
          <w:u w:val="single"/>
        </w:rPr>
        <w:t> </w:t>
      </w:r>
      <w:r w:rsidRPr="00FA68C9">
        <w:rPr>
          <w:highlight w:val="green"/>
          <w:u w:val="single"/>
        </w:rPr>
        <w:t>glosses</w:t>
      </w:r>
      <w:r w:rsidRPr="00FA68C9">
        <w:rPr>
          <w:rFonts w:ascii="MS Gothic" w:eastAsia="MS Gothic" w:hAnsi="MS Gothic" w:cs="MS Gothic" w:hint="eastAsia"/>
          <w:highlight w:val="green"/>
          <w:u w:val="single"/>
        </w:rPr>
        <w:t> </w:t>
      </w:r>
      <w:r w:rsidRPr="00FA68C9">
        <w:rPr>
          <w:highlight w:val="green"/>
          <w:u w:val="single"/>
        </w:rPr>
        <w:t>over</w:t>
      </w:r>
      <w:r w:rsidRPr="00FA68C9">
        <w:rPr>
          <w:rFonts w:ascii="MS Gothic" w:eastAsia="MS Gothic" w:hAnsi="MS Gothic" w:cs="MS Gothic" w:hint="eastAsia"/>
          <w:highlight w:val="green"/>
          <w:u w:val="single"/>
        </w:rPr>
        <w:t> </w:t>
      </w:r>
      <w:r w:rsidRPr="00FA68C9">
        <w:rPr>
          <w:highlight w:val="green"/>
          <w:u w:val="single"/>
        </w:rPr>
        <w:t>the</w:t>
      </w:r>
      <w:r w:rsidRPr="00FA68C9">
        <w:rPr>
          <w:rFonts w:ascii="MS Gothic" w:eastAsia="MS Gothic" w:hAnsi="MS Gothic" w:cs="MS Gothic" w:hint="eastAsia"/>
          <w:highlight w:val="green"/>
          <w:u w:val="single"/>
        </w:rPr>
        <w:t> </w:t>
      </w:r>
      <w:r w:rsidRPr="00FA68C9">
        <w:rPr>
          <w:highlight w:val="green"/>
          <w:u w:val="single"/>
        </w:rPr>
        <w:t>embodied</w:t>
      </w:r>
      <w:r w:rsidRPr="00FA68C9">
        <w:rPr>
          <w:rFonts w:ascii="MS Gothic" w:eastAsia="MS Gothic" w:hAnsi="MS Gothic" w:cs="MS Gothic" w:hint="eastAsia"/>
          <w:highlight w:val="green"/>
          <w:u w:val="single"/>
        </w:rPr>
        <w:t> </w:t>
      </w:r>
      <w:r w:rsidRPr="00FA68C9">
        <w:rPr>
          <w:highlight w:val="green"/>
          <w:u w:val="single"/>
        </w:rPr>
        <w:t>exigencies</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teaching</w:t>
      </w:r>
      <w:r w:rsidRPr="00FA68C9">
        <w:rPr>
          <w:rFonts w:ascii="MS Gothic" w:eastAsia="MS Gothic" w:hAnsi="MS Gothic" w:cs="MS Gothic" w:hint="eastAsia"/>
          <w:highlight w:val="green"/>
          <w:u w:val="single"/>
        </w:rPr>
        <w:t> </w:t>
      </w:r>
      <w:r w:rsidRPr="00FA68C9">
        <w:rPr>
          <w:highlight w:val="green"/>
          <w:u w:val="single"/>
        </w:rPr>
        <w:t>and</w:t>
      </w:r>
      <w:r w:rsidRPr="00FA68C9">
        <w:rPr>
          <w:rFonts w:ascii="MS Gothic" w:eastAsia="MS Gothic" w:hAnsi="MS Gothic" w:cs="MS Gothic" w:hint="eastAsia"/>
          <w:highlight w:val="green"/>
          <w:u w:val="single"/>
        </w:rPr>
        <w:t> </w:t>
      </w:r>
      <w:r w:rsidRPr="00FA68C9">
        <w:rPr>
          <w:highlight w:val="green"/>
          <w:u w:val="single"/>
        </w:rPr>
        <w:t xml:space="preserve"> learning</w:t>
      </w:r>
      <w:r w:rsidRPr="00FA68C9">
        <w:rPr>
          <w:rFonts w:ascii="MS Gothic" w:eastAsia="MS Gothic" w:hAnsi="MS Gothic" w:cs="MS Gothic" w:hint="eastAsia"/>
          <w:highlight w:val="green"/>
          <w:u w:val="single"/>
        </w:rPr>
        <w:t> </w:t>
      </w:r>
      <w:r w:rsidRPr="00FA68C9">
        <w:rPr>
          <w:highlight w:val="green"/>
          <w:u w:val="single"/>
        </w:rPr>
        <w:t>while</w:t>
      </w:r>
      <w:r w:rsidRPr="00FA68C9">
        <w:rPr>
          <w:rFonts w:ascii="MS Gothic" w:eastAsia="MS Gothic" w:hAnsi="MS Gothic" w:cs="MS Gothic" w:hint="eastAsia"/>
          <w:highlight w:val="green"/>
          <w:u w:val="single"/>
        </w:rPr>
        <w:t> </w:t>
      </w:r>
      <w:r w:rsidRPr="00FA68C9">
        <w:rPr>
          <w:highlight w:val="green"/>
          <w:u w:val="single"/>
        </w:rPr>
        <w:t>simultaneously</w:t>
      </w:r>
      <w:r w:rsidRPr="00FA68C9">
        <w:rPr>
          <w:rFonts w:ascii="MS Gothic" w:eastAsia="MS Gothic" w:hAnsi="MS Gothic" w:cs="MS Gothic" w:hint="eastAsia"/>
          <w:highlight w:val="green"/>
          <w:u w:val="single"/>
        </w:rPr>
        <w:t> </w:t>
      </w:r>
      <w:r w:rsidRPr="00FA68C9">
        <w:rPr>
          <w:highlight w:val="green"/>
          <w:u w:val="single"/>
        </w:rPr>
        <w:t>miming</w:t>
      </w:r>
      <w:r w:rsidRPr="00FA68C9">
        <w:rPr>
          <w:rFonts w:ascii="MS Gothic" w:eastAsia="MS Gothic" w:hAnsi="MS Gothic" w:cs="MS Gothic" w:hint="eastAsia"/>
          <w:highlight w:val="green"/>
          <w:u w:val="single"/>
        </w:rPr>
        <w:t> </w:t>
      </w:r>
      <w:r w:rsidRPr="00FA68C9">
        <w:rPr>
          <w:highlight w:val="green"/>
          <w:u w:val="single"/>
        </w:rPr>
        <w:t>a</w:t>
      </w:r>
      <w:r w:rsidRPr="00FA68C9">
        <w:rPr>
          <w:rFonts w:ascii="MS Gothic" w:eastAsia="MS Gothic" w:hAnsi="MS Gothic" w:cs="MS Gothic" w:hint="eastAsia"/>
          <w:highlight w:val="green"/>
          <w:u w:val="single"/>
        </w:rPr>
        <w:t> </w:t>
      </w:r>
      <w:r w:rsidRPr="00FA68C9">
        <w:rPr>
          <w:highlight w:val="green"/>
          <w:u w:val="single"/>
        </w:rPr>
        <w:t>critical</w:t>
      </w:r>
      <w:r w:rsidRPr="00FA68C9">
        <w:rPr>
          <w:rFonts w:ascii="MS Gothic" w:eastAsia="MS Gothic" w:hAnsi="MS Gothic" w:cs="MS Gothic" w:hint="eastAsia"/>
          <w:highlight w:val="green"/>
          <w:u w:val="single"/>
        </w:rPr>
        <w:t> </w:t>
      </w:r>
      <w:r w:rsidRPr="00FA68C9">
        <w:rPr>
          <w:highlight w:val="green"/>
          <w:u w:val="single"/>
        </w:rPr>
        <w:t>awareness</w:t>
      </w:r>
      <w:r w:rsidRPr="00FA68C9">
        <w:rPr>
          <w:rFonts w:ascii="MS Gothic" w:eastAsia="MS Gothic" w:hAnsi="MS Gothic" w:cs="MS Gothic" w:hint="eastAsia"/>
          <w:highlight w:val="green"/>
          <w:u w:val="single"/>
        </w:rPr>
        <w:t> </w:t>
      </w:r>
      <w:r w:rsidRPr="00FA68C9">
        <w:rPr>
          <w:highlight w:val="green"/>
          <w:u w:val="single"/>
        </w:rPr>
        <w:t>of</w:t>
      </w:r>
      <w:r w:rsidRPr="00FA68C9">
        <w:rPr>
          <w:rFonts w:ascii="MS Gothic" w:eastAsia="MS Gothic" w:hAnsi="MS Gothic" w:cs="MS Gothic" w:hint="eastAsia"/>
          <w:highlight w:val="green"/>
          <w:u w:val="single"/>
        </w:rPr>
        <w:t> </w:t>
      </w:r>
      <w:r w:rsidRPr="00FA68C9">
        <w:rPr>
          <w:highlight w:val="green"/>
          <w:u w:val="single"/>
        </w:rPr>
        <w:t>cultural</w:t>
      </w:r>
      <w:r w:rsidRPr="00FA68C9">
        <w:rPr>
          <w:rFonts w:ascii="MS Gothic" w:eastAsia="MS Gothic" w:hAnsi="MS Gothic" w:cs="MS Gothic" w:hint="eastAsia"/>
          <w:highlight w:val="green"/>
          <w:u w:val="single"/>
        </w:rPr>
        <w:t> </w:t>
      </w:r>
      <w:r w:rsidRPr="00FA68C9">
        <w:rPr>
          <w:highlight w:val="green"/>
          <w:u w:val="single"/>
        </w:rPr>
        <w:t>diversity</w:t>
      </w:r>
      <w:r w:rsidRPr="00FA68C9">
        <w:rPr>
          <w:sz w:val="16"/>
          <w:highlight w:val="green"/>
        </w:rPr>
        <w:t>.</w:t>
      </w:r>
      <w:r w:rsidRPr="00FA68C9">
        <w:rPr>
          <w:rFonts w:ascii="MS Gothic" w:eastAsia="MS Gothic" w:hAnsi="MS Gothic" w:cs="MS Gothic" w:hint="eastAsia"/>
          <w:sz w:val="16"/>
          <w:highlight w:val="green"/>
        </w:rPr>
        <w:t> </w:t>
      </w:r>
    </w:p>
    <w:p w:rsidR="00BE0801" w:rsidRPr="00FA68C9" w:rsidRDefault="00BE0801" w:rsidP="00BE0801"/>
    <w:p w:rsidR="00BE0801" w:rsidRPr="00FA68C9" w:rsidRDefault="00BE0801" w:rsidP="00BE0801"/>
    <w:p w:rsidR="00BE0801" w:rsidRPr="00FA68C9" w:rsidRDefault="00BE0801" w:rsidP="00BE0801">
      <w:pPr>
        <w:pStyle w:val="Heading4"/>
        <w:rPr>
          <w:rFonts w:cs="Arial"/>
        </w:rPr>
      </w:pPr>
      <w:r w:rsidRPr="00FA68C9">
        <w:rPr>
          <w:rFonts w:cs="Arial"/>
        </w:rPr>
        <w:t xml:space="preserve">The </w:t>
      </w:r>
      <w:proofErr w:type="spellStart"/>
      <w:r w:rsidRPr="00FA68C9">
        <w:rPr>
          <w:rFonts w:cs="Arial"/>
        </w:rPr>
        <w:t>aff’s</w:t>
      </w:r>
      <w:proofErr w:type="spellEnd"/>
      <w:r w:rsidRPr="00FA68C9">
        <w:rPr>
          <w:rFonts w:cs="Arial"/>
        </w:rPr>
        <w:t xml:space="preserve"> focus on experiential teacher training to tailor education to the student replicates neoliberal domination of education. Several specific links- teacher training, self-reflection, universalized standards, testing, competencies</w:t>
      </w:r>
    </w:p>
    <w:p w:rsidR="00BE0801" w:rsidRPr="00FA68C9" w:rsidRDefault="00BE0801" w:rsidP="00BE0801">
      <w:proofErr w:type="spellStart"/>
      <w:r w:rsidRPr="00FA68C9">
        <w:rPr>
          <w:rStyle w:val="Style13ptBold"/>
        </w:rPr>
        <w:t>Kascak</w:t>
      </w:r>
      <w:proofErr w:type="spellEnd"/>
      <w:r w:rsidRPr="00FA68C9">
        <w:rPr>
          <w:rStyle w:val="Style13ptBold"/>
        </w:rPr>
        <w:t xml:space="preserve"> et al. 15</w:t>
      </w:r>
      <w:r w:rsidRPr="00FA68C9">
        <w:t xml:space="preserve"> “Humanism and autonomy in the neoliberal reform of teacher training”. </w:t>
      </w:r>
      <w:proofErr w:type="spellStart"/>
      <w:r w:rsidRPr="00FA68C9">
        <w:t>Ondrej</w:t>
      </w:r>
      <w:proofErr w:type="spellEnd"/>
      <w:r w:rsidRPr="00FA68C9">
        <w:t xml:space="preserve"> </w:t>
      </w:r>
      <w:proofErr w:type="spellStart"/>
      <w:r w:rsidRPr="00FA68C9">
        <w:t>Kaščák</w:t>
      </w:r>
      <w:proofErr w:type="spellEnd"/>
      <w:r w:rsidRPr="00FA68C9">
        <w:t xml:space="preserve">, PhD., Assoc. Prof., is the head of the department of School Pedagogy at </w:t>
      </w:r>
      <w:proofErr w:type="spellStart"/>
      <w:r w:rsidRPr="00FA68C9">
        <w:t>Trnava</w:t>
      </w:r>
      <w:proofErr w:type="spellEnd"/>
      <w:r w:rsidRPr="00FA68C9">
        <w:t xml:space="preserve"> university (Slovakia) and the senior research fellow at Centre for Research in Education at Institute for Research in Social Communication of Slovak Academy of Sciences in Bratislava. He is the lead editor of the Journal of Pedagogy (http://www.degruyter.com/view/j/jped). His research interests cover the school and education policy (focusing on neoliberal governmentality), school ethnography, sociology of childhood and sociology of education. Journal of Education, Knowledge, and Economy, September 2015 edition. </w:t>
      </w:r>
      <w:hyperlink r:id="rId13" w:history="1">
        <w:r w:rsidRPr="00FA68C9">
          <w:t>http://dx.doi.org/10.1080/17496896.2011.574508</w:t>
        </w:r>
      </w:hyperlink>
    </w:p>
    <w:p w:rsidR="00BE0801" w:rsidRPr="00FA68C9" w:rsidRDefault="00BE0801" w:rsidP="00BE0801"/>
    <w:p w:rsidR="00BE0801" w:rsidRPr="00FA68C9" w:rsidRDefault="00BE0801" w:rsidP="00BE0801">
      <w:pPr>
        <w:rPr>
          <w:sz w:val="16"/>
        </w:rPr>
      </w:pPr>
      <w:r w:rsidRPr="00FA68C9">
        <w:rPr>
          <w:sz w:val="16"/>
        </w:rPr>
        <w:t xml:space="preserve">Here, we find a strong connection between academic knowledge on the one hand and social practice and the world of work and the production of human capital on the other. In terms of theory, for instance, and in pursuit of the end goal of ‘professional competencies’, </w:t>
      </w:r>
      <w:r w:rsidRPr="00FA68C9">
        <w:rPr>
          <w:rStyle w:val="StyleUnderline"/>
        </w:rPr>
        <w:t xml:space="preserve">teacher training at universities screens study requirements so that they replicate the practical activities of the profession. </w:t>
      </w:r>
      <w:r w:rsidRPr="00FA68C9">
        <w:rPr>
          <w:rStyle w:val="StyleUnderline"/>
          <w:highlight w:val="yellow"/>
        </w:rPr>
        <w:t>The shift in</w:t>
      </w:r>
      <w:r w:rsidRPr="00FA68C9">
        <w:rPr>
          <w:rStyle w:val="StyleUnderline"/>
        </w:rPr>
        <w:t xml:space="preserve"> aligning </w:t>
      </w:r>
      <w:r w:rsidRPr="00FA68C9">
        <w:rPr>
          <w:rStyle w:val="StyleUnderline"/>
          <w:highlight w:val="yellow"/>
        </w:rPr>
        <w:t>teacher training to the ‘needs of schools’</w:t>
      </w:r>
      <w:r w:rsidRPr="00FA68C9">
        <w:rPr>
          <w:rStyle w:val="StyleUnderline"/>
        </w:rPr>
        <w:t xml:space="preserve"> </w:t>
      </w:r>
      <w:r w:rsidRPr="00FA68C9">
        <w:rPr>
          <w:rStyle w:val="StyleUnderline"/>
          <w:highlight w:val="yellow"/>
        </w:rPr>
        <w:t>is a consequence of a general transformation</w:t>
      </w:r>
      <w:r w:rsidRPr="00FA68C9">
        <w:rPr>
          <w:rStyle w:val="StyleUnderline"/>
        </w:rPr>
        <w:t xml:space="preserve"> in university education </w:t>
      </w:r>
      <w:r w:rsidRPr="00FA68C9">
        <w:rPr>
          <w:rStyle w:val="StyleUnderline"/>
          <w:highlight w:val="yellow"/>
        </w:rPr>
        <w:t>within the framework of neoliberal policies</w:t>
      </w:r>
      <w:r w:rsidRPr="00FA68C9">
        <w:rPr>
          <w:rStyle w:val="StyleUnderline"/>
        </w:rPr>
        <w:t>; at the same time, the neoliberal view may even cast doubt on university teacher training courses as such (Sultana 2005) and lead to proposals that substantially reduce the length (and economic burden) of teacher training</w:t>
      </w:r>
      <w:r w:rsidRPr="00FA68C9">
        <w:rPr>
          <w:sz w:val="16"/>
        </w:rPr>
        <w:t xml:space="preserve">, as it was suggested recently in the Czech Republic. At the very least, </w:t>
      </w:r>
      <w:r w:rsidRPr="00FA68C9">
        <w:rPr>
          <w:rStyle w:val="StyleUnderline"/>
          <w:highlight w:val="yellow"/>
        </w:rPr>
        <w:t xml:space="preserve">there ‘have been developments to make university courses and </w:t>
      </w:r>
      <w:proofErr w:type="spellStart"/>
      <w:r w:rsidRPr="00FA68C9">
        <w:rPr>
          <w:rStyle w:val="StyleUnderline"/>
          <w:highlight w:val="yellow"/>
        </w:rPr>
        <w:t>programmes</w:t>
      </w:r>
      <w:proofErr w:type="spellEnd"/>
      <w:r w:rsidRPr="00FA68C9">
        <w:rPr>
          <w:rStyle w:val="StyleUnderline"/>
          <w:highlight w:val="yellow"/>
        </w:rPr>
        <w:t xml:space="preserve"> more relevant to the world of work, as well as changes in the nature of knowledge’ in the name of neoliberalism</w:t>
      </w:r>
      <w:r w:rsidRPr="00FA68C9">
        <w:rPr>
          <w:sz w:val="16"/>
        </w:rPr>
        <w:t xml:space="preserve"> (</w:t>
      </w:r>
      <w:proofErr w:type="spellStart"/>
      <w:r w:rsidRPr="00FA68C9">
        <w:rPr>
          <w:sz w:val="16"/>
        </w:rPr>
        <w:t>Ollsen</w:t>
      </w:r>
      <w:proofErr w:type="spellEnd"/>
      <w:r w:rsidRPr="00FA68C9">
        <w:rPr>
          <w:sz w:val="16"/>
        </w:rPr>
        <w:t xml:space="preserve"> and Peters 2005, 328). </w:t>
      </w:r>
      <w:r w:rsidRPr="00FA68C9">
        <w:rPr>
          <w:rStyle w:val="Emphasis"/>
          <w:highlight w:val="yellow"/>
        </w:rPr>
        <w:t>Work-based teacher training that stems from the neoliberal transformation of universities is currently supported by a constructivist interpretation of teachers’ professional development</w:t>
      </w:r>
      <w:r w:rsidRPr="00FA68C9">
        <w:rPr>
          <w:sz w:val="16"/>
        </w:rPr>
        <w:t>. The change in the way in which the nature of teachers’ knowledge is understood introduces the notion of an individual conception of teachers’ beliefs on teaching, in which the individual experience of the teacher and the way it is interpreted is being transformed in terms of the practical utility of individual knowledge (</w:t>
      </w:r>
      <w:proofErr w:type="spellStart"/>
      <w:r w:rsidRPr="00FA68C9">
        <w:rPr>
          <w:sz w:val="16"/>
        </w:rPr>
        <w:t>Prawat</w:t>
      </w:r>
      <w:proofErr w:type="spellEnd"/>
      <w:r w:rsidRPr="00FA68C9">
        <w:rPr>
          <w:sz w:val="16"/>
        </w:rPr>
        <w:t xml:space="preserve"> 1992). </w:t>
      </w:r>
      <w:r w:rsidRPr="00FA68C9">
        <w:rPr>
          <w:rStyle w:val="StyleUnderline"/>
        </w:rPr>
        <w:t>This concept legitimizes practical sources of knowledge, while individualized knowledge is understood as a reflection of the practice to which it is directly connected</w:t>
      </w:r>
      <w:r w:rsidRPr="00FA68C9">
        <w:rPr>
          <w:rStyle w:val="StyleUnderline"/>
          <w:highlight w:val="yellow"/>
        </w:rPr>
        <w:t>.</w:t>
      </w:r>
      <w:r w:rsidRPr="00FA68C9">
        <w:rPr>
          <w:sz w:val="16"/>
          <w:highlight w:val="yellow"/>
        </w:rPr>
        <w:t xml:space="preserve"> </w:t>
      </w:r>
      <w:r w:rsidRPr="00FA68C9">
        <w:rPr>
          <w:rStyle w:val="StyleUnderline"/>
          <w:highlight w:val="yellow"/>
        </w:rPr>
        <w:t>The neoliberal shift</w:t>
      </w:r>
      <w:r w:rsidRPr="00FA68C9">
        <w:rPr>
          <w:rStyle w:val="StyleUnderline"/>
        </w:rPr>
        <w:t xml:space="preserve"> to work-based teacher training </w:t>
      </w:r>
      <w:r w:rsidRPr="00FA68C9">
        <w:rPr>
          <w:rStyle w:val="StyleUnderline"/>
          <w:highlight w:val="yellow"/>
        </w:rPr>
        <w:t>also includes an epistemological pillar – the notion of the teacher as a reflective practitioner</w:t>
      </w:r>
      <w:r w:rsidRPr="00FA68C9">
        <w:rPr>
          <w:sz w:val="16"/>
        </w:rPr>
        <w:t xml:space="preserve"> (</w:t>
      </w:r>
      <w:proofErr w:type="spellStart"/>
      <w:r w:rsidRPr="00FA68C9">
        <w:rPr>
          <w:sz w:val="16"/>
        </w:rPr>
        <w:t>Schön</w:t>
      </w:r>
      <w:proofErr w:type="spellEnd"/>
      <w:r w:rsidRPr="00FA68C9">
        <w:rPr>
          <w:sz w:val="16"/>
        </w:rPr>
        <w:t xml:space="preserve"> 1983), which has been significantly influencing conceptions of the teaching profession and the development of study </w:t>
      </w:r>
      <w:proofErr w:type="spellStart"/>
      <w:r w:rsidRPr="00FA68C9">
        <w:rPr>
          <w:sz w:val="16"/>
        </w:rPr>
        <w:t>programmes</w:t>
      </w:r>
      <w:proofErr w:type="spellEnd"/>
      <w:r w:rsidRPr="00FA68C9">
        <w:rPr>
          <w:sz w:val="16"/>
        </w:rPr>
        <w:t xml:space="preserve"> at universities since the 1990s. Partnerships between schools and universities are thus built on an epistemological argument that operates within the wider framework of the ‘learning community’. In addition</w:t>
      </w:r>
      <w:r w:rsidRPr="00FA68C9">
        <w:rPr>
          <w:rStyle w:val="StyleUnderline"/>
        </w:rPr>
        <w:t xml:space="preserve">, practice- and experience-motivated </w:t>
      </w:r>
      <w:r w:rsidRPr="00FA68C9">
        <w:rPr>
          <w:rStyle w:val="StyleUnderline"/>
          <w:highlight w:val="yellow"/>
        </w:rPr>
        <w:t>work-based teacher training finds support in</w:t>
      </w:r>
      <w:r w:rsidRPr="00FA68C9">
        <w:rPr>
          <w:rStyle w:val="StyleUnderline"/>
        </w:rPr>
        <w:t xml:space="preserve"> the </w:t>
      </w:r>
      <w:r w:rsidRPr="00FA68C9">
        <w:rPr>
          <w:rStyle w:val="StyleUnderline"/>
          <w:highlight w:val="yellow"/>
        </w:rPr>
        <w:t>humanistic visions</w:t>
      </w:r>
      <w:r w:rsidRPr="00FA68C9">
        <w:rPr>
          <w:rStyle w:val="StyleUnderline"/>
        </w:rPr>
        <w:t xml:space="preserve"> of an individualized learning methodology. </w:t>
      </w:r>
      <w:r w:rsidRPr="00FA68C9">
        <w:rPr>
          <w:sz w:val="16"/>
        </w:rPr>
        <w:t xml:space="preserve">Consequently, as </w:t>
      </w:r>
      <w:proofErr w:type="spellStart"/>
      <w:r w:rsidRPr="00FA68C9">
        <w:rPr>
          <w:sz w:val="16"/>
        </w:rPr>
        <w:t>Ollsen</w:t>
      </w:r>
      <w:proofErr w:type="spellEnd"/>
      <w:r w:rsidRPr="00FA68C9">
        <w:rPr>
          <w:sz w:val="16"/>
        </w:rPr>
        <w:t xml:space="preserve"> and Peters (2005, 328–9) remind us</w:t>
      </w:r>
      <w:r w:rsidRPr="00FA68C9">
        <w:rPr>
          <w:rStyle w:val="StyleUnderline"/>
        </w:rPr>
        <w:t xml:space="preserve">, the </w:t>
      </w:r>
      <w:r w:rsidRPr="00FA68C9">
        <w:rPr>
          <w:rStyle w:val="StyleUnderline"/>
          <w:highlight w:val="yellow"/>
        </w:rPr>
        <w:t>concepts of situated learning</w:t>
      </w:r>
      <w:r w:rsidRPr="00FA68C9">
        <w:rPr>
          <w:rStyle w:val="StyleUnderline"/>
        </w:rPr>
        <w:t xml:space="preserve"> and of communities of practice ‘</w:t>
      </w:r>
      <w:r w:rsidRPr="00FA68C9">
        <w:rPr>
          <w:rStyle w:val="StyleUnderline"/>
          <w:highlight w:val="yellow"/>
        </w:rPr>
        <w:t>link with the concept of the “reflective practitioner”, and</w:t>
      </w:r>
      <w:r w:rsidRPr="00FA68C9">
        <w:rPr>
          <w:rStyle w:val="StyleUnderline"/>
        </w:rPr>
        <w:t xml:space="preserve"> also with those of “experiential learning”, “critical thinking” and </w:t>
      </w:r>
      <w:r w:rsidRPr="00FA68C9">
        <w:rPr>
          <w:rStyle w:val="StyleUnderline"/>
          <w:highlight w:val="yellow"/>
        </w:rPr>
        <w:t>“critical reflection”, to constitute a transformed theoretical infrastructure for the new understanding of academy theory as preparation for the world of professional work’.</w:t>
      </w:r>
      <w:r w:rsidRPr="00FA68C9">
        <w:rPr>
          <w:rStyle w:val="StyleUnderline"/>
        </w:rPr>
        <w:t xml:space="preserve"> </w:t>
      </w:r>
      <w:r w:rsidRPr="00FA68C9">
        <w:rPr>
          <w:rStyle w:val="StyleUnderline"/>
          <w:highlight w:val="yellow"/>
        </w:rPr>
        <w:t>The work-based transformation of teacher training linked to the standardization of levels of professional performance</w:t>
      </w:r>
      <w:r w:rsidRPr="00FA68C9">
        <w:rPr>
          <w:sz w:val="16"/>
        </w:rPr>
        <w:t xml:space="preserve"> is the basic policy agenda of the EU expressed in terms of authoritative policy documents and declarations, mostly relating to the Lisbon Strategy: ‘Higher education institutions have an important role to play in developing effective partnerships with schools and other stakeholders to ensure that their teacher education courses are based upon solid evidence and good classroom practice. Those responsible for educating teachers (and for educating teacher educators) should possess practical experience of classroom teaching and have attained a very high standard in the skills, attitudes and competences demanded of teachers’ (Commission 2007). towards the practical sphere is concurrently leading to the production of non-</w:t>
      </w:r>
      <w:proofErr w:type="spellStart"/>
      <w:r w:rsidRPr="00FA68C9">
        <w:rPr>
          <w:sz w:val="16"/>
        </w:rPr>
        <w:t>theorybased</w:t>
      </w:r>
      <w:proofErr w:type="spellEnd"/>
      <w:r w:rsidRPr="00FA68C9">
        <w:rPr>
          <w:sz w:val="16"/>
        </w:rPr>
        <w:t xml:space="preserve"> Professional Standards Frameworks, initiated by professional associations and the bureaucratic structures of the EU. Professional self-regulation via standardization of performance </w:t>
      </w:r>
      <w:r w:rsidRPr="00FA68C9">
        <w:rPr>
          <w:rStyle w:val="StyleUnderline"/>
        </w:rPr>
        <w:t>The influence of professional standards on the planning of teacher education represents a form of education defined according to the principles of monitoring the outcomes of education conceived of as professional competencies</w:t>
      </w:r>
      <w:r w:rsidRPr="00FA68C9">
        <w:rPr>
          <w:sz w:val="16"/>
        </w:rPr>
        <w:t xml:space="preserve">. </w:t>
      </w:r>
      <w:r w:rsidRPr="00FA68C9">
        <w:rPr>
          <w:rStyle w:val="StyleUnderline"/>
          <w:highlight w:val="yellow"/>
        </w:rPr>
        <w:t>Standards</w:t>
      </w:r>
      <w:r w:rsidRPr="00FA68C9">
        <w:rPr>
          <w:rStyle w:val="StyleUnderline"/>
        </w:rPr>
        <w:t xml:space="preserve"> thus r</w:t>
      </w:r>
      <w:r w:rsidRPr="00FA68C9">
        <w:rPr>
          <w:rStyle w:val="StyleUnderline"/>
          <w:highlight w:val="yellow"/>
        </w:rPr>
        <w:t>epresent an external and centralized regulatory tool in education, which is applied in the long-term monitoring of professional outcomes. The neoliberal strengthening of the autonomy of education disciplines is linked to centralized audits of professional outcomes and the performance culture</w:t>
      </w:r>
      <w:r w:rsidRPr="00FA68C9">
        <w:rPr>
          <w:sz w:val="16"/>
        </w:rPr>
        <w:t xml:space="preserve"> (Gleeson and Husbands 2001). ‘The de-regulation of teacher training providers and exposure of teacher education to market reforms led to greater regulation of teacher outputs and thus to tighter definitions of “professionalism” ’ (Jorgensen and Hansen 2009, 8). </w:t>
      </w:r>
      <w:r w:rsidRPr="00FA68C9">
        <w:rPr>
          <w:rStyle w:val="StyleUnderline"/>
        </w:rPr>
        <w:t xml:space="preserve">The standardization of outcomes in the teaching profession is part of the increase in surveillance in a decentralized educational sector, symptomatically labelled as ‘the age of standards’ </w:t>
      </w:r>
      <w:r w:rsidRPr="00FA68C9">
        <w:rPr>
          <w:sz w:val="16"/>
        </w:rPr>
        <w:t xml:space="preserve">(Roth 1996). </w:t>
      </w:r>
      <w:r w:rsidRPr="00FA68C9">
        <w:rPr>
          <w:rStyle w:val="StyleUnderline"/>
        </w:rPr>
        <w:t xml:space="preserve">Regulating teachers’ careers according to ‘performance indicators’ should guarantee a high level of </w:t>
      </w:r>
      <w:proofErr w:type="spellStart"/>
      <w:r w:rsidRPr="00FA68C9">
        <w:rPr>
          <w:rStyle w:val="StyleUnderline"/>
        </w:rPr>
        <w:t>professionality</w:t>
      </w:r>
      <w:proofErr w:type="spellEnd"/>
      <w:r w:rsidRPr="00FA68C9">
        <w:rPr>
          <w:rStyle w:val="StyleUnderline"/>
        </w:rPr>
        <w:t xml:space="preserve"> </w:t>
      </w:r>
      <w:r w:rsidRPr="00FA68C9">
        <w:rPr>
          <w:sz w:val="16"/>
        </w:rPr>
        <w:t>and control over the self-development of teachers and establish a framework for the individual professional development of teachers. Concurrently, it should encourage a higher-quality student performance since ‘</w:t>
      </w:r>
      <w:r w:rsidRPr="00FA68C9">
        <w:rPr>
          <w:rStyle w:val="StyleUnderline"/>
        </w:rPr>
        <w:t>educators inspired by neo-liberal perspectives tend to feel that a teacher’s worth is to be measured by his or her ability to deliver good student results’</w:t>
      </w:r>
      <w:r w:rsidRPr="00FA68C9">
        <w:rPr>
          <w:sz w:val="16"/>
        </w:rPr>
        <w:t xml:space="preserve"> (Sultana 2005, 226). </w:t>
      </w:r>
      <w:r w:rsidRPr="00FA68C9">
        <w:rPr>
          <w:rStyle w:val="StyleUnderline"/>
        </w:rPr>
        <w:t xml:space="preserve">Attempts by neoliberal </w:t>
      </w:r>
      <w:proofErr w:type="spellStart"/>
      <w:r w:rsidRPr="00FA68C9">
        <w:rPr>
          <w:rStyle w:val="StyleUnderline"/>
        </w:rPr>
        <w:t>managerialism</w:t>
      </w:r>
      <w:proofErr w:type="spellEnd"/>
      <w:r w:rsidRPr="00FA68C9">
        <w:rPr>
          <w:rStyle w:val="StyleUnderline"/>
        </w:rPr>
        <w:t xml:space="preserve"> to introduce greater objectivity through the standardization of teacher and student outcomes (and testing them) should guarantee high levels of </w:t>
      </w:r>
      <w:proofErr w:type="spellStart"/>
      <w:r w:rsidRPr="00FA68C9">
        <w:rPr>
          <w:rStyle w:val="StyleUnderline"/>
        </w:rPr>
        <w:t>professionality</w:t>
      </w:r>
      <w:proofErr w:type="spellEnd"/>
      <w:r w:rsidRPr="00FA68C9">
        <w:rPr>
          <w:rStyle w:val="StyleUnderline"/>
        </w:rPr>
        <w:t xml:space="preserve"> in the work of both teachers and students. Transferring this into results means that the lives of teachers and students will be ‘fully standardized with specifications about what is to be learned, when, and with what required outcomes’</w:t>
      </w:r>
      <w:r w:rsidRPr="00FA68C9">
        <w:rPr>
          <w:sz w:val="16"/>
        </w:rPr>
        <w:t xml:space="preserve"> (Gunter 2010, 114). Over the past few years, in Slovakia (and also in </w:t>
      </w:r>
      <w:proofErr w:type="spellStart"/>
      <w:r w:rsidRPr="00FA68C9">
        <w:rPr>
          <w:sz w:val="16"/>
        </w:rPr>
        <w:t>neighbouring</w:t>
      </w:r>
      <w:proofErr w:type="spellEnd"/>
      <w:r w:rsidRPr="00FA68C9">
        <w:rPr>
          <w:sz w:val="16"/>
        </w:rPr>
        <w:t xml:space="preserve"> countries such as the Czech Republic), </w:t>
      </w:r>
      <w:r w:rsidRPr="00FA68C9">
        <w:rPr>
          <w:rStyle w:val="StyleUnderline"/>
        </w:rPr>
        <w:t>the creation and introduction of standards within the teaching profession has become the nodal point of the reforms to initial and in-service training for teachers, and also for the way in which teaching is viewed as a profession</w:t>
      </w:r>
      <w:r w:rsidRPr="00FA68C9">
        <w:rPr>
          <w:sz w:val="16"/>
        </w:rPr>
        <w:t xml:space="preserve">. The implementation (in Slovakia in 2009) of new legislation for pedagogical personnel introduces a new standard for the teaching profession as a fundamental tool for the regulation of teacher training and for the professional development of all categories of teachers, the final aim of which is to improve the </w:t>
      </w:r>
      <w:proofErr w:type="spellStart"/>
      <w:r w:rsidRPr="00FA68C9">
        <w:rPr>
          <w:sz w:val="16"/>
        </w:rPr>
        <w:t>professionality</w:t>
      </w:r>
      <w:proofErr w:type="spellEnd"/>
      <w:r w:rsidRPr="00FA68C9">
        <w:rPr>
          <w:sz w:val="16"/>
        </w:rPr>
        <w:t xml:space="preserve">, quality and autonomy of teachers. The centrally established standards for the teaching profession are designed to represent the framework for creating initial teacher training </w:t>
      </w:r>
      <w:proofErr w:type="spellStart"/>
      <w:r w:rsidRPr="00FA68C9">
        <w:rPr>
          <w:sz w:val="16"/>
        </w:rPr>
        <w:t>programmes</w:t>
      </w:r>
      <w:proofErr w:type="spellEnd"/>
      <w:r w:rsidRPr="00FA68C9">
        <w:rPr>
          <w:sz w:val="16"/>
        </w:rPr>
        <w:t>, and to harmonize a wide range of different courses on offer to teachers for lifelong study, and represent the orientation points of the career of a professional teacher, where the focus is on supporting the unique traits of each teacher and their own motivation for self-improvement (</w:t>
      </w:r>
      <w:proofErr w:type="spellStart"/>
      <w:r w:rsidRPr="00FA68C9">
        <w:rPr>
          <w:sz w:val="16"/>
        </w:rPr>
        <w:t>Valica</w:t>
      </w:r>
      <w:proofErr w:type="spellEnd"/>
      <w:r w:rsidRPr="00FA68C9">
        <w:rPr>
          <w:sz w:val="16"/>
        </w:rPr>
        <w:t xml:space="preserve"> and Pavlov 2006). The professional standards define the pathway of ‘continuing education’ for teachers in that it is to further strengthen their autonomy and self-regulatory activities through the introduction of a system of accumulative credits and support for flexible options in lifelong learning. However, as Gunter stresses (</w:t>
      </w:r>
      <w:proofErr w:type="spellStart"/>
      <w:r w:rsidRPr="00FA68C9">
        <w:rPr>
          <w:sz w:val="16"/>
        </w:rPr>
        <w:t>Valica</w:t>
      </w:r>
      <w:proofErr w:type="spellEnd"/>
      <w:r w:rsidRPr="00FA68C9">
        <w:rPr>
          <w:sz w:val="16"/>
        </w:rPr>
        <w:t xml:space="preserve"> and Pavlov 2010, 113–4</w:t>
      </w:r>
      <w:r w:rsidRPr="00FA68C9">
        <w:rPr>
          <w:sz w:val="16"/>
          <w:highlight w:val="yellow"/>
        </w:rPr>
        <w:t xml:space="preserve">) </w:t>
      </w:r>
      <w:r w:rsidRPr="00FA68C9">
        <w:rPr>
          <w:rStyle w:val="StyleUnderline"/>
          <w:highlight w:val="yellow"/>
        </w:rPr>
        <w:t xml:space="preserve">standards are not neutral indicators of educational performance but are a political construction designed to deliver a </w:t>
      </w:r>
      <w:proofErr w:type="spellStart"/>
      <w:r w:rsidRPr="00FA68C9">
        <w:rPr>
          <w:rStyle w:val="StyleUnderline"/>
          <w:highlight w:val="yellow"/>
        </w:rPr>
        <w:t>marketized</w:t>
      </w:r>
      <w:proofErr w:type="spellEnd"/>
      <w:r w:rsidRPr="00FA68C9">
        <w:rPr>
          <w:rStyle w:val="StyleUnderline"/>
          <w:highlight w:val="yellow"/>
        </w:rPr>
        <w:t xml:space="preserve"> public sector ... used to make interventions in public education in such a way as to enable neo-liberal ideas, cultures and practices to be accepted as normal.</w:t>
      </w:r>
      <w:r w:rsidRPr="00FA68C9">
        <w:rPr>
          <w:rStyle w:val="StyleUnderline"/>
        </w:rPr>
        <w:t xml:space="preserve"> </w:t>
      </w:r>
      <w:r w:rsidRPr="00FA68C9">
        <w:rPr>
          <w:sz w:val="16"/>
        </w:rPr>
        <w:t xml:space="preserve">Downloaded by [Florida State University] at 15:20 10 September 2015 80 O. </w:t>
      </w:r>
      <w:proofErr w:type="spellStart"/>
      <w:r w:rsidRPr="00FA68C9">
        <w:rPr>
          <w:sz w:val="16"/>
        </w:rPr>
        <w:t>Kascak</w:t>
      </w:r>
      <w:proofErr w:type="spellEnd"/>
      <w:r w:rsidRPr="00FA68C9">
        <w:rPr>
          <w:sz w:val="16"/>
        </w:rPr>
        <w:t xml:space="preserve"> et al. </w:t>
      </w:r>
      <w:r w:rsidRPr="00FA68C9">
        <w:rPr>
          <w:rStyle w:val="StyleUnderline"/>
        </w:rPr>
        <w:t xml:space="preserve">The actual form of the </w:t>
      </w:r>
      <w:r w:rsidRPr="00FA68C9">
        <w:rPr>
          <w:rStyle w:val="StyleUnderline"/>
          <w:highlight w:val="yellow"/>
        </w:rPr>
        <w:t>professional standards,</w:t>
      </w:r>
      <w:r w:rsidRPr="00FA68C9">
        <w:rPr>
          <w:rStyle w:val="StyleUnderline"/>
        </w:rPr>
        <w:t xml:space="preserve"> as they have been drawn up (although as yet still not officially published), will clearly </w:t>
      </w:r>
      <w:r w:rsidRPr="00FA68C9">
        <w:rPr>
          <w:rStyle w:val="StyleUnderline"/>
          <w:highlight w:val="yellow"/>
        </w:rPr>
        <w:t>harness humanistic rhetoric for the purposes of neoliberal culture</w:t>
      </w:r>
      <w:r w:rsidRPr="00FA68C9">
        <w:rPr>
          <w:sz w:val="16"/>
        </w:rPr>
        <w:t xml:space="preserve">. In terms of the content defined within the standards (e.g. for primary school teachers) in the teacher competency profile are represented by the humanistic declaration: the competency of ‘accepting the individuality of each child at a young school age’, ‘understanding the significance of conveying the aim of learning to the child’ and ‘identifying with the role facilitator’ are to become the standard. The individual teacher must ‘know how to establish the goals of their own professional development according to their own educational needs’ so that he or she can regulate his or her own professional development on an autonomous basis and in accordance with the logic of a self-regulating subject. </w:t>
      </w:r>
      <w:r w:rsidRPr="00FA68C9">
        <w:rPr>
          <w:rStyle w:val="StyleUnderline"/>
        </w:rPr>
        <w:t>Standardizing the profession, which in terms of humanism means the inevitable necessity of being a self-regulating subject (whether that is individual teacher or school), is correspondingly linked to the system of continual evaluative and self-evaluative procedures, which are to monitor the success of the self-management of the subject in a decentralized learning environment.</w:t>
      </w:r>
      <w:r w:rsidRPr="00FA68C9">
        <w:rPr>
          <w:sz w:val="16"/>
        </w:rPr>
        <w:t xml:space="preserve"> Both the implementation of evaluation techniques of various kinds in the management of the teacher’s educational pathway and the creation of a school culture as a ‘learning organization’, which encourages the professional development of its own employees, produce </w:t>
      </w:r>
      <w:r w:rsidRPr="00FA68C9">
        <w:rPr>
          <w:rStyle w:val="StyleUnderline"/>
        </w:rPr>
        <w:t>a typically neoliberal model of teacher: the ‘managed professional’ in the global education industry</w:t>
      </w:r>
      <w:r w:rsidRPr="00FA68C9">
        <w:rPr>
          <w:sz w:val="16"/>
        </w:rPr>
        <w:t xml:space="preserve"> (</w:t>
      </w:r>
      <w:proofErr w:type="spellStart"/>
      <w:r w:rsidRPr="00FA68C9">
        <w:rPr>
          <w:sz w:val="16"/>
        </w:rPr>
        <w:t>Codd</w:t>
      </w:r>
      <w:proofErr w:type="spellEnd"/>
      <w:r w:rsidRPr="00FA68C9">
        <w:rPr>
          <w:sz w:val="16"/>
        </w:rPr>
        <w:t xml:space="preserve"> 2005). </w:t>
      </w:r>
      <w:r w:rsidRPr="00FA68C9">
        <w:rPr>
          <w:rStyle w:val="StyleUnderline"/>
          <w:highlight w:val="yellow"/>
        </w:rPr>
        <w:t>Evaluation procedures are made possible through</w:t>
      </w:r>
      <w:r w:rsidRPr="00FA68C9">
        <w:rPr>
          <w:rStyle w:val="StyleUnderline"/>
        </w:rPr>
        <w:t xml:space="preserve"> the creation of a system indicating the achievement of standards (defined as competencies), which should identify these </w:t>
      </w:r>
      <w:r w:rsidRPr="00FA68C9">
        <w:rPr>
          <w:rStyle w:val="StyleUnderline"/>
          <w:highlight w:val="yellow"/>
        </w:rPr>
        <w:t>competencies as</w:t>
      </w:r>
      <w:r w:rsidRPr="00FA68C9">
        <w:rPr>
          <w:rStyle w:val="StyleUnderline"/>
        </w:rPr>
        <w:t xml:space="preserve"> being the </w:t>
      </w:r>
      <w:r w:rsidRPr="00FA68C9">
        <w:rPr>
          <w:rStyle w:val="StyleUnderline"/>
          <w:highlight w:val="yellow"/>
        </w:rPr>
        <w:t>demonstrable skills</w:t>
      </w:r>
      <w:r w:rsidRPr="00FA68C9">
        <w:rPr>
          <w:rStyle w:val="StyleUnderline"/>
        </w:rPr>
        <w:t xml:space="preserve">, attitudes and knowledge </w:t>
      </w:r>
      <w:r w:rsidRPr="00FA68C9">
        <w:rPr>
          <w:rStyle w:val="StyleUnderline"/>
          <w:highlight w:val="yellow"/>
        </w:rPr>
        <w:t>of the teacher</w:t>
      </w:r>
      <w:r w:rsidRPr="00FA68C9">
        <w:rPr>
          <w:sz w:val="16"/>
        </w:rPr>
        <w:t xml:space="preserve">. </w:t>
      </w:r>
      <w:r w:rsidRPr="00FA68C9">
        <w:rPr>
          <w:rStyle w:val="StyleUnderline"/>
        </w:rPr>
        <w:t xml:space="preserve">The route to the </w:t>
      </w:r>
      <w:proofErr w:type="spellStart"/>
      <w:r w:rsidRPr="00FA68C9">
        <w:rPr>
          <w:rStyle w:val="StyleUnderline"/>
        </w:rPr>
        <w:t>professionality</w:t>
      </w:r>
      <w:proofErr w:type="spellEnd"/>
      <w:r w:rsidRPr="00FA68C9">
        <w:rPr>
          <w:rStyle w:val="StyleUnderline"/>
        </w:rPr>
        <w:t xml:space="preserve"> of the teacher is found in the culture of professional standards and new management (and self-management) of professional development, which is to be accompanied by an increase in the performativity of the subjects, who will be required to continually document their capability of remaining in the </w:t>
      </w:r>
      <w:proofErr w:type="spellStart"/>
      <w:r w:rsidRPr="00FA68C9">
        <w:rPr>
          <w:rStyle w:val="StyleUnderline"/>
        </w:rPr>
        <w:t>labour</w:t>
      </w:r>
      <w:proofErr w:type="spellEnd"/>
      <w:r w:rsidRPr="00FA68C9">
        <w:rPr>
          <w:rStyle w:val="StyleUnderline"/>
        </w:rPr>
        <w:t xml:space="preserve"> market. </w:t>
      </w:r>
      <w:r w:rsidRPr="00FA68C9">
        <w:rPr>
          <w:rStyle w:val="StyleUnderline"/>
          <w:highlight w:val="yellow"/>
        </w:rPr>
        <w:t>The humanistic</w:t>
      </w:r>
      <w:r w:rsidRPr="00FA68C9">
        <w:rPr>
          <w:rStyle w:val="StyleUnderline"/>
        </w:rPr>
        <w:t xml:space="preserve"> personalized </w:t>
      </w:r>
      <w:r w:rsidRPr="00FA68C9">
        <w:rPr>
          <w:rStyle w:val="StyleUnderline"/>
          <w:highlight w:val="yellow"/>
        </w:rPr>
        <w:t>teacher</w:t>
      </w:r>
      <w:r w:rsidRPr="00FA68C9">
        <w:rPr>
          <w:rStyle w:val="StyleUnderline"/>
        </w:rPr>
        <w:t xml:space="preserve"> </w:t>
      </w:r>
      <w:r w:rsidRPr="00FA68C9">
        <w:rPr>
          <w:rStyle w:val="StyleUnderline"/>
          <w:highlight w:val="yellow"/>
        </w:rPr>
        <w:t>is</w:t>
      </w:r>
      <w:r w:rsidRPr="00FA68C9">
        <w:rPr>
          <w:rStyle w:val="StyleUnderline"/>
        </w:rPr>
        <w:t xml:space="preserve"> therefore </w:t>
      </w:r>
      <w:r w:rsidRPr="00FA68C9">
        <w:rPr>
          <w:rStyle w:val="StyleUnderline"/>
          <w:highlight w:val="yellow"/>
        </w:rPr>
        <w:t xml:space="preserve">becoming one of the unities of the neoliberal administration of education and the regulation of the </w:t>
      </w:r>
      <w:proofErr w:type="spellStart"/>
      <w:r w:rsidRPr="00FA68C9">
        <w:rPr>
          <w:rStyle w:val="StyleUnderline"/>
          <w:highlight w:val="yellow"/>
        </w:rPr>
        <w:t>labour</w:t>
      </w:r>
      <w:proofErr w:type="spellEnd"/>
      <w:r w:rsidRPr="00FA68C9">
        <w:rPr>
          <w:rStyle w:val="StyleUnderline"/>
          <w:highlight w:val="yellow"/>
        </w:rPr>
        <w:t xml:space="preserve"> market through innovative models of professional development</w:t>
      </w:r>
      <w:r w:rsidRPr="00FA68C9">
        <w:rPr>
          <w:sz w:val="16"/>
          <w:highlight w:val="yellow"/>
        </w:rPr>
        <w:t>.</w:t>
      </w:r>
      <w:r w:rsidRPr="00FA68C9">
        <w:rPr>
          <w:sz w:val="16"/>
        </w:rPr>
        <w:t xml:space="preserve"> Teacher training comes under the current conception of lifelong learning, which, as analyses of neoliberal governmentality in education have demonstrated (</w:t>
      </w:r>
      <w:proofErr w:type="spellStart"/>
      <w:r w:rsidRPr="00FA68C9">
        <w:rPr>
          <w:sz w:val="16"/>
        </w:rPr>
        <w:t>Kašˇcák</w:t>
      </w:r>
      <w:proofErr w:type="spellEnd"/>
      <w:r w:rsidRPr="00FA68C9">
        <w:rPr>
          <w:sz w:val="16"/>
        </w:rPr>
        <w:t xml:space="preserve"> and </w:t>
      </w:r>
      <w:proofErr w:type="spellStart"/>
      <w:r w:rsidRPr="00FA68C9">
        <w:rPr>
          <w:sz w:val="16"/>
        </w:rPr>
        <w:t>Pupala</w:t>
      </w:r>
      <w:proofErr w:type="spellEnd"/>
      <w:r w:rsidRPr="00FA68C9">
        <w:rPr>
          <w:sz w:val="16"/>
        </w:rPr>
        <w:t xml:space="preserve"> 2010a), has filtered the logic of neoliberal economics into all aspects of social conduct through the consistent dissemination of the ‘entrepreneurial culture’ (Peters 2001). The teacher, like every other subject of the current diffuse learning environment, is governed by a rationality similar to Foucault’s ‘homo </w:t>
      </w:r>
      <w:proofErr w:type="spellStart"/>
      <w:r w:rsidRPr="00FA68C9">
        <w:rPr>
          <w:sz w:val="16"/>
        </w:rPr>
        <w:t>oeconomicus</w:t>
      </w:r>
      <w:proofErr w:type="spellEnd"/>
      <w:r w:rsidRPr="00FA68C9">
        <w:rPr>
          <w:sz w:val="16"/>
        </w:rPr>
        <w:t xml:space="preserve">’, who is guided by the need for autonomy, to invest in the self and invest the self (Foucault 2009). The standards of the teaching profession employ neoliberal autonomy in two ways. On the one hand, </w:t>
      </w:r>
      <w:r w:rsidRPr="00FA68C9">
        <w:rPr>
          <w:rStyle w:val="StyleUnderline"/>
          <w:highlight w:val="yellow"/>
        </w:rPr>
        <w:t>the content of the standards themselves</w:t>
      </w:r>
      <w:r w:rsidRPr="00FA68C9">
        <w:rPr>
          <w:rStyle w:val="StyleUnderline"/>
        </w:rPr>
        <w:t xml:space="preserve"> are articulated through humanism and </w:t>
      </w:r>
      <w:r w:rsidRPr="00FA68C9">
        <w:rPr>
          <w:rStyle w:val="StyleUnderline"/>
          <w:highlight w:val="yellow"/>
        </w:rPr>
        <w:t>encourage</w:t>
      </w:r>
      <w:r w:rsidRPr="00FA68C9">
        <w:rPr>
          <w:rStyle w:val="StyleUnderline"/>
        </w:rPr>
        <w:t xml:space="preserve"> the </w:t>
      </w:r>
      <w:r w:rsidRPr="00FA68C9">
        <w:rPr>
          <w:rStyle w:val="StyleUnderline"/>
          <w:highlight w:val="yellow"/>
        </w:rPr>
        <w:t xml:space="preserve">teachers to </w:t>
      </w:r>
      <w:proofErr w:type="spellStart"/>
      <w:r w:rsidRPr="00FA68C9">
        <w:rPr>
          <w:rStyle w:val="StyleUnderline"/>
          <w:highlight w:val="yellow"/>
        </w:rPr>
        <w:t>favour</w:t>
      </w:r>
      <w:proofErr w:type="spellEnd"/>
      <w:r w:rsidRPr="00FA68C9">
        <w:rPr>
          <w:rStyle w:val="StyleUnderline"/>
          <w:highlight w:val="yellow"/>
        </w:rPr>
        <w:t xml:space="preserve"> the neoliberal version of</w:t>
      </w:r>
      <w:r w:rsidRPr="00FA68C9">
        <w:rPr>
          <w:rStyle w:val="StyleUnderline"/>
        </w:rPr>
        <w:t xml:space="preserve"> the humanistic approaches in </w:t>
      </w:r>
      <w:r w:rsidRPr="00FA68C9">
        <w:rPr>
          <w:rStyle w:val="StyleUnderline"/>
          <w:highlight w:val="yellow"/>
        </w:rPr>
        <w:t>their own teaching and in the way they perceive their own teaching</w:t>
      </w:r>
      <w:r w:rsidRPr="00FA68C9">
        <w:rPr>
          <w:sz w:val="16"/>
        </w:rPr>
        <w:t xml:space="preserve">; on the other hand, the </w:t>
      </w:r>
      <w:r w:rsidRPr="00FA68C9">
        <w:rPr>
          <w:rStyle w:val="StyleUnderline"/>
          <w:highlight w:val="yellow"/>
        </w:rPr>
        <w:t xml:space="preserve">professional standards themselves are designed to produce a new kind of teacher subjectivity, in which autonomy is delegated and combined with the ethos of neoliberal </w:t>
      </w:r>
      <w:proofErr w:type="spellStart"/>
      <w:r w:rsidRPr="00FA68C9">
        <w:rPr>
          <w:rStyle w:val="StyleUnderline"/>
          <w:highlight w:val="yellow"/>
        </w:rPr>
        <w:t>professionality</w:t>
      </w:r>
      <w:proofErr w:type="spellEnd"/>
      <w:r w:rsidRPr="00FA68C9">
        <w:rPr>
          <w:rStyle w:val="StyleUnderline"/>
          <w:highlight w:val="yellow"/>
        </w:rPr>
        <w:t>.</w:t>
      </w:r>
      <w:r w:rsidRPr="00FA68C9">
        <w:rPr>
          <w:sz w:val="16"/>
        </w:rPr>
        <w:t xml:space="preserve"> As Wong’s (2006) study emphasizes, however, the growing decentralization in education in association with indirect forms of assessing teacher outcomes based on a school-management system in no way leads to an increase in the </w:t>
      </w:r>
      <w:proofErr w:type="spellStart"/>
      <w:r w:rsidRPr="00FA68C9">
        <w:rPr>
          <w:sz w:val="16"/>
        </w:rPr>
        <w:t>professionality</w:t>
      </w:r>
      <w:proofErr w:type="spellEnd"/>
      <w:r w:rsidRPr="00FA68C9">
        <w:rPr>
          <w:sz w:val="16"/>
        </w:rPr>
        <w:t xml:space="preserve"> of teachers. Rather, it leads to ‘</w:t>
      </w:r>
      <w:proofErr w:type="spellStart"/>
      <w:r w:rsidRPr="00FA68C9">
        <w:rPr>
          <w:sz w:val="16"/>
        </w:rPr>
        <w:t>deprofessionalization</w:t>
      </w:r>
      <w:proofErr w:type="spellEnd"/>
      <w:r w:rsidRPr="00FA68C9">
        <w:rPr>
          <w:sz w:val="16"/>
        </w:rPr>
        <w:t>’ and ‘deskilling’, and only in a few cases where there is a competitive environment created by the neoliberal education reforms does it lead to the ‘</w:t>
      </w:r>
      <w:proofErr w:type="spellStart"/>
      <w:r w:rsidRPr="00FA68C9">
        <w:rPr>
          <w:sz w:val="16"/>
        </w:rPr>
        <w:t>reprofessionalization</w:t>
      </w:r>
      <w:proofErr w:type="spellEnd"/>
      <w:r w:rsidRPr="00FA68C9">
        <w:rPr>
          <w:sz w:val="16"/>
        </w:rPr>
        <w:t>’ of their work and the ‘reskilling’ of teaching techniques. The concept of ‘</w:t>
      </w:r>
      <w:proofErr w:type="spellStart"/>
      <w:r w:rsidRPr="00FA68C9">
        <w:rPr>
          <w:sz w:val="16"/>
        </w:rPr>
        <w:t>deprofessionalization</w:t>
      </w:r>
      <w:proofErr w:type="spellEnd"/>
      <w:r w:rsidRPr="00FA68C9">
        <w:rPr>
          <w:sz w:val="16"/>
        </w:rPr>
        <w:t xml:space="preserve">’ is of course used quite differently here to the meaning intended by </w:t>
      </w:r>
      <w:proofErr w:type="spellStart"/>
      <w:r w:rsidRPr="00FA68C9">
        <w:rPr>
          <w:sz w:val="16"/>
        </w:rPr>
        <w:t>Sloterdijk</w:t>
      </w:r>
      <w:proofErr w:type="spellEnd"/>
      <w:r w:rsidRPr="00FA68C9">
        <w:rPr>
          <w:sz w:val="16"/>
        </w:rPr>
        <w:t>, who uses this concept to express the humanistic call for the school teaching/learning process to be liberated from restrictive curricular planning. At the same time</w:t>
      </w:r>
      <w:r w:rsidRPr="00FA68C9">
        <w:rPr>
          <w:sz w:val="16"/>
          <w:highlight w:val="yellow"/>
        </w:rPr>
        <w:t xml:space="preserve">, </w:t>
      </w:r>
      <w:r w:rsidRPr="00FA68C9">
        <w:rPr>
          <w:rStyle w:val="StyleUnderline"/>
          <w:highlight w:val="yellow"/>
        </w:rPr>
        <w:t>professional standards set the normative framework for teacher training</w:t>
      </w:r>
      <w:r w:rsidRPr="00FA68C9">
        <w:rPr>
          <w:rStyle w:val="StyleUnderline"/>
        </w:rPr>
        <w:t xml:space="preserve"> at universities, thereby </w:t>
      </w:r>
      <w:r w:rsidRPr="00FA68C9">
        <w:rPr>
          <w:rStyle w:val="StyleUnderline"/>
          <w:highlight w:val="yellow"/>
        </w:rPr>
        <w:t>closing the circle of neoliberal governmentality</w:t>
      </w:r>
      <w:r w:rsidRPr="00FA68C9">
        <w:rPr>
          <w:sz w:val="16"/>
        </w:rPr>
        <w:t>. Humanistic discourse on partnerships, community learning and supporting autonomy in teacher training is also connected to neoliberal standardization (</w:t>
      </w:r>
      <w:proofErr w:type="spellStart"/>
      <w:r w:rsidRPr="00FA68C9">
        <w:rPr>
          <w:sz w:val="16"/>
        </w:rPr>
        <w:t>Kašˇcák</w:t>
      </w:r>
      <w:proofErr w:type="spellEnd"/>
      <w:r w:rsidRPr="00FA68C9">
        <w:rPr>
          <w:sz w:val="16"/>
        </w:rPr>
        <w:t xml:space="preserve"> and </w:t>
      </w:r>
      <w:proofErr w:type="spellStart"/>
      <w:r w:rsidRPr="00FA68C9">
        <w:rPr>
          <w:sz w:val="16"/>
        </w:rPr>
        <w:t>Pupala</w:t>
      </w:r>
      <w:proofErr w:type="spellEnd"/>
      <w:r w:rsidRPr="00FA68C9">
        <w:rPr>
          <w:sz w:val="16"/>
        </w:rPr>
        <w:t xml:space="preserve"> 2010b). This is most aptly noted by Sander (1998, 44): the many fascinating (?) tales now being told about the new </w:t>
      </w:r>
      <w:proofErr w:type="spellStart"/>
      <w:r w:rsidRPr="00FA68C9">
        <w:rPr>
          <w:sz w:val="16"/>
        </w:rPr>
        <w:t>managerialism</w:t>
      </w:r>
      <w:proofErr w:type="spellEnd"/>
      <w:r w:rsidRPr="00FA68C9">
        <w:rPr>
          <w:sz w:val="16"/>
        </w:rPr>
        <w:t xml:space="preserve"> in the public sector, about the marketization of education, about the increasing autonomy of teacher education, schools and teachers etc. and about the success of such policies in establishing new modes of perfect control are nothing but vague ideologies depicting utopias of a reinvigorated state mechanism. </w:t>
      </w:r>
      <w:r w:rsidRPr="00FA68C9">
        <w:rPr>
          <w:rStyle w:val="StyleUnderline"/>
        </w:rPr>
        <w:t xml:space="preserve">The end result is that </w:t>
      </w:r>
      <w:r w:rsidRPr="00FA68C9">
        <w:rPr>
          <w:rStyle w:val="StyleUnderline"/>
          <w:highlight w:val="yellow"/>
        </w:rPr>
        <w:t>neoliberal ideology is legitimized through measures intended to objectify and centralize</w:t>
      </w:r>
      <w:r w:rsidRPr="00FA68C9">
        <w:rPr>
          <w:sz w:val="16"/>
          <w:highlight w:val="yellow"/>
        </w:rPr>
        <w:t>.</w:t>
      </w:r>
      <w:r w:rsidRPr="00FA68C9">
        <w:rPr>
          <w:sz w:val="16"/>
        </w:rPr>
        <w:t xml:space="preserve"> Webb, Briscoe and </w:t>
      </w:r>
      <w:proofErr w:type="spellStart"/>
      <w:r w:rsidRPr="00FA68C9">
        <w:rPr>
          <w:sz w:val="16"/>
        </w:rPr>
        <w:t>Mussman</w:t>
      </w:r>
      <w:proofErr w:type="spellEnd"/>
      <w:r w:rsidRPr="00FA68C9">
        <w:rPr>
          <w:sz w:val="16"/>
        </w:rPr>
        <w:t xml:space="preserve"> (2009) call this kind of neoliberal social control the ‘neoliberal </w:t>
      </w:r>
      <w:proofErr w:type="spellStart"/>
      <w:r w:rsidRPr="00FA68C9">
        <w:rPr>
          <w:sz w:val="16"/>
        </w:rPr>
        <w:t>panopticon</w:t>
      </w:r>
      <w:proofErr w:type="spellEnd"/>
      <w:r w:rsidRPr="00FA68C9">
        <w:rPr>
          <w:sz w:val="16"/>
        </w:rPr>
        <w:t xml:space="preserve">’. And it has a supranational globalizing impact, especially in the European Union, where the convergent conceptions of the professional profile of a ‘European teacher’ are being formulated on a political or bureaucratic professional basis (see, e.g. </w:t>
      </w:r>
      <w:proofErr w:type="spellStart"/>
      <w:r w:rsidRPr="00FA68C9">
        <w:rPr>
          <w:sz w:val="16"/>
        </w:rPr>
        <w:t>Schratz</w:t>
      </w:r>
      <w:proofErr w:type="spellEnd"/>
      <w:r w:rsidRPr="00FA68C9">
        <w:rPr>
          <w:sz w:val="16"/>
        </w:rPr>
        <w:t xml:space="preserve"> 2004). </w:t>
      </w:r>
    </w:p>
    <w:p w:rsidR="00BE0801" w:rsidRPr="00FA68C9" w:rsidRDefault="00BE0801" w:rsidP="00BE0801"/>
    <w:p w:rsidR="00BE0801" w:rsidRPr="00FA68C9" w:rsidRDefault="00BE0801" w:rsidP="007B1A82">
      <w:pPr>
        <w:pStyle w:val="Heading2"/>
        <w:rPr>
          <w:rFonts w:cs="Arial"/>
        </w:rPr>
      </w:pPr>
    </w:p>
    <w:p w:rsidR="007B1A82" w:rsidRPr="00FA68C9" w:rsidRDefault="007B1A82" w:rsidP="007B1A82">
      <w:pPr>
        <w:pStyle w:val="Heading2"/>
        <w:rPr>
          <w:rFonts w:cs="Arial"/>
        </w:rPr>
      </w:pPr>
      <w:proofErr w:type="spellStart"/>
      <w:r w:rsidRPr="00FA68C9">
        <w:rPr>
          <w:rFonts w:cs="Arial"/>
        </w:rPr>
        <w:t>deschooling</w:t>
      </w:r>
      <w:proofErr w:type="spellEnd"/>
      <w:r w:rsidRPr="00FA68C9">
        <w:rPr>
          <w:rFonts w:cs="Arial"/>
        </w:rPr>
        <w:t xml:space="preserve"> k</w:t>
      </w:r>
    </w:p>
    <w:p w:rsidR="007B1A82" w:rsidRPr="00FA68C9" w:rsidRDefault="007B1A82" w:rsidP="007B1A82">
      <w:pPr>
        <w:pStyle w:val="Heading3"/>
        <w:rPr>
          <w:rFonts w:cs="Arial"/>
        </w:rPr>
      </w:pPr>
      <w:r w:rsidRPr="00FA68C9">
        <w:rPr>
          <w:rFonts w:cs="Arial"/>
        </w:rPr>
        <w:t>2nc alt – black panthers</w:t>
      </w:r>
    </w:p>
    <w:p w:rsidR="007B1A82" w:rsidRPr="00FA68C9" w:rsidRDefault="007B1A82" w:rsidP="007B1A82"/>
    <w:p w:rsidR="007B1A82" w:rsidRPr="00FA68C9" w:rsidRDefault="007B1A82" w:rsidP="007B1A82">
      <w:pPr>
        <w:pStyle w:val="Heading4"/>
        <w:rPr>
          <w:rFonts w:cs="Arial"/>
        </w:rPr>
      </w:pPr>
      <w:r w:rsidRPr="00FA68C9">
        <w:rPr>
          <w:rFonts w:cs="Arial"/>
        </w:rPr>
        <w:t xml:space="preserve">The site of commons is the Black Panthers’ Community Schools - it challenges capitalist structures and evenly spreads resources to underprivileged youth, including healthcare and food, making education a community ordeal that provided net-better results than traditional schooling. </w:t>
      </w:r>
    </w:p>
    <w:p w:rsidR="007B1A82" w:rsidRPr="00FA68C9" w:rsidRDefault="007B1A82" w:rsidP="007B1A82">
      <w:r w:rsidRPr="00FA68C9">
        <w:rPr>
          <w:rStyle w:val="Style13ptBold"/>
        </w:rPr>
        <w:t>Wong 12</w:t>
      </w:r>
      <w:r w:rsidRPr="00FA68C9">
        <w:t xml:space="preserve"> (Casey Wong wrote “The Pedagogy and Education of the Black Panther Party: Confronting the Reproduction of Social and Cultural Inequality” as a master’s thesis from New York University: now has a PhD in Race, Inequality, and Language in Education from Stanford University. 2012. pg. 1-18. http://steinhardt.nyu.edu/scmsAdmin/media/users/jnw216/HMSS/Final_Masters_Thesis_BPP_Casey_Wong_2012.pdf.) ME</w:t>
      </w:r>
    </w:p>
    <w:p w:rsidR="007B1A82" w:rsidRPr="00FA68C9" w:rsidRDefault="007B1A82" w:rsidP="007B1A82">
      <w:pPr>
        <w:rPr>
          <w:sz w:val="16"/>
        </w:rPr>
      </w:pPr>
      <w:r w:rsidRPr="00FA68C9">
        <w:rPr>
          <w:highlight w:val="green"/>
          <w:u w:val="single"/>
        </w:rPr>
        <w:t>The</w:t>
      </w:r>
      <w:r w:rsidRPr="00FA68C9">
        <w:rPr>
          <w:u w:val="single"/>
        </w:rPr>
        <w:t xml:space="preserve"> Black Panther Party (</w:t>
      </w:r>
      <w:r w:rsidRPr="00FA68C9">
        <w:rPr>
          <w:highlight w:val="green"/>
          <w:u w:val="single"/>
        </w:rPr>
        <w:t>BPP</w:t>
      </w:r>
      <w:r w:rsidRPr="00FA68C9">
        <w:rPr>
          <w:u w:val="single"/>
        </w:rPr>
        <w:t xml:space="preserve">) firmly </w:t>
      </w:r>
      <w:r w:rsidRPr="00FA68C9">
        <w:rPr>
          <w:highlight w:val="green"/>
          <w:u w:val="single"/>
        </w:rPr>
        <w:t>believed that schools were implicated in the reproduction of social and cultural inequality in America</w:t>
      </w:r>
      <w:r w:rsidRPr="00FA68C9">
        <w:rPr>
          <w:u w:val="single"/>
        </w:rPr>
        <w:t>n society.</w:t>
      </w:r>
      <w:r w:rsidRPr="00FA68C9">
        <w:rPr>
          <w:sz w:val="16"/>
        </w:rPr>
        <w:t xml:space="preserve"> This tenet was central to the Black Panther Party and appeared as the fifth point of the party’s 10-point program: We </w:t>
      </w:r>
      <w:r w:rsidRPr="00FA68C9">
        <w:rPr>
          <w:u w:val="single"/>
        </w:rPr>
        <w:t xml:space="preserve">want decent education for our people that exposes the true nature of this decadent American society. </w:t>
      </w:r>
      <w:r w:rsidRPr="00FA68C9">
        <w:rPr>
          <w:highlight w:val="green"/>
          <w:u w:val="single"/>
        </w:rPr>
        <w:t>We want education that teaches us our true history and our role in the present-day society. We believe in an educational system that will give to our people a knowledge of the self. If you do not have knowledge of yourself and your position in the society and in the world, then you will have little chance to know anything else</w:t>
      </w:r>
      <w:r w:rsidRPr="00FA68C9">
        <w:rPr>
          <w:sz w:val="16"/>
        </w:rPr>
        <w:t xml:space="preserve"> (Dr. Huey P. Newton Foundation, 2008, p.75). Moreover, those affiliated with the Black Panther Party believed that children’s backgrounds and experience outside of school were highly predictive of their educational attainment and employment opportunities later in life. </w:t>
      </w:r>
      <w:r w:rsidRPr="00FA68C9">
        <w:rPr>
          <w:u w:val="single"/>
        </w:rPr>
        <w:t>The purpose of the creation of the Intercommunal Youth Institute (IYI) in 1971, which would change its name to the Oakland Community School (</w:t>
      </w:r>
      <w:r w:rsidRPr="00FA68C9">
        <w:rPr>
          <w:highlight w:val="green"/>
          <w:u w:val="single"/>
        </w:rPr>
        <w:t>OCS</w:t>
      </w:r>
      <w:r w:rsidRPr="00FA68C9">
        <w:rPr>
          <w:u w:val="single"/>
        </w:rPr>
        <w:t>) in 1974,</w:t>
      </w:r>
      <w:r w:rsidRPr="00FA68C9">
        <w:rPr>
          <w:sz w:val="16"/>
        </w:rPr>
        <w:t xml:space="preserve"> is explained in The Black Panther Party: Service to the People Programs, the book edited by former Panther David Hilliard and published by The Dr. Huey P. Newton Foundation (2008): </w:t>
      </w:r>
      <w:r w:rsidRPr="00FA68C9">
        <w:rPr>
          <w:rStyle w:val="StyleUnderline"/>
        </w:rPr>
        <w:t xml:space="preserve">The institute </w:t>
      </w:r>
      <w:r w:rsidRPr="00FA68C9">
        <w:rPr>
          <w:rStyle w:val="StyleUnderline"/>
          <w:highlight w:val="green"/>
        </w:rPr>
        <w:t>was initiated in direct response to the public school system, which has systematically produced individuals totally incapable of thinking in an analytical way</w:t>
      </w:r>
      <w:r w:rsidRPr="00FA68C9">
        <w:rPr>
          <w:rStyle w:val="StyleUnderline"/>
        </w:rPr>
        <w:t xml:space="preserve">. </w:t>
      </w:r>
      <w:r w:rsidRPr="00FA68C9">
        <w:rPr>
          <w:sz w:val="16"/>
        </w:rPr>
        <w:t xml:space="preserve">The failure of the public school system to educate Black and poor youth has caused generation after generation of our people to be inadequately prepared to participate and survive in our highly technological society. In order to begin to break this seemingly endless cycle of oppression, the Black Panther Party established the Youth Institute (p.5; Huggins and LeBlanc-Ernest, 2009, p.170). </w:t>
      </w:r>
      <w:r w:rsidRPr="00FA68C9">
        <w:rPr>
          <w:rStyle w:val="StyleUnderline"/>
        </w:rPr>
        <w:t>With such knowledge and purpose, BPP educators at the Oakland Community School (</w:t>
      </w:r>
      <w:r w:rsidRPr="00FA68C9">
        <w:rPr>
          <w:rStyle w:val="StyleUnderline"/>
          <w:highlight w:val="green"/>
        </w:rPr>
        <w:t>OCS) sought</w:t>
      </w:r>
      <w:r w:rsidRPr="00FA68C9">
        <w:rPr>
          <w:rStyle w:val="StyleUnderline"/>
        </w:rPr>
        <w:t xml:space="preserve"> </w:t>
      </w:r>
      <w:r w:rsidRPr="00FA68C9">
        <w:rPr>
          <w:rStyle w:val="StyleUnderline"/>
          <w:highlight w:val="green"/>
        </w:rPr>
        <w:t>to not only satisfy “the dire need for quality education” of Black and poor youth, but to serve their youth</w:t>
      </w:r>
      <w:r w:rsidRPr="00FA68C9">
        <w:rPr>
          <w:rStyle w:val="StyleUnderline"/>
        </w:rPr>
        <w:t xml:space="preserve"> in ways not usually associated with the traditional role of American schools in order to challenge the reproduction of social and cultural inequality that they saw occurring </w:t>
      </w:r>
      <w:r w:rsidRPr="00FA68C9">
        <w:rPr>
          <w:rStyle w:val="StyleUnderline"/>
          <w:highlight w:val="green"/>
        </w:rPr>
        <w:t>(i.e. providing breakfast, lunch, and dinner to all their students, healthcare, etc.</w:t>
      </w:r>
      <w:r w:rsidRPr="00FA68C9">
        <w:rPr>
          <w:rStyle w:val="StyleUnderline"/>
        </w:rPr>
        <w:t>)</w:t>
      </w:r>
      <w:r w:rsidRPr="00FA68C9">
        <w:rPr>
          <w:sz w:val="16"/>
        </w:rPr>
        <w:t xml:space="preserve"> (Huggins and LeBlanc-Ernest, 2009, p.163). How did the Black Panther Party seek to challenge the reproduction of social and cultural inequality impacting particularly Black and poor youth? How did the Black Panther Party’s premier educational institution, the Oakland Community School, seek to address the reproduction of social and cultural inequality through its resources, pedagogy, and education? Social reproduction is the process by which different social classes in society are maintained and reproduced to their former respective positions. Social reproduction is a concept describing the pattern of how the </w:t>
      </w:r>
      <w:r w:rsidRPr="00FA68C9">
        <w:rPr>
          <w:u w:val="single"/>
        </w:rPr>
        <w:t>children of poor families often become poor themselves</w:t>
      </w:r>
      <w:r w:rsidRPr="00FA68C9">
        <w:rPr>
          <w:sz w:val="16"/>
        </w:rPr>
        <w:t xml:space="preserve"> once they become adults; this frequently being aligned with other patterns of social stratification, most notably race in the United States. However, social reproduction is rarely an overwhelming phenomenon and classes are never completely reproduced in their entirety from generation to generation; as there are poor kids who end up rich and rich kids that end up poor. Nonetheless, social theorists are fascinated with how the children of rich parents often end up in the same upper strata as their rich parents, the same pattern occurring with middle-class, working-class, and poor kids. Theorists have called this social phenomenon social reproduction. Cultural production is the original creation of a set of practices, norms, ideas, and/or beliefs created by a group of people. Cultural reproduction is when and how a set of practices, norms, ideas, and/or beliefs is passed from one group of people to another. Cultural reproduction is distinctive from cultural production because cultural production indicates that the culture being created is original. Thus when hip-hop music and culture was first created by the first artists in the Bronx, this was cultural production. Although hip-hop music and culture continues to produce new artists, these artists are participating in cultural reproduction as hip-hop music and culture is maintaining its essential qualities as it is passed from person to person, generation to generation. Unfortunately in the case of hip-hop music and culture, much of the </w:t>
      </w:r>
      <w:r w:rsidRPr="00FA68C9">
        <w:rPr>
          <w:b/>
          <w:highlight w:val="green"/>
          <w:u w:val="single"/>
        </w:rPr>
        <w:t>culture has been commodified</w:t>
      </w:r>
      <w:r w:rsidRPr="00FA68C9">
        <w:rPr>
          <w:b/>
          <w:u w:val="single"/>
        </w:rPr>
        <w:t xml:space="preserve"> and come to be closely controlled </w:t>
      </w:r>
      <w:r w:rsidRPr="00FA68C9">
        <w:rPr>
          <w:b/>
          <w:highlight w:val="green"/>
          <w:u w:val="single"/>
        </w:rPr>
        <w:t>and monitored by big business</w:t>
      </w:r>
      <w:r w:rsidRPr="00FA68C9">
        <w:rPr>
          <w:sz w:val="16"/>
        </w:rPr>
        <w:t xml:space="preserve">; as a result the cultural reproduction of hip-hop is being modified </w:t>
      </w:r>
      <w:r w:rsidRPr="00FA68C9">
        <w:rPr>
          <w:b/>
          <w:highlight w:val="green"/>
          <w:u w:val="single"/>
        </w:rPr>
        <w:t>and filtered to fit the monetary goals</w:t>
      </w:r>
      <w:r w:rsidRPr="00FA68C9">
        <w:rPr>
          <w:sz w:val="16"/>
        </w:rPr>
        <w:t xml:space="preserve"> of those disseminating hip-hop as popular music and culture. </w:t>
      </w:r>
      <w:r w:rsidRPr="00FA68C9">
        <w:rPr>
          <w:highlight w:val="green"/>
          <w:u w:val="single"/>
        </w:rPr>
        <w:t>The BPP</w:t>
      </w:r>
      <w:r w:rsidRPr="00FA68C9">
        <w:rPr>
          <w:u w:val="single"/>
        </w:rPr>
        <w:t xml:space="preserve"> was one organization which </w:t>
      </w:r>
      <w:r w:rsidRPr="00FA68C9">
        <w:rPr>
          <w:highlight w:val="green"/>
          <w:u w:val="single"/>
        </w:rPr>
        <w:t>sought to disrupt the social and cultural reproduction</w:t>
      </w:r>
      <w:r w:rsidRPr="00FA68C9">
        <w:rPr>
          <w:u w:val="single"/>
        </w:rPr>
        <w:t xml:space="preserve"> perpetuating inequality in the United States; although the BPP sought to operate in solidarity with all vulnerable and oppressed peoples, the BPP was specifically focused upon addressing the brutal inequality facing African Americans</w:t>
      </w:r>
      <w:r w:rsidRPr="00FA68C9">
        <w:rPr>
          <w:sz w:val="16"/>
        </w:rPr>
        <w:t xml:space="preserve">. The Black Panther Party Addressing Social and Cultural Reproduction: Educating the “Whole” Child While schools have traditionally been analyzed for their academic and social effectiveness on the basis of what is done within the school itself, the Oakland Community School (OCS) cannot be looked at in the same way. Founded by members of the Black Panther Party (BPP), originally serving the function of educating BPP children away from public institutions which were stigmatizing BPP children, the OCS became the “flagship Black Panther Party community program” representing the educational interests of the BPP (Huggins, 2010, p.37). Although the OCS had many services offered to its children at the school itself, which will be covered in detail later in this thesis, it would be remiss to ignore the many different programs which the BPP was operating in an effort to alleviate factors contributing to the social and cultural reproduction perpetuating inequality affecting children outside of the school. Members of the OCS staff, particularly the female administrators, were actively working in these other BPP programs in addition to their school responsibilities: Each administrator was a BPP member at the time she became a school leader, organizing and educating communities, feeding and teaching children in before- and after-school programs, selling BPP newspapers, administering health care, organizing for prisoners’ rights, and engaging in voter registration and in local political campaigns. OCS women organized their communities by working with fellow BPP members, actively engaged in coalition politics. (Huggins and LeBlanc-Ernest, 2009, p.163). As Huggins and Leblanc-Ernest (2009) point out, specifically female administrators at the BPP saw their work at the OCS directly connected with their work for the BPP outside of school, “In terms of their resistance and organizing tradition, the educational activism of the women staff of the OCS during the 1970s was revolutionary. OCS administrators were able to apply lessons from their experience as BPP members to their teaching and community outreach” (p.163). Decades before Geoffrey Canada would gain fame for his bold experiment in Harlem with the Harlem Children’s Zone, the BPP was already aggressively seeking to confront factors they saw influencing children and their families through survival programs outside of the school in the communities that they were representing. </w:t>
      </w:r>
      <w:r w:rsidRPr="00FA68C9">
        <w:rPr>
          <w:highlight w:val="green"/>
          <w:u w:val="single"/>
        </w:rPr>
        <w:t>The BPP</w:t>
      </w:r>
      <w:r w:rsidRPr="00FA68C9">
        <w:rPr>
          <w:u w:val="single"/>
        </w:rPr>
        <w:t xml:space="preserve"> fully </w:t>
      </w:r>
      <w:r w:rsidRPr="00FA68C9">
        <w:rPr>
          <w:highlight w:val="green"/>
          <w:u w:val="single"/>
        </w:rPr>
        <w:t>intended</w:t>
      </w:r>
      <w:r w:rsidRPr="00FA68C9">
        <w:rPr>
          <w:u w:val="single"/>
        </w:rPr>
        <w:t xml:space="preserve"> </w:t>
      </w:r>
      <w:r w:rsidRPr="00FA68C9">
        <w:rPr>
          <w:highlight w:val="green"/>
          <w:u w:val="single"/>
        </w:rPr>
        <w:t>for their actions in the community to positively affect children</w:t>
      </w:r>
      <w:r w:rsidRPr="00FA68C9">
        <w:rPr>
          <w:u w:val="single"/>
        </w:rPr>
        <w:t xml:space="preserve"> and their learning experiences </w:t>
      </w:r>
      <w:r w:rsidRPr="00FA68C9">
        <w:rPr>
          <w:highlight w:val="green"/>
          <w:u w:val="single"/>
        </w:rPr>
        <w:t>in school</w:t>
      </w:r>
      <w:r w:rsidRPr="00FA68C9">
        <w:rPr>
          <w:sz w:val="16"/>
        </w:rPr>
        <w:t xml:space="preserve">. Ultimately the Black Panther Party’s efforts to disrupt the social inequalities facing Black and poor youth can best be described in their words as an effort to educate “the whole child” (Huggins and LeBlanc-Ernest, 2009, p.174). For the BPP this meant working both outside and inside of the Oakland Community School to challenge as many of the social, economic, and cultural factors impacting the potential rise of Black and poor youth as possible. </w:t>
      </w:r>
      <w:r w:rsidRPr="00FA68C9">
        <w:rPr>
          <w:highlight w:val="green"/>
          <w:u w:val="single"/>
        </w:rPr>
        <w:t>It meant reinventing pedagogy, re-determining the purpose of education, and creating programs</w:t>
      </w:r>
      <w:r w:rsidRPr="00FA68C9">
        <w:rPr>
          <w:u w:val="single"/>
        </w:rPr>
        <w:t xml:space="preserve"> outside of the school when necessary </w:t>
      </w:r>
      <w:r w:rsidRPr="00FA68C9">
        <w:rPr>
          <w:highlight w:val="green"/>
          <w:u w:val="single"/>
        </w:rPr>
        <w:t>to address</w:t>
      </w:r>
      <w:r w:rsidRPr="00FA68C9">
        <w:rPr>
          <w:u w:val="single"/>
        </w:rPr>
        <w:t xml:space="preserve"> social, economic, and cultural factors </w:t>
      </w:r>
      <w:r w:rsidRPr="00FA68C9">
        <w:rPr>
          <w:highlight w:val="green"/>
          <w:u w:val="single"/>
        </w:rPr>
        <w:t>negatively affecting</w:t>
      </w:r>
      <w:r w:rsidRPr="00FA68C9">
        <w:rPr>
          <w:u w:val="single"/>
        </w:rPr>
        <w:t xml:space="preserve"> and impacting the potential of </w:t>
      </w:r>
      <w:r w:rsidRPr="00FA68C9">
        <w:rPr>
          <w:highlight w:val="green"/>
          <w:u w:val="single"/>
        </w:rPr>
        <w:t>Black and poor youth</w:t>
      </w:r>
      <w:r w:rsidRPr="00FA68C9">
        <w:rPr>
          <w:sz w:val="16"/>
        </w:rPr>
        <w:t xml:space="preserve">. It meant operating the neighboring nonprofit Oakland Community Learning Center (OCLC) within the Oakland Community School during evenings and weekends (E. Huggins, personal communication, May 27, 2012). As the Oakland Community School grew and attained more resources, the OCS began to gain the capabilities to address many of the needs it had already been addressing outside of the school, as food and health care, within the school itself. Even before the Intercommunal Youth Institute (IYI) became the Oakland Community School (OCS), and before the Intercommunal Youth Institute was established, the Black Panther Party (BPP) was operating community-based survival programs. The Oakland Community School was only one of nearly two dozen survival programs which would be instated by the BPP in order to “meet the needs of the people” (Dr. Huey P. Newton Foundation, 2008, </w:t>
      </w:r>
      <w:proofErr w:type="spellStart"/>
      <w:r w:rsidRPr="00FA68C9">
        <w:rPr>
          <w:sz w:val="16"/>
        </w:rPr>
        <w:t>p.xii</w:t>
      </w:r>
      <w:proofErr w:type="spellEnd"/>
      <w:r w:rsidRPr="00FA68C9">
        <w:rPr>
          <w:sz w:val="16"/>
        </w:rPr>
        <w:t xml:space="preserve">; </w:t>
      </w:r>
      <w:proofErr w:type="spellStart"/>
      <w:r w:rsidRPr="00FA68C9">
        <w:rPr>
          <w:sz w:val="16"/>
        </w:rPr>
        <w:t>Alkebulan</w:t>
      </w:r>
      <w:proofErr w:type="spellEnd"/>
      <w:r w:rsidRPr="00FA68C9">
        <w:rPr>
          <w:sz w:val="16"/>
        </w:rPr>
        <w:t xml:space="preserve">, 2007, p.28). The programs below were some of the most ambitious and/or successful of these efforts by the BPP to address the reproduction of social and cultural inequality affecting the communities that they were serving, and thus the children in these communities as well. Intercommunal News Service: The Black Panther Although not a program granting immediate tangible sustenance to the community, the “Intercommunal News Service” was the first BPP survival program and began publishing The Black Panther weekly beginning on April 25, 1967. According to the work released by The Dr. Huey P. Newton Foundation (2008) and edited by former Panther David Hilliard, The Black Panther was a newspaper that provided: . . . news and information about the work of the Black Panther Party chapters throughout the country; news and news analysis of the Black and other oppressed communities in the United States, Africa, and around the world; theoretical writings of party ideologists; and general news features on all matters relative to the liberation of humankind from oppression of any kind (p.47) The Black Panther not only provided news about the BPP specifically, but sought to counter the reproduction of false-consciousness created by the dissemination of news and information not  fairly representing the non-dominant and non-privileged communities in the United States and the world (Dr. Huey P. Newton Foundation, 2008, p.47-53). Moreover, according to the Dr. Huey P. Newton Foundation (2008), The Black Panther hoped to increase “understanding of the nature and condition of our society” and increase “understanding of the reader of their oneness with the oppressed of the world and strengthen[s] the reader’s resolve to intensify his or her efforts toward freedom” (p.49-50). The Intercommunal News Service, through The Black Panther, desired to create an awareness which would inspire African Americans and other oppressed peoples to stop accepting their unequal position in society and to take action to move toward enlightened social, mental, and economic self-determination. It should also be noted that The Black Panther also became a space where children attending BPP educational programs and schools could express themselves alongside the educators who were serving them. Ultimately the Intercommunal News Service’s The Black Panther could be considered one of the BPP’s most ambitious educational efforts. Health Care Programs of the Black Panther Party While health care was addressed directly within the Oakland Community School, outside of the school the BPP also established programs concerned with the well-being of all those not traditionally served or neglected by America’s health care system. This effort was not random, as providing “medical attention and care” through research and “free of charge” health facilities was Point Six of the BPP’s Ten-Point Program (Dr. Huey P. Newton Foundation, 2008, p.21). Some of the most prominent and aspiring of these programs was the People’s Free Medical Research Health Clinics, the Sickle-Cell Anemia Research Foundation, and the People’s Free Ambulance Service. While it is difficult to ascertain how successful the clinics were at achieving their ambitions and goals without further research, the People’s Free Medical Research Health Clinics were founded for the purpose of providing “comprehensive health care for the community” (Dr. Huey P. Newton Foundation, 2008, p.21; </w:t>
      </w:r>
      <w:proofErr w:type="spellStart"/>
      <w:r w:rsidRPr="00FA68C9">
        <w:rPr>
          <w:sz w:val="16"/>
        </w:rPr>
        <w:t>Alkebulan</w:t>
      </w:r>
      <w:proofErr w:type="spellEnd"/>
      <w:r w:rsidRPr="00FA68C9">
        <w:rPr>
          <w:sz w:val="16"/>
        </w:rPr>
        <w:t xml:space="preserve">, 2007, p.41). </w:t>
      </w:r>
      <w:r w:rsidRPr="00FA68C9">
        <w:rPr>
          <w:u w:val="single"/>
        </w:rPr>
        <w:t>This comprehensive health care was to include doctors who could treat “common physical ailments” and refer to specialists, laboratory testing which could be administered in “conjunction with local hospitals,”</w:t>
      </w:r>
      <w:r w:rsidRPr="00FA68C9">
        <w:rPr>
          <w:sz w:val="16"/>
        </w:rPr>
        <w:t xml:space="preserve"> </w:t>
      </w:r>
      <w:r w:rsidRPr="00FA68C9">
        <w:rPr>
          <w:u w:val="single"/>
        </w:rPr>
        <w:t>and significantly a complete “Child Health Care Program</w:t>
      </w:r>
      <w:r w:rsidRPr="00FA68C9">
        <w:rPr>
          <w:sz w:val="16"/>
        </w:rPr>
        <w:t xml:space="preserve">” (Dr. Huey P. Newton Foundation, 2008, p.21). According to the Huey P. Newton Foundation (2008) the Child Health Care Program was to offer, </w:t>
      </w:r>
      <w:r w:rsidRPr="00FA68C9">
        <w:rPr>
          <w:u w:val="single"/>
        </w:rPr>
        <w:t>“immunization; screening for sickle-cell anemia, and tuberculosis; referrals; and complete physical examinations as well as treatment of illnesses”</w:t>
      </w:r>
      <w:r w:rsidRPr="00FA68C9">
        <w:rPr>
          <w:sz w:val="16"/>
        </w:rPr>
        <w:t xml:space="preserve"> (p.21-22). In addition to these offerings, the Child Health Care Program emphasized how one of its central goals was following-up and giving ongoing attention to those children who needed such maintenance (Dr. Huey P. Newton Foundation, 2008, p.22). According to former Panther and Virginia State University History Assistant Professor Dr. Paul </w:t>
      </w:r>
      <w:proofErr w:type="spellStart"/>
      <w:r w:rsidRPr="00FA68C9">
        <w:rPr>
          <w:sz w:val="16"/>
        </w:rPr>
        <w:t>Alkebulan</w:t>
      </w:r>
      <w:proofErr w:type="spellEnd"/>
      <w:r w:rsidRPr="00FA68C9">
        <w:rPr>
          <w:sz w:val="16"/>
        </w:rPr>
        <w:t xml:space="preserve"> (2007), </w:t>
      </w:r>
      <w:r w:rsidRPr="00FA68C9">
        <w:rPr>
          <w:u w:val="single"/>
        </w:rPr>
        <w:t>discussed in his work Survival pending revolution: The history of the Black Panther Party, there were BPP free medical clinics operating in, “Kansas City, Seattle, Los Angeles, Berkeley, New Haven, Portland, Chicago, Rockford (Illinois), Boston, Philadelphia, and multiple sites in New York”</w:t>
      </w:r>
      <w:r w:rsidRPr="00FA68C9">
        <w:rPr>
          <w:sz w:val="16"/>
        </w:rPr>
        <w:t xml:space="preserve"> (p.35). According to </w:t>
      </w:r>
      <w:proofErr w:type="spellStart"/>
      <w:r w:rsidRPr="00FA68C9">
        <w:rPr>
          <w:sz w:val="16"/>
        </w:rPr>
        <w:t>Alkebulan</w:t>
      </w:r>
      <w:proofErr w:type="spellEnd"/>
      <w:r w:rsidRPr="00FA68C9">
        <w:rPr>
          <w:sz w:val="16"/>
        </w:rPr>
        <w:t xml:space="preserve"> (2007), the Staten Island BPP free medical clinic was able to offer quite a bit of the services it hoped to provide: The BPP Staten Island health </w:t>
      </w:r>
      <w:proofErr w:type="spellStart"/>
      <w:r w:rsidRPr="00FA68C9">
        <w:rPr>
          <w:sz w:val="16"/>
        </w:rPr>
        <w:t>cadre</w:t>
      </w:r>
      <w:proofErr w:type="spellEnd"/>
      <w:r w:rsidRPr="00FA68C9">
        <w:rPr>
          <w:sz w:val="16"/>
        </w:rPr>
        <w:t xml:space="preserve"> recruited ‘revolutionary doctors’ who provided house calls to needy community people. </w:t>
      </w:r>
      <w:r w:rsidRPr="00FA68C9">
        <w:rPr>
          <w:u w:val="single"/>
        </w:rPr>
        <w:t>They treated anemia, worms, malnutrition, weapon injuries, hearing and vision, and gum diseases.</w:t>
      </w:r>
      <w:r w:rsidRPr="00FA68C9">
        <w:rPr>
          <w:sz w:val="16"/>
        </w:rPr>
        <w:t xml:space="preserve"> The Staten Island office also gave free physical exams and draft counseling to young men (p.35). Beyond Staten Island, medical programs were also operating in the Bronx, Brooklyn, Harlem, and Queens, and “medical cadre” from these locales were able to gather on a weekly basis to “sustain joint activities and share medical technology” (p.35-36). </w:t>
      </w:r>
      <w:proofErr w:type="spellStart"/>
      <w:r w:rsidRPr="00FA68C9">
        <w:rPr>
          <w:sz w:val="16"/>
        </w:rPr>
        <w:t>Alkebulan’s</w:t>
      </w:r>
      <w:proofErr w:type="spellEnd"/>
      <w:r w:rsidRPr="00FA68C9">
        <w:rPr>
          <w:sz w:val="16"/>
        </w:rPr>
        <w:t xml:space="preserve"> (2007) research found that the two most successful of the BPP medical programs operated in Boston and Chicago. </w:t>
      </w:r>
      <w:proofErr w:type="spellStart"/>
      <w:r w:rsidRPr="00FA68C9">
        <w:rPr>
          <w:sz w:val="16"/>
        </w:rPr>
        <w:t>Alkebulan</w:t>
      </w:r>
      <w:proofErr w:type="spellEnd"/>
      <w:r w:rsidRPr="00FA68C9">
        <w:rPr>
          <w:sz w:val="16"/>
        </w:rPr>
        <w:t xml:space="preserve"> (2007) elaborates on the Chicago free health clinic: The Spurgeon “Jake” Winters Clinic in Chicago was named after a Panther killed by police in November 1969. </w:t>
      </w:r>
      <w:r w:rsidRPr="00FA68C9">
        <w:rPr>
          <w:u w:val="single"/>
        </w:rPr>
        <w:t>Panthers worked with medical professionals who provided expertise in the areas of gynecology, obstetrics, pediatrics, optometry, and dentistry</w:t>
      </w:r>
      <w:r w:rsidRPr="00FA68C9">
        <w:rPr>
          <w:sz w:val="16"/>
        </w:rPr>
        <w:t>. Volunteers and medical students canvassed the community to facilitate the provision of services and information. The BPP claimed the clinic served more than two thousand people during the first two months of its existence (p.36). Operating with very similar capabilities to the free health clinic in Chicago, the Boston People’s Free Health Clinic opened in May of 1970. The Boston People’s Free Health Clinic was able to distinguish itself with its ability to train nurse assistants, lab technicians, and medical secretaries (</w:t>
      </w:r>
      <w:proofErr w:type="spellStart"/>
      <w:r w:rsidRPr="00FA68C9">
        <w:rPr>
          <w:sz w:val="16"/>
        </w:rPr>
        <w:t>Alkebulan</w:t>
      </w:r>
      <w:proofErr w:type="spellEnd"/>
      <w:r w:rsidRPr="00FA68C9">
        <w:rPr>
          <w:sz w:val="16"/>
        </w:rPr>
        <w:t xml:space="preserve">, 2007, p.36). In communication with former Oakland Community School Director and BPP member Ericka Huggins (personal communication, May 27, 2012), I was also able to discover that the BPP operated what they referred to as a “Free Health Clinic Consortium.” In the Bay Area twelve community clinics collaborated and worked together in offering services; four of these clinics are still active (E. Huggins, personal communication, May 27, 2012). In addition to offering broad medical treatment, particularly for children, the People’s Free Medical Research Health Clinics served an important role in working with the Sickle-Cell Anemia Research Foundation to inform, “. . . people about sickle-cell anemia and maintain[s] a national advisory committee of doctors to research this crippling disease” (Dr. Huey P. Newton Foundation, 2008, p.24). The BPP took the research of Sickle-Cell Anemia very seriously and targeted Sickle-Cell Anemia as one prominent disease which was receiving a lack of attention by the medical research community, “While the government has spent large amounts of funds and a great deal of time researching such fatal diseases as leukemia and cancer, it has shown little interest in sickle-cell anemia until the last two or three years” (The Huey P. Newton Foundation, 2008, p.26). According to the Huey P. Newton Foundation (2008) the BPP clinics, in conjunction with the Sickle-Cell Anemia Research Foundation, were able to test nearly half a million people in a period of three years (p.24). </w:t>
      </w:r>
      <w:proofErr w:type="spellStart"/>
      <w:r w:rsidRPr="00FA68C9">
        <w:rPr>
          <w:sz w:val="16"/>
        </w:rPr>
        <w:t>Alkebulan</w:t>
      </w:r>
      <w:proofErr w:type="spellEnd"/>
      <w:r w:rsidRPr="00FA68C9">
        <w:rPr>
          <w:sz w:val="16"/>
        </w:rPr>
        <w:t xml:space="preserve"> (2007) increases this number and claims in his work that BPP clinics were able to test and counsel more than one million black patients. During its operation the foundation ran a national headquarters in Oakland, CA which was able to publish and disseminate educational materials about Sickle-Cell Anemia materials on a large scale (Dr. Huey P. Newton Foundation, 2008, p.24-26). </w:t>
      </w:r>
      <w:proofErr w:type="spellStart"/>
      <w:r w:rsidRPr="00FA68C9">
        <w:rPr>
          <w:sz w:val="16"/>
        </w:rPr>
        <w:t>Alkebulan</w:t>
      </w:r>
      <w:proofErr w:type="spellEnd"/>
      <w:r w:rsidRPr="00FA68C9">
        <w:rPr>
          <w:sz w:val="16"/>
        </w:rPr>
        <w:t xml:space="preserve"> (2007) informs us that Dr. Tolbert Small was the national chairman of the BPP Sickle Cell Anemia Project. In addition to the medical services offered, the BPP also began the People’s Free Ambulance Service to offer, “. . . free, rapid transportation for sick or injured people without time-consuming checks into the patients’ financial status or means” (Huey P. Newton Foundation, 2008, p.27). It is not evident how extensive the ambulance service was across the country, but according to the Huey P. Newton Foundation (2008) one prominent city to offer successful services was Winston-Salem, North Carolina. The city was able to offer ambulance service due to a grant received from the National Episcopal Church’s General Convention Special Program (p.28). </w:t>
      </w:r>
      <w:r w:rsidRPr="00FA68C9">
        <w:rPr>
          <w:highlight w:val="green"/>
          <w:u w:val="single"/>
        </w:rPr>
        <w:t>Free Breakfast for Schoolchildren Program and the Liberation Schools Perhaps the best known</w:t>
      </w:r>
      <w:r w:rsidRPr="00FA68C9">
        <w:rPr>
          <w:u w:val="single"/>
        </w:rPr>
        <w:t xml:space="preserve">, widely considered the first </w:t>
      </w:r>
      <w:r w:rsidRPr="00FA68C9">
        <w:rPr>
          <w:highlight w:val="green"/>
          <w:u w:val="single"/>
        </w:rPr>
        <w:t>B</w:t>
      </w:r>
      <w:r w:rsidRPr="00FA68C9">
        <w:rPr>
          <w:u w:val="single"/>
        </w:rPr>
        <w:t xml:space="preserve">lack </w:t>
      </w:r>
      <w:r w:rsidRPr="00FA68C9">
        <w:rPr>
          <w:highlight w:val="green"/>
          <w:u w:val="single"/>
        </w:rPr>
        <w:t>P</w:t>
      </w:r>
      <w:r w:rsidRPr="00FA68C9">
        <w:rPr>
          <w:u w:val="single"/>
        </w:rPr>
        <w:t xml:space="preserve">anther </w:t>
      </w:r>
      <w:r w:rsidRPr="00FA68C9">
        <w:rPr>
          <w:highlight w:val="green"/>
          <w:u w:val="single"/>
        </w:rPr>
        <w:t>P</w:t>
      </w:r>
      <w:r w:rsidRPr="00FA68C9">
        <w:rPr>
          <w:u w:val="single"/>
        </w:rPr>
        <w:t xml:space="preserve">arty </w:t>
      </w:r>
      <w:r w:rsidRPr="00FA68C9">
        <w:rPr>
          <w:highlight w:val="green"/>
          <w:u w:val="single"/>
        </w:rPr>
        <w:t>survival program</w:t>
      </w:r>
      <w:r w:rsidRPr="00FA68C9">
        <w:rPr>
          <w:sz w:val="16"/>
        </w:rPr>
        <w:t xml:space="preserve"> (when the Intercommunal News Service is not considered), was the Free Breakfast for Schoolchildren Program (Huey P. Newton Foundation, 2008, p.30). The first Free Breakfast for Schoolchildren Program began on January 20, 1969 at the St. Augustine’s Episcopal Church in Oakland, CA with the support and encouragement of Father Earl Neal. By November of 1969 the coordinator for the Free Breakfast for Schoolchildren Program claimed that twenty thousand children were being served by twenty-two chapters and branches across the United States (</w:t>
      </w:r>
      <w:proofErr w:type="spellStart"/>
      <w:r w:rsidRPr="00FA68C9">
        <w:rPr>
          <w:sz w:val="16"/>
        </w:rPr>
        <w:t>Alkebulan</w:t>
      </w:r>
      <w:proofErr w:type="spellEnd"/>
      <w:r w:rsidRPr="00FA68C9">
        <w:rPr>
          <w:sz w:val="16"/>
        </w:rPr>
        <w:t xml:space="preserve">, 2007, p.32). Not only is this number of children served supported as fully plausible through analysis by scholars like </w:t>
      </w:r>
      <w:proofErr w:type="spellStart"/>
      <w:r w:rsidRPr="00FA68C9">
        <w:rPr>
          <w:sz w:val="16"/>
        </w:rPr>
        <w:t>Alkebulan</w:t>
      </w:r>
      <w:proofErr w:type="spellEnd"/>
      <w:r w:rsidRPr="00FA68C9">
        <w:rPr>
          <w:sz w:val="16"/>
        </w:rPr>
        <w:t xml:space="preserve"> (2007), but at the time the success of the program was commented on by a top governmental official, “The Panthers are feeding more kids than we are” (Dr. Huey P. Newton Foundation, 2008, p.30). </w:t>
      </w:r>
      <w:r w:rsidRPr="00FA68C9">
        <w:rPr>
          <w:u w:val="single"/>
        </w:rPr>
        <w:t xml:space="preserve">The Free Breakfast for Schoolchildren Program </w:t>
      </w:r>
      <w:r w:rsidRPr="00FA68C9">
        <w:rPr>
          <w:highlight w:val="green"/>
          <w:u w:val="single"/>
        </w:rPr>
        <w:t>aimed to alleviate the hunger that they saw affecting the ability of children to function and learn</w:t>
      </w:r>
      <w:r w:rsidRPr="00FA68C9">
        <w:rPr>
          <w:sz w:val="16"/>
        </w:rPr>
        <w:t xml:space="preserve">. Paul Crayton, Lieutenant of Religion of the Milwaukee Panthers, at the time elaborated, “. . . the main purpose of the (Breakfast) program is to feed kids in the community that are hungry. Many times kids go to school hungry and they can’t function like they want to” (Witt, 2007, p.73). Years later the Dr. Huey P. Newton Foundation (2008) illuminates further goals of the program: The program will raise (sic) consciousness in the form of people participating in a program that they put together themselves to serve themselves and their children. People will come to understand a concept of getting businesspeople in the community to give something back to the community and do so in a way that the businesspeople can understand. </w:t>
      </w:r>
      <w:r w:rsidRPr="00FA68C9">
        <w:rPr>
          <w:u w:val="single"/>
        </w:rPr>
        <w:t xml:space="preserve">The consciousness of the children will be raised in that they will see someone outside of the structure of their own family working in their interest and motivated by love and concern (p.34). </w:t>
      </w:r>
      <w:r w:rsidRPr="00FA68C9">
        <w:rPr>
          <w:highlight w:val="green"/>
          <w:u w:val="single"/>
        </w:rPr>
        <w:t xml:space="preserve">While primarily motivated to </w:t>
      </w:r>
      <w:r w:rsidRPr="00FA68C9">
        <w:rPr>
          <w:u w:val="single"/>
        </w:rPr>
        <w:t>support and raise the consciousness of</w:t>
      </w:r>
      <w:r w:rsidRPr="00FA68C9">
        <w:rPr>
          <w:highlight w:val="green"/>
          <w:u w:val="single"/>
        </w:rPr>
        <w:t xml:space="preserve"> Black and poor youth, as well as “educate the community about the contradictions in a capitalist society </w:t>
      </w:r>
      <w:r w:rsidRPr="00FA68C9">
        <w:rPr>
          <w:u w:val="single"/>
        </w:rPr>
        <w:t>between rich and poor,”</w:t>
      </w:r>
      <w:r w:rsidRPr="00FA68C9">
        <w:rPr>
          <w:sz w:val="16"/>
        </w:rPr>
        <w:t xml:space="preserve"> </w:t>
      </w:r>
      <w:proofErr w:type="spellStart"/>
      <w:r w:rsidRPr="00FA68C9">
        <w:rPr>
          <w:sz w:val="16"/>
        </w:rPr>
        <w:t>Alkebulan</w:t>
      </w:r>
      <w:proofErr w:type="spellEnd"/>
      <w:r w:rsidRPr="00FA68C9">
        <w:rPr>
          <w:sz w:val="16"/>
        </w:rPr>
        <w:t xml:space="preserve"> (2007) reveals that the Free Breakfast for Schoolchildren Program had additional purpose. According to </w:t>
      </w:r>
      <w:proofErr w:type="spellStart"/>
      <w:r w:rsidRPr="00FA68C9">
        <w:rPr>
          <w:sz w:val="16"/>
        </w:rPr>
        <w:t>Alkebulan</w:t>
      </w:r>
      <w:proofErr w:type="spellEnd"/>
      <w:r w:rsidRPr="00FA68C9">
        <w:rPr>
          <w:sz w:val="16"/>
        </w:rPr>
        <w:t xml:space="preserve"> (2007), among other initial survival programs, the Free Breakfast for Schoolchildren Program was created as a tool to raise consciousness and discipline among the membership as the BPP grew. Thus the Free Breakfast for Schoolchildren Program was also utilized as a positive national community empowerment initiative to motivate Panther members from steering away from participating in activities that could further strengthen social and cultural reproduction maintaining Black and poor people in an unequal position in American society: This program also helps more people relate to the party. They see that the party is not a bunch of avaricious fools. We have kicked out the people who robbed those banks and robbed those taverns and liquor stores for 200 and 300 and 80 dollars. . . . They will relate to the fact that the Party is really trying to serve them (</w:t>
      </w:r>
      <w:proofErr w:type="spellStart"/>
      <w:r w:rsidRPr="00FA68C9">
        <w:rPr>
          <w:sz w:val="16"/>
        </w:rPr>
        <w:t>Alkebulan</w:t>
      </w:r>
      <w:proofErr w:type="spellEnd"/>
      <w:r w:rsidRPr="00FA68C9">
        <w:rPr>
          <w:sz w:val="16"/>
        </w:rPr>
        <w:t xml:space="preserve">, 2007, p.31) While the children ate, the BPP also took the opportunity to “talk to children about community concerns,” and raise political consciousness in youth which would come to be both applauded and criticized. In his work “Minds Stayed on Freedom: Politics, Pedagogy, and the African American Freedom Struggle” Daniel </w:t>
      </w:r>
      <w:proofErr w:type="spellStart"/>
      <w:r w:rsidRPr="00FA68C9">
        <w:rPr>
          <w:sz w:val="16"/>
        </w:rPr>
        <w:t>Perlstein</w:t>
      </w:r>
      <w:proofErr w:type="spellEnd"/>
      <w:r w:rsidRPr="00FA68C9">
        <w:rPr>
          <w:sz w:val="16"/>
        </w:rPr>
        <w:t xml:space="preserve"> (2002) brings to light the words of former Panther </w:t>
      </w:r>
      <w:proofErr w:type="spellStart"/>
      <w:r w:rsidRPr="00FA68C9">
        <w:rPr>
          <w:sz w:val="16"/>
        </w:rPr>
        <w:t>Akua</w:t>
      </w:r>
      <w:proofErr w:type="spellEnd"/>
      <w:r w:rsidRPr="00FA68C9">
        <w:rPr>
          <w:sz w:val="16"/>
        </w:rPr>
        <w:t xml:space="preserve"> </w:t>
      </w:r>
      <w:proofErr w:type="spellStart"/>
      <w:r w:rsidRPr="00FA68C9">
        <w:rPr>
          <w:sz w:val="16"/>
        </w:rPr>
        <w:t>Njeri</w:t>
      </w:r>
      <w:proofErr w:type="spellEnd"/>
      <w:r w:rsidRPr="00FA68C9">
        <w:rPr>
          <w:sz w:val="16"/>
        </w:rPr>
        <w:t xml:space="preserve"> who operated a Free Breakfast for Schoolchildren Program in Chicago: </w:t>
      </w:r>
      <w:r w:rsidRPr="00FA68C9">
        <w:rPr>
          <w:u w:val="single"/>
        </w:rPr>
        <w:t xml:space="preserve">Black children went to school “and learned nothing,” </w:t>
      </w:r>
      <w:proofErr w:type="spellStart"/>
      <w:r w:rsidRPr="00FA68C9">
        <w:rPr>
          <w:u w:val="single"/>
        </w:rPr>
        <w:t>Njeri</w:t>
      </w:r>
      <w:proofErr w:type="spellEnd"/>
      <w:r w:rsidRPr="00FA68C9">
        <w:rPr>
          <w:u w:val="single"/>
        </w:rPr>
        <w:t xml:space="preserve"> argued, “not because they’re stupid, not because they’re ignorant. .</w:t>
      </w:r>
      <w:r w:rsidRPr="00FA68C9">
        <w:rPr>
          <w:sz w:val="16"/>
        </w:rPr>
        <w:t xml:space="preserve"> </w:t>
      </w:r>
      <w:r w:rsidRPr="00FA68C9">
        <w:rPr>
          <w:u w:val="single"/>
        </w:rPr>
        <w:t>. .We would say, ‘You came from a rich culture. You came from a place where you were kings and queens. You are brilliant children. But this government is fearful of you realizing who you are. This government has placed you in an educational situation that constantly tells you you’re stupid and you can’t learn and stifles you at every turn”</w:t>
      </w:r>
      <w:r w:rsidRPr="00FA68C9">
        <w:rPr>
          <w:sz w:val="16"/>
        </w:rPr>
        <w:t xml:space="preserve"> (p.263). Importantly, it can be seen that another objective of the Free Breakfast for Schoolchildren Programs was bolstering the self-esteem of children in light of an education system which the BPP saw as clearly underfunding and undervaluing the education of particularly Black youth; analysis of the success and failures of school districts like Oakland during this time period can be seen to support the BPP’s conclusions (Huggins and LeBlanc, 2009). Words coming from Panthers like </w:t>
      </w:r>
      <w:proofErr w:type="spellStart"/>
      <w:r w:rsidRPr="00FA68C9">
        <w:rPr>
          <w:sz w:val="16"/>
        </w:rPr>
        <w:t>Akua</w:t>
      </w:r>
      <w:proofErr w:type="spellEnd"/>
      <w:r w:rsidRPr="00FA68C9">
        <w:rPr>
          <w:sz w:val="16"/>
        </w:rPr>
        <w:t xml:space="preserve"> </w:t>
      </w:r>
      <w:proofErr w:type="spellStart"/>
      <w:r w:rsidRPr="00FA68C9">
        <w:rPr>
          <w:sz w:val="16"/>
        </w:rPr>
        <w:t>Njeri</w:t>
      </w:r>
      <w:proofErr w:type="spellEnd"/>
      <w:r w:rsidRPr="00FA68C9">
        <w:rPr>
          <w:sz w:val="16"/>
        </w:rPr>
        <w:t xml:space="preserve"> above would be taken into serious consideration by the FBI who would come to their own conclusion regarding the BPP’s Free Breakfast for Schoolchildren Program. According to the San Francisco Field Office of the Federal Bureau of Investigation, as delineated in the final report of the Select Committee to Study Governmental Operations with Respect to Intelligence Activities (also referred to as the Church Report), the “Free Breakfast for Schoolchildren Program” was one of the most dangerous programs of the Black Panther Party (Williamson, 2005, p.145; The Dr. Huey P. Newton Foundation, 2008, p.30). The San Francisco Field Office of the Federal Bureau of Investigation, as illuminated by former Stanford University Assistant Professor Dr. Joy Ann Williamson (2005), “. . . identified the Panther Free Breakfast Program – which was closely related to the Liberation Schools – as a prime target because of its ‘potentially successful effort . . . to teach children to hate police and spread ‘anti-white propaganda’” (p.145). The FBI’s efforts to paint the Free Breakfast for Schoolchildren Program as a program of hate did not end with rhetoric. In San Diego, California the FBI would successfully disrupt a Free Breakfast for Schoolchildren Program operating under the support of Father Frank Curran by calling his superiors and impersonating parishioners upset with his activities (</w:t>
      </w:r>
      <w:proofErr w:type="spellStart"/>
      <w:r w:rsidRPr="00FA68C9">
        <w:rPr>
          <w:sz w:val="16"/>
        </w:rPr>
        <w:t>Alkebulan</w:t>
      </w:r>
      <w:proofErr w:type="spellEnd"/>
      <w:r w:rsidRPr="00FA68C9">
        <w:rPr>
          <w:sz w:val="16"/>
        </w:rPr>
        <w:t>, 2007, p.32). On another occasion, the FBI would attempt to spoil food during a raid at an office in New York (</w:t>
      </w:r>
      <w:proofErr w:type="spellStart"/>
      <w:r w:rsidRPr="00FA68C9">
        <w:rPr>
          <w:sz w:val="16"/>
        </w:rPr>
        <w:t>Alkebulan</w:t>
      </w:r>
      <w:proofErr w:type="spellEnd"/>
      <w:r w:rsidRPr="00FA68C9">
        <w:rPr>
          <w:sz w:val="16"/>
        </w:rPr>
        <w:t>, 2007, p.33). As the Free Breakfast for Schoolchildren Programs spread successfully across the country, in spite of the FBI’s disruptions, the BPP sought to expand the educational and political consciousness component into what the BPP referred to as the Liberation Schools, “Party liberation schools resulted from the good relations that began with the free breakfasts. Panthers began to encourage children to return for other activities” (</w:t>
      </w:r>
      <w:proofErr w:type="spellStart"/>
      <w:r w:rsidRPr="00FA68C9">
        <w:rPr>
          <w:sz w:val="16"/>
        </w:rPr>
        <w:t>Alkebulan</w:t>
      </w:r>
      <w:proofErr w:type="spellEnd"/>
      <w:r w:rsidRPr="00FA68C9">
        <w:rPr>
          <w:sz w:val="16"/>
        </w:rPr>
        <w:t>, 2007, p.33). The Liberation Schools followed closely after the Free Breakfast for Schoolchildren Programs and the first began as early as June 1969 in Berkeley, Oakland, and San Francisco, California (</w:t>
      </w:r>
      <w:proofErr w:type="spellStart"/>
      <w:r w:rsidRPr="00FA68C9">
        <w:rPr>
          <w:sz w:val="16"/>
        </w:rPr>
        <w:t>Alkebulan</w:t>
      </w:r>
      <w:proofErr w:type="spellEnd"/>
      <w:r w:rsidRPr="00FA68C9">
        <w:rPr>
          <w:sz w:val="16"/>
        </w:rPr>
        <w:t xml:space="preserve">, 2007, p.33; Williamson, 2005, p.143). Thus the first BPP Liberation Schools frequently established themselves in churches already participating in hosting the BPP’s “free breakfast programs, community recreational centers, and BPP offices” (Jones and </w:t>
      </w:r>
      <w:proofErr w:type="spellStart"/>
      <w:r w:rsidRPr="00FA68C9">
        <w:rPr>
          <w:sz w:val="16"/>
        </w:rPr>
        <w:t>Gayles</w:t>
      </w:r>
      <w:proofErr w:type="spellEnd"/>
      <w:r w:rsidRPr="00FA68C9">
        <w:rPr>
          <w:sz w:val="16"/>
        </w:rPr>
        <w:t>, 2008, p.101). The BPP Liberation Schools would go on to spread across the United States with varying success (</w:t>
      </w:r>
      <w:proofErr w:type="spellStart"/>
      <w:r w:rsidRPr="00FA68C9">
        <w:rPr>
          <w:sz w:val="16"/>
        </w:rPr>
        <w:t>Alkebulan</w:t>
      </w:r>
      <w:proofErr w:type="spellEnd"/>
      <w:r w:rsidRPr="00FA68C9">
        <w:rPr>
          <w:sz w:val="16"/>
        </w:rPr>
        <w:t xml:space="preserve">, 2007, p.33-34). According to Jones and </w:t>
      </w:r>
      <w:proofErr w:type="spellStart"/>
      <w:r w:rsidRPr="00FA68C9">
        <w:rPr>
          <w:sz w:val="16"/>
        </w:rPr>
        <w:t>Gayles</w:t>
      </w:r>
      <w:proofErr w:type="spellEnd"/>
      <w:r w:rsidRPr="00FA68C9">
        <w:rPr>
          <w:sz w:val="16"/>
        </w:rPr>
        <w:t xml:space="preserve"> (2008) the Liberation Schools enrolled, “. . . a broad cross-section of Black children from the nation’s urban communities who ranged from 2 to 15 years old. Many of the BPP affiliates regularly attracted more than 50 youngsters to their respective schools” (p.101). While scholars as Jones and </w:t>
      </w:r>
      <w:proofErr w:type="spellStart"/>
      <w:r w:rsidRPr="00FA68C9">
        <w:rPr>
          <w:sz w:val="16"/>
        </w:rPr>
        <w:t>Gayles</w:t>
      </w:r>
      <w:proofErr w:type="spellEnd"/>
      <w:r w:rsidRPr="00FA68C9">
        <w:rPr>
          <w:sz w:val="16"/>
        </w:rPr>
        <w:t xml:space="preserve"> (2008) emphasize the enrollment of Black children, Huggins (personal communication, May 27, 2012) points out that Latino/a and White children were present in many programs as well. </w:t>
      </w:r>
      <w:r w:rsidRPr="00FA68C9">
        <w:rPr>
          <w:u w:val="single"/>
        </w:rPr>
        <w:t>Initially the weekly curriculum followed very closely to that which occurred at the San Francisco liberation school which came to serve twenty-five children daily, “Monday, history day; Tuesday, culture day; Wednesday, field trips; Thursdays, revolutionary films; and Friday, current events.</w:t>
      </w:r>
      <w:r w:rsidRPr="00FA68C9">
        <w:rPr>
          <w:sz w:val="16"/>
        </w:rPr>
        <w:t xml:space="preserve"> Songs and games were utilized to convey the Panther message. Children learned how to recite and explain the ten-point platform” (</w:t>
      </w:r>
      <w:proofErr w:type="spellStart"/>
      <w:r w:rsidRPr="00FA68C9">
        <w:rPr>
          <w:sz w:val="16"/>
        </w:rPr>
        <w:t>Alkebulan</w:t>
      </w:r>
      <w:proofErr w:type="spellEnd"/>
      <w:r w:rsidRPr="00FA68C9">
        <w:rPr>
          <w:sz w:val="16"/>
        </w:rPr>
        <w:t xml:space="preserve">, 2007, p.33). While the daily curricular focuses would vary by location and school, </w:t>
      </w:r>
      <w:r w:rsidRPr="00FA68C9">
        <w:rPr>
          <w:u w:val="single"/>
        </w:rPr>
        <w:t xml:space="preserve">the primary purpose of the Liberation Schools remained essentially the same across schools: </w:t>
      </w:r>
      <w:r w:rsidRPr="00FA68C9">
        <w:rPr>
          <w:highlight w:val="green"/>
          <w:u w:val="single"/>
        </w:rPr>
        <w:t>The curriculum at</w:t>
      </w:r>
      <w:r w:rsidRPr="00FA68C9">
        <w:rPr>
          <w:u w:val="single"/>
        </w:rPr>
        <w:t xml:space="preserve"> most </w:t>
      </w:r>
      <w:r w:rsidRPr="00FA68C9">
        <w:rPr>
          <w:highlight w:val="green"/>
          <w:u w:val="single"/>
        </w:rPr>
        <w:t>liberation schools consisted of basic academic skills and current events</w:t>
      </w:r>
      <w:r w:rsidRPr="00FA68C9">
        <w:rPr>
          <w:sz w:val="16"/>
        </w:rPr>
        <w:t xml:space="preserve"> gleaned from newspapers and party literature. Community volunteers and Panthers staffed the schools . . . Professional academic instruction, however, was not the primary goal of the liberation schools from 1969 to 1971. Instruction in Panther ideology and African American history were the most important items in the curriculum. This was not only because the Panthers lacked the expertise to do anything else but also because the academic potential of the liberation schools was not yet recognized by the leadership. The oversight was corrected in two years (</w:t>
      </w:r>
      <w:proofErr w:type="spellStart"/>
      <w:r w:rsidRPr="00FA68C9">
        <w:rPr>
          <w:sz w:val="16"/>
        </w:rPr>
        <w:t>Alkebulan</w:t>
      </w:r>
      <w:proofErr w:type="spellEnd"/>
      <w:r w:rsidRPr="00FA68C9">
        <w:rPr>
          <w:sz w:val="16"/>
        </w:rPr>
        <w:t xml:space="preserve">, 2007, p.34). As </w:t>
      </w:r>
      <w:proofErr w:type="spellStart"/>
      <w:r w:rsidRPr="00FA68C9">
        <w:rPr>
          <w:sz w:val="16"/>
        </w:rPr>
        <w:t>Alkebulan</w:t>
      </w:r>
      <w:proofErr w:type="spellEnd"/>
      <w:r w:rsidRPr="00FA68C9">
        <w:rPr>
          <w:sz w:val="16"/>
        </w:rPr>
        <w:t xml:space="preserve"> (2007) brings to light, </w:t>
      </w:r>
      <w:r w:rsidRPr="00FA68C9">
        <w:rPr>
          <w:highlight w:val="green"/>
          <w:u w:val="single"/>
        </w:rPr>
        <w:t>the Liberation Schools were founded</w:t>
      </w:r>
      <w:r w:rsidRPr="00FA68C9">
        <w:rPr>
          <w:u w:val="single"/>
        </w:rPr>
        <w:t xml:space="preserve"> as institutions designed less for assisting students in their daily school instruction, but </w:t>
      </w:r>
      <w:r w:rsidRPr="00FA68C9">
        <w:rPr>
          <w:highlight w:val="green"/>
          <w:u w:val="single"/>
        </w:rPr>
        <w:t>for enlightening students about their position in the world</w:t>
      </w:r>
      <w:r w:rsidRPr="00FA68C9">
        <w:rPr>
          <w:u w:val="single"/>
        </w:rPr>
        <w:t xml:space="preserve">. This also meant </w:t>
      </w:r>
      <w:r w:rsidRPr="00FA68C9">
        <w:rPr>
          <w:highlight w:val="green"/>
          <w:u w:val="single"/>
        </w:rPr>
        <w:t>fostering</w:t>
      </w:r>
      <w:r w:rsidRPr="00FA68C9">
        <w:rPr>
          <w:u w:val="single"/>
        </w:rPr>
        <w:t xml:space="preserve"> what was referred to as “</w:t>
      </w:r>
      <w:r w:rsidRPr="00FA68C9">
        <w:rPr>
          <w:highlight w:val="green"/>
          <w:u w:val="single"/>
        </w:rPr>
        <w:t>interconnectedness” with</w:t>
      </w:r>
      <w:r w:rsidRPr="00FA68C9">
        <w:rPr>
          <w:u w:val="single"/>
        </w:rPr>
        <w:t xml:space="preserve"> those in </w:t>
      </w:r>
      <w:r w:rsidRPr="00FA68C9">
        <w:rPr>
          <w:highlight w:val="green"/>
          <w:u w:val="single"/>
        </w:rPr>
        <w:t>the</w:t>
      </w:r>
      <w:r w:rsidRPr="00FA68C9">
        <w:rPr>
          <w:u w:val="single"/>
        </w:rPr>
        <w:t xml:space="preserve">ir </w:t>
      </w:r>
      <w:r w:rsidRPr="00FA68C9">
        <w:rPr>
          <w:highlight w:val="green"/>
          <w:u w:val="single"/>
        </w:rPr>
        <w:t>community</w:t>
      </w:r>
      <w:r w:rsidRPr="00FA68C9">
        <w:rPr>
          <w:u w:val="single"/>
        </w:rPr>
        <w:t xml:space="preserve"> as well as the world,</w:t>
      </w:r>
      <w:r w:rsidRPr="00FA68C9">
        <w:rPr>
          <w:sz w:val="16"/>
        </w:rPr>
        <w:t xml:space="preserve"> “. . . </w:t>
      </w:r>
      <w:r w:rsidRPr="00FA68C9">
        <w:rPr>
          <w:u w:val="single"/>
        </w:rPr>
        <w:t xml:space="preserve">Panthers used the phrase ‘Big Family’ in the classroom, as a tool to teach the students about their interconnectedness with other oppressed people across the globe </w:t>
      </w:r>
      <w:r w:rsidRPr="00FA68C9">
        <w:rPr>
          <w:sz w:val="16"/>
        </w:rPr>
        <w:t>. . .” (Williamson, 2005, p.143). Williamson (2005) makes sure to note that although this was fostered in the BPP Liberation Schools that, “. . . the Liberation Schools remained primarily Black in attendance” (p.143). Some of the innovative pedagogical methodologies which would come to be commonplace at the acclaimed Oakland Community School were also emerging at the Liberation Schools: . . . according to Val Douglas, an assistant teacher in the Berkeley school, students could self-direct some of their learning by choosing local or world events of interest for class study. Douglas remembered that a mother of one of the children was impressed by the fact that “their work shows that they can relate to what is happening to them and to other poor people in the world.” (Williamson, 2005, p.144).</w:t>
      </w:r>
    </w:p>
    <w:p w:rsidR="007B1A82" w:rsidRPr="00FA68C9" w:rsidRDefault="007B1A82" w:rsidP="007B1A82"/>
    <w:sectPr w:rsidR="007B1A82" w:rsidRPr="00FA6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456F9B"/>
    <w:multiLevelType w:val="multilevel"/>
    <w:tmpl w:val="9C9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E59EB"/>
    <w:multiLevelType w:val="hybridMultilevel"/>
    <w:tmpl w:val="30106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7542584"/>
    <w:docVar w:name="VerbatimVersion" w:val="5.1"/>
  </w:docVars>
  <w:rsids>
    <w:rsidRoot w:val="007B1A82"/>
    <w:rsid w:val="000139A3"/>
    <w:rsid w:val="00026AA7"/>
    <w:rsid w:val="000A2BB6"/>
    <w:rsid w:val="00100833"/>
    <w:rsid w:val="00104529"/>
    <w:rsid w:val="00105942"/>
    <w:rsid w:val="00107396"/>
    <w:rsid w:val="00130E81"/>
    <w:rsid w:val="0013525A"/>
    <w:rsid w:val="00144A4C"/>
    <w:rsid w:val="00164D27"/>
    <w:rsid w:val="00176AB0"/>
    <w:rsid w:val="00177B7D"/>
    <w:rsid w:val="0018322D"/>
    <w:rsid w:val="001B5776"/>
    <w:rsid w:val="001E527A"/>
    <w:rsid w:val="001F78CE"/>
    <w:rsid w:val="00251FC7"/>
    <w:rsid w:val="002855A7"/>
    <w:rsid w:val="002B146A"/>
    <w:rsid w:val="002B5331"/>
    <w:rsid w:val="002B5E17"/>
    <w:rsid w:val="00315690"/>
    <w:rsid w:val="00316B75"/>
    <w:rsid w:val="00325646"/>
    <w:rsid w:val="003460F2"/>
    <w:rsid w:val="0038158C"/>
    <w:rsid w:val="003902BA"/>
    <w:rsid w:val="003A09E2"/>
    <w:rsid w:val="00407037"/>
    <w:rsid w:val="00452477"/>
    <w:rsid w:val="004605D6"/>
    <w:rsid w:val="004B5013"/>
    <w:rsid w:val="004C60E8"/>
    <w:rsid w:val="004E3579"/>
    <w:rsid w:val="004E728B"/>
    <w:rsid w:val="004F39E0"/>
    <w:rsid w:val="00537BD5"/>
    <w:rsid w:val="00542A59"/>
    <w:rsid w:val="0057268A"/>
    <w:rsid w:val="005923BD"/>
    <w:rsid w:val="005C47FC"/>
    <w:rsid w:val="005D2912"/>
    <w:rsid w:val="006065BD"/>
    <w:rsid w:val="00645FA9"/>
    <w:rsid w:val="00647866"/>
    <w:rsid w:val="00665003"/>
    <w:rsid w:val="00677C68"/>
    <w:rsid w:val="006A2AD0"/>
    <w:rsid w:val="006B4989"/>
    <w:rsid w:val="006C2375"/>
    <w:rsid w:val="006D4ECC"/>
    <w:rsid w:val="00722258"/>
    <w:rsid w:val="007243E5"/>
    <w:rsid w:val="00766EA0"/>
    <w:rsid w:val="007A2226"/>
    <w:rsid w:val="007B1A82"/>
    <w:rsid w:val="007F5B66"/>
    <w:rsid w:val="00823A1C"/>
    <w:rsid w:val="00830BAC"/>
    <w:rsid w:val="00845B9D"/>
    <w:rsid w:val="008464D2"/>
    <w:rsid w:val="00860984"/>
    <w:rsid w:val="008B3ECB"/>
    <w:rsid w:val="008B4E85"/>
    <w:rsid w:val="008C1B2E"/>
    <w:rsid w:val="0091627E"/>
    <w:rsid w:val="0091752B"/>
    <w:rsid w:val="0097032B"/>
    <w:rsid w:val="00987B4C"/>
    <w:rsid w:val="009D2EAD"/>
    <w:rsid w:val="009D54B2"/>
    <w:rsid w:val="009E1922"/>
    <w:rsid w:val="009F7ED2"/>
    <w:rsid w:val="00A42818"/>
    <w:rsid w:val="00A93661"/>
    <w:rsid w:val="00A95652"/>
    <w:rsid w:val="00AC0AB8"/>
    <w:rsid w:val="00AE1716"/>
    <w:rsid w:val="00B20687"/>
    <w:rsid w:val="00B33C6D"/>
    <w:rsid w:val="00B4508F"/>
    <w:rsid w:val="00B55AD5"/>
    <w:rsid w:val="00B74B4C"/>
    <w:rsid w:val="00B8057C"/>
    <w:rsid w:val="00BD6238"/>
    <w:rsid w:val="00BE0801"/>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3020"/>
    <w:rsid w:val="00DA1C92"/>
    <w:rsid w:val="00DA25D4"/>
    <w:rsid w:val="00DA6538"/>
    <w:rsid w:val="00E072DD"/>
    <w:rsid w:val="00E10FD7"/>
    <w:rsid w:val="00E15E75"/>
    <w:rsid w:val="00E5262C"/>
    <w:rsid w:val="00E67E97"/>
    <w:rsid w:val="00EB58EE"/>
    <w:rsid w:val="00EC7DC4"/>
    <w:rsid w:val="00ED30CF"/>
    <w:rsid w:val="00F176EF"/>
    <w:rsid w:val="00F45E10"/>
    <w:rsid w:val="00F503DE"/>
    <w:rsid w:val="00F6364A"/>
    <w:rsid w:val="00F9113A"/>
    <w:rsid w:val="00FA68C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4B58D8-6F43-480D-ABEB-4D088C771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58EE"/>
    <w:rPr>
      <w:rFonts w:ascii="Times New Roman" w:hAnsi="Times New Roman" w:cs="Times New Roman"/>
    </w:rPr>
  </w:style>
  <w:style w:type="paragraph" w:styleId="Heading1">
    <w:name w:val="heading 1"/>
    <w:aliases w:val="Pocket"/>
    <w:basedOn w:val="Normal"/>
    <w:next w:val="Normal"/>
    <w:link w:val="Heading1Char"/>
    <w:qFormat/>
    <w:rsid w:val="00EB58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58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58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B58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58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58EE"/>
  </w:style>
  <w:style w:type="character" w:customStyle="1" w:styleId="Heading1Char">
    <w:name w:val="Heading 1 Char"/>
    <w:aliases w:val="Pocket Char"/>
    <w:basedOn w:val="DefaultParagraphFont"/>
    <w:link w:val="Heading1"/>
    <w:rsid w:val="00EB58E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58E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B58E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EB58EE"/>
    <w:rPr>
      <w:rFonts w:ascii="Times New Roman" w:eastAsiaTheme="majorEastAsia" w:hAnsi="Times New Roman" w:cstheme="majorBidi"/>
      <w:b/>
      <w:iCs/>
      <w:sz w:val="26"/>
    </w:rPr>
  </w:style>
  <w:style w:type="character" w:styleId="Emphasis">
    <w:name w:val="Emphasis"/>
    <w:basedOn w:val="DefaultParagraphFont"/>
    <w:uiPriority w:val="7"/>
    <w:qFormat/>
    <w:rsid w:val="00EB58EE"/>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EB58EE"/>
    <w:rPr>
      <w:b/>
      <w:bCs/>
      <w:sz w:val="26"/>
      <w:u w:val="none"/>
    </w:rPr>
  </w:style>
  <w:style w:type="character" w:customStyle="1" w:styleId="StyleUnderline">
    <w:name w:val="Style Underline"/>
    <w:aliases w:val="Underline"/>
    <w:basedOn w:val="DefaultParagraphFont"/>
    <w:uiPriority w:val="6"/>
    <w:qFormat/>
    <w:rsid w:val="00EB58EE"/>
    <w:rPr>
      <w:b w:val="0"/>
      <w:sz w:val="22"/>
      <w:u w:val="single"/>
    </w:rPr>
  </w:style>
  <w:style w:type="character" w:styleId="Hyperlink">
    <w:name w:val="Hyperlink"/>
    <w:basedOn w:val="DefaultParagraphFont"/>
    <w:uiPriority w:val="99"/>
    <w:unhideWhenUsed/>
    <w:rsid w:val="00EB58EE"/>
    <w:rPr>
      <w:color w:val="auto"/>
      <w:u w:val="none"/>
    </w:rPr>
  </w:style>
  <w:style w:type="character" w:styleId="FollowedHyperlink">
    <w:name w:val="FollowedHyperlink"/>
    <w:basedOn w:val="DefaultParagraphFont"/>
    <w:uiPriority w:val="99"/>
    <w:semiHidden/>
    <w:unhideWhenUsed/>
    <w:rsid w:val="00EB58EE"/>
    <w:rPr>
      <w:color w:val="auto"/>
      <w:u w:val="none"/>
    </w:rPr>
  </w:style>
  <w:style w:type="paragraph" w:styleId="DocumentMap">
    <w:name w:val="Document Map"/>
    <w:basedOn w:val="Normal"/>
    <w:link w:val="DocumentMapChar"/>
    <w:uiPriority w:val="99"/>
    <w:semiHidden/>
    <w:unhideWhenUsed/>
    <w:rsid w:val="00BE080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0801"/>
    <w:rPr>
      <w:rFonts w:ascii="Lucida Grande" w:hAnsi="Lucida Grande" w:cs="Lucida Grande"/>
      <w:sz w:val="24"/>
    </w:rPr>
  </w:style>
  <w:style w:type="paragraph" w:customStyle="1" w:styleId="p1">
    <w:name w:val="p1"/>
    <w:basedOn w:val="Normal"/>
    <w:rsid w:val="00BE0801"/>
    <w:rPr>
      <w:rFonts w:ascii="Times" w:hAnsi="Times"/>
      <w:color w:val="2F2A2B"/>
      <w:sz w:val="15"/>
      <w:szCs w:val="15"/>
    </w:rPr>
  </w:style>
  <w:style w:type="paragraph" w:customStyle="1" w:styleId="p2">
    <w:name w:val="p2"/>
    <w:basedOn w:val="Normal"/>
    <w:rsid w:val="00BE0801"/>
    <w:rPr>
      <w:rFonts w:ascii="Times" w:hAnsi="Times"/>
      <w:sz w:val="15"/>
      <w:szCs w:val="15"/>
    </w:rPr>
  </w:style>
  <w:style w:type="paragraph" w:customStyle="1" w:styleId="p3">
    <w:name w:val="p3"/>
    <w:basedOn w:val="Normal"/>
    <w:rsid w:val="00BE0801"/>
    <w:rPr>
      <w:rFonts w:ascii="Times" w:hAnsi="Times"/>
      <w:color w:val="2F2A2B"/>
      <w:sz w:val="14"/>
      <w:szCs w:val="14"/>
    </w:rPr>
  </w:style>
  <w:style w:type="character" w:customStyle="1" w:styleId="s1">
    <w:name w:val="s1"/>
    <w:basedOn w:val="DefaultParagraphFont"/>
    <w:rsid w:val="00BE0801"/>
    <w:rPr>
      <w:rFonts w:ascii="Helvetica" w:hAnsi="Helvetica" w:hint="default"/>
      <w:sz w:val="15"/>
      <w:szCs w:val="15"/>
    </w:rPr>
  </w:style>
  <w:style w:type="paragraph" w:customStyle="1" w:styleId="paddtop10">
    <w:name w:val="padd_top10"/>
    <w:basedOn w:val="Normal"/>
    <w:rsid w:val="00BE0801"/>
    <w:pPr>
      <w:spacing w:before="100" w:beforeAutospacing="1" w:after="100" w:afterAutospacing="1"/>
    </w:pPr>
    <w:rPr>
      <w:sz w:val="24"/>
    </w:rPr>
  </w:style>
  <w:style w:type="paragraph" w:styleId="ListParagraph">
    <w:name w:val="List Paragraph"/>
    <w:basedOn w:val="Normal"/>
    <w:uiPriority w:val="99"/>
    <w:unhideWhenUsed/>
    <w:qFormat/>
    <w:rsid w:val="00BE0801"/>
    <w:pPr>
      <w:ind w:left="720"/>
      <w:contextualSpacing/>
    </w:pPr>
  </w:style>
  <w:style w:type="character" w:customStyle="1" w:styleId="UnresolvedMention">
    <w:name w:val="Unresolved Mention"/>
    <w:basedOn w:val="DefaultParagraphFont"/>
    <w:uiPriority w:val="99"/>
    <w:unhideWhenUsed/>
    <w:rsid w:val="00BE080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ritage.org/immigration/commentary/sanctuary-cities-thats-constitutional-hell-no" TargetMode="External"/><Relationship Id="rId13" Type="http://schemas.openxmlformats.org/officeDocument/2006/relationships/hyperlink" Target="http://dx.doi.org/10.1080/17496896.2011.574508" TargetMode="External"/><Relationship Id="rId3" Type="http://schemas.openxmlformats.org/officeDocument/2006/relationships/styles" Target="styles.xml"/><Relationship Id="rId7" Type="http://schemas.openxmlformats.org/officeDocument/2006/relationships/hyperlink" Target="http://www.nationalreview.com/article/449723/school-choice-federal-education-tax-credit-include-private-faith-based-schools" TargetMode="External"/><Relationship Id="rId12" Type="http://schemas.openxmlformats.org/officeDocument/2006/relationships/hyperlink" Target="http://epress.lib.uts.edu.au/journals/index.php/csrj/article/view/1725/21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snews.com/education/blogs/high-school-notes/2011/11/11/boys--girls-clubs-provide-support-for-military-children" TargetMode="External"/><Relationship Id="rId11" Type="http://schemas.openxmlformats.org/officeDocument/2006/relationships/hyperlink" Target="http://www.jceps.com/wp-content/uploads/2015/01/12-3-07.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ro.uow.edu.au/cgi/viewcontent.cgi?article=3016&amp;context=lhapapers" TargetMode="External"/><Relationship Id="rId4" Type="http://schemas.openxmlformats.org/officeDocument/2006/relationships/settings" Target="settings.xml"/><Relationship Id="rId9" Type="http://schemas.openxmlformats.org/officeDocument/2006/relationships/hyperlink" Target="http://www.latimes.com/opinion/op-ed/la-oe-rivkin-foley-sanctuary-city-20161207-story.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C7C33-1B4A-48D0-979D-542599287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16880</Words>
  <Characters>96221</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dc:creator>
  <cp:keywords>5.1.1</cp:keywords>
  <dc:description/>
  <cp:lastModifiedBy>Watson, Carly</cp:lastModifiedBy>
  <cp:revision>2</cp:revision>
  <dcterms:created xsi:type="dcterms:W3CDTF">2017-07-25T01:01:00Z</dcterms:created>
  <dcterms:modified xsi:type="dcterms:W3CDTF">2017-07-25T01:01:00Z</dcterms:modified>
</cp:coreProperties>
</file>