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5B4EDB" w:rsidP="005B4EDB">
      <w:pPr>
        <w:pStyle w:val="Heading1"/>
      </w:pPr>
      <w:r>
        <w:t>cultural competence neg</w:t>
      </w:r>
    </w:p>
    <w:p w:rsidR="004D2894" w:rsidRPr="004426AB" w:rsidRDefault="004D2894" w:rsidP="004426AB">
      <w:bookmarkStart w:id="0" w:name="_GoBack"/>
      <w:bookmarkEnd w:id="0"/>
    </w:p>
    <w:p w:rsidR="004426AB" w:rsidRDefault="004426AB" w:rsidP="004426AB">
      <w:pPr>
        <w:pStyle w:val="Heading2"/>
      </w:pPr>
    </w:p>
    <w:p w:rsidR="00C976ED" w:rsidRDefault="00C976ED" w:rsidP="00C976ED">
      <w:pPr>
        <w:pStyle w:val="Heading2"/>
      </w:pPr>
      <w:r>
        <w:t>topicality</w:t>
      </w:r>
    </w:p>
    <w:p w:rsidR="00C976ED" w:rsidRDefault="00C976ED" w:rsidP="00C976ED">
      <w:pPr>
        <w:pStyle w:val="Heading3"/>
      </w:pPr>
      <w:r>
        <w:t>violation – curriculum</w:t>
      </w:r>
    </w:p>
    <w:p w:rsidR="00C976ED" w:rsidRDefault="00C976ED" w:rsidP="00C976ED"/>
    <w:p w:rsidR="00C976ED" w:rsidRPr="00222067" w:rsidRDefault="00C976ED" w:rsidP="00C976ED">
      <w:pPr>
        <w:pStyle w:val="Heading4"/>
      </w:pPr>
      <w:r w:rsidRPr="00222067">
        <w:t>Curriculum specifically precludes methods of instruction</w:t>
      </w:r>
    </w:p>
    <w:p w:rsidR="00C976ED" w:rsidRPr="005B7A0F" w:rsidRDefault="00C976ED" w:rsidP="005B7A0F">
      <w:r w:rsidRPr="005B7A0F">
        <w:rPr>
          <w:rStyle w:val="Style13ptBold"/>
        </w:rPr>
        <w:t>Su 12</w:t>
      </w:r>
      <w:r w:rsidRPr="005B7A0F">
        <w:t xml:space="preserve"> (Shao-Wen Su received her Doctor of Philosophy degree in Education from the University of Newcastle, Australia in 2003, an MA in English Literature and Language, Taiwan in 1990 and a BA in Foreign Literature and Languages, Taiwan in 1987. She teaches as an associate professor at the Department of Applied English, National Chin-Yi University of Technology, Taiwan. She has been teaching EFL in colleges and universities for nearly 19 years. Her research interests mainly include areas of English writing, English literature and ESP instructions as well as curriculum design and evaluation. </w:t>
      </w:r>
      <w:hyperlink r:id="rId6" w:anchor="page=155" w:history="1">
        <w:r w:rsidRPr="005B7A0F">
          <w:rPr>
            <w:rStyle w:val="Hyperlink"/>
          </w:rPr>
          <w:t>http://www.academypublication.com/issues/past/jltr/vol03/01/jltr0301.pdf#page=155</w:t>
        </w:r>
      </w:hyperlink>
      <w:r w:rsidRPr="005B7A0F">
        <w:t xml:space="preserve"> “The Various Concepts of Curriculum and the Factors Involved in Curricula-making” pg 154 January 2012) J.W.</w:t>
      </w:r>
    </w:p>
    <w:p w:rsidR="00C976ED" w:rsidRPr="002C12FF" w:rsidRDefault="00C976ED" w:rsidP="00C976ED">
      <w:pPr>
        <w:rPr>
          <w:b/>
        </w:rPr>
      </w:pPr>
      <w:r w:rsidRPr="002C12FF">
        <w:rPr>
          <w:highlight w:val="green"/>
          <w:u w:val="single"/>
        </w:rPr>
        <w:t>Curriculum</w:t>
      </w:r>
      <w:r>
        <w:t xml:space="preserve"> can be </w:t>
      </w:r>
      <w:r w:rsidRPr="002C12FF">
        <w:rPr>
          <w:highlight w:val="green"/>
          <w:u w:val="single"/>
        </w:rPr>
        <w:t>understood as a process of selecting courses of study or content</w:t>
      </w:r>
      <w:r>
        <w:t xml:space="preserve"> (Beauchamp, 1977; Wood &amp; Davis, 1978). In this sense, a </w:t>
      </w:r>
      <w:r w:rsidRPr="002C12FF">
        <w:rPr>
          <w:highlight w:val="green"/>
          <w:u w:val="single"/>
        </w:rPr>
        <w:t>curriculum</w:t>
      </w:r>
      <w:r>
        <w:t xml:space="preserve"> also </w:t>
      </w:r>
      <w:r w:rsidRPr="002C12FF">
        <w:rPr>
          <w:highlight w:val="green"/>
          <w:u w:val="single"/>
        </w:rPr>
        <w:t xml:space="preserve">either describes or prescribes the content and goals of formal instruction </w:t>
      </w:r>
      <w:r w:rsidRPr="002C12FF">
        <w:rPr>
          <w:b/>
          <w:highlight w:val="green"/>
          <w:u w:val="single"/>
        </w:rPr>
        <w:t>but lays the means of instruction out of the foreground of focus.</w:t>
      </w:r>
      <w:r w:rsidRPr="002C12FF">
        <w:rPr>
          <w:b/>
        </w:rPr>
        <w:t xml:space="preserve"> </w:t>
      </w:r>
    </w:p>
    <w:p w:rsidR="00C976ED" w:rsidRPr="00C976ED" w:rsidRDefault="00C976ED" w:rsidP="00C976ED"/>
    <w:p w:rsidR="00C976ED" w:rsidRDefault="00C976ED" w:rsidP="00971741"/>
    <w:p w:rsidR="00CC593C" w:rsidRDefault="00CC593C" w:rsidP="00CC593C">
      <w:pPr>
        <w:pStyle w:val="Heading2"/>
      </w:pPr>
    </w:p>
    <w:p w:rsidR="00D42850" w:rsidRDefault="00D42850" w:rsidP="00D42850">
      <w:pPr>
        <w:pStyle w:val="Heading2"/>
      </w:pPr>
      <w:r>
        <w:t>disads</w:t>
      </w:r>
    </w:p>
    <w:p w:rsidR="00D42850" w:rsidRDefault="00D42850" w:rsidP="00D42850">
      <w:pPr>
        <w:pStyle w:val="Heading3"/>
      </w:pPr>
      <w:r>
        <w:t>***federalism</w:t>
      </w:r>
    </w:p>
    <w:p w:rsidR="00D42850" w:rsidRDefault="00D42850" w:rsidP="00D42850">
      <w:pPr>
        <w:pStyle w:val="Heading3"/>
      </w:pPr>
      <w:r>
        <w:t>link – teacher training</w:t>
      </w:r>
    </w:p>
    <w:p w:rsidR="00D42850" w:rsidRPr="008039D3" w:rsidRDefault="00D42850" w:rsidP="00D42850"/>
    <w:p w:rsidR="00D42850" w:rsidRPr="008039D3" w:rsidRDefault="00D42850" w:rsidP="00D42850">
      <w:pPr>
        <w:pStyle w:val="Heading4"/>
      </w:pPr>
      <w:r>
        <w:t>Federal intervention in teacher training devastates federalism balance</w:t>
      </w:r>
      <w:r w:rsidRPr="008039D3">
        <w:t>—Australia proves</w:t>
      </w:r>
    </w:p>
    <w:p w:rsidR="00D42850" w:rsidRDefault="00D42850" w:rsidP="00D42850">
      <w:r w:rsidRPr="008039D3">
        <w:rPr>
          <w:rStyle w:val="Style13ptBold"/>
        </w:rPr>
        <w:t>Buckingham 13</w:t>
      </w:r>
      <w:r w:rsidRPr="008039D3">
        <w:t>, Jennifer Buckingham is a research fellow at The Centre for Independent Studies, http://www.abc.net.au/news/2013-07-30/buckingham---education/4853236 , Federal Government has no place in the classroom, July, 30, 2013, AR</w:t>
      </w:r>
    </w:p>
    <w:p w:rsidR="00D42850" w:rsidRPr="008039D3" w:rsidRDefault="00D42850" w:rsidP="00D42850"/>
    <w:p w:rsidR="00D42850" w:rsidRPr="008C26BA" w:rsidRDefault="00D42850" w:rsidP="00D42850">
      <w:r w:rsidRPr="008C26BA">
        <w:rPr>
          <w:rStyle w:val="StyleUnderline"/>
        </w:rPr>
        <w:t>The best thing a new federal government can do for education is to establish a fair and neutral funding system, provide good teachers, then get out of the way and let them do their job</w:t>
      </w:r>
      <w:r>
        <w:t xml:space="preserve">, argues Jennifer Buckingham. School education is important to voters. With an election on the horizon, the incumbent and alternative governments will expand their education policy focus beyond the funding reforms that have dominated public debate. </w:t>
      </w:r>
      <w:r w:rsidRPr="008C26BA">
        <w:rPr>
          <w:rStyle w:val="StyleUnderline"/>
        </w:rPr>
        <w:t>There is plenty of fertile ground for well-meaning interference, but there are only a few areas in which the federal government has a legitimate concern</w:t>
      </w:r>
      <w:r>
        <w:t xml:space="preserve">. Due to widespread interest in education, the last several federal governments of both persuasions have shown a tendency to become increasingly interventionist. The Howard government's intercession in schools came via the establishment of a number of relatively marginal programs such as funding for flagpoles, the school chaplains program, and the Investing in Our Schools building program. These programs attempted to circumvent state governments and deal directly with schools. The Rudd/Gillard/Rudd government has implemented broader and more sweeping changes that ensnared state governments and, while cloaked in the language of greater school autonomy, are the opposite in substance. Arguably, </w:t>
      </w:r>
      <w:r w:rsidRPr="008C26BA">
        <w:rPr>
          <w:rStyle w:val="StyleUnderline"/>
        </w:rPr>
        <w:t>in a federation where education is the responsibility of states, policy at the national level should be minimalist when it comes to the operation of schools. The proper and sole role of the federal government, which does not operate any schools or employ any teachers (but nonetheless employs 1,000 people in its education department) is to create the conditions and incentives for schools to flourish, not to impede or engineer their activities.</w:t>
      </w:r>
      <w:r>
        <w:t xml:space="preserve"> It is difficult to remember a time when this minimalist approach was in play, so accustomed have we become to the idea of federal government influence in schools and the inevitable politicis ation of education. One of the positive aspects of Labor's Better Schools reforms is the termination of many programs funded and administered by the federal education department. More than 40 funding items were listed in the 2012–13 Budget. In the current budget, only 20 of these programs are included in the forward estimates beyond 2014 and fewer still beyond 2015. </w:t>
      </w:r>
      <w:r w:rsidRPr="008C26BA">
        <w:rPr>
          <w:rStyle w:val="StyleUnderline"/>
        </w:rPr>
        <w:t>This should be the goal of any future federal government - to reduce its involvement in the activities of schools as much as possible</w:t>
      </w:r>
      <w:r>
        <w:t>. Unfortunately, the National Plan for School Improvement within the Australian Education Act takes the opposite approach, extending the reach of the federal minister in unprecedented ways. It is impossible to foresee how much an incoming government will take advantage of the opportunity the legislation affords. The future of the Better Schools reforms is yet to be settled, but three other major areas currently fall within the remit of the incoming federal government—national curriculum, NAPLAN/My School, and teacher training. Regardless of the questionable wisdom of introducing a national curriculum, that ship has sailed</w:t>
      </w:r>
      <w:r w:rsidRPr="008C26BA">
        <w:rPr>
          <w:rStyle w:val="StyleUnderline"/>
        </w:rPr>
        <w:t>. So much time has been invested in preparing teachers that sinking it now would do more harm than good.</w:t>
      </w:r>
      <w:r>
        <w:t xml:space="preserve"> The best course of action for a future federal government is ensure that the Australian Curriculum is of the highest possible standard, does not become politicised, and is optional rather than compulsory. The Senate inquiry into NAPLAN and My School is a serious threat to transparency in government. The existing system is well-balanced - testing is infrequent and low-stakes, while providing schools and parents with sufficient data to be useful. The Senate inquiry will receive advice from some quarters that the scope of the testing is too narrow and more curriculum areas should be tested. Others will advise the inquiry that the test results should not be publicly available. Both positions are wrong - one will increase the burden on schools and the other will deny parents their rightful access to information. Notwithstanding ongoing efforts to ensure that school information is accurate, NAPLAN and My School should be left alone. Both sides of politics support the idea of improving the quality of teachers, but identifying quality in teaching is a fraught exercise. Witness the very long time taken to develop consensus on professional standards that define high quality teaching. Also witness the difficulty in using professional standards to differentiate among teachers. (In May, The Age newspaper reported that 99.8 per cent of Victorian public school teachers had passed the annual performance review and progressed up the pay scale). </w:t>
      </w:r>
      <w:r w:rsidRPr="008C26BA">
        <w:rPr>
          <w:rStyle w:val="StyleUnderline"/>
        </w:rPr>
        <w:t>The federal government has little scope for manipulating teacher quality within schools,</w:t>
      </w:r>
      <w:r>
        <w:t xml:space="preserve"> so it is now beginning to focus on the quality of teacher candidates before they get into the classroom. There are moves to elevate the standards for both entry to and exit from pre-service teaching degrees by setting minimum achievement benchmarks. This strategy has merits and drawbacks, but if there is to be long-term and substantial improvement in quality of teaching, this is a critical element of the solution. </w:t>
      </w:r>
      <w:r w:rsidRPr="008C26BA">
        <w:rPr>
          <w:rStyle w:val="StyleUnderline"/>
        </w:rPr>
        <w:t>No matter one's opinion on the means to improve education, it is tempting to look to government for the solution. Yet, more often than not, federal government involvement in schools is an exercise in politics rather than good policy, the repercussions of which can be felt for decades. The best thing a new federal government can do is establish a fair and neutral funding system for all students in all schools, provide good teachers, and then get out of the way and let them do their job.</w:t>
      </w:r>
    </w:p>
    <w:p w:rsidR="00D42850" w:rsidRPr="00B624C8" w:rsidRDefault="00D42850" w:rsidP="00D42850"/>
    <w:p w:rsidR="00D42850" w:rsidRPr="00B624C8" w:rsidRDefault="00D42850" w:rsidP="00D42850">
      <w:pPr>
        <w:pStyle w:val="Heading4"/>
      </w:pPr>
      <w:r>
        <w:t>State leadership is best</w:t>
      </w:r>
    </w:p>
    <w:p w:rsidR="00D42850" w:rsidRPr="00B624C8" w:rsidRDefault="00D42850" w:rsidP="00D42850">
      <w:r w:rsidRPr="00B624C8">
        <w:rPr>
          <w:rStyle w:val="Style13ptBold"/>
        </w:rPr>
        <w:t>Bush 15</w:t>
      </w:r>
      <w:r w:rsidRPr="00B624C8">
        <w:t xml:space="preserve"> (Jeb Bush, Republican Governor of Florida from 1999 to 2007, </w:t>
      </w:r>
      <w:hyperlink r:id="rId7" w:history="1">
        <w:r w:rsidRPr="00B624C8">
          <w:rPr>
            <w:rStyle w:val="Hyperlink"/>
          </w:rPr>
          <w:t>https://www.washingtonpost.com/opinions/let-states-take-the-lead-in-transforming-schools/2015/03/06/0c5ecbb8-c132-11e4-9ec2-b418f57a4a99_story.html?utm_term=.7f56dd93959dhttps://www.washingtonpost.com/opinions/let-states-take-the-lead-in-transforming-schools/2015/03/06/0c5ecbb8-c132-11e4-9ec2-b418f57a4a99_story.html?utm_term=.7f56dd93959d</w:t>
        </w:r>
      </w:hyperlink>
      <w:r w:rsidRPr="00B624C8">
        <w:t xml:space="preserve">, Let States take the lead in Education, Washington post, March 6, 2015) AR </w:t>
      </w:r>
    </w:p>
    <w:p w:rsidR="00D42850" w:rsidRDefault="00D42850" w:rsidP="00D42850">
      <w:r w:rsidRPr="0044197F">
        <w:rPr>
          <w:rStyle w:val="StyleUnderline"/>
        </w:rPr>
        <w:t xml:space="preserve">Given all the challenges facing education reform, we need to remember who really should make the decisions about what happens in our schools: state and local authorities </w:t>
      </w:r>
      <w:r>
        <w:t xml:space="preserve">and, most important, parents. </w:t>
      </w:r>
      <w:r w:rsidRPr="0044197F">
        <w:rPr>
          <w:rStyle w:val="StyleUnderline"/>
        </w:rPr>
        <w:t>This tends to get lost in a lot of education policy debates</w:t>
      </w:r>
      <w:r>
        <w:t>, whether on school choice, accountability, teacher pay or standards.</w:t>
      </w:r>
    </w:p>
    <w:p w:rsidR="00D42850" w:rsidRDefault="00D42850" w:rsidP="00D42850">
      <w:r>
        <w:t>That’s why it is so important to finally tackle the reauthorization of the Elementary and Secondary Education Act (ESEA), the critical piece of legislation that sets out the role of the federal government in school funding and policy. The act has not been improved and reauthorized since it expired in 2007. Instead, the Obama administration has issued a patchwork of waivers and side deals, given out by fiat and without consistency. No wonder parents and state and local leaders question Washington’s motives when it comes to our schools.</w:t>
      </w:r>
    </w:p>
    <w:p w:rsidR="00D42850" w:rsidRDefault="00D42850" w:rsidP="00D42850">
      <w:r w:rsidRPr="0044197F">
        <w:rPr>
          <w:rStyle w:val="StyleUnderline"/>
        </w:rPr>
        <w:t>The federal government’s role in elementary and secondary education</w:t>
      </w:r>
      <w:r>
        <w:t xml:space="preserve"> </w:t>
      </w:r>
      <w:r w:rsidRPr="0044197F">
        <w:rPr>
          <w:rStyle w:val="StyleUnderline"/>
        </w:rPr>
        <w:t>should be limited</w:t>
      </w:r>
      <w:r>
        <w:t>: It should work to create transparency so that parents can see how their local schools measure up; it should support policies that have a proven record; and it should make sure states can’t ignore students who need extra help. That’s it.</w:t>
      </w:r>
    </w:p>
    <w:p w:rsidR="00D42850" w:rsidRDefault="00D42850" w:rsidP="00D42850">
      <w:pPr>
        <w:rPr>
          <w:rStyle w:val="StyleUnderline"/>
        </w:rPr>
      </w:pPr>
      <w:r>
        <w:rPr>
          <w:rStyle w:val="StyleUnderline"/>
        </w:rPr>
        <w:t xml:space="preserve">The reauthorization process can define and clarify this role. </w:t>
      </w:r>
      <w:r w:rsidRPr="0044197F">
        <w:rPr>
          <w:rStyle w:val="StyleUnderline"/>
        </w:rPr>
        <w:t xml:space="preserve">Where the federal government maintains the power of the purse — as it does with Title I programs aimed at supporting students from disadvantaged backgrounds — Congress should direct it to let states use that funding in a flexible manner to meet the goal of the programs. </w:t>
      </w:r>
      <w:r>
        <w:rPr>
          <w:rStyle w:val="StyleUnderline"/>
        </w:rPr>
        <w:t>For example, states should have the right to decide whether Title I funding should be used to create education savings accounts that parents can use to send their kids to the schools that best meet their needs.</w:t>
      </w:r>
    </w:p>
    <w:p w:rsidR="00D42850" w:rsidRPr="0044197F" w:rsidRDefault="00D42850" w:rsidP="00D42850">
      <w:pPr>
        <w:rPr>
          <w:rStyle w:val="StyleUnderline"/>
        </w:rPr>
      </w:pPr>
      <w:r w:rsidRPr="0044197F">
        <w:rPr>
          <w:rStyle w:val="StyleUnderline"/>
        </w:rPr>
        <w:t xml:space="preserve">In short, the federal role should be subservient to the </w:t>
      </w:r>
      <w:r>
        <w:rPr>
          <w:rStyle w:val="StyleUnderline"/>
        </w:rPr>
        <w:t>role of states.</w:t>
      </w:r>
    </w:p>
    <w:p w:rsidR="00D42850" w:rsidRPr="0044197F" w:rsidRDefault="00D42850" w:rsidP="00D42850">
      <w:pPr>
        <w:rPr>
          <w:rStyle w:val="StyleUnderline"/>
        </w:rPr>
      </w:pPr>
      <w:r w:rsidRPr="0044197F">
        <w:rPr>
          <w:rStyle w:val="StyleUnderline"/>
        </w:rPr>
        <w:t>We are long overdue in setting the lines of authority so clearly. State efforts to raise standards have been muddied by the Obama administration. Federal funding has become a whipping stick to be used on local district leaders who are unwilling to go along with every pr</w:t>
      </w:r>
      <w:r>
        <w:rPr>
          <w:rStyle w:val="StyleUnderline"/>
        </w:rPr>
        <w:t>ogram dreamed up in Washington.</w:t>
      </w:r>
    </w:p>
    <w:p w:rsidR="00D42850" w:rsidRPr="00D425A4" w:rsidRDefault="00D42850" w:rsidP="00D42850">
      <w:pPr>
        <w:rPr>
          <w:rStyle w:val="StyleUnderline"/>
        </w:rPr>
      </w:pPr>
      <w:r w:rsidRPr="0044197F">
        <w:rPr>
          <w:rStyle w:val="StyleUnderline"/>
        </w:rPr>
        <w:t>Fundamentally, the needed transformation of our education system will never be achieved by Washington. The best reform ideas begin at the state and local level. That’s where reform will succee</w:t>
      </w:r>
      <w:r>
        <w:rPr>
          <w:rStyle w:val="StyleUnderline"/>
        </w:rPr>
        <w:t>d.</w:t>
      </w:r>
    </w:p>
    <w:p w:rsidR="00D42850" w:rsidRPr="00D425A4" w:rsidRDefault="00D42850" w:rsidP="00D42850">
      <w:pPr>
        <w:rPr>
          <w:rStyle w:val="StyleUnderline"/>
        </w:rPr>
      </w:pPr>
      <w:r>
        <w:rPr>
          <w:rStyle w:val="StyleUnderline"/>
        </w:rPr>
        <w:t>In 1991, Minnesota led the way on creating charter schools. Massachusetts passed a reform bill on standards, accountability and choice in 1993 and became the nation’s top academic achiever. When I was governor, Florida began grading schools on an A-to-F scale in 1999 and offered dramatic school-choice options to parents. Now, 16 states grade their schools, 19 have choice programs and all but eight have charter school laws.</w:t>
      </w:r>
    </w:p>
    <w:p w:rsidR="00D42850" w:rsidRDefault="00D42850" w:rsidP="00D42850">
      <w:pPr>
        <w:rPr>
          <w:rStyle w:val="StyleUnderline"/>
        </w:rPr>
      </w:pPr>
      <w:r>
        <w:rPr>
          <w:rStyle w:val="StyleUnderline"/>
        </w:rPr>
        <w:t>These successes all have two things in common. The initiatives placed the needs of students first, and the federal government had nothing to do with them.</w:t>
      </w:r>
    </w:p>
    <w:p w:rsidR="00D42850" w:rsidRDefault="00D42850" w:rsidP="00D42850">
      <w:pPr>
        <w:rPr>
          <w:rStyle w:val="StyleUnderline"/>
        </w:rPr>
      </w:pPr>
      <w:r>
        <w:rPr>
          <w:rStyle w:val="StyleUnderline"/>
        </w:rPr>
        <w:t>That said, the federal government has a role in creating transparency to ensure that failure is unacceptable. Before the last reauthorization of ESEA in 2001, known as No Child Left Behind (NCLB), most states had no accountability system. They plowed billions of taxpayer dollars into education bureaucracies, often getting nothing in return.</w:t>
      </w:r>
    </w:p>
    <w:p w:rsidR="00D42850" w:rsidRDefault="00D42850" w:rsidP="00D42850">
      <w:pPr>
        <w:rPr>
          <w:rStyle w:val="StyleUnderline"/>
        </w:rPr>
      </w:pPr>
      <w:r>
        <w:rPr>
          <w:rStyle w:val="StyleUnderline"/>
        </w:rPr>
        <w:t>NCLB changed that by creating a common yardstick. Now, all states participate in the National Assessment of Educational Progress, a series of high-quality tests known as the Nation’s Report Card. The results give us an apples-to-apples comparison among states. Annual testing and reporting also force states to confront their failures, especially the substandard education often offered to disadvantaged children.</w:t>
      </w:r>
    </w:p>
    <w:p w:rsidR="00D42850" w:rsidRDefault="00D42850" w:rsidP="00D42850">
      <w:pPr>
        <w:rPr>
          <w:rStyle w:val="StyleUnderline"/>
        </w:rPr>
      </w:pPr>
      <w:r>
        <w:rPr>
          <w:rStyle w:val="StyleUnderline"/>
        </w:rPr>
        <w:t>NCLB is far from perfect. It doesn’t give states the flexibility they need, and the system can be gamed. But those flaws can be fixed in the reauthorization process.</w:t>
      </w:r>
    </w:p>
    <w:p w:rsidR="00D42850" w:rsidRDefault="00D42850" w:rsidP="00D42850">
      <w:pPr>
        <w:rPr>
          <w:rStyle w:val="StyleUnderline"/>
        </w:rPr>
      </w:pPr>
      <w:r>
        <w:rPr>
          <w:rStyle w:val="StyleUnderline"/>
        </w:rPr>
        <w:t>Most critically, we can use the reauthorization process to keep states and local districts in control of making vital decisions about standards, curriculum and academic content. States should also actively protect</w:t>
      </w:r>
      <w:r w:rsidRPr="00D425A4">
        <w:rPr>
          <w:rStyle w:val="StyleUnderline"/>
        </w:rPr>
        <w:t xml:space="preserve"> </w:t>
      </w:r>
      <w:r>
        <w:rPr>
          <w:rStyle w:val="StyleUnderline"/>
        </w:rPr>
        <w:t>the privacy of student data; some states, such as Oklahoma, have already found the right solutions to that problem.</w:t>
      </w:r>
    </w:p>
    <w:p w:rsidR="00D42850" w:rsidRDefault="00D42850" w:rsidP="00D42850">
      <w:pPr>
        <w:rPr>
          <w:rStyle w:val="StyleUnderline"/>
        </w:rPr>
      </w:pPr>
      <w:r w:rsidRPr="0044197F">
        <w:rPr>
          <w:rStyle w:val="StyleUnderline"/>
        </w:rPr>
        <w:t>Such control can work. We’ve seen more than 40 states voluntarily work together to create the Common Core standards for language arts and math. I support such rigorous, state-driven academic standards</w:t>
      </w:r>
      <w:r>
        <w:rPr>
          <w:rStyle w:val="StyleUnderline"/>
        </w:rPr>
        <w:t>. Some states would rather set their own standards, and that’s appropriate, provided they are high standards. But no matter what, no state should be forced to adopt standards mandated by the federal government.</w:t>
      </w:r>
    </w:p>
    <w:p w:rsidR="00D42850" w:rsidRPr="0044197F" w:rsidRDefault="00D42850" w:rsidP="00D42850">
      <w:pPr>
        <w:rPr>
          <w:rStyle w:val="StyleUnderline"/>
        </w:rPr>
      </w:pPr>
      <w:r>
        <w:rPr>
          <w:rStyle w:val="StyleUnderline"/>
        </w:rPr>
        <w:t xml:space="preserve">These kinds of solutions don’t surprise me, because states have always been more effective at addressing policy challenges in our schools. The reauthorization effort being led by Sen. Lamar Alexander (R-Tenn.) and Rep. John Kline (R-Minn.) is making important progress in Congress. </w:t>
      </w:r>
      <w:r w:rsidRPr="0044197F">
        <w:rPr>
          <w:rStyle w:val="StyleUnderline"/>
        </w:rPr>
        <w:t>The key to success is this: If we are to move forward on education reform, the states and local authorities must be allowed to lead. And for that to happen, it should be made clear in law that the federal government should always be in the back seat.</w:t>
      </w:r>
    </w:p>
    <w:p w:rsidR="00D42850" w:rsidRPr="0044197F" w:rsidRDefault="00D42850" w:rsidP="00D42850"/>
    <w:p w:rsidR="00D42850" w:rsidRDefault="00D42850" w:rsidP="00D42850"/>
    <w:p w:rsidR="00D42850" w:rsidRDefault="00D42850" w:rsidP="00D42850"/>
    <w:p w:rsidR="00D42850" w:rsidRPr="001F58C6" w:rsidRDefault="00D42850" w:rsidP="00D42850"/>
    <w:p w:rsidR="00D42850" w:rsidRDefault="00D42850" w:rsidP="00D42850">
      <w:pPr>
        <w:pStyle w:val="Heading3"/>
      </w:pPr>
      <w:r>
        <w:t>at: non-unique – nclb</w:t>
      </w:r>
    </w:p>
    <w:p w:rsidR="00D42850" w:rsidRDefault="00D42850" w:rsidP="00D42850"/>
    <w:p w:rsidR="00D42850" w:rsidRDefault="00D42850" w:rsidP="00D42850">
      <w:pPr>
        <w:pStyle w:val="Heading4"/>
      </w:pPr>
      <w:r>
        <w:t>NCLB was rolled back and the federal government actually rarely used its authority to intervene in states</w:t>
      </w:r>
    </w:p>
    <w:p w:rsidR="00D42850" w:rsidRPr="003D1253" w:rsidRDefault="00D42850" w:rsidP="00D42850">
      <w:pPr>
        <w:rPr>
          <w:rStyle w:val="Style13ptBold"/>
        </w:rPr>
      </w:pPr>
      <w:r w:rsidRPr="003D1253">
        <w:rPr>
          <w:rStyle w:val="Style13ptBold"/>
        </w:rPr>
        <w:t>Carey 15</w:t>
      </w:r>
    </w:p>
    <w:p w:rsidR="00D42850" w:rsidRDefault="00D42850" w:rsidP="00D42850">
      <w:r>
        <w:t xml:space="preserve">Kevin Carey, Director of the Education Program at New America, NY Times, August 20, 2015, “Federal Intervention in Schools? It Happens Less Than Critics Think”, </w:t>
      </w:r>
      <w:r w:rsidRPr="003D1253">
        <w:t>https://www.nytimes.com/2015/08/21/upshot/federal-meddling-in-schools-it-happens-less-than-critics-think.html</w:t>
      </w:r>
    </w:p>
    <w:p w:rsidR="00D42850" w:rsidRDefault="00D42850" w:rsidP="00D42850"/>
    <w:p w:rsidR="00D42850" w:rsidRDefault="00D42850" w:rsidP="00D42850">
      <w:r w:rsidRPr="005D3C11">
        <w:rPr>
          <w:rStyle w:val="StyleUnderline"/>
        </w:rPr>
        <w:t>Antipathy to federal meddling in school accountability is</w:t>
      </w:r>
      <w:r w:rsidRPr="005D3C11">
        <w:t xml:space="preserve"> so </w:t>
      </w:r>
      <w:r w:rsidRPr="005D3C11">
        <w:rPr>
          <w:rStyle w:val="StyleUnderline"/>
        </w:rPr>
        <w:t>great</w:t>
      </w:r>
      <w:r>
        <w:t xml:space="preserve"> that the Republican majority voted down an amendment that would have required states to intervene in at least the bottom 5 percent of schools — an Obama administration priority — as well as high schools that fail to graduate at least two-thirds of their students, along with schools with persistent achievement gaps between student groups. The consensus among observers is that negotiation over the small differences between the House and Senate accountability provisions will make or break the bill.</w:t>
      </w:r>
    </w:p>
    <w:p w:rsidR="00D42850" w:rsidRDefault="00D42850" w:rsidP="00D42850">
      <w:r w:rsidRPr="005D3C11">
        <w:rPr>
          <w:rStyle w:val="StyleUnderline"/>
        </w:rPr>
        <w:t>Thus, the great debate in Congress will be whether to wholly or mostly repeal the federal government’s authority to require states to fix America’s worst public schools</w:t>
      </w:r>
      <w:r>
        <w:t xml:space="preserve">. </w:t>
      </w:r>
      <w:r w:rsidRPr="005D3C11">
        <w:rPr>
          <w:rStyle w:val="Emphasis"/>
        </w:rPr>
        <w:t>Lost in this argument is the fact that even under</w:t>
      </w:r>
      <w:r w:rsidRPr="005D3C11">
        <w:t xml:space="preserve"> </w:t>
      </w:r>
      <w:r w:rsidRPr="005D3C11">
        <w:rPr>
          <w:rStyle w:val="Emphasis"/>
        </w:rPr>
        <w:t>N</w:t>
      </w:r>
      <w:r>
        <w:t xml:space="preserve">o </w:t>
      </w:r>
      <w:r w:rsidRPr="005D3C11">
        <w:rPr>
          <w:rStyle w:val="Emphasis"/>
        </w:rPr>
        <w:t>C</w:t>
      </w:r>
      <w:r>
        <w:t xml:space="preserve">hild </w:t>
      </w:r>
      <w:r w:rsidRPr="005D3C11">
        <w:rPr>
          <w:rStyle w:val="Emphasis"/>
        </w:rPr>
        <w:t>L</w:t>
      </w:r>
      <w:r>
        <w:t xml:space="preserve">eft </w:t>
      </w:r>
      <w:r w:rsidRPr="005D3C11">
        <w:rPr>
          <w:rStyle w:val="Emphasis"/>
        </w:rPr>
        <w:t>B</w:t>
      </w:r>
      <w:r>
        <w:t xml:space="preserve">ehind, </w:t>
      </w:r>
      <w:r w:rsidRPr="005D3C11">
        <w:rPr>
          <w:rStyle w:val="Emphasis"/>
        </w:rPr>
        <w:t>such interventions hardly ever occurred</w:t>
      </w:r>
      <w:r>
        <w:t>.</w:t>
      </w:r>
    </w:p>
    <w:p w:rsidR="00D42850" w:rsidRPr="005D3C11" w:rsidRDefault="00D42850" w:rsidP="00D42850">
      <w:pPr>
        <w:rPr>
          <w:rStyle w:val="StyleUnderline"/>
        </w:rPr>
      </w:pPr>
      <w:r w:rsidRPr="005D3C11">
        <w:rPr>
          <w:rStyle w:val="StyleUnderline"/>
        </w:rPr>
        <w:t>Six years after</w:t>
      </w:r>
      <w:r>
        <w:t xml:space="preserve"> </w:t>
      </w:r>
      <w:r w:rsidRPr="005D3C11">
        <w:rPr>
          <w:rStyle w:val="Emphasis"/>
        </w:rPr>
        <w:t>N</w:t>
      </w:r>
      <w:r>
        <w:t xml:space="preserve">o </w:t>
      </w:r>
      <w:r w:rsidRPr="005D3C11">
        <w:rPr>
          <w:rStyle w:val="Emphasis"/>
        </w:rPr>
        <w:t>C</w:t>
      </w:r>
      <w:r>
        <w:t xml:space="preserve">hild </w:t>
      </w:r>
      <w:r w:rsidRPr="005D3C11">
        <w:rPr>
          <w:rStyle w:val="Emphasis"/>
        </w:rPr>
        <w:t>L</w:t>
      </w:r>
      <w:r>
        <w:t xml:space="preserve">eft </w:t>
      </w:r>
      <w:r w:rsidRPr="005D3C11">
        <w:rPr>
          <w:rStyle w:val="Emphasis"/>
        </w:rPr>
        <w:t>B</w:t>
      </w:r>
      <w:r>
        <w:t xml:space="preserve">ehind </w:t>
      </w:r>
      <w:r w:rsidRPr="005D3C11">
        <w:rPr>
          <w:rStyle w:val="StyleUnderline"/>
        </w:rPr>
        <w:t>was passed, the</w:t>
      </w:r>
      <w:r>
        <w:t xml:space="preserve"> nonpartisan </w:t>
      </w:r>
      <w:r w:rsidRPr="005D3C11">
        <w:rPr>
          <w:rStyle w:val="Emphasis"/>
        </w:rPr>
        <w:t>G</w:t>
      </w:r>
      <w:r>
        <w:t xml:space="preserve">overnment </w:t>
      </w:r>
      <w:r w:rsidRPr="005D3C11">
        <w:rPr>
          <w:rStyle w:val="Emphasis"/>
        </w:rPr>
        <w:t>A</w:t>
      </w:r>
      <w:r>
        <w:t xml:space="preserve">ccountability </w:t>
      </w:r>
      <w:r w:rsidRPr="005D3C11">
        <w:rPr>
          <w:rStyle w:val="Emphasis"/>
        </w:rPr>
        <w:t>O</w:t>
      </w:r>
      <w:r>
        <w:t xml:space="preserve">ffice </w:t>
      </w:r>
      <w:r w:rsidRPr="005D3C11">
        <w:rPr>
          <w:rStyle w:val="StyleUnderline"/>
        </w:rPr>
        <w:t>issued a report detailing how, exactly, the worst-performing schools were being restructured.</w:t>
      </w:r>
      <w:r>
        <w:t xml:space="preserve"> At the time, news media reports often described such actions in terms like “drastic measures: firing teachers and principals, shutting schools and turning them over to a private firm, a charter operator or the state itself, or a major overhaul in governance.” Yet </w:t>
      </w:r>
      <w:r w:rsidRPr="005D3C11">
        <w:rPr>
          <w:rStyle w:val="StyleUnderline"/>
        </w:rPr>
        <w:t>the G.A.O. found that only 1 percent of schools in restructuring were converted to charters. Only 5 percent were taken over by the state. By far the most popular option, used in 40 percent of schools, was “any other major restructuring.”</w:t>
      </w:r>
    </w:p>
    <w:p w:rsidR="00D42850" w:rsidRDefault="00D42850" w:rsidP="00D42850">
      <w:r w:rsidRPr="005D3C11">
        <w:rPr>
          <w:rStyle w:val="StyleUnderline"/>
        </w:rPr>
        <w:t>Did the “other restructuring” approaches actually involve major overhauls in governance? They did not. Only 6 percent of those schools were closed.</w:t>
      </w:r>
      <w:r>
        <w:t xml:space="preserve"> In more than 80 percent of cases, districts created smaller learning communities within the schools, or expanded or narrowed the school’s range of grades. These can, in theory, be effective ways to improve learning. But they hardly represent the kind of “drastic” interventions that continue to drive public perception of No Child Left Behind, and that lawmakers in both parties are working to prevent in the future.</w:t>
      </w:r>
    </w:p>
    <w:p w:rsidR="00D42850" w:rsidRDefault="00D42850" w:rsidP="00D42850">
      <w:r w:rsidRPr="005D3C11">
        <w:rPr>
          <w:rStyle w:val="StyleUnderline"/>
        </w:rPr>
        <w:t>Coupled with the fact that many states lowered their statistical standards for school performance in order to prevent them from ever crossing the six-consecutiveyears threshold in the first place, this meant</w:t>
      </w:r>
      <w:r>
        <w:t xml:space="preserve"> that </w:t>
      </w:r>
      <w:r w:rsidRPr="005D3C11">
        <w:rPr>
          <w:rStyle w:val="Emphasis"/>
        </w:rPr>
        <w:t>only a tiny fraction</w:t>
      </w:r>
      <w:r>
        <w:t xml:space="preserve"> </w:t>
      </w:r>
      <w:r w:rsidRPr="005D3C11">
        <w:rPr>
          <w:rStyle w:val="StyleUnderline"/>
        </w:rPr>
        <w:t xml:space="preserve">of the nation’s 97,000 public schools were ever seriously restructured by </w:t>
      </w:r>
      <w:r w:rsidRPr="005D3C11">
        <w:rPr>
          <w:rStyle w:val="Emphasis"/>
        </w:rPr>
        <w:t>N</w:t>
      </w:r>
      <w:r>
        <w:t xml:space="preserve">o </w:t>
      </w:r>
      <w:r w:rsidRPr="005D3C11">
        <w:rPr>
          <w:rStyle w:val="Emphasis"/>
        </w:rPr>
        <w:t>C</w:t>
      </w:r>
      <w:r>
        <w:t xml:space="preserve">hild </w:t>
      </w:r>
      <w:r w:rsidRPr="005D3C11">
        <w:rPr>
          <w:rStyle w:val="Emphasis"/>
        </w:rPr>
        <w:t>L</w:t>
      </w:r>
      <w:r>
        <w:t xml:space="preserve">eft </w:t>
      </w:r>
      <w:r w:rsidRPr="005D3C11">
        <w:rPr>
          <w:rStyle w:val="Emphasis"/>
        </w:rPr>
        <w:t>B</w:t>
      </w:r>
      <w:r>
        <w:t>ehind.</w:t>
      </w:r>
    </w:p>
    <w:p w:rsidR="00D42850" w:rsidRPr="001D6D78" w:rsidRDefault="00D42850" w:rsidP="00D42850"/>
    <w:p w:rsidR="00D42850" w:rsidRDefault="00D42850" w:rsidP="00D42850">
      <w:pPr>
        <w:pStyle w:val="Heading3"/>
      </w:pPr>
      <w:r>
        <w:t>at: link is small</w:t>
      </w:r>
    </w:p>
    <w:p w:rsidR="00D42850" w:rsidRDefault="00D42850" w:rsidP="00D42850"/>
    <w:p w:rsidR="00D42850" w:rsidRDefault="00D42850" w:rsidP="00D42850">
      <w:pPr>
        <w:pStyle w:val="Heading4"/>
      </w:pPr>
      <w:r>
        <w:t xml:space="preserve">Even if the plan’s initial change is small, it </w:t>
      </w:r>
      <w:r w:rsidRPr="005E678E">
        <w:rPr>
          <w:u w:val="single"/>
        </w:rPr>
        <w:t>snowballs</w:t>
      </w:r>
      <w:r>
        <w:t xml:space="preserve"> into broader violations of federalism</w:t>
      </w:r>
    </w:p>
    <w:p w:rsidR="00D42850" w:rsidRPr="00CD47FA" w:rsidRDefault="00D42850" w:rsidP="00D42850">
      <w:pPr>
        <w:rPr>
          <w:rStyle w:val="Style13ptBold"/>
        </w:rPr>
      </w:pPr>
      <w:r w:rsidRPr="00CD47FA">
        <w:rPr>
          <w:rStyle w:val="Style13ptBold"/>
        </w:rPr>
        <w:t>Hess 16</w:t>
      </w:r>
    </w:p>
    <w:p w:rsidR="00D42850" w:rsidRDefault="00D42850" w:rsidP="00D42850">
      <w:r w:rsidRPr="004B04F0">
        <w:t>Frederick M. Hess</w:t>
      </w:r>
      <w:r>
        <w:t xml:space="preserve">, has an </w:t>
      </w:r>
      <w:r w:rsidRPr="004B04F0">
        <w:t>M.A. and a Ph.D. in government, as well as an M.Ed. in teaching and curriculum, from Harvard University</w:t>
      </w:r>
      <w:r>
        <w:t>,</w:t>
      </w:r>
      <w:r w:rsidRPr="004B04F0">
        <w:t xml:space="preserve"> resident scholar and the director of Education Policy Studies at the American Enterprise Institute</w:t>
      </w:r>
      <w:r>
        <w:t xml:space="preserve">, </w:t>
      </w:r>
      <w:r w:rsidRPr="004B04F0">
        <w:t>Andrew P. Kelly</w:t>
      </w:r>
      <w:r>
        <w:t xml:space="preserve">, </w:t>
      </w:r>
      <w:r w:rsidRPr="004B04F0">
        <w:t>Ph.D. and an M.A. in political science from the University of California, Berkeley</w:t>
      </w:r>
      <w:r>
        <w:t>,</w:t>
      </w:r>
      <w:r w:rsidRPr="004B04F0">
        <w:t xml:space="preserve"> resident scholar in education policy studies and the director of the Center on Higher Education Reform at the American Enterprise Institute</w:t>
      </w:r>
      <w:r>
        <w:t>, American Enterprise Institute, September 21, 2016, “</w:t>
      </w:r>
      <w:r w:rsidRPr="0075374A">
        <w:t>No co</w:t>
      </w:r>
      <w:r>
        <w:t xml:space="preserve">llege left behind?”, </w:t>
      </w:r>
      <w:r w:rsidRPr="00E96178">
        <w:t>http://www.aei.org/publication/no-college-left-behind/</w:t>
      </w:r>
    </w:p>
    <w:p w:rsidR="00D42850" w:rsidRDefault="00D42850" w:rsidP="00D42850"/>
    <w:p w:rsidR="00D42850" w:rsidRPr="00E96178" w:rsidRDefault="00D42850" w:rsidP="00D42850">
      <w:r w:rsidRPr="00E96178">
        <w:t xml:space="preserve">Fifth and finally, </w:t>
      </w:r>
      <w:r w:rsidRPr="005E678E">
        <w:rPr>
          <w:rStyle w:val="StyleUnderline"/>
        </w:rPr>
        <w:t>reformers should remember that “modest” expansions of the federal role</w:t>
      </w:r>
      <w:r w:rsidRPr="00E96178">
        <w:t xml:space="preserve"> </w:t>
      </w:r>
      <w:r w:rsidRPr="005E678E">
        <w:rPr>
          <w:rStyle w:val="Emphasis"/>
        </w:rPr>
        <w:t>rarely stay that way</w:t>
      </w:r>
      <w:r w:rsidRPr="00E96178">
        <w:t xml:space="preserve">. </w:t>
      </w:r>
      <w:r w:rsidRPr="005E678E">
        <w:rPr>
          <w:rStyle w:val="StyleUnderline"/>
        </w:rPr>
        <w:t>It’s</w:t>
      </w:r>
      <w:r w:rsidRPr="00E96178">
        <w:t xml:space="preserve"> </w:t>
      </w:r>
      <w:r w:rsidRPr="005E678E">
        <w:rPr>
          <w:rStyle w:val="Emphasis"/>
        </w:rPr>
        <w:t>hard to open the door just a crack</w:t>
      </w:r>
      <w:r w:rsidRPr="00E96178">
        <w:t xml:space="preserve"> </w:t>
      </w:r>
      <w:r w:rsidRPr="005E678E">
        <w:rPr>
          <w:rStyle w:val="StyleUnderline"/>
        </w:rPr>
        <w:t>when involving Washington in educational accountability. After all, it’s tough to talk about accountability without addressing how performance is measured, how funds are spent, or what remedies are imposed. Given the commingled nature of state, local, and federal funds</w:t>
      </w:r>
      <w:r w:rsidRPr="00E96178">
        <w:t xml:space="preserve">, </w:t>
      </w:r>
      <w:r w:rsidRPr="005E678E">
        <w:rPr>
          <w:rStyle w:val="Emphasis"/>
        </w:rPr>
        <w:t>federal involvement can</w:t>
      </w:r>
      <w:r w:rsidRPr="00E96178">
        <w:t xml:space="preserve"> prove to </w:t>
      </w:r>
      <w:r w:rsidRPr="005E678E">
        <w:rPr>
          <w:rStyle w:val="Emphasis"/>
        </w:rPr>
        <w:t>be a very slippery slope</w:t>
      </w:r>
      <w:r w:rsidRPr="00E96178">
        <w:t xml:space="preserve">. For the left, this poses no problem — giving Washington more authority is a perfectly satisfactory outcome. For the right, it’s a different story. </w:t>
      </w:r>
      <w:r w:rsidRPr="005E678E">
        <w:rPr>
          <w:rStyle w:val="StyleUnderline"/>
        </w:rPr>
        <w:t>Tackling education reform in Washington poses a dilemma for conservatives who want accountability and also deference to families, states, and communities.</w:t>
      </w:r>
    </w:p>
    <w:p w:rsidR="00D42850" w:rsidRPr="0075374A" w:rsidRDefault="00D42850" w:rsidP="00D42850">
      <w:r w:rsidRPr="005E678E">
        <w:rPr>
          <w:rStyle w:val="StyleUnderline"/>
        </w:rPr>
        <w:t>NCLB should serve as a caution flag</w:t>
      </w:r>
      <w:r w:rsidRPr="0075374A">
        <w:t xml:space="preserve"> for those who hope that a more carefully constructed compromise can hem Washington in, or that future Department of Education appointees will carefully respect the terms of any compromise. It turns out that </w:t>
      </w:r>
      <w:r w:rsidRPr="005E678E">
        <w:rPr>
          <w:rStyle w:val="StyleUnderline"/>
        </w:rPr>
        <w:t>when Congress opens the door to new ventures by federal education officials, there’s an</w:t>
      </w:r>
      <w:r w:rsidRPr="0075374A">
        <w:t xml:space="preserve"> </w:t>
      </w:r>
      <w:r w:rsidRPr="005E678E">
        <w:rPr>
          <w:rStyle w:val="Emphasis"/>
        </w:rPr>
        <w:t>excellent chance they will seek to open it wider</w:t>
      </w:r>
      <w:r w:rsidRPr="0075374A">
        <w:t xml:space="preserve">. </w:t>
      </w:r>
      <w:r w:rsidRPr="005E678E">
        <w:rPr>
          <w:rStyle w:val="StyleUnderline"/>
        </w:rPr>
        <w:t>And even when policymakers on both sides conclude that they’ve gone too far</w:t>
      </w:r>
      <w:r w:rsidRPr="0075374A">
        <w:t> — as happened with the recent reauthorization of ESEA — </w:t>
      </w:r>
      <w:r w:rsidRPr="005E678E">
        <w:rPr>
          <w:rStyle w:val="StyleUnderline"/>
        </w:rPr>
        <w:t>it turns out that the existing bureaucratic and legal superstructure is</w:t>
      </w:r>
      <w:r w:rsidRPr="0075374A">
        <w:t xml:space="preserve"> </w:t>
      </w:r>
      <w:r w:rsidRPr="005E678E">
        <w:rPr>
          <w:rStyle w:val="Emphasis"/>
        </w:rPr>
        <w:t>difficult to unwind</w:t>
      </w:r>
      <w:r w:rsidRPr="0075374A">
        <w:t>.</w:t>
      </w:r>
    </w:p>
    <w:p w:rsidR="00D42850" w:rsidRDefault="00D42850" w:rsidP="00D42850"/>
    <w:p w:rsidR="00D42850" w:rsidRDefault="00D42850" w:rsidP="00D42850">
      <w:pPr>
        <w:pStyle w:val="Heading3"/>
      </w:pPr>
    </w:p>
    <w:p w:rsidR="00D42850" w:rsidRDefault="00D42850" w:rsidP="00D42850">
      <w:pPr>
        <w:pStyle w:val="Heading3"/>
      </w:pPr>
      <w:r>
        <w:t>***politics</w:t>
      </w:r>
    </w:p>
    <w:p w:rsidR="00D42850" w:rsidRDefault="00D42850" w:rsidP="00D42850">
      <w:pPr>
        <w:pStyle w:val="Heading3"/>
      </w:pPr>
      <w:r>
        <w:t>politics links</w:t>
      </w:r>
    </w:p>
    <w:p w:rsidR="00D42850" w:rsidRDefault="00D42850" w:rsidP="00D42850"/>
    <w:p w:rsidR="00D42850" w:rsidRDefault="00D42850" w:rsidP="00D42850">
      <w:pPr>
        <w:pStyle w:val="Heading4"/>
      </w:pPr>
      <w:r>
        <w:t>Cultural Competence training causes backlash from conservatives – Parent backlash, conservative teachers and Oregon 2005 proves</w:t>
      </w:r>
    </w:p>
    <w:p w:rsidR="00D42850" w:rsidRPr="006E1293" w:rsidRDefault="00D42850" w:rsidP="00D42850">
      <w:r w:rsidRPr="000027BE">
        <w:rPr>
          <w:rStyle w:val="Style13ptBold"/>
        </w:rPr>
        <w:t>McElroy 7</w:t>
      </w:r>
      <w:r>
        <w:t xml:space="preserve"> (</w:t>
      </w:r>
      <w:r w:rsidRPr="006E1293">
        <w:rPr>
          <w:szCs w:val="20"/>
        </w:rPr>
        <w:t>Wendy McElroy is an individualist feminist and libertarian who has authored or edited over a dozen books as well as hundreds of articles and essays. She has been published by such diverse venues as Penn State to Penthouse, FEE to Marie Claire.</w:t>
      </w:r>
      <w:r>
        <w:rPr>
          <w:szCs w:val="20"/>
        </w:rPr>
        <w:t xml:space="preserve"> Source: FEE </w:t>
      </w:r>
      <w:hyperlink r:id="rId8" w:history="1">
        <w:r w:rsidRPr="00FB66A0">
          <w:rPr>
            <w:rStyle w:val="Hyperlink"/>
            <w:szCs w:val="20"/>
          </w:rPr>
          <w:t>https://fee.org/articles/cultural-competence-and-your-child/</w:t>
        </w:r>
      </w:hyperlink>
      <w:r>
        <w:rPr>
          <w:szCs w:val="20"/>
        </w:rPr>
        <w:t xml:space="preserve">  “Cultural Competence and Your Child”  9/1/2007 FM)</w:t>
      </w:r>
    </w:p>
    <w:p w:rsidR="00D42850" w:rsidRDefault="00D42850" w:rsidP="00D42850">
      <w:pPr>
        <w:rPr>
          <w:sz w:val="14"/>
        </w:rPr>
      </w:pPr>
      <w:r w:rsidRPr="00EC3B38">
        <w:rPr>
          <w:sz w:val="14"/>
        </w:rPr>
        <w:t xml:space="preserve">A buzz term is appearing with increased frequency in the literature and programs surrounding education at both the public-school and university levels: cultural competence. Parents would do well to ask, “What is it, and how could it affect my children?” The term “cultural competence” first arose in connection with health care, where a standard definition is: “services that are respectful of and responsive to the cultural and linguistic needs of the patient.” This means, for example, health-care providers should be able to communicate with a non-English-speaking patient. They should take other cultural differences into account as well; for example, a clinic might arrange for a female doctor to perform a pelvic exam on a Muslim woman. The term has migrated from health care to education, however, where its definition has shifted. In theory, cultural competence in the classroom can involve nothing more than training teachers to be more effective with children from diverse backgrounds. For example, a teacher may take a student’s race into account when assigning readings in history that are most likely to interest him. But the term is notoriously vague and elastic in its application. This is not surprising. After all, its two component words, “culture” and “competence,” are themselves difficult to define. Little is clarified by most of the formal definitions offered in policy statements. The one from the National Association of School Psychologists is typical: “Cultural competence is defined as a set of congruent behaviors, attitudes, and policies that come together in a system, agency, or among professionals and enables that system, agency, or those professionals to work effectively in cross-cultural situations.” The best way to slice through such obscure jargon and arrive at an understanding of cultural competence is to examine how it functions as a policy in the school system. In practice, the term often looks like political correctness applied in a new manner. Political correctness (PC) is a term used by the New Left to refer to policies that aim at achieving “social justice” and respect for minorities. (Minorities are defined in various ways, including racially and sexually.) PC policies encourage speech or behavior that promotes these goals and discourage speech or behavior deemed to be counterproductive. Thus political correctness is a powerful tool through which schools can impose a social agenda. In this context, cultural competence acts as a filtering mechanism by which only those who agree or at least comply with the specific agenda can expect to be licensed, hired, or advanced within the system. </w:t>
      </w:r>
      <w:r w:rsidRPr="00EC3B38">
        <w:rPr>
          <w:rStyle w:val="StyleUnderline"/>
        </w:rPr>
        <w:t xml:space="preserve">An example of how political correctness and cultural competence function in the public schools </w:t>
      </w:r>
      <w:r w:rsidRPr="000027BE">
        <w:rPr>
          <w:rStyle w:val="StyleUnderline"/>
          <w:highlight w:val="yellow"/>
        </w:rPr>
        <w:t>occurred in 2005. A Lexington, Massachusetts , school sent kindergarten students home with a</w:t>
      </w:r>
      <w:r w:rsidRPr="00EC3B38">
        <w:rPr>
          <w:rStyle w:val="StyleUnderline"/>
        </w:rPr>
        <w:t xml:space="preserve"> “diversity school bag.” It included a </w:t>
      </w:r>
      <w:r w:rsidRPr="000027BE">
        <w:rPr>
          <w:rStyle w:val="StyleUnderline"/>
          <w:highlight w:val="yellow"/>
        </w:rPr>
        <w:t>book with drawings of different families, including a gay couple, in order to indicate that all family arrangements are equally valid. A father, David Parker, objected. He insisted that teaching attitudes toward sexuality was his jurisdiction as a parent</w:t>
      </w:r>
      <w:r w:rsidRPr="00EC3B38">
        <w:rPr>
          <w:rStyle w:val="StyleUnderline"/>
        </w:rPr>
        <w:t>. This is a common objection: namely, that the teaching of any social or sexual values to children is properly the jurisdiction of parents, not the government.</w:t>
      </w:r>
      <w:r>
        <w:rPr>
          <w:rStyle w:val="StyleUnderline"/>
        </w:rPr>
        <w:t xml:space="preserve"> </w:t>
      </w:r>
      <w:r w:rsidRPr="000027BE">
        <w:rPr>
          <w:rStyle w:val="StyleUnderline"/>
        </w:rPr>
        <w:t>Parker was arrested when he refused to leave the principal’s office without the school’s promise to notify him if homosexuality was going to be discussed with his son in class.</w:t>
      </w:r>
      <w:r w:rsidRPr="00EC3B38">
        <w:rPr>
          <w:sz w:val="14"/>
        </w:rPr>
        <w:t xml:space="preserve"> He co-filed a lawsuit to challenge the school’s policy. Late last February the suit was dismissed from federal court. In his decision, Chief Judge Mark L. Wolf stated that parents have no right of input into public-school curriculum. Families that don’t agree with the curriculum can send their children to private schools or home-school. The content of the controversial curriculum expresses political correctness: the goal of teaching children to accept the “proper” social value of homosexuality and heterosexuality being equally valid family choices. In Lexington, that expression includes arresting a parent who strenuously but peacefully objects. Cultural competence has the same goal, but its methodology is different. It is a policy applied to educators that requires them to conform to standards of political correctness as a prerequisite of their licensing, hiring, or promotion. The policy is a filtering process by which public schools attempt to ensure that administrators and teachers will express the “proper” values to children. It directly targets teachers rather than students. As such, it tends to function more behind the scenes and so is less visible to parents and the public. Yet the impact on children’s education is dramatic. By homogenizing the values of those who educate, other values tend to be filtered out of the information and discussion in a classroom. Norman Levitt, a professor of mathematics at Rutgers University, explains</w:t>
      </w:r>
      <w:r w:rsidRPr="000027BE">
        <w:rPr>
          <w:sz w:val="14"/>
        </w:rPr>
        <w:t xml:space="preserve">, </w:t>
      </w:r>
      <w:r w:rsidRPr="000027BE">
        <w:rPr>
          <w:rStyle w:val="StyleUnderline"/>
        </w:rPr>
        <w:t>“‘Cultural competence’ is, in essence, a bureaucratic weapon. ‘Cultural competence,’ or</w:t>
      </w:r>
      <w:r w:rsidRPr="00EC3B38">
        <w:rPr>
          <w:rStyle w:val="StyleUnderline"/>
        </w:rPr>
        <w:t xml:space="preserve"> rather, your presumed lack thereof, is what you will be clobbered with if you are imprudent enough to challenge or merely to have qualms about ‘affirmative action,’ ‘diversity’ and ‘multiculturalism,’ as those principles are now espoused by their most fervent academic advocates.”</w:t>
      </w:r>
      <w:r w:rsidRPr="00EC3B38">
        <w:rPr>
          <w:sz w:val="14"/>
        </w:rPr>
        <w:t xml:space="preserve"> In terms of the public-school system, the clobbering of teachers who might disagree is often preemptive. Consider the case of Ed Swan</w:t>
      </w:r>
      <w:r w:rsidRPr="00EC3B38">
        <w:rPr>
          <w:rStyle w:val="StyleUnderline"/>
        </w:rPr>
        <w:t xml:space="preserve">. </w:t>
      </w:r>
      <w:r w:rsidRPr="000027BE">
        <w:rPr>
          <w:rStyle w:val="StyleUnderline"/>
          <w:highlight w:val="yellow"/>
        </w:rPr>
        <w:t>In fall 2005 Swan was a student at</w:t>
      </w:r>
      <w:r w:rsidRPr="00EC3B38">
        <w:rPr>
          <w:rStyle w:val="StyleUnderline"/>
        </w:rPr>
        <w:t xml:space="preserve"> the Washington State University (</w:t>
      </w:r>
      <w:r w:rsidRPr="000027BE">
        <w:rPr>
          <w:rStyle w:val="StyleUnderline"/>
          <w:highlight w:val="yellow"/>
        </w:rPr>
        <w:t>WSU) College of Education when he was threatened with “termination” from the program because of his conservative religious and political views</w:t>
      </w:r>
      <w:r w:rsidRPr="00EC3B38">
        <w:rPr>
          <w:rStyle w:val="StyleUnderline"/>
        </w:rPr>
        <w:t>.</w:t>
      </w:r>
      <w:r w:rsidRPr="00EC3B38">
        <w:rPr>
          <w:sz w:val="14"/>
        </w:rPr>
        <w:t xml:space="preserve"> Without graduating he could not obtain teaching credentials. </w:t>
      </w:r>
      <w:r w:rsidRPr="000027BE">
        <w:rPr>
          <w:rStyle w:val="StyleUnderline"/>
          <w:highlight w:val="yellow"/>
        </w:rPr>
        <w:t>The</w:t>
      </w:r>
      <w:r w:rsidRPr="000027BE">
        <w:rPr>
          <w:rStyle w:val="StyleUnderline"/>
        </w:rPr>
        <w:t xml:space="preserve"> specific </w:t>
      </w:r>
      <w:r w:rsidRPr="000027BE">
        <w:rPr>
          <w:rStyle w:val="StyleUnderline"/>
          <w:highlight w:val="yellow"/>
        </w:rPr>
        <w:t>barrier to his graduation was the</w:t>
      </w:r>
      <w:r w:rsidRPr="000027BE">
        <w:rPr>
          <w:rStyle w:val="StyleUnderline"/>
        </w:rPr>
        <w:t xml:space="preserve"> college’s </w:t>
      </w:r>
      <w:r w:rsidRPr="000027BE">
        <w:rPr>
          <w:rStyle w:val="StyleUnderline"/>
          <w:highlight w:val="yellow"/>
        </w:rPr>
        <w:t>ten-point “professional dispositions evaluation”</w:t>
      </w:r>
      <w:r w:rsidRPr="000027BE">
        <w:rPr>
          <w:rStyle w:val="StyleUnderline"/>
        </w:rPr>
        <w:t xml:space="preserve"> form </w:t>
      </w:r>
      <w:r w:rsidRPr="000027BE">
        <w:rPr>
          <w:rStyle w:val="StyleUnderline"/>
          <w:highlight w:val="yellow"/>
        </w:rPr>
        <w:t>that rated a student’s “understanding of the complexities of race, power, gender, class, sexual orientation, and privilege in American society.</w:t>
      </w:r>
      <w:r w:rsidRPr="000027BE">
        <w:rPr>
          <w:rStyle w:val="StyleUnderline"/>
        </w:rPr>
        <w:t>”</w:t>
      </w:r>
      <w:r w:rsidRPr="00EC3B38">
        <w:rPr>
          <w:sz w:val="14"/>
        </w:rPr>
        <w:t xml:space="preserve"> The government of Washington state requires the WSU College of Education to attest to each student’s good character before graduation; indeed, the National Council for Accreditation of Teacher Education has urged that teachers in all states be evaluated on their “dispositions,” that is, on their moral stance and sense of social justice—as well as on their knowledge and skill. (Disposition evaluation is one of the main tools through which cultural competence in teachers is assured.) Swan failed the evaluation four times</w:t>
      </w:r>
      <w:r w:rsidRPr="00EC3B38">
        <w:rPr>
          <w:rStyle w:val="StyleUnderline"/>
        </w:rPr>
        <w:t>. His grades were A-level but his views were unacceptable. For example, he was critical of affirmative-action programs because he believed the law should treat everyone the same.</w:t>
      </w:r>
      <w:r w:rsidRPr="00EC3B38">
        <w:rPr>
          <w:sz w:val="14"/>
        </w:rPr>
        <w:t xml:space="preserve"> One evaluator wrote on the form, “[Mr. Swan has] revealed opinions that have caused me great concern in the areas of race, gender, sexual orientation, and privilege.” WSU’s threat of expelling Swan came with a loophole. If he signed a contract with the college to attend diversity training and agreed to their continuing scrutiny of his “disposition,” then he could continue through the program. Instead, </w:t>
      </w:r>
      <w:r w:rsidRPr="000027BE">
        <w:rPr>
          <w:rStyle w:val="StyleUnderline"/>
          <w:highlight w:val="yellow"/>
        </w:rPr>
        <w:t>Swan contacted the Foundation for Individual Rights in Education, which is renowned for taking legal action on behalf of students whose constitutional rights are being violated by the educational system. The contract demand was dropped. Swan was allowed to graduate.</w:t>
      </w:r>
      <w:r>
        <w:rPr>
          <w:rStyle w:val="StyleUnderline"/>
        </w:rPr>
        <w:t xml:space="preserve"> </w:t>
      </w:r>
      <w:r w:rsidRPr="00EC3B38">
        <w:rPr>
          <w:sz w:val="14"/>
        </w:rPr>
        <w:t xml:space="preserve">Ideological Imbalance WSU’s “disposition evaluation” is not uncommon. Robert K. C. Johnson, professor of history at Boston College, commented in an article in Inside Higher Education (May 23, 2005) on the impact that political correctness has had on teacher-training programs. Johnson wrote, “The faculty’s ideological imbalance has allowed three factors—a new accreditation policy, changes in how students are evaluated and curricular orientation around a theme of ‘social justice’—to impose a de facto political litmus test on the next cohort of public school teachers.” Johnson offered several examples of how specific universities have embedded “social justice” requirements into their teacher-training programs; he could have offered many more. In 2002 the National Council for Accreditation of Teacher Education changed its accreditation requirements to require dozens of teacher-training programs to measure each student’s disposition on “social justice.” The revised accreditation requirement read, in part, “Unit assessments must also reflect the dispositions identified in its conceptual framework and in professional and state standards. . . . For example, if the unit has described its vision for teacher preparation as ‘Teachers as agents of change’ and has indicated that a commitment to social justice is one disposition it expects of teachers who can become agents of change, then it is expected that unit assessments include some measure of a candidate’s commitment to social justice.” Most university teacher-training programs now include some form of official commitment to “social justice.” (A partial list is available at http://tinyurl.com/3ddmlz.) Three of the examples offered by Johnson provide a sense of the ideological substance of these program commitments. • The University of Kansas program states that students should be “more global than national and concerned with ideals such as world peace, social justice, respect for diversity and preservation of the environment.” • Marquette ‘s program is committed “to social justice in schools and society” and to producing teachers who “transcend the negative effects of the dominant culture.” • The University of Toledo states, “Education is our prime vehicle for creating the ‘just’ society,” since “we are preparing citizens to lead productive lives in a democratic society characterized by social justice.” These “social justice” commitments and requirements function as a form of ideological prior restraint on which views will be expressed in a classroom. In recent years, “cultural competence” has achieved some legislative momentum. For example, </w:t>
      </w:r>
      <w:r w:rsidRPr="006E1293">
        <w:rPr>
          <w:rStyle w:val="StyleUnderline"/>
          <w:highlight w:val="yellow"/>
        </w:rPr>
        <w:t xml:space="preserve">in its 2005 session, the Oregon Senate considered SB50, </w:t>
      </w:r>
      <w:r w:rsidRPr="006E1293">
        <w:rPr>
          <w:rStyle w:val="StyleUnderline"/>
        </w:rPr>
        <w:t>which would</w:t>
      </w:r>
      <w:r w:rsidRPr="00EC3B38">
        <w:rPr>
          <w:rStyle w:val="StyleUnderline"/>
        </w:rPr>
        <w:t xml:space="preserve"> have authorized the establishment of “standards for cultural competency and require an applicant for a teaching license to meet those standards</w:t>
      </w:r>
      <w:r w:rsidRPr="006E1293">
        <w:rPr>
          <w:rStyle w:val="StyleUnderline"/>
          <w:highlight w:val="yellow"/>
        </w:rPr>
        <w:t>.” In short, teachers would be required to advocate a specific vision of social justice to be licensed</w:t>
      </w:r>
      <w:r w:rsidRPr="00EC3B38">
        <w:rPr>
          <w:sz w:val="14"/>
        </w:rPr>
        <w:t>. (Although Oregon is only one of dozens of states exploring and implementing “cultural competency,” it seems to be on the cutting edge.) Defining “Cultural Competence” Some of the specifics of what constitute “social justice” and “equity” emerged from a May 2004 summit sponsored by the Oregon Department of Education. The summit’s purpose was to develop a specific proposal on how to implement “cultural competence” in education, from kindergarten to university. Attended by “over 100 of the State’s leaders in education,” the summit split into various discussion tables that evolved definitions and specifics. One table reported that “cultural competence” “entails actively challenging the status quo. . . . [O]ne table noted the need to incorporate institutionalized notions of power, privilege, and oppression into the definition. . . . Thus, for many, cultural competence is transformative and political.” In practical terms, a “culturally competent” teacher “advocates for social justice”; the teacher “exhibits awareness of key concepts” such as “privilege, affirmative action”; he or she must not only “apply cultural competencies” but also “believe it.” In its five-year projection the summit proposed to “revise rules to achieve high cultural standards including possible revocation of licensure for culturally incompetent behavior” and “to require cultural competence for license renewal.” In short, even teachers who were licensed might have to toe an ideological line in order to retain their licenses</w:t>
      </w:r>
      <w:r w:rsidRPr="006E1293">
        <w:rPr>
          <w:sz w:val="14"/>
          <w:highlight w:val="yellow"/>
        </w:rPr>
        <w:t xml:space="preserve">. </w:t>
      </w:r>
      <w:r w:rsidRPr="006E1293">
        <w:rPr>
          <w:rStyle w:val="StyleUnderline"/>
          <w:highlight w:val="yellow"/>
        </w:rPr>
        <w:t>In March 2005</w:t>
      </w:r>
      <w:r w:rsidRPr="00EC3B38">
        <w:rPr>
          <w:rStyle w:val="StyleUnderline"/>
        </w:rPr>
        <w:t xml:space="preserve"> the (Oregon) Gazette Times reported</w:t>
      </w:r>
      <w:r w:rsidRPr="006E1293">
        <w:rPr>
          <w:rStyle w:val="StyleUnderline"/>
          <w:highlight w:val="yellow"/>
        </w:rPr>
        <w:t>, “A quiet effort by state officials to require that all newly certified Oregon teachers be ‘culturally competent’ looks to be dead-on-arrival in the Republican-controlled House, despite firm support from education advocates.”</w:t>
      </w:r>
      <w:r w:rsidRPr="00EC3B38">
        <w:rPr>
          <w:sz w:val="14"/>
        </w:rPr>
        <w:t xml:space="preserve"> The House stumbled over the definition of “cultural competence” from the summit, which was almost certainly the standard that would have been applied under law. The words “quiet effort” in the news story are all-important. Parents are generally unaware of the policies under which their children’s teachers are trained or licensed. When the specifics of those policies become known, there is often a backlash such as that expressed by Dave Mowry, a legislative coordinator for Rep. Linda Flores. On May 11, 2005, Mowry wrote in the Oregonian, “[T]he Teachers Standards and Practices Commission and the Oregon Department of Education are backtracking, saying they really didn’t mean it. . . . Then why is it in the definition and the five-year plan and on the commission’s Web site?” Oregon may be an extreme example, but PC policies have a tendency to become extreme . . . and quickly so. The best protection for children against political correctness is for parents to be aware. Happily this seems to be happening more and more. As it does, strange ironies can arise. On January 22 the Ironwood Daily Globe reported that parents in the small school district of Ontonagon, Michigan, were taking Judge Wolf’s advice and homeschooling their children. The result? The newspaper continued, “Board of Education President Dean Juntunen made an appeal Monday for homeschoolers to enroll their children in the Ontonagon Area School District. Juntunen explained that due to a loss of student population this year and inadequate state funding, ‘we will be using up our financial cushion.’” Cultural competence is an argument for homeschooling.</w:t>
      </w:r>
    </w:p>
    <w:p w:rsidR="00D42850" w:rsidRDefault="00D42850" w:rsidP="00D42850">
      <w:pPr>
        <w:rPr>
          <w:sz w:val="14"/>
        </w:rPr>
      </w:pPr>
    </w:p>
    <w:p w:rsidR="00D42850" w:rsidRPr="00BF1DD1" w:rsidRDefault="00D42850" w:rsidP="00D42850">
      <w:pPr>
        <w:pStyle w:val="Heading4"/>
        <w:rPr>
          <w:rStyle w:val="Style13ptBold"/>
          <w:b/>
        </w:rPr>
      </w:pPr>
      <w:r w:rsidRPr="00BF1DD1">
        <w:rPr>
          <w:rStyle w:val="Style13ptBold"/>
          <w:b/>
        </w:rPr>
        <w:t>Shifting teaching toward cultural competency instigates backlash – resistance from teachers and conservatives</w:t>
      </w:r>
    </w:p>
    <w:p w:rsidR="00D42850" w:rsidRPr="00516EE9" w:rsidRDefault="00D42850" w:rsidP="00D42850">
      <w:pPr>
        <w:rPr>
          <w:rStyle w:val="Style13ptBold"/>
        </w:rPr>
      </w:pPr>
      <w:r>
        <w:rPr>
          <w:rStyle w:val="Style13ptBold"/>
        </w:rPr>
        <w:t xml:space="preserve">Evans 17 </w:t>
      </w:r>
      <w:r w:rsidRPr="003671E4">
        <w:rPr>
          <w:szCs w:val="20"/>
        </w:rPr>
        <w:t>(Kathleen Evans is a doctoral student in education at Walden University. “Examining the Culturally Responsive Teaching Self-Efficacy of Teacher Candidates in Hawaii.” Pgs. 90-92. February 2017. Accessed July 14, 2017.) #LP</w:t>
      </w:r>
    </w:p>
    <w:p w:rsidR="00D42850" w:rsidRDefault="00D42850" w:rsidP="00D42850">
      <w:pPr>
        <w:rPr>
          <w:sz w:val="14"/>
        </w:rPr>
      </w:pPr>
      <w:r w:rsidRPr="00DC440C">
        <w:rPr>
          <w:sz w:val="14"/>
        </w:rPr>
        <w:t xml:space="preserve">Scholars have identified numerous challenges related to integrating diversity training into teacher education programs. Some researchers have claimed that </w:t>
      </w:r>
      <w:r w:rsidRPr="00516EE9">
        <w:rPr>
          <w:rStyle w:val="StyleUnderline"/>
        </w:rPr>
        <w:t>there is a general resistance to changing teaching styles and having to prepare and assess new teaching techniques</w:t>
      </w:r>
      <w:r w:rsidRPr="00DC440C">
        <w:rPr>
          <w:sz w:val="14"/>
        </w:rPr>
        <w:t xml:space="preserve">. They have claimed that these changes not only require collaboration, but also are time consuming and labor intensive (Feimen-Nemser, 2001; Kea, CampbellWhatley &amp; Richards, 2006; Lynn, 2014; Sleeter, 2011; Sobel, Gutierrez, Zion, &amp; Blanchett, 2011). Another challenge researchers have reported is the resistance to change by teacher educators and administrators in higher education institutions, to move away from the commonly required standalone multicultural education course. The one multicultural course approach provides a one-time diversity training that is much easier to institutionalize, than it is to develop and implement more interdisciplinary or experientially-based projects that are integrated throughout the entire teacher education program (Feimen-Nemser, 2001; Sleeter, 2011). Over the past two decades culturally responsive, multicultural, and bilingual approaches to teaching have been slowly replaced by standards-driven curricula. The change has been identified as a result of (a) persistent resistance by faculty emerging from their simplistic conceptions of what culturally 91 responsive pedagogy is; (b) too little research on the effectiveness of standards-driven curricula and student achievement; and (c) an elite and Caucasian fear of losing national and global hegemony (Sleeter, 2011). Sleeter (2011) further posited that the following barriers are frequently encountered: (a) teachers have only a rudimentary understanding of CRT (defining persons according to belonging to a socio-cultural group then applying cultural practices associated with that group); (b) misplaced expectations of teachers who think CRT is teaching the students about their culture instead of using what the students know as a resource for teaching; (c) the tendency for educators to search for the one-size-fits-all way to improve academic achievement; and (d) “the problem of viewing culturally responsive pedagogy as something to do when students of color are present, rather than examining oneself and one’s teaching as culturally constructed” (p. 3). According to Sleeter, </w:t>
      </w:r>
      <w:r w:rsidRPr="00DC440C">
        <w:rPr>
          <w:rStyle w:val="StyleUnderline"/>
        </w:rPr>
        <w:t xml:space="preserve">challenging Western conceptualizations of knowledge learning and hegemony by encouraging a social justice initiative and a truly </w:t>
      </w:r>
      <w:r w:rsidRPr="006A758E">
        <w:rPr>
          <w:rStyle w:val="Emphasis"/>
          <w:highlight w:val="yellow"/>
        </w:rPr>
        <w:t>culturally responsive pedagogy may instigate a backlash of resistance based upon a clash of worldviews</w:t>
      </w:r>
      <w:r w:rsidRPr="00DC440C">
        <w:rPr>
          <w:rStyle w:val="StyleUnderline"/>
        </w:rPr>
        <w:t>.</w:t>
      </w:r>
      <w:r w:rsidRPr="00DC440C">
        <w:rPr>
          <w:sz w:val="14"/>
        </w:rPr>
        <w:t xml:space="preserve"> This is especially pertinent in Hawaii where there is a history of more than 500 years of colonization and marginalization of Native Hawaiians (Kanaka Maoli) and the Native Hawaiian culture (Teves, 2012). Thus another barrier to be considered is whether or not the facilitator of the project is perceived as an “insider” or a culturally and linguistically master teacher. Another potential barrier to be considered is that </w:t>
      </w:r>
      <w:r w:rsidRPr="00DC440C">
        <w:rPr>
          <w:rStyle w:val="StyleUnderline"/>
        </w:rPr>
        <w:t>implanting change initiatives</w:t>
      </w:r>
      <w:r w:rsidRPr="00DC440C">
        <w:rPr>
          <w:sz w:val="14"/>
        </w:rPr>
        <w:t xml:space="preserve">, like this pilot project, often </w:t>
      </w:r>
      <w:r w:rsidRPr="006A758E">
        <w:rPr>
          <w:rStyle w:val="Emphasis"/>
          <w:highlight w:val="yellow"/>
        </w:rPr>
        <w:t>produces resistance from teacher educators who do not wish to address self-issues of race and racism</w:t>
      </w:r>
      <w:r w:rsidRPr="006A758E">
        <w:rPr>
          <w:rStyle w:val="StyleUnderline"/>
          <w:highlight w:val="yellow"/>
        </w:rPr>
        <w:t>.</w:t>
      </w:r>
      <w:r w:rsidRPr="00DC440C">
        <w:rPr>
          <w:rStyle w:val="StyleUnderline"/>
        </w:rPr>
        <w:t xml:space="preserve"> These may include color-blind racial attitudes and</w:t>
      </w:r>
      <w:r w:rsidRPr="00DC440C">
        <w:rPr>
          <w:sz w:val="14"/>
        </w:rPr>
        <w:t xml:space="preserve"> 92 dispositions, and </w:t>
      </w:r>
      <w:r w:rsidRPr="00DC440C">
        <w:rPr>
          <w:rStyle w:val="StyleUnderline"/>
        </w:rPr>
        <w:t>personal resistance to embracing the training required to become more culturally responsive</w:t>
      </w:r>
      <w:r w:rsidRPr="00DC440C">
        <w:rPr>
          <w:sz w:val="14"/>
        </w:rPr>
        <w:t xml:space="preserve"> (Cochran-Smith et al., 2015; Kea, Campbell-Whatley, &amp; Richards, 2006; King, Artiles, &amp; Kozleski, 2009; Peery, 2011). This is what Gay (2010) referred to as one of five barriers to “confronting the conventions of longstanding pedagogical assumptions, beliefs, and practices” (p. 238). Gay (2010) proposed that tradition, volunteerism, professional racism, individualism, compartmentalization, and cultural hegemony continue to be obstacles to alternative paradigms of culturally responsive practice.</w:t>
      </w:r>
    </w:p>
    <w:p w:rsidR="00D42850" w:rsidRDefault="00D42850" w:rsidP="00D42850">
      <w:pPr>
        <w:pStyle w:val="Heading4"/>
      </w:pPr>
      <w:r>
        <w:t>Cultural competence education proposals failed in past – Knoxville proves</w:t>
      </w:r>
    </w:p>
    <w:p w:rsidR="00D42850" w:rsidRPr="005A26BE" w:rsidRDefault="00D42850" w:rsidP="00D42850">
      <w:r w:rsidRPr="005A26BE">
        <w:rPr>
          <w:rStyle w:val="Style13ptBold"/>
        </w:rPr>
        <w:t>WBIR 16</w:t>
      </w:r>
      <w:r>
        <w:t xml:space="preserve"> </w:t>
      </w:r>
      <w:r w:rsidRPr="003671E4">
        <w:rPr>
          <w:szCs w:val="20"/>
        </w:rPr>
        <w:t xml:space="preserve">(WBIR is the local NBC news station affiliate in the Knoxville, TN. </w:t>
      </w:r>
      <w:hyperlink r:id="rId9" w:history="1">
        <w:r w:rsidRPr="003671E4">
          <w:rPr>
            <w:rStyle w:val="Hyperlink"/>
            <w:szCs w:val="20"/>
          </w:rPr>
          <w:t>http://www.wbir.com/news/local/education/cultural-competency-resolution-fails-at-school-board-meeting/31773861</w:t>
        </w:r>
      </w:hyperlink>
      <w:r w:rsidRPr="003671E4">
        <w:rPr>
          <w:szCs w:val="20"/>
        </w:rPr>
        <w:t xml:space="preserve"> “Cultural competency resolution fails at school board meeting” 02/03/2016 FM)</w:t>
      </w:r>
    </w:p>
    <w:p w:rsidR="00D42850" w:rsidRPr="00DC440C" w:rsidRDefault="00D42850" w:rsidP="00D42850">
      <w:pPr>
        <w:rPr>
          <w:sz w:val="14"/>
        </w:rPr>
      </w:pPr>
      <w:r w:rsidRPr="00402509">
        <w:rPr>
          <w:sz w:val="14"/>
        </w:rPr>
        <w:t xml:space="preserve">(KNOXVILLE) </w:t>
      </w:r>
      <w:r w:rsidRPr="005A26BE">
        <w:rPr>
          <w:rStyle w:val="StyleUnderline"/>
          <w:highlight w:val="yellow"/>
        </w:rPr>
        <w:t>A resolution to start cultural competency training in the Knox County Schools failed Wednesday afternoon in a school board vote. Six board members voted against the resolution after discussion</w:t>
      </w:r>
      <w:r w:rsidRPr="005A26BE">
        <w:rPr>
          <w:rStyle w:val="StyleUnderline"/>
        </w:rPr>
        <w:t>.</w:t>
      </w:r>
      <w:r w:rsidRPr="00402509">
        <w:rPr>
          <w:sz w:val="14"/>
        </w:rPr>
        <w:t xml:space="preserve"> Board members Terry Hill and Amber Rountree voted to approve it and Patti Bounds passed.</w:t>
      </w:r>
      <w:r>
        <w:rPr>
          <w:sz w:val="14"/>
        </w:rPr>
        <w:t xml:space="preserve"> </w:t>
      </w:r>
      <w:r w:rsidRPr="00402509">
        <w:rPr>
          <w:sz w:val="14"/>
        </w:rPr>
        <w:t>A revised version of the resolution was dispersed to board members Wednesday afternoon before the meeting.</w:t>
      </w:r>
      <w:r>
        <w:rPr>
          <w:sz w:val="14"/>
        </w:rPr>
        <w:t xml:space="preserve"> </w:t>
      </w:r>
      <w:r w:rsidRPr="00402509">
        <w:rPr>
          <w:sz w:val="14"/>
        </w:rPr>
        <w:t>Some members objected to the revised version, which removed much of the statistical data from the original.</w:t>
      </w:r>
      <w:r>
        <w:rPr>
          <w:sz w:val="14"/>
        </w:rPr>
        <w:t xml:space="preserve"> </w:t>
      </w:r>
      <w:r w:rsidRPr="00402509">
        <w:rPr>
          <w:sz w:val="14"/>
        </w:rPr>
        <w:t>“Now it’s been watered down to basically nothing,” said Gloria Deathridge, a no vote. “I was concerned about how little was addressed before,” she said. “Now I have significant concerns.”</w:t>
      </w:r>
      <w:r>
        <w:rPr>
          <w:sz w:val="14"/>
        </w:rPr>
        <w:t xml:space="preserve"> </w:t>
      </w:r>
      <w:r w:rsidRPr="00E94B0A">
        <w:rPr>
          <w:rStyle w:val="StyleUnderline"/>
          <w:highlight w:val="yellow"/>
        </w:rPr>
        <w:t>The resolution to set up training in the system was the latest result of an ongoing discussion about perceived differences in the way black students are disciplined compared with white students.</w:t>
      </w:r>
      <w:r>
        <w:rPr>
          <w:sz w:val="14"/>
        </w:rPr>
        <w:t xml:space="preserve"> </w:t>
      </w:r>
      <w:r w:rsidRPr="00402509">
        <w:rPr>
          <w:sz w:val="14"/>
        </w:rPr>
        <w:t>"I think more information is really helpful and also having a mindset of knowing where our students are coming from, is really helpful." said Betsy Hobkirk, an elementary art teacher at West Hills Elementary School who spoke at the meeting. "Because I was raised white, middle class person and I don't necessarily know what the realit</w:t>
      </w:r>
      <w:r>
        <w:rPr>
          <w:sz w:val="14"/>
        </w:rPr>
        <w:t>y is of lives of my children…</w:t>
      </w:r>
      <w:r w:rsidRPr="00402509">
        <w:rPr>
          <w:sz w:val="14"/>
        </w:rPr>
        <w:t>they struggle. They present their struggles to you and you may or may not understand what's behind it."</w:t>
      </w:r>
      <w:r>
        <w:rPr>
          <w:sz w:val="14"/>
        </w:rPr>
        <w:t xml:space="preserve"> </w:t>
      </w:r>
      <w:r w:rsidRPr="00402509">
        <w:rPr>
          <w:sz w:val="14"/>
        </w:rPr>
        <w:t xml:space="preserve">On Monday, the board addressed the issue in a work session. Rountree introduced the original resolution last year. It acknowledged the disparity and called for training that would help increase cultural awareness </w:t>
      </w:r>
      <w:r w:rsidRPr="005A26BE">
        <w:rPr>
          <w:sz w:val="14"/>
        </w:rPr>
        <w:t>for educators,</w:t>
      </w:r>
      <w:r w:rsidRPr="00402509">
        <w:rPr>
          <w:sz w:val="14"/>
        </w:rPr>
        <w:t xml:space="preserve"> administrators and other district staff members.</w:t>
      </w:r>
      <w:r>
        <w:rPr>
          <w:sz w:val="14"/>
        </w:rPr>
        <w:t xml:space="preserve"> </w:t>
      </w:r>
      <w:r w:rsidRPr="00402509">
        <w:rPr>
          <w:sz w:val="14"/>
        </w:rPr>
        <w:t>Students met before Monday’s board meeting to express support for the resolution.</w:t>
      </w:r>
      <w:r>
        <w:rPr>
          <w:sz w:val="14"/>
        </w:rPr>
        <w:t xml:space="preserve"> </w:t>
      </w:r>
      <w:r w:rsidRPr="00402509">
        <w:rPr>
          <w:sz w:val="14"/>
        </w:rPr>
        <w:t>"I really think any teacher, anyone who interacts with a student, whether it be a law enforcement officer or a principal really needs to go through some kinds of cultural competency training," said BOE student representative Sydney Gabrielson said, in order to "have a better understanding of how students act around school."</w:t>
      </w:r>
      <w:r>
        <w:rPr>
          <w:sz w:val="14"/>
        </w:rPr>
        <w:t xml:space="preserve"> </w:t>
      </w:r>
      <w:r w:rsidRPr="00402509">
        <w:rPr>
          <w:sz w:val="14"/>
        </w:rPr>
        <w:t>A task force comprised of school personnel, community leaders, and BOE members is expected to make a full report with recommendations in the spring concerning such training.</w:t>
      </w:r>
      <w:r>
        <w:rPr>
          <w:sz w:val="14"/>
        </w:rPr>
        <w:t xml:space="preserve"> </w:t>
      </w:r>
      <w:r w:rsidRPr="00402509">
        <w:rPr>
          <w:sz w:val="14"/>
        </w:rPr>
        <w:t>Deathridge said after the meeting cultural competency will likely be a part of the disparity committee's recommendations.</w:t>
      </w:r>
      <w:r>
        <w:rPr>
          <w:sz w:val="14"/>
        </w:rPr>
        <w:t xml:space="preserve"> </w:t>
      </w:r>
      <w:r w:rsidRPr="00402509">
        <w:rPr>
          <w:sz w:val="14"/>
        </w:rPr>
        <w:t>That report is due back May 16.</w:t>
      </w:r>
      <w:r>
        <w:rPr>
          <w:sz w:val="14"/>
        </w:rPr>
        <w:t xml:space="preserve"> </w:t>
      </w:r>
      <w:r w:rsidRPr="00402509">
        <w:rPr>
          <w:sz w:val="14"/>
        </w:rPr>
        <w:t>At the meeting, the school board also approved two large gifts from local companies.</w:t>
      </w:r>
      <w:r>
        <w:rPr>
          <w:sz w:val="14"/>
        </w:rPr>
        <w:t xml:space="preserve"> </w:t>
      </w:r>
      <w:r w:rsidRPr="00402509">
        <w:rPr>
          <w:sz w:val="14"/>
        </w:rPr>
        <w:t>The BOE approved a gift from The Haslam Foundation of $1.3 million dollars that will go towards academics at the school system's</w:t>
      </w:r>
      <w:r>
        <w:rPr>
          <w:sz w:val="14"/>
        </w:rPr>
        <w:t xml:space="preserve"> </w:t>
      </w:r>
      <w:r w:rsidRPr="00402509">
        <w:rPr>
          <w:sz w:val="14"/>
        </w:rPr>
        <w:t>13 traditional high schools.</w:t>
      </w:r>
      <w:r>
        <w:rPr>
          <w:sz w:val="14"/>
        </w:rPr>
        <w:t xml:space="preserve"> </w:t>
      </w:r>
      <w:r w:rsidRPr="00402509">
        <w:rPr>
          <w:sz w:val="14"/>
        </w:rPr>
        <w:t>The board also approved a Gift and Construction Agreement with Field of Dreams, Inc. and Baseline Sports Construction, LLC for installation of artificial turf on high school football fields</w:t>
      </w:r>
      <w:r>
        <w:rPr>
          <w:sz w:val="14"/>
        </w:rPr>
        <w:t xml:space="preserve"> </w:t>
      </w:r>
      <w:r w:rsidRPr="00402509">
        <w:rPr>
          <w:sz w:val="14"/>
        </w:rPr>
        <w:t>and new track surfaces at Austin-East, Bearden, Gibbs, Halls and South-Doyle High Schools.</w:t>
      </w:r>
    </w:p>
    <w:p w:rsidR="00D42850" w:rsidRPr="00F601E6" w:rsidRDefault="00D42850" w:rsidP="00D42850"/>
    <w:p w:rsidR="00D42850" w:rsidRPr="00AE4767" w:rsidRDefault="00D42850" w:rsidP="00D42850"/>
    <w:p w:rsidR="00D42850" w:rsidRDefault="00D42850" w:rsidP="00D42850">
      <w:pPr>
        <w:pStyle w:val="Heading3"/>
      </w:pPr>
    </w:p>
    <w:p w:rsidR="00D42850" w:rsidRDefault="00D42850" w:rsidP="00D42850">
      <w:pPr>
        <w:pStyle w:val="Heading3"/>
      </w:pPr>
      <w:r>
        <w:t>***spending</w:t>
      </w:r>
    </w:p>
    <w:p w:rsidR="00D42850" w:rsidRDefault="00D42850" w:rsidP="00D42850">
      <w:pPr>
        <w:pStyle w:val="Heading3"/>
      </w:pPr>
      <w:r>
        <w:t>spending – teacher training</w:t>
      </w:r>
    </w:p>
    <w:p w:rsidR="00D42850" w:rsidRDefault="00D42850" w:rsidP="00D42850"/>
    <w:p w:rsidR="00D42850" w:rsidRDefault="00D42850" w:rsidP="00D42850">
      <w:pPr>
        <w:pStyle w:val="Heading4"/>
      </w:pPr>
      <w:r>
        <w:t>Teacher training programs are expensive and don’t work</w:t>
      </w:r>
    </w:p>
    <w:p w:rsidR="00D42850" w:rsidRPr="00316703" w:rsidRDefault="00D42850" w:rsidP="00D42850">
      <w:pPr>
        <w:rPr>
          <w:rStyle w:val="Style13ptBold"/>
        </w:rPr>
      </w:pPr>
      <w:r>
        <w:rPr>
          <w:rStyle w:val="Style13ptBold"/>
        </w:rPr>
        <w:t xml:space="preserve">Layton 15 </w:t>
      </w:r>
      <w:r w:rsidRPr="00316703">
        <w:t>(</w:t>
      </w:r>
      <w:r>
        <w:t xml:space="preserve">Lyndsey Layton is a National Staff Reporter at The Washington Post and has been covering national education since 2011. </w:t>
      </w:r>
      <w:hyperlink r:id="rId10" w:history="1">
        <w:r w:rsidRPr="00575A3A">
          <w:rPr>
            <w:rStyle w:val="Hyperlink"/>
          </w:rPr>
          <w:t>https://www.bostonglobe.com/news/nation/2015/08/04/study-finds-billions-dollars-annual-teacher-training-largely-waste/fJE89FWh12huogOhJhfJzJ/story.html</w:t>
        </w:r>
      </w:hyperlink>
      <w:r>
        <w:t>. “Teacher Training Effort Called Expensive Waste” 8/5/2015.) ME</w:t>
      </w:r>
    </w:p>
    <w:p w:rsidR="00D42850" w:rsidRDefault="00D42850" w:rsidP="00D42850">
      <w:pPr>
        <w:rPr>
          <w:sz w:val="16"/>
        </w:rPr>
      </w:pPr>
      <w:r w:rsidRPr="00316703">
        <w:rPr>
          <w:sz w:val="16"/>
        </w:rPr>
        <w:t xml:space="preserve">A study of 10,000 teachers found that </w:t>
      </w:r>
      <w:r w:rsidRPr="00316703">
        <w:rPr>
          <w:highlight w:val="yellow"/>
          <w:u w:val="single"/>
        </w:rPr>
        <w:t>p</w:t>
      </w:r>
      <w:r w:rsidRPr="00316703">
        <w:rPr>
          <w:u w:val="single"/>
        </w:rPr>
        <w:t xml:space="preserve">rofessional </w:t>
      </w:r>
      <w:r w:rsidRPr="00316703">
        <w:rPr>
          <w:highlight w:val="yellow"/>
          <w:u w:val="single"/>
        </w:rPr>
        <w:t>d</w:t>
      </w:r>
      <w:r w:rsidRPr="00316703">
        <w:rPr>
          <w:u w:val="single"/>
        </w:rPr>
        <w:t xml:space="preserve">evelopment — the teacher </w:t>
      </w:r>
      <w:r w:rsidRPr="00316703">
        <w:rPr>
          <w:highlight w:val="yellow"/>
          <w:u w:val="single"/>
        </w:rPr>
        <w:t>workshops and training that cost taxpayers billions of dollars each year — is largely a waste</w:t>
      </w:r>
      <w:r w:rsidRPr="00316703">
        <w:rPr>
          <w:sz w:val="16"/>
        </w:rPr>
        <w:t xml:space="preserve">. The study released Tuesday by TNTP, a nonprofit organization, found no evidence that any particular approach or amount of professional development consistently helps teachers improve in the classroom. ‘‘We are bombarding teachers with a lot of help, but the truth is, it’s not helping all that much,’’ said Dan Weisberg, TNTP’s chief executive. ‘‘We’re basically throwing a lot of things against the wall and not even looking to see whether it works.’’ Researchers examined three large school districts as well as a network of charter schools. They looked at professional development programs at all the schools, and teacher performance data over several years, and they surveyed 10,000 teachers and interviewed more than 100 administrators. They identified teachers who got better at their jobs and tried to figure out which experiences they had that differed from teachers who were stagnant. To determine if a teacher had improved, researchers analyzed multiple measures — evaluation ratings, classroom observation, and student test scores. And they didn’t find many answers. ‘‘When it comes to teaching, real improvement is a lot harder to achieve, and we know much less about how to make it happen than most of us would like to admit,’’ Weisberg said. The school districts that participated in the study spent an average of $18,000 per teacher annually on professional development. Based on that, </w:t>
      </w:r>
      <w:r w:rsidRPr="00316703">
        <w:rPr>
          <w:u w:val="single"/>
        </w:rPr>
        <w:t>TNTP estimates that the 50 largest school districts spend $8 billion on teacher development annually</w:t>
      </w:r>
      <w:r w:rsidRPr="00316703">
        <w:rPr>
          <w:sz w:val="16"/>
        </w:rPr>
        <w:t>. That is far larger than previous estimates. Teachers spend a good deal of time in training, the study found. The 10,000 teachers surveyed were in training an average of 19 school days a year, or almost 10 percent of a typical school year, according to TNTP. The findings echo two recent federally funded studies, which concluded that current approaches to teacher training have no significant effect on performance. ‘‘</w:t>
      </w:r>
      <w:r w:rsidRPr="00316703">
        <w:rPr>
          <w:highlight w:val="yellow"/>
          <w:u w:val="single"/>
        </w:rPr>
        <w:t>At the federal level, we spend $2.5 billion a year on p</w:t>
      </w:r>
      <w:r w:rsidRPr="00316703">
        <w:rPr>
          <w:u w:val="single"/>
        </w:rPr>
        <w:t xml:space="preserve">rofessional </w:t>
      </w:r>
      <w:r w:rsidRPr="00316703">
        <w:rPr>
          <w:highlight w:val="yellow"/>
          <w:u w:val="single"/>
        </w:rPr>
        <w:t>d</w:t>
      </w:r>
      <w:r w:rsidRPr="00316703">
        <w:rPr>
          <w:u w:val="single"/>
        </w:rPr>
        <w:t>evelopment,’’ Education Secretary Arne Duncan said at a teacher town hall in 2012</w:t>
      </w:r>
      <w:r w:rsidRPr="00316703">
        <w:rPr>
          <w:sz w:val="16"/>
        </w:rPr>
        <w:t xml:space="preserve">. ‘‘As I go out [and] talk to great teachers around the country, when I ask them how much is that money improving their job or development, they either laugh or they cry. They are not feeling it.’’ In the TNTP study, </w:t>
      </w:r>
      <w:r w:rsidRPr="00316703">
        <w:rPr>
          <w:u w:val="single"/>
        </w:rPr>
        <w:t xml:space="preserve">about </w:t>
      </w:r>
      <w:r w:rsidRPr="00316703">
        <w:rPr>
          <w:highlight w:val="yellow"/>
          <w:u w:val="single"/>
        </w:rPr>
        <w:t>one third of teachers</w:t>
      </w:r>
      <w:r w:rsidRPr="00316703">
        <w:rPr>
          <w:u w:val="single"/>
        </w:rPr>
        <w:t xml:space="preserve"> — 3 out of 10 — </w:t>
      </w:r>
      <w:r w:rsidRPr="00316703">
        <w:rPr>
          <w:highlight w:val="yellow"/>
          <w:u w:val="single"/>
        </w:rPr>
        <w:t xml:space="preserve">improved over a two- to three-year period after participating in teacher training </w:t>
      </w:r>
      <w:r w:rsidRPr="00316703">
        <w:rPr>
          <w:b/>
          <w:highlight w:val="yellow"/>
          <w:u w:val="single"/>
        </w:rPr>
        <w:t>while 20 percent got worse</w:t>
      </w:r>
      <w:r w:rsidRPr="00316703">
        <w:rPr>
          <w:u w:val="single"/>
        </w:rPr>
        <w:t>, as measured by teacher evaluations</w:t>
      </w:r>
      <w:r w:rsidRPr="00316703">
        <w:rPr>
          <w:sz w:val="16"/>
        </w:rPr>
        <w:t>. The study also found that school districts are not helping teachers understand their weaknesses.</w:t>
      </w:r>
    </w:p>
    <w:p w:rsidR="00D42850" w:rsidRDefault="00D42850" w:rsidP="00D42850"/>
    <w:p w:rsidR="00D42850" w:rsidRDefault="00D42850" w:rsidP="00D42850">
      <w:pPr>
        <w:pStyle w:val="Heading3"/>
      </w:pPr>
      <w:r>
        <w:t>spending – cultural fluency</w:t>
      </w:r>
    </w:p>
    <w:p w:rsidR="00D42850" w:rsidRDefault="00D42850" w:rsidP="00D42850"/>
    <w:p w:rsidR="00D42850" w:rsidRDefault="00D42850" w:rsidP="00D42850">
      <w:pPr>
        <w:pStyle w:val="Heading4"/>
      </w:pPr>
      <w:r>
        <w:t>Implementing cultural fluency programs are expensive and take from education budgets – UW proves</w:t>
      </w:r>
    </w:p>
    <w:p w:rsidR="00D42850" w:rsidRPr="00314752" w:rsidRDefault="00D42850" w:rsidP="00D42850">
      <w:pPr>
        <w:rPr>
          <w:rStyle w:val="Style13ptBold"/>
        </w:rPr>
      </w:pPr>
      <w:r>
        <w:rPr>
          <w:rStyle w:val="Style13ptBold"/>
        </w:rPr>
        <w:t xml:space="preserve">Savidge 16 </w:t>
      </w:r>
      <w:r w:rsidRPr="00314752">
        <w:t>(Ni</w:t>
      </w:r>
      <w:r>
        <w:t xml:space="preserve">co Savidge is the higher education reporter for the Wisconsin State Journal with a degree in journalism from the University of Wisconsin, Madison. </w:t>
      </w:r>
      <w:hyperlink r:id="rId11" w:history="1">
        <w:r w:rsidRPr="00575A3A">
          <w:rPr>
            <w:rStyle w:val="Hyperlink"/>
          </w:rPr>
          <w:t>http://host.madison.com/wsj/news/local/education/university/uw-budget-request-includes-new-cultural-competency-program-for-students/article_5e882dc0-4f0f-5b22-b7b0-a9d994860218.html</w:t>
        </w:r>
      </w:hyperlink>
      <w:r>
        <w:t xml:space="preserve"> “UW budget request includes new cultural competency program for students, faculty” 8/17/16.) ME</w:t>
      </w:r>
    </w:p>
    <w:p w:rsidR="00D42850" w:rsidRDefault="00D42850" w:rsidP="00D42850">
      <w:pPr>
        <w:rPr>
          <w:sz w:val="16"/>
        </w:rPr>
      </w:pPr>
      <w:r w:rsidRPr="00314752">
        <w:rPr>
          <w:u w:val="single"/>
        </w:rPr>
        <w:t xml:space="preserve">The </w:t>
      </w:r>
      <w:r w:rsidRPr="00314752">
        <w:rPr>
          <w:highlight w:val="yellow"/>
          <w:u w:val="single"/>
        </w:rPr>
        <w:t>U</w:t>
      </w:r>
      <w:r w:rsidRPr="00314752">
        <w:rPr>
          <w:u w:val="single"/>
        </w:rPr>
        <w:t xml:space="preserve">niversity of </w:t>
      </w:r>
      <w:r w:rsidRPr="00314752">
        <w:rPr>
          <w:highlight w:val="yellow"/>
          <w:u w:val="single"/>
        </w:rPr>
        <w:t>W</w:t>
      </w:r>
      <w:r w:rsidRPr="00314752">
        <w:rPr>
          <w:u w:val="single"/>
        </w:rPr>
        <w:t xml:space="preserve">isconsin </w:t>
      </w:r>
      <w:r w:rsidRPr="00314752">
        <w:rPr>
          <w:highlight w:val="yellow"/>
          <w:u w:val="single"/>
        </w:rPr>
        <w:t>System’s request</w:t>
      </w:r>
      <w:r w:rsidRPr="00314752">
        <w:rPr>
          <w:u w:val="single"/>
        </w:rPr>
        <w:t xml:space="preserve"> for the next state budget includes a new initiative that </w:t>
      </w:r>
      <w:r w:rsidRPr="00314752">
        <w:rPr>
          <w:highlight w:val="yellow"/>
          <w:u w:val="single"/>
        </w:rPr>
        <w:t>would require all students, professors and staff members to take</w:t>
      </w:r>
      <w:r w:rsidRPr="00314752">
        <w:rPr>
          <w:u w:val="single"/>
        </w:rPr>
        <w:t xml:space="preserve"> part in </w:t>
      </w:r>
      <w:r w:rsidRPr="00314752">
        <w:rPr>
          <w:highlight w:val="yellow"/>
          <w:u w:val="single"/>
        </w:rPr>
        <w:t>training programs designed to instill “cultural fluency.”</w:t>
      </w:r>
      <w:r w:rsidRPr="007F09FE">
        <w:rPr>
          <w:sz w:val="16"/>
        </w:rPr>
        <w:t xml:space="preserve"> Called Fluent, the program echoes a demand of student activists pressuring the system to improve the experiences of minorities on UW campuses, as well as a cultural competency training that UW-Madison has started rolling out for incoming students this year. System spokeswoman Stephanie Marquis said Fluent is a result of feedback from the “employers and workforce partners” UW officials heard from in recent listening sessions. Marquis pointed to notes from a meeting with Milwaukee and Madison businesses in which UW officials were told “cross-cultural experience (is) necessary” in employees. “The UW System will develop a premier curriculum for system-wide cultural fluency education and conduct training programs for all students, faculty and staff,” UW officials wrote of the initiative. “This will provide a foundation of civility and respect for all people who take part in university experiences.” UW officials have not said how much the initiative would cost. </w:t>
      </w:r>
      <w:r w:rsidRPr="00056865">
        <w:rPr>
          <w:u w:val="single"/>
        </w:rPr>
        <w:t xml:space="preserve">In the System’s budget request, which will go before the UW Board of Regents on Thursday, it is one of five programs meant to “focus on the university experience” that would in total cost $6 million over two years. </w:t>
      </w:r>
      <w:r w:rsidRPr="00314752">
        <w:rPr>
          <w:highlight w:val="yellow"/>
          <w:u w:val="single"/>
        </w:rPr>
        <w:t xml:space="preserve">The system is asking lawmakers to increase its funding by $42.5 million in the 2017-19 state budget to pay for </w:t>
      </w:r>
      <w:r w:rsidRPr="00314752">
        <w:rPr>
          <w:u w:val="single"/>
        </w:rPr>
        <w:t xml:space="preserve">new </w:t>
      </w:r>
      <w:r w:rsidRPr="00314752">
        <w:rPr>
          <w:highlight w:val="yellow"/>
          <w:u w:val="single"/>
        </w:rPr>
        <w:t>programs</w:t>
      </w:r>
      <w:r w:rsidRPr="00056865">
        <w:rPr>
          <w:u w:val="single"/>
        </w:rPr>
        <w:t xml:space="preserve"> that officials say will boost Wisconsin’s economy by bringing more educated college graduates into the workforce.</w:t>
      </w:r>
      <w:r w:rsidRPr="007F09FE">
        <w:rPr>
          <w:sz w:val="16"/>
        </w:rPr>
        <w:t xml:space="preserve"> The request faces uncertain prospects in the Legislature, however. Tyriek Mack, a UW-Madison junior who has been involved in protests over the racial climate on that campus and others, called the Fluent initiative a step in the right direction. But Mack emphasized that students will still push UW to make other changes they have called for, such as new funding for mental health services and a reevaluation of campus diversity plans. “All of our demands are pieces to the puzzle,” Mack said. “Getting one thing accomplished will definitely benefit students on this campus, but more importantly making sure everything is accomplished, holistically, is our main goal.” Others at UW-Madison and in the Legislature have questioned plans for cultural competency training. </w:t>
      </w:r>
      <w:r w:rsidRPr="00314752">
        <w:rPr>
          <w:highlight w:val="yellow"/>
          <w:u w:val="single"/>
        </w:rPr>
        <w:t>State Sen.</w:t>
      </w:r>
      <w:r w:rsidRPr="00314752">
        <w:rPr>
          <w:u w:val="single"/>
        </w:rPr>
        <w:t xml:space="preserve"> Steve </w:t>
      </w:r>
      <w:r w:rsidRPr="00314752">
        <w:rPr>
          <w:highlight w:val="yellow"/>
          <w:u w:val="single"/>
        </w:rPr>
        <w:t>Nass</w:t>
      </w:r>
      <w:r w:rsidRPr="00314752">
        <w:rPr>
          <w:u w:val="single"/>
        </w:rPr>
        <w:t xml:space="preserve">, R-Whitewater, who has criticized UW officials for meeting with student activists in the past, </w:t>
      </w:r>
      <w:r w:rsidRPr="00314752">
        <w:rPr>
          <w:highlight w:val="yellow"/>
          <w:u w:val="single"/>
        </w:rPr>
        <w:t>derided the</w:t>
      </w:r>
      <w:r w:rsidRPr="00314752">
        <w:rPr>
          <w:u w:val="single"/>
        </w:rPr>
        <w:t xml:space="preserve"> Fluent </w:t>
      </w:r>
      <w:r w:rsidRPr="00314752">
        <w:rPr>
          <w:highlight w:val="yellow"/>
          <w:u w:val="single"/>
        </w:rPr>
        <w:t>proposal as “wasteful UW System spending</w:t>
      </w:r>
      <w:r w:rsidRPr="00314752">
        <w:rPr>
          <w:u w:val="single"/>
        </w:rPr>
        <w:t xml:space="preserve"> on political correctness” </w:t>
      </w:r>
      <w:r w:rsidRPr="00314752">
        <w:rPr>
          <w:highlight w:val="yellow"/>
          <w:u w:val="single"/>
        </w:rPr>
        <w:t>and called for legislators to reject it.</w:t>
      </w:r>
      <w:r w:rsidRPr="00314752">
        <w:rPr>
          <w:u w:val="single"/>
        </w:rPr>
        <w:t xml:space="preserve"> “I have never met a business person yet that alleges the people of Wisconsin are culturally incompetent employees,” </w:t>
      </w:r>
      <w:r w:rsidRPr="007F09FE">
        <w:rPr>
          <w:sz w:val="16"/>
        </w:rPr>
        <w:t>Nass said. If it’s approved in the budget, the Fluent initiative would let UW campuses develop their own training programs. At UW-Madison — where officials started a cultural competency training program called Our Wisconsin for 1,000 new students this year and plan to expand the initiative to all incoming students in 2017 — Fluent could require the university to further expand training to faculty and staff. Meredith McGlone, a spokeswoman for UW-Madison, said campus officials will work with the System on how to implement the program.</w:t>
      </w:r>
    </w:p>
    <w:p w:rsidR="00D42850" w:rsidRDefault="00D42850" w:rsidP="00D42850"/>
    <w:p w:rsidR="00D42850" w:rsidRDefault="00D42850" w:rsidP="00D42850">
      <w:pPr>
        <w:pStyle w:val="Heading3"/>
      </w:pPr>
      <w:r>
        <w:t>spending – brink</w:t>
      </w:r>
    </w:p>
    <w:p w:rsidR="00D42850" w:rsidRDefault="00D42850" w:rsidP="00D42850"/>
    <w:p w:rsidR="00D42850" w:rsidRDefault="00D42850" w:rsidP="00D42850">
      <w:pPr>
        <w:pStyle w:val="Heading4"/>
      </w:pPr>
      <w:r>
        <w:t>Trump’s education budget is sparse and leaves no room for an increase in PD</w:t>
      </w:r>
    </w:p>
    <w:p w:rsidR="00D42850" w:rsidRPr="005A7E8F" w:rsidRDefault="00D42850" w:rsidP="00D42850">
      <w:pPr>
        <w:rPr>
          <w:rStyle w:val="Style13ptBold"/>
        </w:rPr>
      </w:pPr>
      <w:r>
        <w:rPr>
          <w:rStyle w:val="Style13ptBold"/>
        </w:rPr>
        <w:t xml:space="preserve">Boyd and Kamenetz 3/18 </w:t>
      </w:r>
      <w:r w:rsidRPr="005A7E8F">
        <w:t>(</w:t>
      </w:r>
      <w:r>
        <w:t xml:space="preserve">SOPHIA ALVAREZ BOYD is an educational intern for NPR from Marquette University. ANYA KAMENETZ is a senior writer for NPR with a BA in literature from Yale. </w:t>
      </w:r>
      <w:hyperlink r:id="rId12" w:history="1">
        <w:r w:rsidRPr="00575A3A">
          <w:rPr>
            <w:rStyle w:val="Hyperlink"/>
          </w:rPr>
          <w:t>http://www.npr.org/sections/ed/2017/03/18/520145773/education-budget-cuts-student-aid-problems-and-more</w:t>
        </w:r>
      </w:hyperlink>
      <w:r>
        <w:t>. “Education Budget Cuts, Student Aid Problems And More.” 3/18/17.) ME</w:t>
      </w:r>
    </w:p>
    <w:p w:rsidR="00D42850" w:rsidRPr="005A7E8F" w:rsidRDefault="00D42850" w:rsidP="00D42850">
      <w:r>
        <w:t>The biggest story of our week happened early Thursday morning when President Trump released his budget outline, historically known as a "skinny budget" because it has few details</w:t>
      </w:r>
      <w:r w:rsidRPr="005A7E8F">
        <w:rPr>
          <w:u w:val="single"/>
        </w:rPr>
        <w:t xml:space="preserve">. </w:t>
      </w:r>
      <w:r w:rsidRPr="005A7E8F">
        <w:rPr>
          <w:highlight w:val="yellow"/>
          <w:u w:val="single"/>
        </w:rPr>
        <w:t>The</w:t>
      </w:r>
      <w:r w:rsidRPr="005A7E8F">
        <w:rPr>
          <w:u w:val="single"/>
        </w:rPr>
        <w:t xml:space="preserve"> U.S. </w:t>
      </w:r>
      <w:r w:rsidRPr="005A7E8F">
        <w:rPr>
          <w:highlight w:val="yellow"/>
          <w:u w:val="single"/>
        </w:rPr>
        <w:t>D</w:t>
      </w:r>
      <w:r w:rsidRPr="005A7E8F">
        <w:rPr>
          <w:u w:val="single"/>
        </w:rPr>
        <w:t xml:space="preserve">epartment </w:t>
      </w:r>
      <w:r w:rsidRPr="005A7E8F">
        <w:rPr>
          <w:highlight w:val="yellow"/>
          <w:u w:val="single"/>
        </w:rPr>
        <w:t>o</w:t>
      </w:r>
      <w:r w:rsidRPr="005A7E8F">
        <w:rPr>
          <w:u w:val="single"/>
        </w:rPr>
        <w:t xml:space="preserve">f </w:t>
      </w:r>
      <w:r w:rsidRPr="005A7E8F">
        <w:rPr>
          <w:highlight w:val="yellow"/>
          <w:u w:val="single"/>
        </w:rPr>
        <w:t>E</w:t>
      </w:r>
      <w:r w:rsidRPr="005A7E8F">
        <w:rPr>
          <w:u w:val="single"/>
        </w:rPr>
        <w:t xml:space="preserve">ducation </w:t>
      </w:r>
      <w:r w:rsidRPr="005A7E8F">
        <w:rPr>
          <w:highlight w:val="yellow"/>
          <w:u w:val="single"/>
        </w:rPr>
        <w:t>came in for a</w:t>
      </w:r>
      <w:r w:rsidRPr="005A7E8F">
        <w:rPr>
          <w:u w:val="single"/>
        </w:rPr>
        <w:t xml:space="preserve"> $9 billion, or </w:t>
      </w:r>
      <w:r w:rsidRPr="005A7E8F">
        <w:rPr>
          <w:highlight w:val="yellow"/>
          <w:u w:val="single"/>
        </w:rPr>
        <w:t>13.5 percent, cut</w:t>
      </w:r>
      <w:r w:rsidRPr="005A7E8F">
        <w:rPr>
          <w:u w:val="single"/>
        </w:rPr>
        <w:t xml:space="preserve">. </w:t>
      </w:r>
      <w:r>
        <w:t xml:space="preserve">During Trump's campaign, he promised $20 billion for school choice. His 2018 budget is the first small step in that direction, increasing charter school funding by two-thirds, funding an unspecified new "private school choice program," </w:t>
      </w:r>
      <w:r w:rsidRPr="005A7E8F">
        <w:rPr>
          <w:u w:val="single"/>
        </w:rPr>
        <w:t>and adding another $1 billion for Title I, which helps fund high-poverty schools</w:t>
      </w:r>
      <w:r>
        <w:t xml:space="preserve">. That Title I money would be earmarked to "encourage" school choice. On the other side of the ledger, </w:t>
      </w:r>
      <w:r w:rsidRPr="005A7E8F">
        <w:rPr>
          <w:highlight w:val="yellow"/>
          <w:u w:val="single"/>
        </w:rPr>
        <w:t>Trump proposed eliminating support for after-school programs and teacher p</w:t>
      </w:r>
      <w:r w:rsidRPr="005A7E8F">
        <w:rPr>
          <w:u w:val="single"/>
        </w:rPr>
        <w:t xml:space="preserve">rofessional </w:t>
      </w:r>
      <w:r w:rsidRPr="005A7E8F">
        <w:rPr>
          <w:highlight w:val="yellow"/>
          <w:u w:val="single"/>
        </w:rPr>
        <w:t>d</w:t>
      </w:r>
      <w:r w:rsidRPr="005A7E8F">
        <w:rPr>
          <w:u w:val="single"/>
        </w:rPr>
        <w:t>evelopment</w:t>
      </w:r>
      <w:r>
        <w:t>. In higher education, the proposed budget puts Pell grants and federal work-study programs at risk. Pells are the largest income-based financial aid program; they serve largely low-income students and do not need to be paid back.</w:t>
      </w:r>
    </w:p>
    <w:p w:rsidR="00D42850" w:rsidRPr="005D3C11" w:rsidRDefault="00D42850" w:rsidP="00D42850"/>
    <w:p w:rsidR="00D42850" w:rsidRDefault="00D42850" w:rsidP="00CC593C">
      <w:pPr>
        <w:pStyle w:val="Heading2"/>
      </w:pPr>
    </w:p>
    <w:p w:rsidR="0043785D" w:rsidRDefault="00CC593C" w:rsidP="00CC593C">
      <w:pPr>
        <w:pStyle w:val="Heading2"/>
      </w:pPr>
      <w:r>
        <w:t>solvency</w:t>
      </w:r>
    </w:p>
    <w:p w:rsidR="005B4EDB" w:rsidRDefault="004426AB" w:rsidP="00CC593C">
      <w:pPr>
        <w:pStyle w:val="Heading3"/>
      </w:pPr>
      <w:r>
        <w:t>solvency – teachers</w:t>
      </w:r>
    </w:p>
    <w:p w:rsidR="004426AB" w:rsidRDefault="004426AB" w:rsidP="004426AB"/>
    <w:p w:rsidR="00AE4767" w:rsidRPr="004E3EC1" w:rsidRDefault="00AE4767" w:rsidP="00AE4767">
      <w:pPr>
        <w:pStyle w:val="Heading4"/>
      </w:pPr>
      <w:r w:rsidRPr="004E3EC1">
        <w:t>The aff does not address the institutional problems that teacher education programs have</w:t>
      </w:r>
      <w:r>
        <w:t xml:space="preserve"> </w:t>
      </w:r>
    </w:p>
    <w:p w:rsidR="00AE4767" w:rsidRPr="004E3EC1" w:rsidRDefault="00AE4767" w:rsidP="00AE4767">
      <w:pPr>
        <w:rPr>
          <w:sz w:val="18"/>
        </w:rPr>
      </w:pPr>
      <w:r w:rsidRPr="004E3EC1">
        <w:rPr>
          <w:rStyle w:val="Style13ptBold"/>
        </w:rPr>
        <w:t>Melnick and Zeichner 95</w:t>
      </w:r>
      <w:r>
        <w:t xml:space="preserve"> </w:t>
      </w:r>
      <w:r w:rsidRPr="004E3EC1">
        <w:rPr>
          <w:sz w:val="18"/>
        </w:rPr>
        <w:t xml:space="preserve">(Susan Melnick,who retired in March 2012, was an associate professor of teacher education and assistant dean for academic outreach programs. Her primary research and teaching interests focused on learning to teach diverse students; professional knowledge for teaching; the influence of state policy on teacher education; and issues of race, class, gender, and educational equity, both domestic and cross-national. Kenneth M. Zeichner has examined different aspects of teacher education in the U.S.A. and beyond.  For many years, he has focused on understanding the historical trajectories of different approaches to improving teacher education and on elaborating the underlying assumptions, program elements, and consequences of different approaches to preparing teachers. </w:t>
      </w:r>
      <w:hyperlink r:id="rId13" w:history="1">
        <w:r w:rsidRPr="004E3EC1">
          <w:rPr>
            <w:rStyle w:val="Hyperlink"/>
            <w:sz w:val="18"/>
          </w:rPr>
          <w:t>http://files.eric.ed.gov/fulltext/ED392751.pdf</w:t>
        </w:r>
      </w:hyperlink>
      <w:r w:rsidRPr="004E3EC1">
        <w:rPr>
          <w:sz w:val="18"/>
        </w:rPr>
        <w:t xml:space="preserve"> “TEACHER EDUCATION FOR CULTURAL DIVERSITY: ENHANCING THE CAPACITY OF TEACHER EDUCATION INSTITUTIONS TO ADDRESS DIVERSITY ISSUES” pgs. 13-14 October 1995) J.W.</w:t>
      </w:r>
    </w:p>
    <w:p w:rsidR="00AE4767" w:rsidRPr="005A3C36" w:rsidRDefault="00AE4767" w:rsidP="00AE4767">
      <w:r>
        <w:t>Teacher Education for Diversity and Teacher Learning In general</w:t>
      </w:r>
      <w:r w:rsidRPr="00A0782A">
        <w:rPr>
          <w:u w:val="single"/>
        </w:rPr>
        <w:t xml:space="preserve">, </w:t>
      </w:r>
      <w:r w:rsidRPr="004E3EC1">
        <w:rPr>
          <w:highlight w:val="green"/>
          <w:u w:val="single"/>
        </w:rPr>
        <w:t>the empirical evidence regarding the</w:t>
      </w:r>
      <w:r w:rsidRPr="00A0782A">
        <w:rPr>
          <w:u w:val="single"/>
        </w:rPr>
        <w:t xml:space="preserve"> </w:t>
      </w:r>
      <w:r w:rsidRPr="004E3EC1">
        <w:rPr>
          <w:highlight w:val="green"/>
          <w:u w:val="single"/>
        </w:rPr>
        <w:t>success of</w:t>
      </w:r>
      <w:r>
        <w:t xml:space="preserve"> these various </w:t>
      </w:r>
      <w:r w:rsidRPr="004E3EC1">
        <w:rPr>
          <w:highlight w:val="green"/>
          <w:u w:val="single"/>
        </w:rPr>
        <w:t>strategies</w:t>
      </w:r>
      <w:r>
        <w:t xml:space="preserve"> in </w:t>
      </w:r>
      <w:r w:rsidRPr="004E3EC1">
        <w:rPr>
          <w:highlight w:val="green"/>
          <w:u w:val="single"/>
        </w:rPr>
        <w:t>helping</w:t>
      </w:r>
      <w:r w:rsidRPr="004E3EC1">
        <w:rPr>
          <w:u w:val="single"/>
        </w:rPr>
        <w:t xml:space="preserve"> t</w:t>
      </w:r>
      <w:r w:rsidRPr="00A0782A">
        <w:rPr>
          <w:u w:val="single"/>
        </w:rPr>
        <w:t xml:space="preserve">o prepare prospective </w:t>
      </w:r>
      <w:r w:rsidRPr="004E3EC1">
        <w:rPr>
          <w:highlight w:val="green"/>
          <w:u w:val="single"/>
        </w:rPr>
        <w:t>teachers</w:t>
      </w:r>
      <w:r w:rsidRPr="00A0782A">
        <w:rPr>
          <w:u w:val="single"/>
        </w:rPr>
        <w:t xml:space="preserve"> to </w:t>
      </w:r>
      <w:r w:rsidRPr="004E3EC1">
        <w:rPr>
          <w:highlight w:val="green"/>
          <w:u w:val="single"/>
        </w:rPr>
        <w:t>teach diverse students</w:t>
      </w:r>
      <w:r w:rsidRPr="00A0782A">
        <w:rPr>
          <w:u w:val="single"/>
        </w:rPr>
        <w:t xml:space="preserve"> </w:t>
      </w:r>
      <w:r w:rsidRPr="004E3EC1">
        <w:rPr>
          <w:highlight w:val="green"/>
          <w:u w:val="single"/>
        </w:rPr>
        <w:t>is</w:t>
      </w:r>
      <w:r w:rsidRPr="00A0782A">
        <w:rPr>
          <w:u w:val="single"/>
        </w:rPr>
        <w:t xml:space="preserve"> very </w:t>
      </w:r>
      <w:r w:rsidRPr="004E3EC1">
        <w:rPr>
          <w:highlight w:val="green"/>
          <w:u w:val="single"/>
        </w:rPr>
        <w:t>weak</w:t>
      </w:r>
      <w:r w:rsidRPr="00A0782A">
        <w:rPr>
          <w:u w:val="single"/>
        </w:rPr>
        <w:t>. At best, some</w:t>
      </w:r>
      <w:r>
        <w:t xml:space="preserve"> teacher educators such as Etta Hollins (1990), Joyce King and Gloria Ladson-Billings (1990), and Lanny Beyer (1991) have been able to </w:t>
      </w:r>
      <w:r w:rsidRPr="00A0782A">
        <w:rPr>
          <w:u w:val="single"/>
        </w:rPr>
        <w:t>demonstrate some immediate influence</w:t>
      </w:r>
      <w:r>
        <w:t xml:space="preserve"> of one or more of these strategies </w:t>
      </w:r>
      <w:r w:rsidRPr="00A0782A">
        <w:rPr>
          <w:u w:val="single"/>
        </w:rPr>
        <w:t>through the presentation of student teacher self-reports.</w:t>
      </w:r>
      <w:r>
        <w:t xml:space="preserve"> These studies clearly show that under certain conditions, teacher education programs are able to help prospective teachers reexamine both themselves and their attitudes toward others and to gain knowledge about various cultural groups in the United States that had been excluded from their own education. </w:t>
      </w:r>
      <w:r w:rsidRPr="004E3EC1">
        <w:rPr>
          <w:highlight w:val="green"/>
          <w:u w:val="single"/>
        </w:rPr>
        <w:t>For the</w:t>
      </w:r>
      <w:r w:rsidRPr="00A0782A">
        <w:rPr>
          <w:u w:val="single"/>
        </w:rPr>
        <w:t xml:space="preserve"> </w:t>
      </w:r>
      <w:r w:rsidRPr="004E3EC1">
        <w:rPr>
          <w:highlight w:val="green"/>
          <w:u w:val="single"/>
        </w:rPr>
        <w:t>most part</w:t>
      </w:r>
      <w:r w:rsidRPr="00A0782A">
        <w:rPr>
          <w:u w:val="single"/>
        </w:rPr>
        <w:t xml:space="preserve">, however, </w:t>
      </w:r>
      <w:r w:rsidRPr="004E3EC1">
        <w:rPr>
          <w:highlight w:val="green"/>
          <w:u w:val="single"/>
        </w:rPr>
        <w:t>the literature is filled with assertions</w:t>
      </w:r>
      <w:r>
        <w:t xml:space="preserve"> about the value of particular </w:t>
      </w:r>
      <w:r w:rsidRPr="00A0782A">
        <w:rPr>
          <w:u w:val="single"/>
        </w:rPr>
        <w:t xml:space="preserve">practices which are </w:t>
      </w:r>
      <w:r w:rsidRPr="004E3EC1">
        <w:rPr>
          <w:highlight w:val="green"/>
          <w:u w:val="single"/>
        </w:rPr>
        <w:t>not substantiated by empirical evidence</w:t>
      </w:r>
      <w:r>
        <w:t xml:space="preserve"> (Grant and Secada 1990</w:t>
      </w:r>
      <w:r w:rsidRPr="0073549D">
        <w:t xml:space="preserve">). In </w:t>
      </w:r>
      <w:r w:rsidRPr="004E3EC1">
        <w:rPr>
          <w:highlight w:val="green"/>
          <w:u w:val="single"/>
        </w:rPr>
        <w:t>no</w:t>
      </w:r>
      <w:r w:rsidRPr="0073549D">
        <w:t xml:space="preserve"> case</w:t>
      </w:r>
      <w:r>
        <w:t xml:space="preserve"> have we been able to find in the literature convincing </w:t>
      </w:r>
      <w:r w:rsidRPr="004E3EC1">
        <w:rPr>
          <w:highlight w:val="green"/>
          <w:u w:val="single"/>
        </w:rPr>
        <w:t>evidence</w:t>
      </w:r>
      <w:r w:rsidRPr="0073549D">
        <w:rPr>
          <w:u w:val="single"/>
        </w:rPr>
        <w:t xml:space="preserve"> related </w:t>
      </w:r>
      <w:r w:rsidRPr="004E3EC1">
        <w:rPr>
          <w:highlight w:val="green"/>
          <w:u w:val="single"/>
        </w:rPr>
        <w:t>to the long-term impact of these strategies on</w:t>
      </w:r>
      <w:r w:rsidRPr="0073549D">
        <w:rPr>
          <w:u w:val="single"/>
        </w:rPr>
        <w:t xml:space="preserve"> teachers and their </w:t>
      </w:r>
      <w:r w:rsidRPr="004E3EC1">
        <w:rPr>
          <w:highlight w:val="green"/>
          <w:u w:val="single"/>
        </w:rPr>
        <w:t>teaching practices</w:t>
      </w:r>
      <w:r w:rsidRPr="0073549D">
        <w:rPr>
          <w:u w:val="single"/>
        </w:rPr>
        <w:t>.</w:t>
      </w:r>
      <w:r>
        <w:t xml:space="preserve"> Our case study design includes interviews with graduates of each of the programs we are studying. Through these interviews, we hope to be able to provide some insights into the question of the long-term impact of narticular strategies to educate teachers for diversity. Ultimately, we need to better understand how to prepare teachers for diversity in ways that are connected to active and successful efforts by teachers to promote greater equity and social justice in schools. </w:t>
      </w:r>
      <w:r w:rsidRPr="004E3EC1">
        <w:rPr>
          <w:highlight w:val="green"/>
          <w:u w:val="single"/>
        </w:rPr>
        <w:t>Changing the</w:t>
      </w:r>
      <w:r>
        <w:t xml:space="preserve"> oftentimes </w:t>
      </w:r>
      <w:r w:rsidRPr="004E3EC1">
        <w:rPr>
          <w:highlight w:val="green"/>
          <w:u w:val="single"/>
        </w:rPr>
        <w:t>negative attitudes</w:t>
      </w:r>
      <w:r>
        <w:t xml:space="preserve"> and low expectations that teachers often hold for ethnic and language minority students </w:t>
      </w:r>
      <w:r w:rsidRPr="004E3EC1">
        <w:rPr>
          <w:highlight w:val="green"/>
          <w:u w:val="single"/>
        </w:rPr>
        <w:t>and overcoming teachers' cultural ignornance are only first steps</w:t>
      </w:r>
      <w:r w:rsidRPr="0073549D">
        <w:rPr>
          <w:u w:val="single"/>
        </w:rPr>
        <w:t xml:space="preserve"> </w:t>
      </w:r>
      <w:r w:rsidRPr="004E3EC1">
        <w:rPr>
          <w:highlight w:val="green"/>
          <w:u w:val="single"/>
        </w:rPr>
        <w:t>in dealing with the</w:t>
      </w:r>
      <w:r w:rsidRPr="0073549D">
        <w:rPr>
          <w:u w:val="single"/>
        </w:rPr>
        <w:t xml:space="preserve"> serious problems of </w:t>
      </w:r>
      <w:r w:rsidRPr="004E3EC1">
        <w:rPr>
          <w:highlight w:val="green"/>
          <w:u w:val="single"/>
        </w:rPr>
        <w:t>inequity</w:t>
      </w:r>
      <w:r w:rsidRPr="0073549D">
        <w:rPr>
          <w:u w:val="single"/>
        </w:rPr>
        <w:t xml:space="preserve"> that we face </w:t>
      </w:r>
      <w:r w:rsidRPr="004E3EC1">
        <w:rPr>
          <w:highlight w:val="green"/>
          <w:u w:val="single"/>
        </w:rPr>
        <w:t>in American public education</w:t>
      </w:r>
      <w:r w:rsidRPr="0073549D">
        <w:rPr>
          <w:u w:val="single"/>
        </w:rPr>
        <w:t>.</w:t>
      </w:r>
      <w:r>
        <w:t xml:space="preserve"> The Problem of the Institutional Environment The foregoing examples of selection and socialization strategies 'show some promise despite limited empirical evidence of long-term impact on teachers and their practices. </w:t>
      </w:r>
      <w:r w:rsidRPr="004E3EC1">
        <w:rPr>
          <w:highlight w:val="green"/>
          <w:u w:val="single"/>
        </w:rPr>
        <w:t>The fundamental problem is that</w:t>
      </w:r>
      <w:r>
        <w:t>, in using these potentially effective strategies</w:t>
      </w:r>
      <w:r w:rsidRPr="0073549D">
        <w:rPr>
          <w:u w:val="single"/>
        </w:rPr>
        <w:t xml:space="preserve">, </w:t>
      </w:r>
      <w:r w:rsidRPr="004E3EC1">
        <w:rPr>
          <w:highlight w:val="green"/>
          <w:u w:val="single"/>
        </w:rPr>
        <w:t>teacher educators often</w:t>
      </w:r>
      <w:r>
        <w:t xml:space="preserve"> </w:t>
      </w:r>
      <w:r w:rsidRPr="004E3EC1">
        <w:rPr>
          <w:highlight w:val="green"/>
          <w:u w:val="single"/>
        </w:rPr>
        <w:t>define the task of teacher education for diversity</w:t>
      </w:r>
      <w:r w:rsidRPr="0073549D">
        <w:rPr>
          <w:u w:val="single"/>
        </w:rPr>
        <w:t xml:space="preserve"> only </w:t>
      </w:r>
      <w:r w:rsidRPr="004E3EC1">
        <w:rPr>
          <w:highlight w:val="green"/>
          <w:u w:val="single"/>
        </w:rPr>
        <w:t>as one of socialization and</w:t>
      </w:r>
      <w:r w:rsidRPr="0073549D">
        <w:rPr>
          <w:u w:val="single"/>
        </w:rPr>
        <w:t xml:space="preserve"> have </w:t>
      </w:r>
      <w:r w:rsidRPr="004E3EC1">
        <w:rPr>
          <w:highlight w:val="green"/>
          <w:u w:val="single"/>
        </w:rPr>
        <w:t>ignore</w:t>
      </w:r>
      <w:r w:rsidRPr="0073549D">
        <w:rPr>
          <w:u w:val="single"/>
        </w:rPr>
        <w:t xml:space="preserve">d </w:t>
      </w:r>
      <w:r w:rsidRPr="004E3EC1">
        <w:rPr>
          <w:highlight w:val="green"/>
          <w:u w:val="single"/>
        </w:rPr>
        <w:t>the</w:t>
      </w:r>
      <w:r w:rsidRPr="0073549D">
        <w:rPr>
          <w:u w:val="single"/>
        </w:rPr>
        <w:t xml:space="preserve"> </w:t>
      </w:r>
      <w:r w:rsidRPr="00DF0697">
        <w:rPr>
          <w:highlight w:val="green"/>
          <w:u w:val="single"/>
        </w:rPr>
        <w:t>selection and institutional aspects of the problem. The</w:t>
      </w:r>
      <w:r>
        <w:t xml:space="preserve"> institutional </w:t>
      </w:r>
      <w:r w:rsidRPr="00DF0697">
        <w:rPr>
          <w:highlight w:val="green"/>
          <w:u w:val="single"/>
        </w:rPr>
        <w:t>environment in which a</w:t>
      </w:r>
      <w:r>
        <w:t xml:space="preserve"> teacher </w:t>
      </w:r>
      <w:r w:rsidRPr="00DF0697">
        <w:rPr>
          <w:highlight w:val="green"/>
          <w:u w:val="single"/>
        </w:rPr>
        <w:t>education program is embedded</w:t>
      </w:r>
      <w:r w:rsidRPr="00DF0697">
        <w:rPr>
          <w:highlight w:val="green"/>
        </w:rPr>
        <w:t xml:space="preserve"> </w:t>
      </w:r>
      <w:r w:rsidRPr="00DF0697">
        <w:rPr>
          <w:highlight w:val="green"/>
          <w:u w:val="single"/>
        </w:rPr>
        <w:t>is critical in determining the success of</w:t>
      </w:r>
      <w:r>
        <w:t xml:space="preserve"> curriculum and instructional </w:t>
      </w:r>
      <w:r w:rsidRPr="00DF0697">
        <w:rPr>
          <w:highlight w:val="green"/>
          <w:u w:val="single"/>
        </w:rPr>
        <w:t>strategies.</w:t>
      </w:r>
      <w:r>
        <w:t xml:space="preserve"> Despite the rhetoric to the </w:t>
      </w:r>
      <w:r w:rsidRPr="00DF0697">
        <w:rPr>
          <w:rStyle w:val="Emphasis"/>
          <w:b w:val="0"/>
        </w:rPr>
        <w:t>contrary</w:t>
      </w:r>
      <w:r>
        <w:t xml:space="preserve">, </w:t>
      </w:r>
      <w:r w:rsidRPr="00DF0697">
        <w:rPr>
          <w:highlight w:val="green"/>
          <w:u w:val="single"/>
        </w:rPr>
        <w:t>efforts to reform U.S. teacher education</w:t>
      </w:r>
      <w:r>
        <w:t xml:space="preserve"> to address cultural diversity </w:t>
      </w:r>
      <w:r w:rsidRPr="00DF0697">
        <w:rPr>
          <w:highlight w:val="green"/>
          <w:u w:val="single"/>
        </w:rPr>
        <w:t>are</w:t>
      </w:r>
      <w:r w:rsidRPr="0073549D">
        <w:rPr>
          <w:u w:val="single"/>
        </w:rPr>
        <w:t xml:space="preserve"> severely </w:t>
      </w:r>
      <w:r w:rsidRPr="00DF0697">
        <w:rPr>
          <w:highlight w:val="green"/>
          <w:u w:val="single"/>
        </w:rPr>
        <w:t>hampered by the cultural insularity of most of the</w:t>
      </w:r>
      <w:r>
        <w:t xml:space="preserve"> education </w:t>
      </w:r>
      <w:r w:rsidRPr="00DF0697">
        <w:rPr>
          <w:highlight w:val="green"/>
          <w:u w:val="single"/>
        </w:rPr>
        <w:t>professorate</w:t>
      </w:r>
      <w:r w:rsidRPr="0073549D">
        <w:rPr>
          <w:u w:val="single"/>
        </w:rPr>
        <w:t xml:space="preserve"> </w:t>
      </w:r>
      <w:r w:rsidRPr="00DF0697">
        <w:rPr>
          <w:highlight w:val="green"/>
          <w:u w:val="single"/>
        </w:rPr>
        <w:t>and</w:t>
      </w:r>
      <w:r w:rsidRPr="0073549D">
        <w:rPr>
          <w:u w:val="single"/>
        </w:rPr>
        <w:t xml:space="preserve"> </w:t>
      </w:r>
      <w:r>
        <w:t xml:space="preserve">by </w:t>
      </w:r>
      <w:r w:rsidRPr="00DF0697">
        <w:rPr>
          <w:highlight w:val="green"/>
          <w:u w:val="single"/>
        </w:rPr>
        <w:t>the lack of commitment</w:t>
      </w:r>
      <w:r>
        <w:t xml:space="preserve"> to cultural diversity </w:t>
      </w:r>
      <w:r w:rsidRPr="00DF0697">
        <w:rPr>
          <w:highlight w:val="green"/>
          <w:u w:val="single"/>
        </w:rPr>
        <w:t>in</w:t>
      </w:r>
      <w:r>
        <w:t xml:space="preserve"> teacher education </w:t>
      </w:r>
      <w:r w:rsidRPr="00DF0697">
        <w:rPr>
          <w:highlight w:val="green"/>
          <w:u w:val="single"/>
        </w:rPr>
        <w:t>institutions</w:t>
      </w:r>
      <w:r>
        <w:t xml:space="preserve"> (Grant 1993). There is an old adageteachers teach what they knowand so do teacher educators. The correlate is that </w:t>
      </w:r>
      <w:r w:rsidRPr="00DF0697">
        <w:rPr>
          <w:b/>
          <w:highlight w:val="green"/>
          <w:u w:val="single"/>
        </w:rPr>
        <w:t>we can't teach what we don't know</w:t>
      </w:r>
      <w:r w:rsidRPr="0073549D">
        <w:rPr>
          <w:u w:val="single"/>
        </w:rPr>
        <w:t xml:space="preserve">. Teacher education for </w:t>
      </w:r>
      <w:r w:rsidRPr="00DF0697">
        <w:rPr>
          <w:highlight w:val="green"/>
          <w:u w:val="single"/>
        </w:rPr>
        <w:t>diversity involves</w:t>
      </w:r>
      <w:r>
        <w:t xml:space="preserve"> much </w:t>
      </w:r>
      <w:r w:rsidRPr="00DF0697">
        <w:rPr>
          <w:highlight w:val="green"/>
          <w:u w:val="single"/>
        </w:rPr>
        <w:t>more than the transfer</w:t>
      </w:r>
      <w:r w:rsidRPr="0073549D">
        <w:rPr>
          <w:u w:val="single"/>
        </w:rPr>
        <w:t xml:space="preserve"> </w:t>
      </w:r>
      <w:r w:rsidRPr="00DF0697">
        <w:rPr>
          <w:highlight w:val="green"/>
          <w:u w:val="single"/>
        </w:rPr>
        <w:t>of information</w:t>
      </w:r>
      <w:r w:rsidRPr="0073549D">
        <w:rPr>
          <w:u w:val="single"/>
        </w:rPr>
        <w:t xml:space="preserve"> from teacher educators to their students. </w:t>
      </w:r>
      <w:r w:rsidRPr="00DF0697">
        <w:rPr>
          <w:highlight w:val="green"/>
          <w:u w:val="single"/>
        </w:rPr>
        <w:t>It involves the</w:t>
      </w:r>
      <w:r w:rsidRPr="0073549D">
        <w:rPr>
          <w:u w:val="single"/>
        </w:rPr>
        <w:t xml:space="preserve"> profound </w:t>
      </w:r>
      <w:r w:rsidRPr="00DF0697">
        <w:rPr>
          <w:highlight w:val="green"/>
          <w:u w:val="single"/>
        </w:rPr>
        <w:t>transformation of</w:t>
      </w:r>
      <w:r w:rsidRPr="0073549D">
        <w:rPr>
          <w:u w:val="single"/>
        </w:rPr>
        <w:t xml:space="preserve"> people and of the </w:t>
      </w:r>
      <w:r w:rsidRPr="00DF0697">
        <w:rPr>
          <w:highlight w:val="green"/>
          <w:u w:val="single"/>
        </w:rPr>
        <w:t>world views and assumptions</w:t>
      </w:r>
      <w:r w:rsidRPr="0073549D">
        <w:rPr>
          <w:u w:val="single"/>
        </w:rPr>
        <w:t xml:space="preserve"> that </w:t>
      </w:r>
      <w:r w:rsidRPr="00DF0697">
        <w:rPr>
          <w:highlight w:val="green"/>
          <w:u w:val="single"/>
        </w:rPr>
        <w:t>they have carried</w:t>
      </w:r>
      <w:r w:rsidRPr="0073549D">
        <w:rPr>
          <w:u w:val="single"/>
        </w:rPr>
        <w:t xml:space="preserve"> with them for </w:t>
      </w:r>
      <w:r w:rsidRPr="00DF0697">
        <w:rPr>
          <w:highlight w:val="green"/>
          <w:u w:val="single"/>
        </w:rPr>
        <w:t>their entire lives.</w:t>
      </w:r>
      <w:r w:rsidRPr="0073549D">
        <w:rPr>
          <w:u w:val="single"/>
        </w:rPr>
        <w:t xml:space="preserve"> </w:t>
      </w:r>
    </w:p>
    <w:p w:rsidR="00AE4767" w:rsidRDefault="00AE4767" w:rsidP="000B4196"/>
    <w:p w:rsidR="000B4196" w:rsidRPr="000B4196" w:rsidRDefault="000B4196" w:rsidP="000B4196">
      <w:pPr>
        <w:pStyle w:val="Heading4"/>
      </w:pPr>
      <w:r w:rsidRPr="000B4196">
        <w:t xml:space="preserve">Teacher will not implement training </w:t>
      </w:r>
    </w:p>
    <w:p w:rsidR="000B4196" w:rsidRDefault="000B4196" w:rsidP="000B4196">
      <w:r w:rsidRPr="000B4196">
        <w:rPr>
          <w:rStyle w:val="Style13ptBold"/>
        </w:rPr>
        <w:t>Kealey 2K</w:t>
      </w:r>
      <w:r w:rsidRPr="000B4196">
        <w:t xml:space="preserve"> (Kathleen A. Kealey Hutchinson Smoking Prevention Project, Division of Public Health Sciences, Fred Hutchinson Cancer Research Center, Arthur V. Peterson, PhD Department of Biostatistics, University of Washington, Seattle Marcia A. Gaul, BA Division of Public Health Sciences, Fred Hutchinson Cancer Research Center, Seattle Khanh T. Dinh, PhD Professor of Psychology, University of Massachusetts Lowell Immigrants, Families, Youth Development, Diversity, Feminism. Health Education &amp; Behavior Volume 27, Issue 1, February 2000 page(s): 64-81 DOI: </w:t>
      </w:r>
      <w:hyperlink r:id="rId14" w:history="1">
        <w:r w:rsidRPr="000B4196">
          <w:rPr>
            <w:rStyle w:val="Hyperlink"/>
          </w:rPr>
          <w:t>https://doi.org/10.1177/109019810002700107</w:t>
        </w:r>
      </w:hyperlink>
      <w:r w:rsidRPr="000B4196">
        <w:t>) EJ</w:t>
      </w:r>
    </w:p>
    <w:p w:rsidR="000B4196" w:rsidRPr="000B4196" w:rsidRDefault="000B4196" w:rsidP="000B4196"/>
    <w:p w:rsidR="000B4196" w:rsidRPr="00A852DA" w:rsidRDefault="000B4196" w:rsidP="000B4196">
      <w:pPr>
        <w:rPr>
          <w:sz w:val="10"/>
        </w:rPr>
      </w:pPr>
      <w:r w:rsidRPr="00814655">
        <w:rPr>
          <w:u w:val="single"/>
        </w:rPr>
        <w:t>Traditionally</w:t>
      </w:r>
      <w:r w:rsidRPr="00D377C5">
        <w:rPr>
          <w:highlight w:val="green"/>
          <w:u w:val="single"/>
        </w:rPr>
        <w:t xml:space="preserve">, school-based curricula are provided </w:t>
      </w:r>
      <w:r w:rsidRPr="00814655">
        <w:rPr>
          <w:u w:val="single"/>
        </w:rPr>
        <w:t xml:space="preserve">to students </w:t>
      </w:r>
      <w:r w:rsidRPr="00D377C5">
        <w:rPr>
          <w:highlight w:val="green"/>
          <w:u w:val="single"/>
        </w:rPr>
        <w:t>by teachers, making teachers key to effective implementation.</w:t>
      </w:r>
      <w:r w:rsidRPr="008203A7">
        <w:rPr>
          <w:u w:val="single"/>
        </w:rPr>
        <w:t xml:space="preserve"> Consequently, teacher training is regarded as</w:t>
      </w:r>
      <w:r>
        <w:rPr>
          <w:u w:val="single"/>
        </w:rPr>
        <w:t xml:space="preserve"> </w:t>
      </w:r>
      <w:r w:rsidRPr="008203A7">
        <w:rPr>
          <w:u w:val="single"/>
        </w:rPr>
        <w:t>essential for the effective implementation in schools of any innovative, teacher-provided</w:t>
      </w:r>
      <w:r>
        <w:rPr>
          <w:u w:val="single"/>
        </w:rPr>
        <w:t xml:space="preserve"> </w:t>
      </w:r>
      <w:r w:rsidRPr="008203A7">
        <w:rPr>
          <w:u w:val="single"/>
        </w:rPr>
        <w:t>curriculum</w:t>
      </w:r>
      <w:r w:rsidRPr="00A852DA">
        <w:rPr>
          <w:sz w:val="10"/>
        </w:rPr>
        <w:t xml:space="preserve">.4-8 Some research has shown that in-service training is positively related to more complete implementation and, in some cases, enhanced student outcomes.9,10 Other studies11 have shown no relationship between implementation fidelity and cognitive outcomes. </w:t>
      </w:r>
      <w:r w:rsidRPr="00814655">
        <w:rPr>
          <w:u w:val="single"/>
        </w:rPr>
        <w:t xml:space="preserve">Multiple </w:t>
      </w:r>
      <w:r w:rsidRPr="00D377C5">
        <w:rPr>
          <w:highlight w:val="green"/>
          <w:u w:val="single"/>
        </w:rPr>
        <w:t>studies have demonstrated that when teacher training is</w:t>
      </w:r>
      <w:r w:rsidRPr="008203A7">
        <w:rPr>
          <w:u w:val="single"/>
        </w:rPr>
        <w:t xml:space="preserve"> </w:t>
      </w:r>
      <w:r w:rsidRPr="00814655">
        <w:rPr>
          <w:u w:val="single"/>
        </w:rPr>
        <w:t xml:space="preserve">overlooked or </w:t>
      </w:r>
      <w:r w:rsidRPr="00814655">
        <w:rPr>
          <w:highlight w:val="green"/>
          <w:u w:val="single"/>
        </w:rPr>
        <w:t>ineffective</w:t>
      </w:r>
      <w:r w:rsidRPr="00D377C5">
        <w:rPr>
          <w:highlight w:val="green"/>
          <w:u w:val="single"/>
        </w:rPr>
        <w:t>, the result is implementation failure</w:t>
      </w:r>
      <w:r w:rsidRPr="00A852DA">
        <w:rPr>
          <w:sz w:val="10"/>
        </w:rPr>
        <w:t>.4,12-</w:t>
      </w:r>
      <w:r w:rsidRPr="00814655">
        <w:rPr>
          <w:sz w:val="10"/>
        </w:rPr>
        <w:t xml:space="preserve">14 </w:t>
      </w:r>
      <w:r w:rsidRPr="00814655">
        <w:rPr>
          <w:u w:val="single"/>
        </w:rPr>
        <w:t>In fact</w:t>
      </w:r>
      <w:r w:rsidRPr="00D377C5">
        <w:rPr>
          <w:highlight w:val="green"/>
          <w:u w:val="single"/>
        </w:rPr>
        <w:t xml:space="preserve">, implementation failure and degradation are problems encountered </w:t>
      </w:r>
      <w:r w:rsidRPr="00814655">
        <w:rPr>
          <w:u w:val="single"/>
        </w:rPr>
        <w:t>even</w:t>
      </w:r>
      <w:r w:rsidRPr="00D377C5">
        <w:rPr>
          <w:highlight w:val="green"/>
          <w:u w:val="single"/>
        </w:rPr>
        <w:t xml:space="preserve"> in </w:t>
      </w:r>
      <w:r w:rsidRPr="00814655">
        <w:rPr>
          <w:u w:val="single"/>
        </w:rPr>
        <w:t xml:space="preserve">otherwise </w:t>
      </w:r>
      <w:r w:rsidRPr="00D377C5">
        <w:rPr>
          <w:highlight w:val="green"/>
          <w:u w:val="single"/>
        </w:rPr>
        <w:t xml:space="preserve">successful school-based behavior change programs </w:t>
      </w:r>
      <w:r w:rsidRPr="00814655">
        <w:rPr>
          <w:u w:val="single"/>
        </w:rPr>
        <w:t>that included teacher training</w:t>
      </w:r>
      <w:r w:rsidRPr="00814655">
        <w:rPr>
          <w:sz w:val="10"/>
        </w:rPr>
        <w:t>.15-</w:t>
      </w:r>
      <w:r w:rsidRPr="006E2DD7">
        <w:rPr>
          <w:sz w:val="10"/>
        </w:rPr>
        <w:t>17 In</w:t>
      </w:r>
      <w:r w:rsidRPr="006E2DD7">
        <w:rPr>
          <w:u w:val="single"/>
        </w:rPr>
        <w:t xml:space="preserve"> one study</w:t>
      </w:r>
      <w:r w:rsidRPr="006E2DD7">
        <w:rPr>
          <w:sz w:val="10"/>
        </w:rPr>
        <w:t xml:space="preserve">, Botvin and colleagues18 </w:t>
      </w:r>
      <w:r w:rsidRPr="006E2DD7">
        <w:rPr>
          <w:u w:val="single"/>
        </w:rPr>
        <w:t>noted that on initial analysis,</w:t>
      </w:r>
      <w:r w:rsidRPr="00814655">
        <w:rPr>
          <w:u w:val="single"/>
        </w:rPr>
        <w:t xml:space="preserve"> </w:t>
      </w:r>
      <w:r w:rsidRPr="00D377C5">
        <w:rPr>
          <w:highlight w:val="green"/>
          <w:u w:val="single"/>
        </w:rPr>
        <w:t xml:space="preserve">intervention effects were masked because </w:t>
      </w:r>
      <w:r w:rsidRPr="006E2DD7">
        <w:rPr>
          <w:u w:val="single"/>
        </w:rPr>
        <w:t xml:space="preserve">some </w:t>
      </w:r>
      <w:r w:rsidRPr="00D377C5">
        <w:rPr>
          <w:highlight w:val="green"/>
          <w:u w:val="single"/>
        </w:rPr>
        <w:t xml:space="preserve">(trained) teachers “failed to implement substantial </w:t>
      </w:r>
      <w:r w:rsidRPr="006E2DD7">
        <w:rPr>
          <w:u w:val="single"/>
        </w:rPr>
        <w:t xml:space="preserve">portions of the </w:t>
      </w:r>
      <w:r w:rsidRPr="00D377C5">
        <w:rPr>
          <w:highlight w:val="green"/>
          <w:u w:val="single"/>
        </w:rPr>
        <w:t xml:space="preserve">intervention” </w:t>
      </w:r>
      <w:r w:rsidRPr="006E2DD7">
        <w:rPr>
          <w:u w:val="single"/>
        </w:rPr>
        <w:t xml:space="preserve">and </w:t>
      </w:r>
      <w:r w:rsidRPr="00D377C5">
        <w:rPr>
          <w:highlight w:val="green"/>
          <w:u w:val="single"/>
        </w:rPr>
        <w:t>“a majority of teachers did not implement according to protocol</w:t>
      </w:r>
      <w:r w:rsidRPr="008203A7">
        <w:rPr>
          <w:u w:val="single"/>
        </w:rPr>
        <w:t xml:space="preserve">” </w:t>
      </w:r>
      <w:r w:rsidRPr="00A852DA">
        <w:rPr>
          <w:sz w:val="10"/>
        </w:rPr>
        <w:t xml:space="preserve">(p. 59). </w:t>
      </w:r>
      <w:r w:rsidRPr="00A852DA">
        <w:rPr>
          <w:u w:val="single"/>
        </w:rPr>
        <w:t>When Sobol and colleagues</w:t>
      </w:r>
      <w:r w:rsidRPr="00A852DA">
        <w:rPr>
          <w:sz w:val="10"/>
        </w:rPr>
        <w:t xml:space="preserve">12 </w:t>
      </w:r>
      <w:r w:rsidRPr="00A852DA">
        <w:rPr>
          <w:u w:val="single"/>
        </w:rPr>
        <w:t>evaluated</w:t>
      </w:r>
      <w:r w:rsidRPr="00A852DA">
        <w:rPr>
          <w:sz w:val="10"/>
        </w:rPr>
        <w:t xml:space="preserve"> </w:t>
      </w:r>
      <w:r w:rsidRPr="00A852DA">
        <w:rPr>
          <w:u w:val="single"/>
        </w:rPr>
        <w:t>integrity of program delivery among trained and experienced program instructors, they were “surprised by the amount of variation in instructor integrity” and “disappointed by the low level of integrity evidenced by several instructors</w:t>
      </w:r>
      <w:r w:rsidRPr="00A852DA">
        <w:rPr>
          <w:sz w:val="10"/>
        </w:rPr>
        <w:t xml:space="preserve">” (p. 64). </w:t>
      </w:r>
      <w:r w:rsidRPr="00D377C5">
        <w:rPr>
          <w:highlight w:val="green"/>
          <w:u w:val="single"/>
        </w:rPr>
        <w:t>Other school-based programs have documented 70% or better implementation by teachers following training</w:t>
      </w:r>
      <w:r w:rsidRPr="00D377C5">
        <w:rPr>
          <w:sz w:val="10"/>
          <w:highlight w:val="green"/>
        </w:rPr>
        <w:t>,</w:t>
      </w:r>
      <w:r w:rsidRPr="00A852DA">
        <w:rPr>
          <w:sz w:val="10"/>
        </w:rPr>
        <w:t xml:space="preserve">15,16,19 with </w:t>
      </w:r>
      <w:r w:rsidRPr="00D377C5">
        <w:rPr>
          <w:highlight w:val="green"/>
          <w:u w:val="single"/>
        </w:rPr>
        <w:t>10% to 30% of trained teachers failing to implement</w:t>
      </w:r>
      <w:r w:rsidRPr="00D377C5">
        <w:rPr>
          <w:sz w:val="10"/>
          <w:highlight w:val="green"/>
        </w:rPr>
        <w:t>.</w:t>
      </w:r>
      <w:r w:rsidRPr="00A852DA">
        <w:rPr>
          <w:sz w:val="10"/>
        </w:rPr>
        <w:t xml:space="preserve"> These same studies noted significant implementation </w:t>
      </w:r>
      <w:r w:rsidRPr="00A852DA">
        <w:rPr>
          <w:u w:val="single"/>
        </w:rPr>
        <w:t xml:space="preserve">degradation only </w:t>
      </w:r>
      <w:r w:rsidRPr="00D377C5">
        <w:rPr>
          <w:highlight w:val="green"/>
          <w:u w:val="single"/>
        </w:rPr>
        <w:t>1 year later,</w:t>
      </w:r>
      <w:r w:rsidRPr="00A852DA">
        <w:rPr>
          <w:u w:val="single"/>
        </w:rPr>
        <w:t xml:space="preserve"> when </w:t>
      </w:r>
      <w:r w:rsidRPr="00D377C5">
        <w:rPr>
          <w:highlight w:val="green"/>
          <w:u w:val="single"/>
        </w:rPr>
        <w:t>implementation rates dropped by 30% to 50%.</w:t>
      </w:r>
      <w:r>
        <w:rPr>
          <w:u w:val="single"/>
        </w:rPr>
        <w:t xml:space="preserve"> </w:t>
      </w:r>
      <w:r w:rsidRPr="00D377C5">
        <w:rPr>
          <w:highlight w:val="green"/>
          <w:u w:val="single"/>
        </w:rPr>
        <w:t>These</w:t>
      </w:r>
      <w:r w:rsidRPr="00A852DA">
        <w:rPr>
          <w:u w:val="single"/>
        </w:rPr>
        <w:t xml:space="preserve"> experiences </w:t>
      </w:r>
      <w:r w:rsidRPr="00D377C5">
        <w:rPr>
          <w:highlight w:val="green"/>
          <w:u w:val="single"/>
        </w:rPr>
        <w:t>point out the gap</w:t>
      </w:r>
      <w:r w:rsidRPr="00A852DA">
        <w:rPr>
          <w:u w:val="single"/>
        </w:rPr>
        <w:t xml:space="preserve"> that exists </w:t>
      </w:r>
      <w:r w:rsidRPr="00D377C5">
        <w:rPr>
          <w:highlight w:val="green"/>
          <w:u w:val="single"/>
        </w:rPr>
        <w:t>between</w:t>
      </w:r>
      <w:r w:rsidRPr="00A852DA">
        <w:rPr>
          <w:u w:val="single"/>
        </w:rPr>
        <w:t xml:space="preserve"> the provision of </w:t>
      </w:r>
      <w:r w:rsidRPr="00D377C5">
        <w:rPr>
          <w:highlight w:val="green"/>
          <w:u w:val="single"/>
        </w:rPr>
        <w:t>teacher training and the actual use</w:t>
      </w:r>
      <w:r w:rsidRPr="00A852DA">
        <w:rPr>
          <w:u w:val="single"/>
        </w:rPr>
        <w:t xml:space="preserve"> of the programs by teachers</w:t>
      </w:r>
      <w:r w:rsidRPr="00A852DA">
        <w:rPr>
          <w:sz w:val="10"/>
        </w:rPr>
        <w:t>.20</w:t>
      </w:r>
    </w:p>
    <w:p w:rsidR="000B4196" w:rsidRDefault="000B4196" w:rsidP="004426AB"/>
    <w:p w:rsidR="004426AB" w:rsidRDefault="004426AB" w:rsidP="004426AB">
      <w:pPr>
        <w:pStyle w:val="Heading4"/>
      </w:pPr>
      <w:r>
        <w:t>Cultural Competence training fails – educators are resistant to change and are more likely to drop out</w:t>
      </w:r>
    </w:p>
    <w:p w:rsidR="004426AB" w:rsidRPr="00B33028" w:rsidRDefault="004426AB" w:rsidP="004426AB">
      <w:pPr>
        <w:rPr>
          <w:rStyle w:val="Style13ptBold"/>
        </w:rPr>
      </w:pPr>
      <w:r w:rsidRPr="00B33028">
        <w:rPr>
          <w:rStyle w:val="Style13ptBold"/>
        </w:rPr>
        <w:t>Romo 16</w:t>
      </w:r>
    </w:p>
    <w:p w:rsidR="004426AB" w:rsidRDefault="004426AB" w:rsidP="004426AB">
      <w:r w:rsidRPr="00057345">
        <w:t>Vanessa Romo is a freelance education reporter based in Los Angeles</w:t>
      </w:r>
      <w:r>
        <w:t>, Slate, June 7, 2016, “</w:t>
      </w:r>
      <w:r w:rsidRPr="00B33028">
        <w:t>How to Change White Teachers’ Lenses</w:t>
      </w:r>
      <w:r>
        <w:t xml:space="preserve">”, </w:t>
      </w:r>
      <w:r w:rsidRPr="00057345">
        <w:t>http://www.slate.com/articles/life/tomorrows_test/2016/06/how_white_teachers_can_become_culturally_competent.html</w:t>
      </w:r>
    </w:p>
    <w:p w:rsidR="004426AB" w:rsidRDefault="004426AB" w:rsidP="004426AB"/>
    <w:p w:rsidR="004426AB" w:rsidRDefault="004426AB" w:rsidP="004426AB">
      <w:r w:rsidRPr="00B33028">
        <w:rPr>
          <w:rStyle w:val="StyleUnderline"/>
        </w:rPr>
        <w:t>Although Davis was able to become a more culturally sensitive educator over time</w:t>
      </w:r>
      <w:r>
        <w:t xml:space="preserve">, </w:t>
      </w:r>
      <w:r w:rsidRPr="00B33028">
        <w:rPr>
          <w:rStyle w:val="Emphasis"/>
        </w:rPr>
        <w:t>other teachers struggle to make that transition even with specialized training</w:t>
      </w:r>
      <w:r>
        <w:t xml:space="preserve"> and support. </w:t>
      </w:r>
      <w:r w:rsidRPr="00B33028">
        <w:rPr>
          <w:rStyle w:val="StyleUnderline"/>
        </w:rPr>
        <w:t>About 17 percent of teachers nationally leave the profession altogether at the four-year mark</w:t>
      </w:r>
      <w:r>
        <w:t xml:space="preserve">. While those who leave cite a wide range of working conditions for doing so including a lack of mentorship, </w:t>
      </w:r>
      <w:r w:rsidRPr="00B33028">
        <w:rPr>
          <w:rStyle w:val="StyleUnderline"/>
        </w:rPr>
        <w:t>teachers in high-poverty schools are more likely to depart during the first year than those in lower-poverty schools</w:t>
      </w:r>
      <w:r>
        <w:t>. In an attempt to remedy that problem, school districts across the nation offer professional development training focusing on culturally relevant teaching techniques.</w:t>
      </w:r>
    </w:p>
    <w:p w:rsidR="004426AB" w:rsidRDefault="004426AB" w:rsidP="004426AB">
      <w:r w:rsidRPr="00B33028">
        <w:rPr>
          <w:rStyle w:val="StyleUnderline"/>
        </w:rPr>
        <w:t>If progress has been slow with teaching cultural competency</w:t>
      </w:r>
      <w:r>
        <w:t xml:space="preserve">, Sally Campbell Galman, a professor at the University of Massachusetts, Amherst’s College of Education, says part </w:t>
      </w:r>
      <w:r w:rsidRPr="00B33028">
        <w:rPr>
          <w:rStyle w:val="StyleUnderline"/>
        </w:rPr>
        <w:t>of the problem is that</w:t>
      </w:r>
      <w:r w:rsidRPr="00B33028">
        <w:t xml:space="preserve"> </w:t>
      </w:r>
      <w:r w:rsidRPr="00B33028">
        <w:rPr>
          <w:rStyle w:val="Emphasis"/>
        </w:rPr>
        <w:t>so many teacher trainers are older, white academics who are uneasy facilitating conversations about race</w:t>
      </w:r>
      <w:r>
        <w:t xml:space="preserve">. </w:t>
      </w:r>
    </w:p>
    <w:p w:rsidR="004426AB" w:rsidRDefault="004426AB" w:rsidP="004426AB">
      <w:r>
        <w:t xml:space="preserve">Galman says that </w:t>
      </w:r>
      <w:r w:rsidRPr="00B33028">
        <w:rPr>
          <w:rStyle w:val="StyleUnderline"/>
        </w:rPr>
        <w:t>teacher trainers have to discuss openly their own white privilege</w:t>
      </w:r>
      <w:r>
        <w:t>—</w:t>
      </w:r>
      <w:r w:rsidRPr="00B33028">
        <w:rPr>
          <w:rStyle w:val="StyleUnderline"/>
        </w:rPr>
        <w:t>no matter how uncomfortable that might make them feel</w:t>
      </w:r>
      <w:r>
        <w:t>—</w:t>
      </w:r>
      <w:r w:rsidRPr="00B33028">
        <w:rPr>
          <w:rStyle w:val="StyleUnderline"/>
        </w:rPr>
        <w:t>if they want to be successful mentors</w:t>
      </w:r>
      <w:r>
        <w:t>. “If the white people aren’t ready, that’s just sad for the white people,” she says. “Nobody else gets to wait until they’re ready to deal with racism … I couldn’t look my students of color in the eye if I said, ‘I’m sorry, the white people aren’t ready … let’s skip it for today.’ ”</w:t>
      </w:r>
    </w:p>
    <w:p w:rsidR="004426AB" w:rsidRDefault="004426AB" w:rsidP="004426AB"/>
    <w:p w:rsidR="004426AB" w:rsidRDefault="004426AB" w:rsidP="004426AB">
      <w:pPr>
        <w:pStyle w:val="Heading4"/>
      </w:pPr>
      <w:r>
        <w:t>Teachers won’t change</w:t>
      </w:r>
    </w:p>
    <w:p w:rsidR="004426AB" w:rsidRPr="00B33028" w:rsidRDefault="004426AB" w:rsidP="004426AB">
      <w:pPr>
        <w:rPr>
          <w:rStyle w:val="Style13ptBold"/>
        </w:rPr>
      </w:pPr>
      <w:r w:rsidRPr="00B33028">
        <w:rPr>
          <w:rStyle w:val="Style13ptBold"/>
        </w:rPr>
        <w:t>Romo 16</w:t>
      </w:r>
    </w:p>
    <w:p w:rsidR="004426AB" w:rsidRDefault="004426AB" w:rsidP="004426AB">
      <w:r w:rsidRPr="00057345">
        <w:t>Vanessa Romo is a freelance education reporter based in Los Angeles</w:t>
      </w:r>
      <w:r>
        <w:t>, Slate, June 7, 2016, “</w:t>
      </w:r>
      <w:r w:rsidRPr="00B33028">
        <w:t>How to Change White Teachers’ Lenses</w:t>
      </w:r>
      <w:r>
        <w:t xml:space="preserve">”, </w:t>
      </w:r>
      <w:r w:rsidRPr="00057345">
        <w:t>http://www.slate.com/articles/life/tomorrows_test/2016/06/how_white_teachers_can_become_culturally_competent.html</w:t>
      </w:r>
    </w:p>
    <w:p w:rsidR="004426AB" w:rsidRDefault="004426AB" w:rsidP="004426AB"/>
    <w:p w:rsidR="004426AB" w:rsidRDefault="004426AB" w:rsidP="004426AB">
      <w:r w:rsidRPr="00B33028">
        <w:rPr>
          <w:rStyle w:val="StyleUnderline"/>
        </w:rPr>
        <w:t>To an outsider it may appear an obvious step to take, but teachers commonly fail to communicate with parents and students about why they do what they do</w:t>
      </w:r>
      <w:r>
        <w:t>. By looping J.J. and his parents into the process, Davis hopes to build trust and accountability on all sides.</w:t>
      </w:r>
    </w:p>
    <w:p w:rsidR="004426AB" w:rsidRDefault="004426AB" w:rsidP="004426AB">
      <w:r w:rsidRPr="00B33028">
        <w:rPr>
          <w:rStyle w:val="StyleUnderline"/>
        </w:rPr>
        <w:t>If there is a secret sauce to becoming a culturally competent teacher</w:t>
      </w:r>
      <w:r>
        <w:t xml:space="preserve">—white or not—Davis says </w:t>
      </w:r>
      <w:r w:rsidRPr="00B33028">
        <w:rPr>
          <w:rStyle w:val="StyleUnderline"/>
        </w:rPr>
        <w:t>it is time</w:t>
      </w:r>
      <w:r>
        <w:t xml:space="preserve">. </w:t>
      </w:r>
      <w:r w:rsidRPr="00B33028">
        <w:rPr>
          <w:rStyle w:val="StyleUnderline"/>
        </w:rPr>
        <w:t>Throughout those early years, she spent upwards of 13 hours a day on the job. When she scheduled parent-teacher conferences and only a handful of parents showed up, she made arrangements to meet them at fast-food restaurants at night or on the weekends</w:t>
      </w:r>
      <w:r>
        <w:t>. When students invited her to church choir recitals or local soccer league games, she made it a point to show up with flowers or orange slices. When kids confessed they had no books at home, she scrounged for sales at nearby bookstores.</w:t>
      </w:r>
    </w:p>
    <w:p w:rsidR="004426AB" w:rsidRDefault="004426AB" w:rsidP="004426AB">
      <w:r>
        <w:t>“</w:t>
      </w:r>
      <w:r w:rsidRPr="00B33028">
        <w:rPr>
          <w:rStyle w:val="StyleUnderline"/>
        </w:rPr>
        <w:t>I do think</w:t>
      </w:r>
      <w:r>
        <w:t xml:space="preserve"> maybe </w:t>
      </w:r>
      <w:r w:rsidRPr="00B33028">
        <w:rPr>
          <w:rStyle w:val="Emphasis"/>
        </w:rPr>
        <w:t>white, middle-class teachers have a hard time</w:t>
      </w:r>
      <w:r>
        <w:t xml:space="preserve"> </w:t>
      </w:r>
      <w:r w:rsidRPr="00B33028">
        <w:rPr>
          <w:rStyle w:val="StyleUnderline"/>
        </w:rPr>
        <w:t>because they don’t know what it’s like to live in poor communities</w:t>
      </w:r>
      <w:r>
        <w:t xml:space="preserve">, but it’s not impossible,” she says, adding that </w:t>
      </w:r>
      <w:r w:rsidRPr="00B33028">
        <w:rPr>
          <w:rStyle w:val="Emphasis"/>
        </w:rPr>
        <w:t>too many teachers abandon the profession before figuring it out</w:t>
      </w:r>
      <w:r>
        <w:t>.</w:t>
      </w:r>
    </w:p>
    <w:p w:rsidR="004426AB" w:rsidRDefault="004426AB" w:rsidP="004426AB"/>
    <w:p w:rsidR="004426AB" w:rsidRDefault="004426AB" w:rsidP="004426AB">
      <w:pPr>
        <w:pStyle w:val="Heading4"/>
      </w:pPr>
      <w:r>
        <w:t>Retention challenges mean curriculum changes don’t spillover</w:t>
      </w:r>
    </w:p>
    <w:p w:rsidR="004426AB" w:rsidRPr="00233A01" w:rsidRDefault="004426AB" w:rsidP="004426AB">
      <w:pPr>
        <w:rPr>
          <w:rStyle w:val="Style13ptBold"/>
        </w:rPr>
      </w:pPr>
      <w:r w:rsidRPr="00233A01">
        <w:rPr>
          <w:rStyle w:val="Style13ptBold"/>
        </w:rPr>
        <w:t>Morley 06</w:t>
      </w:r>
    </w:p>
    <w:p w:rsidR="004426AB" w:rsidRDefault="004426AB" w:rsidP="004426AB">
      <w:r>
        <w:t xml:space="preserve">Jennifer Morley, PhD Candidate in Interdisciplinary Education at the University of South Florida, 2006, “Multicultural Education and Cultural Competence in the High Accountability Era: A Study of Teacher Perception”, </w:t>
      </w:r>
      <w:r w:rsidRPr="00233A01">
        <w:t>http://scholarcommons.usf.edu/cgi/viewcontent.cgi?article=3635&amp;context=etd</w:t>
      </w:r>
    </w:p>
    <w:p w:rsidR="004426AB" w:rsidRDefault="004426AB" w:rsidP="004426AB"/>
    <w:p w:rsidR="004426AB" w:rsidRDefault="004426AB" w:rsidP="004426AB">
      <w:r>
        <w:t xml:space="preserve">Teacher retention. </w:t>
      </w:r>
      <w:r w:rsidRPr="00C918C7">
        <w:rPr>
          <w:rStyle w:val="StyleUnderline"/>
        </w:rPr>
        <w:t>Despite being considered successful by their supervisor, 5 of the 7 participants in this study did not continue their classroom work in the Title I schools</w:t>
      </w:r>
      <w:r w:rsidRPr="007B0E46">
        <w:rPr>
          <w:rStyle w:val="StyleUnderline"/>
        </w:rPr>
        <w:t>. This occurrence matches national trends</w:t>
      </w:r>
      <w:r>
        <w:t xml:space="preserve"> discussed in the literature </w:t>
      </w:r>
      <w:r w:rsidRPr="007B0E46">
        <w:rPr>
          <w:rStyle w:val="StyleUnderline"/>
        </w:rPr>
        <w:t>regarding teacher turnover in schools in high poverty urban areas</w:t>
      </w:r>
      <w:r>
        <w:t xml:space="preserve"> (Orfield &amp; Eaton, 1996; Weiner, 1993, 2000). </w:t>
      </w:r>
      <w:r w:rsidRPr="007B0E46">
        <w:rPr>
          <w:rStyle w:val="StyleUnderline"/>
        </w:rPr>
        <w:t>The two participants who did continue in the classroom were the White males</w:t>
      </w:r>
      <w:r>
        <w:t>. Both of these individuals were pursuing advanced graduate work, had careers prior to teaching, and were just shy of 40 years old, the oldest two in the study. Two African American female teachers transferred to suburban schools with far fewer students living in poverty. One African American female was promoted to an assistant principalship, another to an administrative position within the school. The Asian-Irish female transferred to an accelerated program that used distance learning only.</w:t>
      </w:r>
    </w:p>
    <w:p w:rsidR="004426AB" w:rsidRDefault="004426AB" w:rsidP="004426AB">
      <w:r>
        <w:t xml:space="preserve">The NCES (2005) </w:t>
      </w:r>
      <w:r w:rsidRPr="007B0E46">
        <w:rPr>
          <w:rStyle w:val="StyleUnderline"/>
        </w:rPr>
        <w:t>statistical data show that</w:t>
      </w:r>
      <w:r>
        <w:t>, while there is not a large difference in turnover in high vs. low poverty schools, the nature of the turnover in those schools differed markedly in one respect: “</w:t>
      </w:r>
      <w:r w:rsidRPr="007B0E46">
        <w:rPr>
          <w:rStyle w:val="StyleUnderline"/>
        </w:rPr>
        <w:t>teachers in high-poverty public schools were about twice as likely to move to another school as their counterparts in low-poverty public schools</w:t>
      </w:r>
      <w:r>
        <w:t xml:space="preserve"> (10 vs. 5 percent)” (NCES, 2005). This data does not disaggregate statistics for elementary, middle, and secondary schools, nor does it differentiate between rural, suburban, and urban high poverty schools. While 10% is not an extremely high rate, </w:t>
      </w:r>
      <w:r w:rsidRPr="007B0E46">
        <w:rPr>
          <w:rStyle w:val="StyleUnderline"/>
        </w:rPr>
        <w:t>this is the turnover rate for only for one year, on average. Given that, overall, about 50% of all new teachers leave their jobs within five years</w:t>
      </w:r>
      <w:r>
        <w:t xml:space="preserve"> (Burns &amp; Noell, 2006; Darling-Hammond, 2004), </w:t>
      </w:r>
      <w:r w:rsidRPr="007B0E46">
        <w:rPr>
          <w:rStyle w:val="Emphasis"/>
        </w:rPr>
        <w:t>“slightly higher” rates</w:t>
      </w:r>
      <w:r w:rsidRPr="007B0E46">
        <w:t xml:space="preserve">, </w:t>
      </w:r>
      <w:r w:rsidRPr="007B0E46">
        <w:rPr>
          <w:rStyle w:val="StyleUnderline"/>
        </w:rPr>
        <w:t>when they are actually twice as high</w:t>
      </w:r>
      <w:r>
        <w:t xml:space="preserve">, </w:t>
      </w:r>
      <w:r w:rsidRPr="007B0E46">
        <w:rPr>
          <w:rStyle w:val="Emphasis"/>
        </w:rPr>
        <w:t>could be devastating to the long-term stability of an organizational culture</w:t>
      </w:r>
      <w:r>
        <w:t xml:space="preserve"> (Ingersoll, 2001).</w:t>
      </w:r>
    </w:p>
    <w:p w:rsidR="004426AB" w:rsidRDefault="004426AB" w:rsidP="004426AB">
      <w:r>
        <w:t xml:space="preserve">Ingersoll (2001) also assessed data and concluded that, although high poverty schools have only slightly higher rates of turnover than low-poverty schools per year, one-half of all turnover is migration between schools. Turnover is especially high in special education, science, and math, as well as for both younger (under 30) and older teachers (over 50) (Ingersoll, 2001). He points out that </w:t>
      </w:r>
      <w:r w:rsidRPr="007B0E46">
        <w:rPr>
          <w:rStyle w:val="StyleUnderline"/>
        </w:rPr>
        <w:t>school staffing problems are</w:t>
      </w:r>
      <w:r>
        <w:t xml:space="preserve"> not </w:t>
      </w:r>
      <w:r w:rsidRPr="007B0E46">
        <w:rPr>
          <w:rStyle w:val="StyleUnderline"/>
        </w:rPr>
        <w:t>due</w:t>
      </w:r>
      <w:r>
        <w:t xml:space="preserve"> to shortages, but rather </w:t>
      </w:r>
      <w:r w:rsidRPr="007B0E46">
        <w:rPr>
          <w:rStyle w:val="StyleUnderline"/>
        </w:rPr>
        <w:t>to the large numbers of teachers who leave their jobs</w:t>
      </w:r>
      <w:r>
        <w:t xml:space="preserve">, and that the solution lies in solving demand problems, not in increasing supply of new teachers (Ingersoll, 2001). Moreover, there are wide disparities between schools and school districts even within the same state; some schools experience a surplus of qualified teachers, and others have persistent staffing shortages and large turnover (Ingersoll, 2001). While further empirical research is needed, according to Ingersoll’s study (2001), </w:t>
      </w:r>
      <w:r w:rsidRPr="00B27D92">
        <w:rPr>
          <w:rStyle w:val="StyleUnderline"/>
        </w:rPr>
        <w:t>overall job turnover is affected by teacher job dissatisfaction, inadequate administrative support, and</w:t>
      </w:r>
      <w:r>
        <w:t xml:space="preserve"> “to a lesser degree, </w:t>
      </w:r>
      <w:r w:rsidRPr="00B27D92">
        <w:rPr>
          <w:rStyle w:val="StyleUnderline"/>
        </w:rPr>
        <w:t>low salaries</w:t>
      </w:r>
      <w:r>
        <w:t>” (p. 501).</w:t>
      </w:r>
    </w:p>
    <w:p w:rsidR="004426AB" w:rsidRPr="00B27D92" w:rsidRDefault="004426AB" w:rsidP="004426AB">
      <w:pPr>
        <w:rPr>
          <w:rStyle w:val="StyleUnderline"/>
        </w:rPr>
      </w:pPr>
      <w:r>
        <w:t>Some researchers claim that employee turnover rates in schools with a large percentage of poor and minority students have always been extremely high, and it is common to find a large percentage of teachers in these schools with either low levels of experience, credentialing, or both (Artiles et al., 2004; Orfield &amp; Eaton, 1996; Weiner, 1993). Orfield and Eaton (1996) point out that “</w:t>
      </w:r>
      <w:r w:rsidRPr="00B27D92">
        <w:rPr>
          <w:rStyle w:val="StyleUnderline"/>
        </w:rPr>
        <w:t>Teachers with choices often avoid high poverty schools, not because they do not want to help, but because they are endlessly assailed with problems they cannot solve, particularly as social policy and job markets change</w:t>
      </w:r>
      <w:r>
        <w:t xml:space="preserve">” (p. 83). For example, in the high poverty secondary school where the researcher is employed, the social studies department consisted of 11 teachers (personal observation August, 2006). The Department Head had 32 years of experience, followed by one teacher with 6 years of experience, and one teacher with 4 years of experience. The other 7 teachers were in their first or second year of teaching. Not one teacher in this school qualified for the study, except for the researcher, with 6 years of experience. Only 2 participants remained in their teaching positions in Title I schools. This alone is cause for concern. </w:t>
      </w:r>
      <w:r w:rsidRPr="00B27D92">
        <w:rPr>
          <w:rStyle w:val="StyleUnderline"/>
        </w:rPr>
        <w:t>Because an organization culture is much improved with a stable, qualified teaching force</w:t>
      </w:r>
      <w:r>
        <w:t xml:space="preserve"> (Ingersoll, 2001), </w:t>
      </w:r>
      <w:r w:rsidRPr="00B27D92">
        <w:rPr>
          <w:rStyle w:val="StyleUnderline"/>
        </w:rPr>
        <w:t>aggressive efforts should also be made to retain qualified, experienced teachers at these schools.</w:t>
      </w:r>
    </w:p>
    <w:p w:rsidR="004426AB" w:rsidRDefault="004426AB" w:rsidP="004426AB">
      <w:r w:rsidRPr="00B27D92">
        <w:rPr>
          <w:rStyle w:val="StyleUnderline"/>
        </w:rPr>
        <w:t>Teaching staffs in urban schools serving poor students often are often composed of unqualified and uncertified individuals</w:t>
      </w:r>
      <w:r>
        <w:t xml:space="preserve"> (Orfield &amp; Eaton, 1996). </w:t>
      </w:r>
      <w:r w:rsidRPr="00B27D92">
        <w:rPr>
          <w:rStyle w:val="StyleUnderline"/>
        </w:rPr>
        <w:t>As one teacher in the study noted, “Unfortunately, hiring the teacher who couldn’t get hired anywhere else is not a good teacher to hire at a school that needs help.”</w:t>
      </w:r>
      <w:r>
        <w:t xml:space="preserve"> Extensive discussion in the multicultural literature focuses on working with populations in these schools, but other research shows that it is the poor working conditions in urban schools that cause qualified teachers to flee, leaving these schools with employees that remain in their positions only because they cannot be hired elsewhere (Ingersoll, 2001; Orfield &amp; Eaton, 1996; Weiner, 1993). </w:t>
      </w:r>
      <w:r w:rsidRPr="00B27D92">
        <w:rPr>
          <w:rStyle w:val="StyleUnderline"/>
        </w:rPr>
        <w:t>Teachers in this study did not feel empowered to make change in their schools, and</w:t>
      </w:r>
      <w:r>
        <w:t xml:space="preserve">, in many cases, </w:t>
      </w:r>
      <w:r w:rsidRPr="00B27D92">
        <w:rPr>
          <w:rStyle w:val="Emphasis"/>
        </w:rPr>
        <w:t>even felt silenced</w:t>
      </w:r>
      <w:r>
        <w:t xml:space="preserve"> in order </w:t>
      </w:r>
      <w:r w:rsidRPr="00B27D92">
        <w:rPr>
          <w:rStyle w:val="Emphasis"/>
        </w:rPr>
        <w:t>to keep their jobs</w:t>
      </w:r>
      <w:r>
        <w:t>. These issues relate to work environments. It may be inferred that the poor working conditions corroborated in the literature (Fine, 1991; Ingersoll, 2001; Orfield &amp; Eaton, 1996; Weiner, 1993) also affected these particular teachers’ decisions to leave their positions. As Ingersoll (2001) points out, turnover is lower at school with more administrative support and fewer discipline issues, and further research is needed to ascertain why teachers transfer to other schools.</w:t>
      </w:r>
    </w:p>
    <w:p w:rsidR="004426AB" w:rsidRDefault="004426AB" w:rsidP="004426AB">
      <w:r>
        <w:t xml:space="preserve">Since the teachers in this study left their schools, and sometimes teaching positions, after the study, attention and discussion in the interviews did not include issues of teacher retention, or reasons for leaving the classroom. </w:t>
      </w:r>
      <w:r w:rsidRPr="005C02DA">
        <w:rPr>
          <w:rStyle w:val="StyleUnderline"/>
        </w:rPr>
        <w:t>It is very important to note that teachers in this study did not mention problems or issues with students or families in these schools. Instead they discussed segregation, bureaucracy and bureaucratic mandates, resistance, testing, and lack of time as impeding their teaching</w:t>
      </w:r>
      <w:r>
        <w:t>. Additionally, could their “cultural competence” and perceived success in classrooms contribute to awareness of inequity and eventual flight from schools that discourage democratic ideals, professional considerations, or pedagogically sound, individualized curricular practice? Is there anything administrations, either at the school level or above, can do to improve conditions so that well-trained and successful teachers will not leave their schools? This may be a question for further study.</w:t>
      </w:r>
    </w:p>
    <w:p w:rsidR="004426AB" w:rsidRDefault="004426AB" w:rsidP="004426AB">
      <w:r w:rsidRPr="005C02DA">
        <w:rPr>
          <w:rStyle w:val="StyleUnderline"/>
        </w:rPr>
        <w:t>A stable and qualified teaching force is an</w:t>
      </w:r>
      <w:r>
        <w:t xml:space="preserve"> </w:t>
      </w:r>
      <w:r w:rsidRPr="005C02DA">
        <w:rPr>
          <w:rStyle w:val="Emphasis"/>
        </w:rPr>
        <w:t>important component to student success</w:t>
      </w:r>
      <w:r>
        <w:t xml:space="preserve">, </w:t>
      </w:r>
      <w:r w:rsidRPr="005C02DA">
        <w:rPr>
          <w:rStyle w:val="StyleUnderline"/>
        </w:rPr>
        <w:t>and</w:t>
      </w:r>
      <w:r>
        <w:t xml:space="preserve"> </w:t>
      </w:r>
      <w:r w:rsidRPr="005C02DA">
        <w:rPr>
          <w:rStyle w:val="Emphasis"/>
        </w:rPr>
        <w:t>constant turnover in staff further isolates students from attentive and caring adults</w:t>
      </w:r>
      <w:r>
        <w:t xml:space="preserve"> who can provide mentorship and model successful behaviors. There is a growth of programs that encourage qualified teachers to teach in schools serving poor students through increased pay, student loan forgiveness, or other incentives, although, according to the district website (2006), all of these programs in this district concentrate on elementary schools. These programs should be encouraged and expanded to all grade levels. Teachers working in urban schools serving poor students of color should be somehow recognized and rewarded. Adequate working conditions are usually a good starting point, but, as Ingersoll (2001) points out, pay does affect retention. The purpose of this research was not to study teacher retention in depth, but it is clear that this issue needs more attention, especially from the perspective of organizational culture and working conditions, rather than from just the traditional perspective of teacher attributes.</w:t>
      </w:r>
    </w:p>
    <w:p w:rsidR="004426AB" w:rsidRDefault="004426AB" w:rsidP="004426AB"/>
    <w:p w:rsidR="00CC593C" w:rsidRDefault="00CC593C" w:rsidP="00CC593C"/>
    <w:p w:rsidR="00CC593C" w:rsidRDefault="00CC593C" w:rsidP="004426AB"/>
    <w:p w:rsidR="004426AB" w:rsidRDefault="004426AB" w:rsidP="004426AB"/>
    <w:p w:rsidR="004426AB" w:rsidRDefault="004426AB" w:rsidP="00CC593C">
      <w:pPr>
        <w:pStyle w:val="Heading3"/>
      </w:pPr>
      <w:r>
        <w:t>solvency – training fails</w:t>
      </w:r>
    </w:p>
    <w:p w:rsidR="004426AB" w:rsidRDefault="004426AB" w:rsidP="004426AB"/>
    <w:p w:rsidR="004426AB" w:rsidRDefault="004426AB" w:rsidP="004426AB">
      <w:pPr>
        <w:pStyle w:val="Heading4"/>
      </w:pPr>
      <w:r>
        <w:t>Cultural competence training has limited impacts</w:t>
      </w:r>
    </w:p>
    <w:p w:rsidR="004426AB" w:rsidRPr="00233A01" w:rsidRDefault="004426AB" w:rsidP="004426AB">
      <w:pPr>
        <w:rPr>
          <w:rStyle w:val="Style13ptBold"/>
        </w:rPr>
      </w:pPr>
      <w:r w:rsidRPr="00233A01">
        <w:rPr>
          <w:rStyle w:val="Style13ptBold"/>
        </w:rPr>
        <w:t>Morley 06</w:t>
      </w:r>
    </w:p>
    <w:p w:rsidR="004426AB" w:rsidRDefault="004426AB" w:rsidP="004426AB">
      <w:r>
        <w:t xml:space="preserve">Jennifer Morley, PhD Candidate in Interdisciplinary Education at the University of South Florida, 2006, “Multicultural Education and Cultural Competence in the High Accountability Era: A Study of Teacher Perception”, </w:t>
      </w:r>
      <w:r w:rsidRPr="00233A01">
        <w:t>http://scholarcommons.usf.edu/cgi/viewcontent.cgi?article=3635&amp;context=etd</w:t>
      </w:r>
    </w:p>
    <w:p w:rsidR="004426AB" w:rsidRDefault="004426AB" w:rsidP="004426AB"/>
    <w:p w:rsidR="004426AB" w:rsidRDefault="004426AB" w:rsidP="004426AB">
      <w:r w:rsidRPr="00A36D75">
        <w:rPr>
          <w:rStyle w:val="StyleUnderline"/>
        </w:rPr>
        <w:t>Multicultural education literature concentrates on academic achievement as a social panacea, and suggests</w:t>
      </w:r>
      <w:r>
        <w:t xml:space="preserve"> that </w:t>
      </w:r>
      <w:r w:rsidRPr="00A36D75">
        <w:rPr>
          <w:rStyle w:val="StyleUnderline"/>
        </w:rPr>
        <w:t>the remedy for improving academic achievement for students of color may lie in increased diversity training for teachers</w:t>
      </w:r>
      <w:r>
        <w:t xml:space="preserve">, </w:t>
      </w:r>
      <w:r w:rsidRPr="00A36D75">
        <w:rPr>
          <w:rStyle w:val="StyleUnderline"/>
        </w:rPr>
        <w:t>yet the descriptions of school contexts offered by the research and teachers in this study show that</w:t>
      </w:r>
      <w:r>
        <w:t xml:space="preserve"> </w:t>
      </w:r>
      <w:r w:rsidRPr="00A36D75">
        <w:rPr>
          <w:rStyle w:val="Emphasis"/>
        </w:rPr>
        <w:t>organizational factors far beyond instructional models affect the ability of teachers to be</w:t>
      </w:r>
      <w:r>
        <w:t xml:space="preserve"> to be </w:t>
      </w:r>
      <w:r w:rsidRPr="00A36D75">
        <w:rPr>
          <w:rStyle w:val="Emphasis"/>
        </w:rPr>
        <w:t>successful</w:t>
      </w:r>
      <w:r>
        <w:t xml:space="preserve"> working in these schools. The </w:t>
      </w:r>
      <w:r w:rsidRPr="00A36D75">
        <w:rPr>
          <w:rStyle w:val="StyleUnderline"/>
        </w:rPr>
        <w:t>multicultural education literature assumes</w:t>
      </w:r>
      <w:r>
        <w:t xml:space="preserve"> that </w:t>
      </w:r>
      <w:r w:rsidRPr="00A36D75">
        <w:rPr>
          <w:rStyle w:val="StyleUnderline"/>
        </w:rPr>
        <w:t>the majority of teachers are not infusing multicultural practices and need more training in order to work with diverse populations</w:t>
      </w:r>
      <w:r>
        <w:t xml:space="preserve">, </w:t>
      </w:r>
      <w:r w:rsidRPr="00A36D75">
        <w:t>yet this study reveals</w:t>
      </w:r>
      <w:r>
        <w:t xml:space="preserve"> that </w:t>
      </w:r>
      <w:r w:rsidRPr="00A36D75">
        <w:rPr>
          <w:rStyle w:val="StyleUnderline"/>
        </w:rPr>
        <w:t>teachers who work in urban secondary schools are using multicultural practices, have a solid and detailed understanding of the inequality in opportunity</w:t>
      </w:r>
      <w:r>
        <w:t xml:space="preserve"> that occurs around them daily, </w:t>
      </w:r>
      <w:r w:rsidRPr="00A36D75">
        <w:rPr>
          <w:rStyle w:val="Emphasis"/>
        </w:rPr>
        <w:t>but do not feel empowered to affect change</w:t>
      </w:r>
      <w:r>
        <w:t xml:space="preserve">. </w:t>
      </w:r>
      <w:r w:rsidRPr="00A36D75">
        <w:rPr>
          <w:rStyle w:val="StyleUnderline"/>
        </w:rPr>
        <w:t>These perceptions are</w:t>
      </w:r>
      <w:r>
        <w:t xml:space="preserve"> </w:t>
      </w:r>
      <w:r w:rsidRPr="00A36D75">
        <w:rPr>
          <w:rStyle w:val="Emphasis"/>
        </w:rPr>
        <w:t>corroborated extensively through previous research</w:t>
      </w:r>
      <w:r>
        <w:t xml:space="preserve"> (Cuban, 1993; Fine, 1991; Weiner, 1993).</w:t>
      </w:r>
    </w:p>
    <w:p w:rsidR="004426AB" w:rsidRDefault="004426AB" w:rsidP="004426AB">
      <w:r>
        <w:t xml:space="preserve">Many </w:t>
      </w:r>
      <w:r w:rsidRPr="00A36D75">
        <w:rPr>
          <w:rStyle w:val="Emphasis"/>
        </w:rPr>
        <w:t>multicultural prescriptions assume teachers have more decision making power in schools than they actually do have</w:t>
      </w:r>
      <w:r>
        <w:t xml:space="preserve">. </w:t>
      </w:r>
      <w:r w:rsidRPr="00A36D75">
        <w:rPr>
          <w:rStyle w:val="StyleUnderline"/>
        </w:rPr>
        <w:t>Teachers in secondary schools often cannot affect the placement and segregation of students in their schools</w:t>
      </w:r>
      <w:r>
        <w:t xml:space="preserve">, </w:t>
      </w:r>
      <w:r w:rsidRPr="00A36D75">
        <w:rPr>
          <w:rStyle w:val="StyleUnderline"/>
        </w:rPr>
        <w:t>are not able to make all curricular decisions in their classrooms</w:t>
      </w:r>
      <w:r>
        <w:t xml:space="preserve">, </w:t>
      </w:r>
      <w:r w:rsidRPr="00A36D75">
        <w:rPr>
          <w:rStyle w:val="StyleUnderline"/>
        </w:rPr>
        <w:t>are beholden to the mandates of the testing and accountability movement</w:t>
      </w:r>
      <w:r>
        <w:t xml:space="preserve">, </w:t>
      </w:r>
      <w:r w:rsidRPr="00A36D75">
        <w:rPr>
          <w:rStyle w:val="Emphasis"/>
        </w:rPr>
        <w:t>may feel</w:t>
      </w:r>
      <w:r>
        <w:t xml:space="preserve"> almost </w:t>
      </w:r>
      <w:r w:rsidRPr="00A36D75">
        <w:rPr>
          <w:strike/>
        </w:rPr>
        <w:t>paralyzed</w:t>
      </w:r>
      <w:r>
        <w:t xml:space="preserve"> [</w:t>
      </w:r>
      <w:r w:rsidRPr="00A36D75">
        <w:rPr>
          <w:rStyle w:val="Emphasis"/>
        </w:rPr>
        <w:t>frozen</w:t>
      </w:r>
      <w:r>
        <w:t xml:space="preserve">] </w:t>
      </w:r>
      <w:r w:rsidRPr="00A36D75">
        <w:rPr>
          <w:rStyle w:val="Emphasis"/>
        </w:rPr>
        <w:t>by bureaucratic constraints</w:t>
      </w:r>
      <w:r>
        <w:t xml:space="preserve"> of administrative “walk-throughs,” </w:t>
      </w:r>
      <w:r w:rsidRPr="00A36D75">
        <w:rPr>
          <w:rStyle w:val="StyleUnderline"/>
        </w:rPr>
        <w:t>and never have enough time to perform their work duties.</w:t>
      </w:r>
      <w:r>
        <w:t xml:space="preserve"> </w:t>
      </w:r>
      <w:r w:rsidRPr="00D03E4E">
        <w:rPr>
          <w:rStyle w:val="StyleUnderline"/>
        </w:rPr>
        <w:t>The bureaucratic settings of urban secondary schools remove professional autonomy and authority from teachers that is necessary to make them “change agents.”</w:t>
      </w:r>
      <w:r>
        <w:t xml:space="preserve"> Judging from the existing research (Meier &amp; Wood, 2005; Sundeman et al, 2005), as well as the comments made by teachers in this study, </w:t>
      </w:r>
      <w:r w:rsidRPr="00D03E4E">
        <w:rPr>
          <w:rStyle w:val="StyleUnderline"/>
        </w:rPr>
        <w:t>schools are becoming even more bureaucratic post-NCLB.</w:t>
      </w:r>
    </w:p>
    <w:p w:rsidR="004426AB" w:rsidRDefault="004426AB" w:rsidP="004426AB">
      <w:r w:rsidRPr="00D03E4E">
        <w:rPr>
          <w:rStyle w:val="Emphasis"/>
        </w:rPr>
        <w:t>Teachers</w:t>
      </w:r>
      <w:r>
        <w:t xml:space="preserve"> have not, and </w:t>
      </w:r>
      <w:r w:rsidRPr="00D03E4E">
        <w:rPr>
          <w:rStyle w:val="Emphasis"/>
        </w:rPr>
        <w:t>will not</w:t>
      </w:r>
      <w:r>
        <w:t xml:space="preserve">, </w:t>
      </w:r>
      <w:r w:rsidRPr="00D03E4E">
        <w:rPr>
          <w:rStyle w:val="Emphasis"/>
        </w:rPr>
        <w:t>be able to transform schools</w:t>
      </w:r>
      <w:r>
        <w:t xml:space="preserve">. It seems clear that </w:t>
      </w:r>
      <w:r w:rsidRPr="00D03E4E">
        <w:rPr>
          <w:rStyle w:val="StyleUnderline"/>
        </w:rPr>
        <w:t>teachers in secondary high schools that serve poor students of color are not empowered to effect policy change in their schools or school districts</w:t>
      </w:r>
      <w:r>
        <w:t xml:space="preserve">, although they may greatly affect individual students in their classrooms. The ideals of multicultural education, especially those regarding whole school reform and the transformation of society, may need to be altered to accommodate this reality. This is not to say that schools should not be restructured; obviously there are issues of inequity to be addressed that this study points out. However, </w:t>
      </w:r>
      <w:r w:rsidRPr="00D03E4E">
        <w:rPr>
          <w:rStyle w:val="StyleUnderline"/>
        </w:rPr>
        <w:t>teachers, at least teachers in urban secondary schools serving large populations of students of color, do not have the power or authority to implement these changes, and so</w:t>
      </w:r>
      <w:r w:rsidRPr="00D03E4E">
        <w:t xml:space="preserve"> </w:t>
      </w:r>
      <w:r w:rsidRPr="00D03E4E">
        <w:rPr>
          <w:rStyle w:val="Emphasis"/>
        </w:rPr>
        <w:t>to continually insist that teachers change schools is</w:t>
      </w:r>
      <w:r>
        <w:t xml:space="preserve">, as they say, </w:t>
      </w:r>
      <w:r w:rsidRPr="00D03E4E">
        <w:rPr>
          <w:rStyle w:val="Emphasis"/>
        </w:rPr>
        <w:t>barking up the wrong tree</w:t>
      </w:r>
      <w:r>
        <w:t>. As Larry Cuban (1993) points out, thoughtful policy change must precede teacher practice, and so attention also should be placed instead to the top-down bureaucratic nature of schools, and to programs training administrators and in educating, or electing different, policymakers. Those who are more involved with creating policy may be the individuals who need more exposure and training to more fully comprehend the true nature of the issues in these schools.</w:t>
      </w:r>
    </w:p>
    <w:p w:rsidR="004426AB" w:rsidRDefault="004426AB" w:rsidP="004426AB">
      <w:r>
        <w:t xml:space="preserve">In addition, </w:t>
      </w:r>
      <w:r w:rsidRPr="00131964">
        <w:rPr>
          <w:rStyle w:val="StyleUnderline"/>
        </w:rPr>
        <w:t>teachers in this study</w:t>
      </w:r>
      <w:r>
        <w:t xml:space="preserve">, teachers who are considered successful by their supervisor in using multicultural practices, </w:t>
      </w:r>
      <w:r w:rsidRPr="00131964">
        <w:rPr>
          <w:rStyle w:val="StyleUnderline"/>
        </w:rPr>
        <w:t>point out that their life experiences have affected their perceptions of multicultural education far more than any training could</w:t>
      </w:r>
      <w:r>
        <w:t xml:space="preserve">. All participants discussed an eye-opening event or experience that led to their awareness of issues related to ethnicity and equity. </w:t>
      </w:r>
      <w:r w:rsidRPr="00131964">
        <w:rPr>
          <w:rStyle w:val="Emphasis"/>
        </w:rPr>
        <w:t>Not one teacher mentioned</w:t>
      </w:r>
      <w:r>
        <w:t xml:space="preserve"> that </w:t>
      </w:r>
      <w:r w:rsidRPr="00131964">
        <w:rPr>
          <w:rStyle w:val="Emphasis"/>
        </w:rPr>
        <w:t>training programs impacted their practice</w:t>
      </w:r>
      <w:r>
        <w:t xml:space="preserve">, although some saw the value in such training for people who “needed it.” </w:t>
      </w:r>
      <w:r w:rsidRPr="00131964">
        <w:rPr>
          <w:rStyle w:val="StyleUnderline"/>
        </w:rPr>
        <w:t>One participant mentioned that training programs were “preaching to the choir,”</w:t>
      </w:r>
      <w:r>
        <w:t xml:space="preserve"> or that those who needed the training did not get it. This is not to say that multicultural education or </w:t>
      </w:r>
      <w:r w:rsidRPr="00131964">
        <w:rPr>
          <w:rStyle w:val="Emphasis"/>
        </w:rPr>
        <w:t>cultural competence training</w:t>
      </w:r>
      <w:r>
        <w:t xml:space="preserve"> is without merit, or should be eliminated, rather, the point is that such training </w:t>
      </w:r>
      <w:r w:rsidRPr="00131964">
        <w:rPr>
          <w:rStyle w:val="Emphasis"/>
        </w:rPr>
        <w:t>programs continue to be limited in</w:t>
      </w:r>
      <w:r>
        <w:t xml:space="preserve"> their </w:t>
      </w:r>
      <w:r w:rsidRPr="00131964">
        <w:rPr>
          <w:rStyle w:val="Emphasis"/>
        </w:rPr>
        <w:t>success, and should not be seen as a primary solution to eliminating the achievement gap</w:t>
      </w:r>
      <w:r>
        <w:t xml:space="preserve">. </w:t>
      </w:r>
      <w:r w:rsidRPr="00131964">
        <w:rPr>
          <w:rStyle w:val="Emphasis"/>
        </w:rPr>
        <w:t>Increasing training opportunities</w:t>
      </w:r>
      <w:r>
        <w:t xml:space="preserve"> </w:t>
      </w:r>
      <w:r w:rsidRPr="00131964">
        <w:rPr>
          <w:rStyle w:val="StyleUnderline"/>
        </w:rPr>
        <w:t>for teachers, at least in secondary schools serving large populations of students of color</w:t>
      </w:r>
      <w:r>
        <w:t xml:space="preserve">, </w:t>
      </w:r>
      <w:r w:rsidRPr="00131964">
        <w:rPr>
          <w:rStyle w:val="Emphasis"/>
        </w:rPr>
        <w:t>will not solely improve equity</w:t>
      </w:r>
      <w:r>
        <w:t xml:space="preserve"> in schools.</w:t>
      </w:r>
    </w:p>
    <w:p w:rsidR="004426AB" w:rsidRDefault="004426AB" w:rsidP="004426AB">
      <w:r>
        <w:t xml:space="preserve">Instead, </w:t>
      </w:r>
      <w:r w:rsidRPr="00131964">
        <w:rPr>
          <w:rStyle w:val="StyleUnderline"/>
        </w:rPr>
        <w:t>attention to “diversity” must transcend individualized attitudinal change</w:t>
      </w:r>
      <w:r>
        <w:t xml:space="preserve"> regarding prejudice and racism, </w:t>
      </w:r>
      <w:r w:rsidRPr="00131964">
        <w:rPr>
          <w:rStyle w:val="StyleUnderline"/>
        </w:rPr>
        <w:t>including “cultural competence,” and instead focus on larger ecological models that analyze whole systems</w:t>
      </w:r>
      <w:r>
        <w:t>. Aspects of multicultural education are a good beginning to analyze inequity in education, but the investigation must go much further. Because teachers cannot and will not change schools singlehandedly, colleges of education and other alternative training programs that prepare teachers to work in urban schools must include components that analyze the top-down schooling system, complete with political analysis of the larger factors that have historically affected school outcome, so that prospective teachers understand the context of their work.</w:t>
      </w:r>
    </w:p>
    <w:p w:rsidR="004426AB" w:rsidRDefault="004426AB" w:rsidP="004426AB"/>
    <w:p w:rsidR="000B4196" w:rsidRPr="000B4196" w:rsidRDefault="000B4196" w:rsidP="000B4196">
      <w:pPr>
        <w:pStyle w:val="Heading4"/>
      </w:pPr>
      <w:r w:rsidRPr="000B4196">
        <w:t>Cultural Competence Theory is Flawed</w:t>
      </w:r>
    </w:p>
    <w:p w:rsidR="000B4196" w:rsidRDefault="000B4196" w:rsidP="000B4196">
      <w:r w:rsidRPr="000B4196">
        <w:rPr>
          <w:rStyle w:val="Style13ptBold"/>
        </w:rPr>
        <w:t>Kumagai and Lypson 09</w:t>
      </w:r>
      <w:r w:rsidRPr="000B4196">
        <w:t xml:space="preserve">  (</w:t>
      </w:r>
      <w:r w:rsidRPr="008203A7">
        <w:rPr>
          <w:sz w:val="16"/>
        </w:rPr>
        <w:t xml:space="preserve">Dr. Kumagai is associate professor, Internal Medicine and Medical Education, and director, Family Centered Experience Program and Longitudinal Case Studies, Office of Medical Education, University of Michigan Medical School, Ann Arbor, Michigan. Dr. Lypson is assistant professor, Internal Medicine and Medical Education, director, Multicultural Curriculum, and assistant dean for graduate medical education, University of Michigan Medical School, Ann Arbor, Michigan; and staff physician, Ann Arbor VA Healthcare System, Ann Arbor, Michigan. Association of American Medical Colleges pp 782-787, June 2009, </w:t>
      </w:r>
      <w:hyperlink r:id="rId15" w:history="1">
        <w:r w:rsidRPr="008203A7">
          <w:rPr>
            <w:rStyle w:val="Hyperlink"/>
            <w:sz w:val="16"/>
          </w:rPr>
          <w:t>http://za2uf4ps7f.scholar.serialssolutions.com/?sid=google&amp;auinit=AK&amp;aulast=Kumagai&amp;atitle=Beyond+cultural+competence:+critical+consciousness,+social+justice,+and+multicultural+education&amp;id=pmid:19474560</w:t>
        </w:r>
      </w:hyperlink>
    </w:p>
    <w:p w:rsidR="000B4196" w:rsidRPr="000D5BF5" w:rsidRDefault="000B4196" w:rsidP="000B4196">
      <w:pPr>
        <w:rPr>
          <w:sz w:val="10"/>
        </w:rPr>
      </w:pPr>
      <w:r w:rsidRPr="000D5BF5">
        <w:rPr>
          <w:sz w:val="10"/>
        </w:rPr>
        <w:t xml:space="preserve">As Gregg and Saha 9 have </w:t>
      </w:r>
      <w:r w:rsidRPr="00D377C5">
        <w:rPr>
          <w:sz w:val="10"/>
          <w:szCs w:val="10"/>
        </w:rPr>
        <w:t>written, the disconnect between multiculturalism and social justice is often so great that</w:t>
      </w:r>
      <w:r w:rsidRPr="00D377C5">
        <w:rPr>
          <w:sz w:val="4"/>
        </w:rPr>
        <w:t xml:space="preserve"> </w:t>
      </w:r>
      <w:r w:rsidRPr="000D5BF5">
        <w:rPr>
          <w:sz w:val="10"/>
        </w:rPr>
        <w:t xml:space="preserve">one may focus on the former while completely ignoring the latter. For example, in a recent study by Beach and colleagues 10 of cultural competency programs for health care providers, activities as varied as international study abroad experiences, work with medical translator services, and lessons in medical Spanish for emergency department physicians were included as part of cultural competency education. If social justice is an educational goal of cultural competency, discussions of racism should be prevalent in curriculum content; however, only 2 of the 34 different cultural competency curricula studied by Beach et al involved discussions of </w:t>
      </w:r>
      <w:r w:rsidRPr="000D5BF5">
        <w:rPr>
          <w:sz w:val="10"/>
          <w:szCs w:val="10"/>
          <w:u w:val="single"/>
        </w:rPr>
        <w:t>racism.10</w:t>
      </w:r>
      <w:r w:rsidRPr="000D5BF5">
        <w:rPr>
          <w:sz w:val="10"/>
        </w:rPr>
        <w:t xml:space="preserve"> </w:t>
      </w:r>
      <w:r w:rsidRPr="00256F25">
        <w:rPr>
          <w:u w:val="single"/>
        </w:rPr>
        <w:t>Admittedly, multiculturalism involves—</w:t>
      </w:r>
      <w:r w:rsidRPr="000D5BF5">
        <w:rPr>
          <w:u w:val="single"/>
        </w:rPr>
        <w:t xml:space="preserve">as implied by the </w:t>
      </w:r>
      <w:r w:rsidRPr="00256F25">
        <w:rPr>
          <w:u w:val="single"/>
        </w:rPr>
        <w:t>term—multiple and diverse cultures. However,</w:t>
      </w:r>
      <w:r w:rsidRPr="00256F25">
        <w:rPr>
          <w:sz w:val="10"/>
        </w:rPr>
        <w:t xml:space="preserve"> </w:t>
      </w:r>
      <w:r w:rsidRPr="00256F25">
        <w:rPr>
          <w:u w:val="single"/>
        </w:rPr>
        <w:t>i</w:t>
      </w:r>
      <w:r w:rsidRPr="00256F25">
        <w:rPr>
          <w:highlight w:val="green"/>
          <w:u w:val="single"/>
        </w:rPr>
        <w:t xml:space="preserve">f one focuses on acquiring knowledge about “other” cultures and treats </w:t>
      </w:r>
      <w:r w:rsidRPr="00256F25">
        <w:rPr>
          <w:u w:val="single"/>
        </w:rPr>
        <w:t>the</w:t>
      </w:r>
      <w:r w:rsidRPr="00D377C5">
        <w:rPr>
          <w:u w:val="single"/>
        </w:rPr>
        <w:t xml:space="preserve"> concept of </w:t>
      </w:r>
      <w:r w:rsidRPr="00256F25">
        <w:rPr>
          <w:highlight w:val="green"/>
          <w:u w:val="single"/>
        </w:rPr>
        <w:t xml:space="preserve">culture as static, one runs the risk of objectifying individuals whose appearance, language, national origin, religion, or sexual orientation is different from the majority into overly simplistic categorical descriptions </w:t>
      </w:r>
      <w:r w:rsidRPr="00D377C5">
        <w:rPr>
          <w:u w:val="single"/>
        </w:rPr>
        <w:t>of character and behavior</w:t>
      </w:r>
      <w:r w:rsidRPr="00D377C5">
        <w:rPr>
          <w:sz w:val="10"/>
        </w:rPr>
        <w:t>.7–</w:t>
      </w:r>
      <w:r w:rsidRPr="000D5BF5">
        <w:rPr>
          <w:sz w:val="10"/>
        </w:rPr>
        <w:t xml:space="preserve">9,11,12 Furthermore, focusing exclusively on the cultural mores of nondominant groups threatens to turn cultural competency education into what Wear 8 has termed cultural “safaris”—a medical education paradigm in which the notion of “novelty” replaces that of “equality” in approaches to patients' health. There is, however, </w:t>
      </w:r>
      <w:r w:rsidRPr="00D377C5">
        <w:rPr>
          <w:u w:val="single"/>
        </w:rPr>
        <w:t xml:space="preserve">another fundamental problem with the concept of </w:t>
      </w:r>
      <w:r w:rsidRPr="00256F25">
        <w:rPr>
          <w:highlight w:val="green"/>
          <w:u w:val="single"/>
        </w:rPr>
        <w:t xml:space="preserve">cultural competency </w:t>
      </w:r>
      <w:r w:rsidRPr="00D377C5">
        <w:rPr>
          <w:u w:val="single"/>
        </w:rPr>
        <w:t xml:space="preserve">that </w:t>
      </w:r>
      <w:r w:rsidRPr="00256F25">
        <w:rPr>
          <w:highlight w:val="green"/>
          <w:u w:val="single"/>
        </w:rPr>
        <w:t>is epistemological in nature</w:t>
      </w:r>
      <w:r w:rsidRPr="00256F25">
        <w:rPr>
          <w:sz w:val="10"/>
          <w:highlight w:val="green"/>
        </w:rPr>
        <w:t xml:space="preserve">. </w:t>
      </w:r>
      <w:r w:rsidRPr="000D5BF5">
        <w:rPr>
          <w:u w:val="single"/>
        </w:rPr>
        <w:t xml:space="preserve">The term </w:t>
      </w:r>
      <w:r w:rsidRPr="00256F25">
        <w:rPr>
          <w:highlight w:val="green"/>
          <w:u w:val="single"/>
        </w:rPr>
        <w:t xml:space="preserve">“competence” </w:t>
      </w:r>
      <w:r w:rsidRPr="000D5BF5">
        <w:rPr>
          <w:u w:val="single"/>
        </w:rPr>
        <w:t xml:space="preserve">may be </w:t>
      </w:r>
      <w:r w:rsidRPr="00256F25">
        <w:rPr>
          <w:highlight w:val="green"/>
          <w:u w:val="single"/>
        </w:rPr>
        <w:t>defined as a state or quality of</w:t>
      </w:r>
      <w:r w:rsidRPr="00256F25">
        <w:rPr>
          <w:u w:val="single"/>
        </w:rPr>
        <w:t xml:space="preserve"> being adequately or well qualified or </w:t>
      </w:r>
      <w:r w:rsidRPr="00256F25">
        <w:rPr>
          <w:highlight w:val="green"/>
          <w:u w:val="single"/>
        </w:rPr>
        <w:t xml:space="preserve">possessing </w:t>
      </w:r>
      <w:r w:rsidRPr="00256F25">
        <w:rPr>
          <w:u w:val="single"/>
        </w:rPr>
        <w:t xml:space="preserve">requisite or </w:t>
      </w:r>
      <w:r w:rsidRPr="00256F25">
        <w:rPr>
          <w:highlight w:val="green"/>
          <w:u w:val="single"/>
        </w:rPr>
        <w:t>adequate knowledge or skills in a particular area</w:t>
      </w:r>
      <w:r w:rsidRPr="00256F25">
        <w:rPr>
          <w:sz w:val="10"/>
        </w:rPr>
        <w:t xml:space="preserve">.13 </w:t>
      </w:r>
      <w:r w:rsidRPr="00256F25">
        <w:rPr>
          <w:u w:val="single"/>
        </w:rPr>
        <w:t xml:space="preserve">In education, </w:t>
      </w:r>
      <w:r w:rsidRPr="00256F25">
        <w:rPr>
          <w:highlight w:val="green"/>
          <w:u w:val="single"/>
        </w:rPr>
        <w:t>these competencies are</w:t>
      </w:r>
      <w:r w:rsidRPr="000D5BF5">
        <w:rPr>
          <w:sz w:val="10"/>
        </w:rPr>
        <w:t xml:space="preserve"> often </w:t>
      </w:r>
      <w:r w:rsidRPr="00256F25">
        <w:rPr>
          <w:highlight w:val="green"/>
          <w:u w:val="single"/>
        </w:rPr>
        <w:t>categorized into learning outcomes</w:t>
      </w:r>
      <w:r w:rsidRPr="000D5BF5">
        <w:rPr>
          <w:sz w:val="10"/>
        </w:rPr>
        <w:t xml:space="preserve"> involving knowledge, skills, and attitudes to allow for educational approaches which address each of these areas. </w:t>
      </w:r>
      <w:r w:rsidRPr="00256F25">
        <w:rPr>
          <w:sz w:val="10"/>
        </w:rPr>
        <w:t xml:space="preserve">Consequently, </w:t>
      </w:r>
      <w:r w:rsidRPr="00256F25">
        <w:rPr>
          <w:u w:val="single"/>
        </w:rPr>
        <w:t>“</w:t>
      </w:r>
      <w:r w:rsidRPr="00256F25">
        <w:rPr>
          <w:highlight w:val="green"/>
          <w:u w:val="single"/>
        </w:rPr>
        <w:t xml:space="preserve">cultural competency” is </w:t>
      </w:r>
      <w:r w:rsidRPr="000D5BF5">
        <w:rPr>
          <w:u w:val="single"/>
        </w:rPr>
        <w:t xml:space="preserve">frequently </w:t>
      </w:r>
      <w:r w:rsidRPr="00256F25">
        <w:rPr>
          <w:highlight w:val="green"/>
          <w:u w:val="single"/>
        </w:rPr>
        <w:t>approached in ways which limit its goals to knowledge of characteristics, cultural beliefs, and practices of different nonmajority groups</w:t>
      </w:r>
      <w:r w:rsidRPr="000D5BF5">
        <w:rPr>
          <w:sz w:val="10"/>
        </w:rPr>
        <w:t>, and skills and attitudes of empathy and compassion in interviewing and communicating with nonmajority groups</w:t>
      </w:r>
      <w:r w:rsidRPr="000D5BF5">
        <w:rPr>
          <w:u w:val="single"/>
        </w:rPr>
        <w:t xml:space="preserve">. </w:t>
      </w:r>
      <w:r w:rsidRPr="00256F25">
        <w:rPr>
          <w:highlight w:val="green"/>
          <w:u w:val="single"/>
        </w:rPr>
        <w:t xml:space="preserve">Achieving cultural competence is </w:t>
      </w:r>
      <w:r w:rsidRPr="000D5BF5">
        <w:rPr>
          <w:u w:val="single"/>
        </w:rPr>
        <w:t xml:space="preserve">thus often </w:t>
      </w:r>
      <w:r w:rsidRPr="00256F25">
        <w:rPr>
          <w:highlight w:val="green"/>
          <w:u w:val="single"/>
        </w:rPr>
        <w:t>viewed as a static outcome</w:t>
      </w:r>
      <w:r w:rsidRPr="000D5BF5">
        <w:rPr>
          <w:sz w:val="10"/>
        </w:rPr>
        <w:t>: One is “competent” in interacting with patients from diverse backgrounds much in the same way as one is competent in performing a physical exam or reading an EKG. Cultural competency is not an abdominal exam. It is not a static requirement to be checked off some list but is something beyond the somewhat rigid categories of knowledge, skills, and attitudes: the continuous critical refinement and fostering of a type of thinking and knowing—a critical consciousness—of self, others, and the world.</w:t>
      </w:r>
    </w:p>
    <w:p w:rsidR="000B4196" w:rsidRDefault="000B4196" w:rsidP="004426AB"/>
    <w:p w:rsidR="00AF074F" w:rsidRDefault="00AF074F" w:rsidP="00AF074F">
      <w:pPr>
        <w:pStyle w:val="Heading4"/>
      </w:pPr>
      <w:r>
        <w:t>Cultural competence will get trivialized and butchered in practice</w:t>
      </w:r>
    </w:p>
    <w:p w:rsidR="00AF074F" w:rsidRPr="00A73DDA" w:rsidRDefault="00AF074F" w:rsidP="00AF074F">
      <w:pPr>
        <w:rPr>
          <w:rStyle w:val="Style13ptBold"/>
        </w:rPr>
      </w:pPr>
      <w:r w:rsidRPr="00A73DDA">
        <w:rPr>
          <w:rStyle w:val="Style13ptBold"/>
        </w:rPr>
        <w:t>Sleeter 11</w:t>
      </w:r>
    </w:p>
    <w:p w:rsidR="00AF074F" w:rsidRDefault="00AF074F" w:rsidP="00AF074F">
      <w:r w:rsidRPr="00A13BF4">
        <w:t>Christine E. Sleeter is Professor and Planning Faculty Member at California State University-Monterey Bay</w:t>
      </w:r>
      <w:r>
        <w:t xml:space="preserve">, </w:t>
      </w:r>
      <w:r w:rsidRPr="00A73DDA">
        <w:t>English Teaching: Practice and Critique</w:t>
      </w:r>
      <w:r>
        <w:t>, July</w:t>
      </w:r>
      <w:r w:rsidRPr="00A73DDA">
        <w:t xml:space="preserve"> 2011, </w:t>
      </w:r>
      <w:r>
        <w:t>“</w:t>
      </w:r>
      <w:r w:rsidRPr="00FE3F57">
        <w:t>An agenda to strengthen culturally responsive pedagogy”</w:t>
      </w:r>
      <w:r>
        <w:t xml:space="preserve">, </w:t>
      </w:r>
      <w:r w:rsidRPr="00A73DDA">
        <w:t>Volume 10, Number 2</w:t>
      </w:r>
      <w:r>
        <w:t>, p. 7-23</w:t>
      </w:r>
    </w:p>
    <w:p w:rsidR="00AF074F" w:rsidRDefault="00AF074F" w:rsidP="00AF074F"/>
    <w:p w:rsidR="00AF074F" w:rsidRDefault="00AF074F" w:rsidP="00AF074F">
      <w:r w:rsidRPr="00AA4B21">
        <w:rPr>
          <w:rStyle w:val="StyleUnderline"/>
        </w:rPr>
        <w:t xml:space="preserve">Trivialisation of culturally responsive pedagogy involves </w:t>
      </w:r>
      <w:r w:rsidRPr="00C73DED">
        <w:rPr>
          <w:rStyle w:val="Emphasis"/>
        </w:rPr>
        <w:t>reducing</w:t>
      </w:r>
      <w:r w:rsidRPr="00C73DED">
        <w:t xml:space="preserve"> what is actually </w:t>
      </w:r>
      <w:r w:rsidRPr="00C73DED">
        <w:rPr>
          <w:rStyle w:val="Emphasis"/>
        </w:rPr>
        <w:t>a paradigm for connecting teaching and learning with students’ community-based culture, to steps to follow</w:t>
      </w:r>
      <w:r>
        <w:t xml:space="preserve">. For example, </w:t>
      </w:r>
      <w:r w:rsidRPr="00AA4B21">
        <w:rPr>
          <w:rStyle w:val="StyleUnderline"/>
        </w:rPr>
        <w:t>I visited a professional development secondary school</w:t>
      </w:r>
      <w:r>
        <w:t xml:space="preserve"> that was </w:t>
      </w:r>
      <w:r w:rsidRPr="00AA4B21">
        <w:rPr>
          <w:rStyle w:val="StyleUnderline"/>
        </w:rPr>
        <w:t>working with an urban teacher education program</w:t>
      </w:r>
      <w:r>
        <w:t xml:space="preserve"> in the US. </w:t>
      </w:r>
      <w:r w:rsidRPr="00AA4B21">
        <w:rPr>
          <w:rStyle w:val="StyleUnderline"/>
        </w:rPr>
        <w:t>When I asked a group of administrators and teachers about connections the school had built with the community it serves, they were not able to respond directly</w:t>
      </w:r>
      <w:r>
        <w:t xml:space="preserve">, saying things like: the school serves different communities, and there are no community networks to work with. As I pressed the idea that community networks probably exist, it became evident that this group was unsure of the relevance of seeking out ways to engage with the local community. Later I met with a group of student teachers who proudly began to explained how well prepared they were in culturally responsive pedagogy. When I asked them what this meant, they showed me their textbook that had embedded strategies for personalising instruction within 10 best practices of teaching that structured the book. The </w:t>
      </w:r>
      <w:r w:rsidRPr="00163F34">
        <w:rPr>
          <w:rStyle w:val="StyleUnderline"/>
        </w:rPr>
        <w:t>student teachers had learned to base their knowledge of students’ backgrounds on a few short activities in which students answered questions about their interests and lives outside school</w:t>
      </w:r>
      <w:r>
        <w:t xml:space="preserve">. With a couple of exceptions, the </w:t>
      </w:r>
      <w:r w:rsidRPr="00163F34">
        <w:rPr>
          <w:rStyle w:val="StyleUnderline"/>
        </w:rPr>
        <w:t>student teachers had not visited the students’ community themselves.</w:t>
      </w:r>
    </w:p>
    <w:p w:rsidR="00AF074F" w:rsidRDefault="00AF074F" w:rsidP="00AF074F">
      <w:r>
        <w:t xml:space="preserve">I then observed student teachers working in four different classrooms. One used cooperative learning fairly well to engage students in science, two lessons were unmemorably routine, and one was pitched at an exceptionally low academic level involving content that was completely irrelevant to the students. It appeared that </w:t>
      </w:r>
      <w:r w:rsidRPr="00805C59">
        <w:rPr>
          <w:rStyle w:val="StyleUnderline"/>
        </w:rPr>
        <w:t>the student teachers’ perception of themselves as knowledgeable about culturally responsive pedagogy was based on reducing what it means to steps to get to know their students, without leaving the classroom.</w:t>
      </w:r>
      <w:r>
        <w:t xml:space="preserve"> </w:t>
      </w:r>
    </w:p>
    <w:p w:rsidR="00AF074F" w:rsidRDefault="00AF074F" w:rsidP="00AF074F">
      <w:r w:rsidRPr="00805C59">
        <w:rPr>
          <w:rStyle w:val="Emphasis"/>
        </w:rPr>
        <w:t>Culturally responsive pedagogy can become simplified or trivialised in a variety of ways</w:t>
      </w:r>
      <w:r>
        <w:t xml:space="preserve">. For example, </w:t>
      </w:r>
      <w:r w:rsidRPr="00805C59">
        <w:rPr>
          <w:rStyle w:val="Emphasis"/>
        </w:rPr>
        <w:t>checklists are</w:t>
      </w:r>
      <w:r>
        <w:t xml:space="preserve"> sometimes </w:t>
      </w:r>
      <w:r w:rsidRPr="00805C59">
        <w:rPr>
          <w:rStyle w:val="Emphasis"/>
        </w:rPr>
        <w:t>used as an administrative tool to document compliance with an expected change</w:t>
      </w:r>
      <w:r>
        <w:t xml:space="preserve"> (such as responding to the cultural diversity of students) </w:t>
      </w:r>
      <w:r w:rsidRPr="00805C59">
        <w:rPr>
          <w:rStyle w:val="Emphasis"/>
        </w:rPr>
        <w:t>while minimising what is actually changed</w:t>
      </w:r>
      <w:r>
        <w:t xml:space="preserve">. </w:t>
      </w:r>
      <w:r w:rsidRPr="00805C59">
        <w:rPr>
          <w:rStyle w:val="StyleUnderline"/>
        </w:rPr>
        <w:t>Checklists that ask educators how often they engage in practices such as teaching to varied learning styles, using a culturally inclusive curriculum, and accommodating immigrant students</w:t>
      </w:r>
      <w:r>
        <w:t xml:space="preserve"> (for example, Nelson, Bustamante &amp; Onwuegbuzie 2008; Underwoood, 2009), </w:t>
      </w:r>
      <w:r w:rsidRPr="00805C59">
        <w:rPr>
          <w:rStyle w:val="StyleUnderline"/>
        </w:rPr>
        <w:t>even if items reflect recommended culturally responsive practices</w:t>
      </w:r>
      <w:r>
        <w:t xml:space="preserve">, </w:t>
      </w:r>
      <w:r w:rsidRPr="00805C59">
        <w:rPr>
          <w:rStyle w:val="Emphasis"/>
        </w:rPr>
        <w:t>greatly reduce attention to cultural complexity</w:t>
      </w:r>
      <w:r>
        <w:t xml:space="preserve">. </w:t>
      </w:r>
    </w:p>
    <w:p w:rsidR="00AF074F" w:rsidRDefault="00AF074F" w:rsidP="00AF074F"/>
    <w:p w:rsidR="00BF382A" w:rsidRDefault="00BF382A" w:rsidP="00BF382A">
      <w:pPr>
        <w:pStyle w:val="Heading4"/>
      </w:pPr>
      <w:r>
        <w:t>Training programs are resistant to change</w:t>
      </w:r>
    </w:p>
    <w:p w:rsidR="00BF382A" w:rsidRPr="00CE33D8" w:rsidRDefault="00BF382A" w:rsidP="00BF382A">
      <w:pPr>
        <w:rPr>
          <w:rStyle w:val="Style13ptBold"/>
        </w:rPr>
      </w:pPr>
      <w:r w:rsidRPr="00CE33D8">
        <w:rPr>
          <w:rStyle w:val="Style13ptBold"/>
        </w:rPr>
        <w:t>Vescio 09</w:t>
      </w:r>
    </w:p>
    <w:p w:rsidR="00BF382A" w:rsidRDefault="00BF382A" w:rsidP="00BF382A">
      <w:r w:rsidRPr="00CE33D8">
        <w:t>Vicki Vescio, Elizabeth Bondy and Philip E. Poekert</w:t>
      </w:r>
      <w:r>
        <w:t xml:space="preserve">, </w:t>
      </w:r>
      <w:r w:rsidRPr="00CE33D8">
        <w:t>Teacher Education Quarterly</w:t>
      </w:r>
      <w:r>
        <w:t>, Spring 2009, “</w:t>
      </w:r>
      <w:r w:rsidRPr="00CE33D8">
        <w:t>Preparing Multicultural Teacher Educators: Toward a Pedagogy of Transformation</w:t>
      </w:r>
      <w:r>
        <w:t xml:space="preserve">”, </w:t>
      </w:r>
      <w:r w:rsidRPr="00CE33D8">
        <w:t>Vol. 36, No. 2,</w:t>
      </w:r>
      <w:r>
        <w:t xml:space="preserve"> pp. 5-24</w:t>
      </w:r>
    </w:p>
    <w:p w:rsidR="00BF382A" w:rsidRDefault="00BF382A" w:rsidP="00BF382A"/>
    <w:p w:rsidR="00BF382A" w:rsidRDefault="00BF382A" w:rsidP="00BF382A">
      <w:r>
        <w:t xml:space="preserve">Melnick and Zeichner (1998) have pointed out that </w:t>
      </w:r>
      <w:r w:rsidRPr="00DB7B62">
        <w:rPr>
          <w:rStyle w:val="StyleUnderline"/>
        </w:rPr>
        <w:t>changes in teacher education programs have been</w:t>
      </w:r>
      <w:r>
        <w:t xml:space="preserve"> </w:t>
      </w:r>
      <w:r w:rsidRPr="00DB7B62">
        <w:rPr>
          <w:rStyle w:val="Emphasis"/>
        </w:rPr>
        <w:t>difficult</w:t>
      </w:r>
      <w:r>
        <w:t xml:space="preserve"> </w:t>
      </w:r>
      <w:r w:rsidRPr="00DB7B62">
        <w:rPr>
          <w:rStyle w:val="StyleUnderline"/>
        </w:rPr>
        <w:t>because teacher educators are very much like the population of students with whom they work</w:t>
      </w:r>
      <w:r>
        <w:t xml:space="preserve">, that is, </w:t>
      </w:r>
      <w:r w:rsidRPr="00DB7B62">
        <w:rPr>
          <w:rStyle w:val="Emphasis"/>
        </w:rPr>
        <w:t>overwhelmingly Caucasian</w:t>
      </w:r>
      <w:r>
        <w:t xml:space="preserve">, </w:t>
      </w:r>
      <w:r w:rsidRPr="00DB7B62">
        <w:rPr>
          <w:rStyle w:val="Emphasis"/>
        </w:rPr>
        <w:t>middle-class</w:t>
      </w:r>
      <w:r>
        <w:t xml:space="preserve">, </w:t>
      </w:r>
      <w:r w:rsidRPr="00DB7B62">
        <w:rPr>
          <w:rStyle w:val="Emphasis"/>
        </w:rPr>
        <w:t>monolingual</w:t>
      </w:r>
      <w:r>
        <w:t xml:space="preserve">, </w:t>
      </w:r>
      <w:r w:rsidRPr="00DB7B62">
        <w:rPr>
          <w:rStyle w:val="StyleUnderline"/>
        </w:rPr>
        <w:t>and</w:t>
      </w:r>
      <w:r>
        <w:t xml:space="preserve"> </w:t>
      </w:r>
      <w:r w:rsidRPr="00DB7B62">
        <w:rPr>
          <w:rStyle w:val="Emphasis"/>
        </w:rPr>
        <w:t>limited in cross-cultural experiences</w:t>
      </w:r>
      <w:r>
        <w:t xml:space="preserve"> and understandings. </w:t>
      </w:r>
      <w:r w:rsidRPr="00DB7B62">
        <w:rPr>
          <w:rStyle w:val="StyleUnderline"/>
        </w:rPr>
        <w:t>They characterize the majority of teacher education programs as providing a</w:t>
      </w:r>
      <w:r>
        <w:t xml:space="preserve"> </w:t>
      </w:r>
      <w:r w:rsidRPr="00DB7B62">
        <w:rPr>
          <w:rStyle w:val="Emphasis"/>
        </w:rPr>
        <w:t>monocultural approach that perpetuates</w:t>
      </w:r>
      <w:r>
        <w:t xml:space="preserve"> </w:t>
      </w:r>
      <w:r w:rsidRPr="00DB7B62">
        <w:rPr>
          <w:rStyle w:val="StyleUnderline"/>
        </w:rPr>
        <w:t>the "kinds of teaching practices that have historically benefited middle class, White students but have largely failed to provide quality education for poor and ethnic and linguistic minority students</w:t>
      </w:r>
      <w:r>
        <w:t>" (p. 89). They go on to conclude that "the work of teacher educators and the institutional environment in which teacher education is embedded are critical in determining the success of efforts to prepare teachers to work with diverse students" (p.89).</w:t>
      </w:r>
    </w:p>
    <w:p w:rsidR="00BF382A" w:rsidRDefault="00BF382A" w:rsidP="004426AB"/>
    <w:p w:rsidR="00CC593C" w:rsidRPr="00493ADD" w:rsidRDefault="00CC593C" w:rsidP="00CC593C">
      <w:pPr>
        <w:pStyle w:val="Heading4"/>
      </w:pPr>
      <w:r w:rsidRPr="00493ADD">
        <w:t>Does not solve root cause</w:t>
      </w:r>
      <w:r>
        <w:t>,</w:t>
      </w:r>
      <w:r w:rsidRPr="00493ADD">
        <w:t xml:space="preserve"> no change in overall child behavior</w:t>
      </w:r>
      <w:r>
        <w:t xml:space="preserve"> and interaction in study</w:t>
      </w:r>
    </w:p>
    <w:p w:rsidR="00CC593C" w:rsidRPr="00493ADD" w:rsidRDefault="00CC593C" w:rsidP="00CC593C">
      <w:r w:rsidRPr="00493ADD">
        <w:rPr>
          <w:rStyle w:val="Style13ptBold"/>
        </w:rPr>
        <w:t>Thompson 10’</w:t>
      </w:r>
      <w:r w:rsidRPr="00493ADD">
        <w:t xml:space="preserve">(Jacqueline Thompson is a Doctor of Education, this paper was written for her dissertation and is the Director of Educational Equity at Davis School District. </w:t>
      </w:r>
      <w:hyperlink r:id="rId16" w:history="1">
        <w:r w:rsidRPr="00493ADD">
          <w:rPr>
            <w:rStyle w:val="Hyperlink"/>
          </w:rPr>
          <w:t>http://digitalcommons.usu.edu/cgi/viewcontent.cgi?article=1566&amp;context=etd</w:t>
        </w:r>
      </w:hyperlink>
      <w:r w:rsidRPr="00493ADD">
        <w:t xml:space="preserve"> “What Impact Do Culturally Competent Teachers Have on the Social Inclusiveness of Their Students?” pg 59-60. 5-2010) E.S.</w:t>
      </w:r>
    </w:p>
    <w:p w:rsidR="00CC593C" w:rsidRPr="00493ADD" w:rsidRDefault="00CC593C" w:rsidP="00CC593C">
      <w:pPr>
        <w:rPr>
          <w:sz w:val="14"/>
        </w:rPr>
      </w:pPr>
      <w:r w:rsidRPr="00493ADD">
        <w:rPr>
          <w:sz w:val="14"/>
        </w:rPr>
        <w:t xml:space="preserve">What I observed in both groups indicated that friendship patterns as presented in seating choices in the lunchroom generally indicated that </w:t>
      </w:r>
      <w:r w:rsidRPr="00493ADD">
        <w:rPr>
          <w:highlight w:val="green"/>
          <w:u w:val="single"/>
        </w:rPr>
        <w:t>students, regardless of the teacher’s training</w:t>
      </w:r>
      <w:r w:rsidRPr="00493ADD">
        <w:rPr>
          <w:u w:val="single"/>
        </w:rPr>
        <w:t xml:space="preserve">, </w:t>
      </w:r>
      <w:r w:rsidRPr="00493ADD">
        <w:rPr>
          <w:highlight w:val="green"/>
          <w:u w:val="single"/>
        </w:rPr>
        <w:t>seem to sit in physical proximity to those who are similar to them by gender and race</w:t>
      </w:r>
      <w:r w:rsidRPr="00493ADD">
        <w:rPr>
          <w:sz w:val="14"/>
        </w:rPr>
        <w:t xml:space="preserve">. This supports the literature on friendships based on gender and race. Historically, sociometric studies have indicated that children are more likely to have friends of same sex, race, and academic level (Hunter &amp; Elias, 1999). Hunter and Elias stated that similarity is an important factor in friendship choices. Notably, as indicated in the seating charts (see Appendix C), gender appeared to be more salient in terms of with whom students sat (gender clustering appearing in 12 of the 12 classroom) than race/ ethnicity (appearing in seven of the eleven classrooms where there were students of color). Despite the clustering that occurred, the students overall interacted with each other across gender and race/ethnicity once they were seated. The conversations were very interactive and overall there was a pleasant social climate. Students talked about such things as which school subjects were their favorite, what they did over the weekend, who were there favorite sports teams, and what activities they were participating in the last week of school. No observations of intolerant or biased behavior were noted. However, there did seem to be two students who were not integrated into the social banter of lunchtime. </w:t>
      </w:r>
      <w:r w:rsidRPr="00493ADD">
        <w:rPr>
          <w:highlight w:val="green"/>
          <w:u w:val="single"/>
        </w:rPr>
        <w:t>These observations of lunchroom social dynamics did not identify differentiated student patterns of social interaction in</w:t>
      </w:r>
      <w:r w:rsidRPr="00493ADD">
        <w:rPr>
          <w:sz w:val="14"/>
        </w:rPr>
        <w:t xml:space="preserve"> nominated/</w:t>
      </w:r>
      <w:r w:rsidRPr="00493ADD">
        <w:rPr>
          <w:highlight w:val="green"/>
          <w:u w:val="single"/>
        </w:rPr>
        <w:t>trained teachers’ classrooms from</w:t>
      </w:r>
      <w:r w:rsidRPr="00493ADD">
        <w:rPr>
          <w:sz w:val="14"/>
        </w:rPr>
        <w:t xml:space="preserve"> 60 students in </w:t>
      </w:r>
      <w:r w:rsidRPr="00493ADD">
        <w:rPr>
          <w:highlight w:val="green"/>
          <w:u w:val="single"/>
        </w:rPr>
        <w:t>not trained teachers’ classrooms</w:t>
      </w:r>
      <w:r w:rsidRPr="00493ADD">
        <w:rPr>
          <w:sz w:val="14"/>
        </w:rPr>
        <w:t>. The observer, from her notes and charts, did not observe any distinguishing behaviors between the two groups. Sociometric questionnaires provide students with a larger number of friendship choices than does a lunchroom seating arrangement. This may be why the sociometric questionnaire picked up differences not evident in the lunchroom observations. In a lunchroom, students can only choose with whom they will sit next to or possibly across from. With the sociometric questionnaire each child was given a list with all the names of the children in his or her class. Each child was asked to circle the names of their friends. There was no limit put on the number of choices that could be made and no definition of friend was given.</w:t>
      </w:r>
    </w:p>
    <w:p w:rsidR="00BF382A" w:rsidRDefault="00BF382A" w:rsidP="004426AB"/>
    <w:p w:rsidR="00CC593C" w:rsidRDefault="00CC593C" w:rsidP="004426AB"/>
    <w:p w:rsidR="000B4196" w:rsidRDefault="000B4196" w:rsidP="00CC593C">
      <w:pPr>
        <w:pStyle w:val="Heading3"/>
      </w:pPr>
      <w:r>
        <w:t>--at: t</w:t>
      </w:r>
      <w:r w:rsidR="0025414D">
        <w:t>each for america</w:t>
      </w:r>
    </w:p>
    <w:p w:rsidR="000B4196" w:rsidRDefault="000B4196" w:rsidP="000B4196"/>
    <w:p w:rsidR="000B4196" w:rsidRPr="000B4196" w:rsidRDefault="000B4196" w:rsidP="000B4196">
      <w:pPr>
        <w:pStyle w:val="Heading4"/>
      </w:pPr>
      <w:r w:rsidRPr="000B4196">
        <w:t xml:space="preserve">The TFA are Unwilling to Change </w:t>
      </w:r>
    </w:p>
    <w:p w:rsidR="000B4196" w:rsidRDefault="000B4196" w:rsidP="000B4196">
      <w:r w:rsidRPr="000B4196">
        <w:rPr>
          <w:rStyle w:val="Style13ptBold"/>
        </w:rPr>
        <w:t>Brewer 15</w:t>
      </w:r>
      <w:r w:rsidRPr="000B4196">
        <w:t xml:space="preserve"> </w:t>
      </w:r>
      <w:r w:rsidRPr="00A51DCA">
        <w:rPr>
          <w:sz w:val="18"/>
          <w:szCs w:val="18"/>
        </w:rPr>
        <w:t xml:space="preserve">(T. Jameson </w:t>
      </w:r>
      <w:r w:rsidRPr="00A51DCA">
        <w:rPr>
          <w:sz w:val="18"/>
        </w:rPr>
        <w:t xml:space="preserve">Brewer is a Ph.D. candidate in Educational Policy, Organization and Leadership at the University of Illinois at Urbana-Champaign. </w:t>
      </w:r>
      <w:hyperlink r:id="rId17" w:history="1">
        <w:r w:rsidRPr="00A51DCA">
          <w:rPr>
            <w:rStyle w:val="Hyperlink"/>
            <w:sz w:val="18"/>
          </w:rPr>
          <w:t>https://www.washingtonpost.com/posteverything/wp/2015/10/20/teach-for-americas-biggest-problem-isnt-green-teachers-or-failing-schools-its-that-it-cant-take-criticism/?utm_term=.3342f44a7c91</w:t>
        </w:r>
      </w:hyperlink>
      <w:r w:rsidRPr="00A51DCA">
        <w:rPr>
          <w:sz w:val="18"/>
        </w:rPr>
        <w:t>, Teach for America’s biggest problem isn’t green teachers or failing schools. It’s that it can’t take criticism. The Washington Post October 20, 2015) EJ</w:t>
      </w:r>
    </w:p>
    <w:p w:rsidR="000B4196" w:rsidRDefault="000B4196" w:rsidP="000B4196">
      <w:pPr>
        <w:rPr>
          <w:u w:val="single"/>
        </w:rPr>
      </w:pPr>
      <w:r w:rsidRPr="00D377C5">
        <w:rPr>
          <w:highlight w:val="green"/>
          <w:u w:val="single"/>
        </w:rPr>
        <w:t>If you’ve taught your way through T</w:t>
      </w:r>
      <w:r w:rsidRPr="00D377C5">
        <w:rPr>
          <w:sz w:val="10"/>
        </w:rPr>
        <w:t xml:space="preserve">each </w:t>
      </w:r>
      <w:r w:rsidRPr="00D377C5">
        <w:rPr>
          <w:highlight w:val="green"/>
          <w:u w:val="single"/>
        </w:rPr>
        <w:t>F</w:t>
      </w:r>
      <w:r w:rsidRPr="00D377C5">
        <w:rPr>
          <w:sz w:val="10"/>
        </w:rPr>
        <w:t xml:space="preserve">or </w:t>
      </w:r>
      <w:r w:rsidRPr="00D377C5">
        <w:rPr>
          <w:highlight w:val="green"/>
          <w:u w:val="single"/>
        </w:rPr>
        <w:t>A</w:t>
      </w:r>
      <w:r w:rsidRPr="00D377C5">
        <w:rPr>
          <w:sz w:val="10"/>
        </w:rPr>
        <w:t xml:space="preserve">merica like I have, </w:t>
      </w:r>
      <w:r w:rsidRPr="00D377C5">
        <w:rPr>
          <w:highlight w:val="green"/>
          <w:u w:val="single"/>
        </w:rPr>
        <w:t>you know that feedback is part of the job</w:t>
      </w:r>
      <w:r w:rsidRPr="00D377C5">
        <w:rPr>
          <w:sz w:val="10"/>
        </w:rPr>
        <w:t xml:space="preserve">. Not only do new teachers receive critiques from principals, fellow educators and students, they’re also deluged with weekly and monthly reports on their success from the organization itself. Although the amount of feedback varies from region to region, the message is clear: With enough data, anyone can become a champion educator, able to lift students’ reading and math scores many years in a single leap. </w:t>
      </w:r>
      <w:r w:rsidRPr="00D377C5">
        <w:rPr>
          <w:highlight w:val="green"/>
          <w:u w:val="single"/>
        </w:rPr>
        <w:t>Unfortunately</w:t>
      </w:r>
      <w:r w:rsidRPr="00D377C5">
        <w:rPr>
          <w:sz w:val="10"/>
        </w:rPr>
        <w:t xml:space="preserve">, TFA does not apply a similar philosophy to its own organization. Not only is </w:t>
      </w:r>
      <w:r w:rsidRPr="00D377C5">
        <w:rPr>
          <w:highlight w:val="green"/>
          <w:u w:val="single"/>
        </w:rPr>
        <w:t>TFA notoriously unwilling to listen to outside or internal critics</w:t>
      </w:r>
      <w:r w:rsidRPr="00D377C5">
        <w:rPr>
          <w:sz w:val="10"/>
        </w:rPr>
        <w:t xml:space="preserve"> (one former TFA manager decried its “inability and unwillingness to honestly address valid criticism” in The Washington Post). The organization has also spent millions of dollars on a press shop built to promote its brand while aggressively and proactively discrediting critiques. </w:t>
      </w:r>
      <w:r w:rsidRPr="007B3420">
        <w:rPr>
          <w:u w:val="single"/>
        </w:rPr>
        <w:t>This is bad for the organization, and it’s bad for students</w:t>
      </w:r>
      <w:r w:rsidRPr="00D377C5">
        <w:rPr>
          <w:sz w:val="10"/>
        </w:rPr>
        <w:t xml:space="preserve">. TFA has real problems — </w:t>
      </w:r>
      <w:r w:rsidRPr="007B3420">
        <w:rPr>
          <w:u w:val="single"/>
        </w:rPr>
        <w:t xml:space="preserve">its teachers are largely unprepared and fare no better than regular educators. It has a high drop-out rate, and the number of applicants has plummeted. </w:t>
      </w:r>
      <w:r w:rsidRPr="00D377C5">
        <w:rPr>
          <w:sz w:val="10"/>
        </w:rPr>
        <w:t xml:space="preserve">Additionally, TFA sends its volunteer teachers to school districts in Los Angeles, Chicago and New York, places now facing teacher layoffs and hiring freezes. Some school districts have even rescinded contracts with TFA, citing teachers’ lack of preparation and low retention rates. Alum Catherine Michna* has said that she won’t write recommendation letters for students who want to join the program. “TFA members do not work in service of public education,” she wrote in Slate. “They work in service of a corporate reform agenda that rids communities of veteran teachers, privatizes public schools, and forces a corporatized, data-driven culture upon unique low-income communities with unique dynamics and unique challenges.” TFA has the resources and the clout to address these concerns. Instead, it has chosen to ignore its dissenters. The organization is stuck, and it shows few signs of evolution. * * * TFA was born in a Princeton undergraduate thesis, written by founder Wendy Kopp in 1989. In that paper, Kopp imagined a program that made teaching “an attractive choice for top grads” across the country. Ideally, she wrote, getting into TFA would be as competitive as winning a Rhodes scholarship. Controversially, Kopp didn’t want to build better lifetime teachers. In a 1996 interview, she described the organization as a “leadership development program.” College grads would start in TFA, then go on to education leadership positions across the country. In this, she’s succeeded. Today, TFA educators make up less than 0.2 percent of America’s teaching force, heavily concentrated in many poor urban districts. But their political influence is much greater. More than 70 alums currently hold public office; several more work in the U.S. Department of Education and as congressional advisers. Alums run the school districts in Newark, Atlanta and New Orleans. The organization’s power comes in part from its stunning media presence, and that’s no accident. The organization spends $3.5 million a year on advertising and promotion. As former manager Wendy Heller Chovnick explained to the Nation, communication specialists were assigned to each region, tasked with getting good stories out there and “swiftly address[ing] any negative stories, press or media.” Additionally, a portion of TFA’s Web site is dedicated to “de-bunking” feedback. The “On the Record” page lists stories, blogs and reports that don’t align with TFA’s claims, along with the organization’s side of the story. For example, Esther Cepeda wrote a column for The Washington Post Writers Group critiquing TFA’s approach to recruitment and classroom management, based on a book I co-edited. In response, TFA charged Cepeda of offering a “limited perspective” and said that their “program model is not designed to meet the needs of every aspiring teacher.” When TFA got early word of a potentially negative Nation article, the media team crafted a preemptive blog post, addressing many of the anticipated criticisms. An hour after the piece ran, the organization brought in “America’s Crisis Guru” Jim Lukaszewski to draft a point-by-point takedown. This approach hinders TFA’s ability to grow. Recently, Nonprofit Quarterly called TFA an example of what not to do when receiving critical feedback. TFA’s “certainty and overabundance of self-protectiveness can cause a group to look to single-mindedly extend its own life behind a barricade in some kind of isolationist nonprofit survivalist mode,” the authors wrote. That “self-protective reaction [breeds] certainty and hubris.” * * * To its credit, the 25-year-old Teach for America has started to change. The organization now offers a fellowship to corps members who commit to teaching for more than two years. In some places, it now recruits college juniors in order to provide longer-term teacher training. Half of its teachers are now minorities, and many come from low-income backgrounds. In a statement, the organization said that “it’s still early in some of this work, and we understand if alumni haven’t yet felt the start of these shifts in their own experience.” But it’s not nearly enough. I recently co-edited a book that features 20 essays by former Teach for America members. All offer critical perspectives, highlighting the organization’s major problems. Several writers, for example, took TFA to task for its five-week training program, which distills teaching to a very myopic and oversimplified recipe. As one former corps member wrote, “the five-week training program had not prepared me adequately.” Another critic, Gary Rubinstein, has said that the organization sets teachers up for failure: TFA teachers “don’t know how to deal with discipline problems, because they’ve never dealt with a class with more than 10 kids — there’s no way to deal with so many potential problems when they’ve never been practiced.” </w:t>
      </w:r>
      <w:r w:rsidRPr="00D377C5">
        <w:rPr>
          <w:u w:val="single"/>
        </w:rPr>
        <w:t>TFA has also faced criticism for its shoddy teacher evaluation tools. Though the organization claims that the majority of its corps members raise the reading and math scores of its students by at least a year, the organization’s former research director, Heather Harding, disputed that finding. In a Reuters article, she acknowledged that many teachers provide performance statistics based on self-designed assessments.</w:t>
      </w:r>
      <w:r w:rsidRPr="00D377C5">
        <w:rPr>
          <w:sz w:val="10"/>
        </w:rPr>
        <w:t xml:space="preserve"> “I don’t think it stands up to external research scrutiny,” Harding said. Additionally, TFA’s message of hyper-accountability ignores the broader problems in education today. </w:t>
      </w:r>
      <w:r w:rsidRPr="00D377C5">
        <w:rPr>
          <w:highlight w:val="green"/>
          <w:u w:val="single"/>
        </w:rPr>
        <w:t>Decades of educational research have confirmed that out-of-school factors like poverty explain two-thirds of the variance in student achievement. Despite this, TFA has continued to insist that good teachers are all schools need to close the achievement gap</w:t>
      </w:r>
      <w:r w:rsidRPr="00ED18D3">
        <w:rPr>
          <w:u w:val="single"/>
        </w:rPr>
        <w:t>.</w:t>
      </w:r>
      <w:r w:rsidRPr="00D377C5">
        <w:rPr>
          <w:sz w:val="10"/>
        </w:rPr>
        <w:t xml:space="preserve"> This is little more than a “band-aid,” teaching scholars say. And that message also leads to high rates of teacher burn-out. Other complaints revolve around the organization’s focus on leaders, not teachers. One 2015 study found that more than 87 percent of TFA corps members were not planning on a lifelong career as a classroom teacher. Just 26 percent of non-TFA teachers said the same. These leaders go on to push TFA’s agenda of privatized schools, standardized tests and a de-unionized teaching corps (though it’s far from clear that these help students). Burgeoning research suggests that TFA alums who become school board leaders, for example, are far more likely to support pro-reform agendas than their non-</w:t>
      </w:r>
      <w:r w:rsidRPr="00D377C5">
        <w:rPr>
          <w:highlight w:val="green"/>
          <w:u w:val="single"/>
        </w:rPr>
        <w:t>TFA</w:t>
      </w:r>
      <w:r w:rsidRPr="00D377C5">
        <w:rPr>
          <w:sz w:val="10"/>
        </w:rPr>
        <w:t xml:space="preserve"> alum counterparts. Defenders of TFA say that we should lay off. A least, they </w:t>
      </w:r>
      <w:r w:rsidRPr="00D377C5">
        <w:rPr>
          <w:highlight w:val="green"/>
          <w:u w:val="single"/>
        </w:rPr>
        <w:t>argue</w:t>
      </w:r>
      <w:r w:rsidRPr="00D377C5">
        <w:rPr>
          <w:sz w:val="10"/>
        </w:rPr>
        <w:t xml:space="preserve">, </w:t>
      </w:r>
      <w:r w:rsidRPr="00D377C5">
        <w:rPr>
          <w:highlight w:val="green"/>
          <w:u w:val="single"/>
        </w:rPr>
        <w:t xml:space="preserve">corps members are “at least doing something.” This, however, is an </w:t>
      </w:r>
      <w:r w:rsidRPr="00D377C5">
        <w:rPr>
          <w:u w:val="single"/>
        </w:rPr>
        <w:t xml:space="preserve">absurdly </w:t>
      </w:r>
      <w:r w:rsidRPr="00D377C5">
        <w:rPr>
          <w:highlight w:val="green"/>
          <w:u w:val="single"/>
        </w:rPr>
        <w:t xml:space="preserve">low standard </w:t>
      </w:r>
      <w:r w:rsidRPr="00D377C5">
        <w:rPr>
          <w:u w:val="single"/>
        </w:rPr>
        <w:t xml:space="preserve">for teachers — </w:t>
      </w:r>
      <w:r w:rsidRPr="00D377C5">
        <w:rPr>
          <w:highlight w:val="green"/>
          <w:u w:val="single"/>
        </w:rPr>
        <w:t xml:space="preserve">especially teachers of </w:t>
      </w:r>
      <w:r w:rsidRPr="00D377C5">
        <w:rPr>
          <w:u w:val="single"/>
        </w:rPr>
        <w:t xml:space="preserve">the nation’s </w:t>
      </w:r>
      <w:r w:rsidRPr="00D377C5">
        <w:rPr>
          <w:highlight w:val="green"/>
          <w:u w:val="single"/>
        </w:rPr>
        <w:t xml:space="preserve">most disadvantaged students. </w:t>
      </w:r>
      <w:r w:rsidRPr="00D377C5">
        <w:rPr>
          <w:u w:val="single"/>
        </w:rPr>
        <w:t>While we all have high demands for teachers, we should also have high demands for federally funded organizations like TFA that seem to believe they are above reproach.</w:t>
      </w:r>
    </w:p>
    <w:p w:rsidR="000B4196" w:rsidRPr="000B4196" w:rsidRDefault="000B4196" w:rsidP="000B4196"/>
    <w:p w:rsidR="00CC593C" w:rsidRDefault="00CC593C" w:rsidP="00CC593C">
      <w:pPr>
        <w:pStyle w:val="Heading3"/>
      </w:pPr>
      <w:r>
        <w:t>turn – pathologizing</w:t>
      </w:r>
    </w:p>
    <w:p w:rsidR="00CC593C" w:rsidRDefault="00CC593C" w:rsidP="00CC593C"/>
    <w:p w:rsidR="00CC593C" w:rsidRPr="00F44AAA" w:rsidRDefault="00CC593C" w:rsidP="00CC593C">
      <w:pPr>
        <w:pStyle w:val="Heading4"/>
      </w:pPr>
      <w:r w:rsidRPr="00F44AAA">
        <w:t>Their pathologizing view of relational trauma fails- actually exacerbates issues</w:t>
      </w:r>
    </w:p>
    <w:p w:rsidR="00CC593C" w:rsidRPr="003038F5" w:rsidRDefault="00CC593C" w:rsidP="00CC593C">
      <w:r w:rsidRPr="003038F5">
        <w:rPr>
          <w:rFonts w:eastAsiaTheme="majorEastAsia" w:cstheme="majorBidi"/>
          <w:b/>
          <w:bCs/>
          <w:sz w:val="26"/>
          <w:szCs w:val="26"/>
        </w:rPr>
        <w:t xml:space="preserve">Gomez et. al 15 </w:t>
      </w:r>
      <w:r w:rsidRPr="003038F5">
        <w:t xml:space="preserve">“Shifting the focus: Nonpathologizing approaches to healing from betrayal trauma through an emphasis on relational care” Jennifer M. Gómez , MS, Jenn K. Lewis , MS, Laura K. Noll , MS, Alec M. Smidt , MS &amp; Pamela J. Birrell , PhD Pages 165-185 | Received 31 Dec 2014, Accepted 05 Jul 2015, Accepted author version posted online: 13 Oct 2015, Published online: 13 Oct 2015 in Journal of Trauma and Dissociation. </w:t>
      </w:r>
      <w:hyperlink r:id="rId18" w:history="1">
        <w:r w:rsidRPr="00D55E55">
          <w:rPr>
            <w:rStyle w:val="Hyperlink"/>
          </w:rPr>
          <w:t>http://dx.doi.org/10.1080/15299732.2016.1103104</w:t>
        </w:r>
      </w:hyperlink>
      <w:r>
        <w:t xml:space="preserve"> WS</w:t>
      </w:r>
    </w:p>
    <w:p w:rsidR="00CC593C" w:rsidRPr="003038F5" w:rsidRDefault="00CC593C" w:rsidP="00CC593C">
      <w:pPr>
        <w:rPr>
          <w:sz w:val="16"/>
        </w:rPr>
      </w:pPr>
      <w:r w:rsidRPr="003038F5">
        <w:rPr>
          <w:sz w:val="16"/>
        </w:rPr>
        <w:t>What does it mean to heal from trauma, and how might that change if the trauma is relational</w:t>
      </w:r>
      <w:r w:rsidRPr="003038F5">
        <w:rPr>
          <w:rStyle w:val="StyleUnderline"/>
        </w:rPr>
        <w:t>? Over the past century, the diagnosis of mental disorders has become increasingly medicalized</w:t>
      </w:r>
      <w:r w:rsidRPr="003038F5">
        <w:rPr>
          <w:sz w:val="16"/>
        </w:rPr>
        <w:t xml:space="preserve"> (Conrad &amp; Slodden, </w:t>
      </w:r>
      <w:hyperlink r:id="rId19" w:history="1">
        <w:r w:rsidRPr="003038F5">
          <w:rPr>
            <w:sz w:val="16"/>
          </w:rPr>
          <w:t>2013</w:t>
        </w:r>
      </w:hyperlink>
      <w:r w:rsidRPr="003038F5">
        <w:rPr>
          <w:sz w:val="16"/>
        </w:rPr>
        <w:t>Conrad, P., &amp; Slodden, C. (2013). The medicalization of mental disorder. In Handbook of the sociology of mental health (pp. 61–73). The Netherlands: Springer</w:t>
      </w:r>
      <w:hyperlink r:id="rId20" w:tgtFrame="_blank" w:history="1">
        <w:r w:rsidRPr="003038F5">
          <w:rPr>
            <w:sz w:val="16"/>
          </w:rPr>
          <w:t>[CrossRef]</w:t>
        </w:r>
      </w:hyperlink>
      <w:r w:rsidRPr="003038F5">
        <w:rPr>
          <w:sz w:val="16"/>
        </w:rPr>
        <w:t xml:space="preserve">, </w:t>
      </w:r>
      <w:hyperlink r:id="rId21" w:tgtFrame="_blank" w:history="1">
        <w:r w:rsidRPr="003038F5">
          <w:rPr>
            <w:sz w:val="16"/>
          </w:rPr>
          <w:t>[Google Scholar]</w:t>
        </w:r>
      </w:hyperlink>
      <w:r w:rsidRPr="003038F5">
        <w:rPr>
          <w:sz w:val="16"/>
        </w:rPr>
        <w:t xml:space="preserve">). The medical model prescribes treatment—and thus defines healing—not only for some diagnoses, such as depression and schizophrenia, but also </w:t>
      </w:r>
      <w:r w:rsidRPr="003038F5">
        <w:rPr>
          <w:rStyle w:val="StyleUnderline"/>
        </w:rPr>
        <w:t>for individuals who have experienced interpersonal trauma</w:t>
      </w:r>
      <w:r w:rsidRPr="003038F5">
        <w:rPr>
          <w:sz w:val="16"/>
        </w:rPr>
        <w:t xml:space="preserve">. </w:t>
      </w:r>
      <w:r w:rsidRPr="003038F5">
        <w:rPr>
          <w:rStyle w:val="StyleUnderline"/>
        </w:rPr>
        <w:t>Trauma treatments grounded in this paradigm implicitly locate the pathology of trauma within the individual—often an individual who has been deeply betrayed—instead of within the person(s) or environment(s) responsible for the betrayal</w:t>
      </w:r>
      <w:r w:rsidRPr="003038F5">
        <w:rPr>
          <w:sz w:val="16"/>
        </w:rPr>
        <w:t xml:space="preserve">. In this article, we argue that </w:t>
      </w:r>
      <w:r w:rsidRPr="003038F5">
        <w:rPr>
          <w:rStyle w:val="StyleUnderline"/>
        </w:rPr>
        <w:t>this framework is pathologizing insofar as it both privileges symptom reduction as the primary goal of treatment and minimizes the significance of relational harm.</w:t>
      </w:r>
      <w:r w:rsidRPr="003038F5">
        <w:rPr>
          <w:sz w:val="16"/>
        </w:rPr>
        <w:t xml:space="preserve"> In the therapeutic context, </w:t>
      </w:r>
      <w:r w:rsidRPr="003038F5">
        <w:rPr>
          <w:rStyle w:val="StyleUnderline"/>
        </w:rPr>
        <w:t>to pathologize is to regard psychological distress as abnormal or unhealthy and thus in need of treatment or management. A nonpathologizing model of trauma takes the stance that the abnormality is in the situation and not in the person. When the trauma is relational, it is the nature of the act that is unhealthy and not the individual who has experienced the act.</w:t>
      </w:r>
      <w:r w:rsidRPr="003038F5">
        <w:rPr>
          <w:sz w:val="16"/>
        </w:rPr>
        <w:t xml:space="preserve"> A nonpathologizing model of therapy takes the stance that the person is greater than his or her problems and makes room for compassion through acknowledging the role of outside variables, such as relationships and environments, in the initial harm and the subsequent process of healing from the trauma. After providing a brief overview of betrayal trauma (Freyd, </w:t>
      </w:r>
      <w:hyperlink r:id="rId22" w:history="1">
        <w:r w:rsidRPr="003038F5">
          <w:rPr>
            <w:sz w:val="16"/>
          </w:rPr>
          <w:t>1996</w:t>
        </w:r>
      </w:hyperlink>
      <w:r w:rsidRPr="003038F5">
        <w:rPr>
          <w:sz w:val="16"/>
        </w:rPr>
        <w:t xml:space="preserve">Freyd, J. J. (1996). Betrayal trauma: The logic of forgetting childhood abuse. Cambridge, MA: Harvard University Press. </w:t>
      </w:r>
      <w:hyperlink r:id="rId23" w:tgtFrame="_blank" w:history="1">
        <w:r w:rsidRPr="003038F5">
          <w:rPr>
            <w:sz w:val="16"/>
          </w:rPr>
          <w:t>[Google Scholar]</w:t>
        </w:r>
      </w:hyperlink>
      <w:r w:rsidRPr="003038F5">
        <w:rPr>
          <w:sz w:val="16"/>
        </w:rPr>
        <w:t xml:space="preserve">) and the importance of relational processes in healing, we describe standard treatments for betrayal trauma that are grounded in the medical model. We discuss the limitations of this framework and offer one alternative to the medicalization of trauma-related distress: relational cultural therapy (RCT). Within this nonpathologizing framework, we highlight the importance of attending to contextual, societal, and cultural influences of trauma-related distress as well as how these influences might impact the therapeutic relationship. Furthermore, we describe avenues for healing outside of therapy that those who have experienced betrayal trauma can explore. In this exploration of alternative approaches to betrayal and traumatic distress, we ultimately address the following question: How is healing from betrayal trauma possible today? What is trauma? Relational trauma is a specific category of psychological trauma that involves an overwhelming rupture within a significant relationship on which the individual depends for emotional, physical, or spiritual well-being. </w:t>
      </w:r>
      <w:r w:rsidRPr="003038F5">
        <w:rPr>
          <w:rStyle w:val="StyleUnderline"/>
        </w:rPr>
        <w:t>Relational trauma, by definition, involves loss and like all traumatic events “overwhelm[s] the ordinary systems of care that give people a sense of control, connection, and meaning”</w:t>
      </w:r>
      <w:r w:rsidRPr="003038F5">
        <w:rPr>
          <w:sz w:val="16"/>
        </w:rPr>
        <w:t xml:space="preserve"> (Herman, </w:t>
      </w:r>
      <w:hyperlink r:id="rId24" w:history="1">
        <w:r w:rsidRPr="003038F5">
          <w:rPr>
            <w:sz w:val="16"/>
          </w:rPr>
          <w:t>1997</w:t>
        </w:r>
      </w:hyperlink>
      <w:r w:rsidRPr="003038F5">
        <w:rPr>
          <w:sz w:val="16"/>
        </w:rPr>
        <w:t xml:space="preserve">Herman, J. L. (1997). Trauma and recovery. New York, NY: Basic Books. </w:t>
      </w:r>
      <w:hyperlink r:id="rId25" w:tgtFrame="_blank" w:history="1">
        <w:r w:rsidRPr="003038F5">
          <w:rPr>
            <w:sz w:val="16"/>
          </w:rPr>
          <w:t>[Google Scholar]</w:t>
        </w:r>
      </w:hyperlink>
      <w:r w:rsidRPr="003038F5">
        <w:rPr>
          <w:sz w:val="16"/>
        </w:rPr>
        <w:t>, p. 33). Although the losses implicated in relational trauma do not always involve maltreatment (as in the sudden death of a caregiver), in experiences of abuse, neglect, or abandonment</w:t>
      </w:r>
      <w:hyperlink r:id="rId26" w:history="1">
        <w:r w:rsidRPr="003038F5">
          <w:rPr>
            <w:sz w:val="16"/>
          </w:rPr>
          <w:t>1</w:t>
        </w:r>
      </w:hyperlink>
      <w:r w:rsidRPr="003038F5">
        <w:rPr>
          <w:sz w:val="16"/>
        </w:rPr>
        <w:t>1. One could argue that for some, the death of a loved one (even when it occurs by natural or unavoidable causes) may be experienced as abandonment and hence may also involve the experience of a violation in trust. This permanent relational rupture may be particularly disorganizing for children or other individuals who depend on their loved one for both physical and emotional survival.View all notes they may also represent violations of trust. When the latter is the case, betrayal trauma has occurred. First introduced by Freyd (</w:t>
      </w:r>
      <w:hyperlink r:id="rId27" w:history="1">
        <w:r w:rsidRPr="003038F5">
          <w:rPr>
            <w:sz w:val="16"/>
          </w:rPr>
          <w:t>1991</w:t>
        </w:r>
      </w:hyperlink>
      <w:r w:rsidRPr="003038F5">
        <w:rPr>
          <w:sz w:val="16"/>
        </w:rPr>
        <w:t xml:space="preserve">Freyd, J. J. (1991, August). Memory repression, dissociative states, and other cognitive control processes involved in adult sequelae of childhood trauma. Paper presented at the Second Annual Conference on A Psychodynamics–Cognitive Science Interface, San Francisco, CA. </w:t>
      </w:r>
      <w:hyperlink r:id="rId28" w:tgtFrame="_blank" w:history="1">
        <w:r w:rsidRPr="003038F5">
          <w:rPr>
            <w:sz w:val="16"/>
          </w:rPr>
          <w:t>[Google Scholar]</w:t>
        </w:r>
      </w:hyperlink>
      <w:r w:rsidRPr="003038F5">
        <w:rPr>
          <w:sz w:val="16"/>
        </w:rPr>
        <w:t xml:space="preserve">), </w:t>
      </w:r>
      <w:r w:rsidRPr="003038F5">
        <w:rPr>
          <w:rStyle w:val="StyleUnderline"/>
        </w:rPr>
        <w:t>the term betrayal trauma denotes a social dimension of trauma in which “the people or institutions on which a person depends for survival significantly violate that person’s trust or well-being”</w:t>
      </w:r>
      <w:r w:rsidRPr="003038F5">
        <w:rPr>
          <w:sz w:val="16"/>
        </w:rPr>
        <w:t xml:space="preserve"> (Freyd, </w:t>
      </w:r>
      <w:hyperlink r:id="rId29" w:history="1">
        <w:r w:rsidRPr="003038F5">
          <w:rPr>
            <w:sz w:val="16"/>
          </w:rPr>
          <w:t>2008</w:t>
        </w:r>
      </w:hyperlink>
      <w:r w:rsidRPr="003038F5">
        <w:rPr>
          <w:sz w:val="16"/>
        </w:rPr>
        <w:t xml:space="preserve">Freyd, J. J. (2008). Betrayal trauma. In G. Reyes, J. D. Elhai, &amp; J. D. Ford (Eds.), Encyclopedia of psychological trauma (p. 76). New York, NY: Wiley. </w:t>
      </w:r>
      <w:hyperlink r:id="rId30" w:tgtFrame="_blank" w:history="1">
        <w:r w:rsidRPr="003038F5">
          <w:rPr>
            <w:sz w:val="16"/>
          </w:rPr>
          <w:t>[Google Scholar]</w:t>
        </w:r>
      </w:hyperlink>
      <w:r w:rsidRPr="003038F5">
        <w:rPr>
          <w:sz w:val="16"/>
        </w:rPr>
        <w:t xml:space="preserve">, p. 76). </w:t>
      </w:r>
      <w:r w:rsidRPr="003038F5">
        <w:rPr>
          <w:rStyle w:val="StyleUnderline"/>
        </w:rPr>
        <w:t>Childhood abuse, infidelity, discrimination, and workplace exploitation are examples of betrayal trauma.</w:t>
      </w:r>
      <w:r w:rsidRPr="003038F5">
        <w:rPr>
          <w:sz w:val="16"/>
        </w:rPr>
        <w:t xml:space="preserve"> It is important to note that betrayal trauma theory holds that the extent to which a given experience involves a betrayal by a close and trusted other impacts the way that experience is encoded and recalled (Sivers, Schooler, &amp; Freyd, </w:t>
      </w:r>
      <w:hyperlink r:id="rId31" w:history="1">
        <w:r w:rsidRPr="003038F5">
          <w:rPr>
            <w:sz w:val="16"/>
          </w:rPr>
          <w:t>2002</w:t>
        </w:r>
      </w:hyperlink>
      <w:r w:rsidRPr="003038F5">
        <w:rPr>
          <w:sz w:val="16"/>
        </w:rPr>
        <w:t>Sivers, H., Schooler, J., &amp; Freyd, J. J.(2002). Recovered memories. In V. S.Ramachandran (Ed.), Encyclopedia of the human brain (Vol. 4, pp. 169–184). San Diego, CA: Academic Press.</w:t>
      </w:r>
      <w:hyperlink r:id="rId32" w:tgtFrame="_blank" w:history="1">
        <w:r w:rsidRPr="003038F5">
          <w:rPr>
            <w:sz w:val="16"/>
          </w:rPr>
          <w:t>[CrossRef]</w:t>
        </w:r>
      </w:hyperlink>
      <w:r w:rsidRPr="003038F5">
        <w:rPr>
          <w:sz w:val="16"/>
        </w:rPr>
        <w:t xml:space="preserve">, </w:t>
      </w:r>
      <w:hyperlink r:id="rId33" w:tgtFrame="_blank" w:history="1">
        <w:r w:rsidRPr="003038F5">
          <w:rPr>
            <w:sz w:val="16"/>
          </w:rPr>
          <w:t>[Google Scholar]</w:t>
        </w:r>
      </w:hyperlink>
      <w:r w:rsidRPr="003038F5">
        <w:rPr>
          <w:sz w:val="16"/>
        </w:rPr>
        <w:t xml:space="preserve">) and thus has important implications for an understanding of betrayal trauma and healing processes. </w:t>
      </w:r>
      <w:r w:rsidRPr="003038F5">
        <w:rPr>
          <w:rStyle w:val="StyleUnderline"/>
        </w:rPr>
        <w:t>Betrayal has not historically been included in diagnostic nosology.</w:t>
      </w:r>
      <w:r w:rsidRPr="003038F5">
        <w:rPr>
          <w:sz w:val="16"/>
        </w:rPr>
        <w:t xml:space="preserve"> Betrayal trauma refers to relational trauma independent of posttraumatic stress reactions (Freyd, </w:t>
      </w:r>
      <w:hyperlink r:id="rId34" w:history="1">
        <w:r w:rsidRPr="003038F5">
          <w:rPr>
            <w:sz w:val="16"/>
          </w:rPr>
          <w:t>1996</w:t>
        </w:r>
      </w:hyperlink>
      <w:r w:rsidRPr="003038F5">
        <w:rPr>
          <w:sz w:val="16"/>
        </w:rPr>
        <w:t xml:space="preserve">Freyd, J. J. (1996). Betrayal trauma: The logic of forgetting childhood abuse. Cambridge, MA: Harvard University Press. </w:t>
      </w:r>
      <w:hyperlink r:id="rId35" w:tgtFrame="_blank" w:history="1">
        <w:r w:rsidRPr="003038F5">
          <w:rPr>
            <w:sz w:val="16"/>
          </w:rPr>
          <w:t>[Google Scholar]</w:t>
        </w:r>
      </w:hyperlink>
      <w:r w:rsidRPr="003038F5">
        <w:rPr>
          <w:sz w:val="16"/>
        </w:rPr>
        <w:t xml:space="preserve">), and ample empirical evidence suggests that betrayal plays an important role in the etiology of posttraumatic sequelae (e.g., DePrince et al., </w:t>
      </w:r>
      <w:hyperlink r:id="rId36" w:history="1">
        <w:r w:rsidRPr="003038F5">
          <w:rPr>
            <w:sz w:val="16"/>
          </w:rPr>
          <w:t>2012</w:t>
        </w:r>
      </w:hyperlink>
      <w:r w:rsidRPr="003038F5">
        <w:rPr>
          <w:sz w:val="16"/>
        </w:rPr>
        <w:t>DePrince, A. P., Brown, L. S., Cheit, R. E., Freyd, J. J., Gold, S. N., Pezdek, K., &amp; Quina, K. (2012). Motivated forgetting and misremembering: Perspectives from betrayal trauma theory. In R. F.Belli (Ed.), True and false recovered memories: Toward a reconciliation of the debate (pp. 193–243). New York, NY:Springer.</w:t>
      </w:r>
      <w:hyperlink r:id="rId37" w:tgtFrame="_blank" w:history="1">
        <w:r w:rsidRPr="003038F5">
          <w:rPr>
            <w:sz w:val="16"/>
          </w:rPr>
          <w:t>[CrossRef]</w:t>
        </w:r>
      </w:hyperlink>
      <w:r w:rsidRPr="003038F5">
        <w:rPr>
          <w:sz w:val="16"/>
        </w:rPr>
        <w:t xml:space="preserve">, </w:t>
      </w:r>
      <w:hyperlink r:id="rId38" w:tgtFrame="_blank" w:history="1">
        <w:r w:rsidRPr="003038F5">
          <w:rPr>
            <w:sz w:val="16"/>
          </w:rPr>
          <w:t>[Google Scholar]</w:t>
        </w:r>
      </w:hyperlink>
      <w:r w:rsidRPr="003038F5">
        <w:rPr>
          <w:sz w:val="16"/>
        </w:rPr>
        <w:t xml:space="preserve">; Gómez, Smith, &amp; Freyd, </w:t>
      </w:r>
      <w:hyperlink r:id="rId39" w:history="1">
        <w:r w:rsidRPr="003038F5">
          <w:rPr>
            <w:sz w:val="16"/>
          </w:rPr>
          <w:t>2014</w:t>
        </w:r>
      </w:hyperlink>
      <w:r w:rsidRPr="003038F5">
        <w:rPr>
          <w:sz w:val="16"/>
        </w:rPr>
        <w:t xml:space="preserve">Gómez, J. M., Smith, C. P., &amp; Freyd, J. J.(2014). Zwischenmenschlicher und institutioneller verrat [Interpersonal and institutional betrayal]. In R. Vogt(Ed.), Verleumdung und verrat: Dissoziative Störungen bei schwer traumatisierten Menschen als Folge von Vertrauensbrüchen (pp. 82–90). Roland, Germany: Asanger Verlag. </w:t>
      </w:r>
      <w:hyperlink r:id="rId40" w:tgtFrame="_blank" w:history="1">
        <w:r w:rsidRPr="003038F5">
          <w:rPr>
            <w:sz w:val="16"/>
          </w:rPr>
          <w:t>[Google Scholar]</w:t>
        </w:r>
      </w:hyperlink>
      <w:r w:rsidRPr="003038F5">
        <w:rPr>
          <w:sz w:val="16"/>
        </w:rPr>
        <w:t xml:space="preserve">; Kelley, Weathers, Mason, &amp; Pruneau, </w:t>
      </w:r>
      <w:hyperlink r:id="rId41" w:history="1">
        <w:r w:rsidRPr="003038F5">
          <w:rPr>
            <w:sz w:val="16"/>
          </w:rPr>
          <w:t>2012</w:t>
        </w:r>
      </w:hyperlink>
      <w:r w:rsidRPr="003038F5">
        <w:rPr>
          <w:sz w:val="16"/>
        </w:rPr>
        <w:t>Kelley, L. P., Weathers, F. W., Mason, E. A., &amp; Pruneau, G. M. (2012). Association of life threat and betrayal with posttraumatic stress disorder symptom severity. Journal of Traumatic Stress, 25, 408–415. doi:10.1002/jts.21727</w:t>
      </w:r>
      <w:hyperlink r:id="rId42" w:tgtFrame="_blank" w:history="1">
        <w:r w:rsidRPr="003038F5">
          <w:rPr>
            <w:sz w:val="16"/>
          </w:rPr>
          <w:t>[CrossRef]</w:t>
        </w:r>
      </w:hyperlink>
      <w:r w:rsidRPr="003038F5">
        <w:rPr>
          <w:sz w:val="16"/>
        </w:rPr>
        <w:t xml:space="preserve">, </w:t>
      </w:r>
      <w:hyperlink r:id="rId43" w:tgtFrame="_blank" w:history="1">
        <w:r w:rsidRPr="003038F5">
          <w:rPr>
            <w:sz w:val="16"/>
          </w:rPr>
          <w:t>[PubMed]</w:t>
        </w:r>
      </w:hyperlink>
      <w:r w:rsidRPr="003038F5">
        <w:rPr>
          <w:sz w:val="16"/>
        </w:rPr>
        <w:t xml:space="preserve">, </w:t>
      </w:r>
      <w:hyperlink r:id="rId44" w:tgtFrame="_blank" w:history="1">
        <w:r w:rsidRPr="003038F5">
          <w:rPr>
            <w:sz w:val="16"/>
          </w:rPr>
          <w:t>[Web of Science ®]</w:t>
        </w:r>
      </w:hyperlink>
      <w:r w:rsidRPr="003038F5">
        <w:rPr>
          <w:sz w:val="16"/>
        </w:rPr>
        <w:t xml:space="preserve">, </w:t>
      </w:r>
      <w:hyperlink r:id="rId45" w:tgtFrame="_blank" w:history="1">
        <w:r w:rsidRPr="003038F5">
          <w:rPr>
            <w:sz w:val="16"/>
          </w:rPr>
          <w:t>[Google Scholar]</w:t>
        </w:r>
      </w:hyperlink>
      <w:r w:rsidRPr="003038F5">
        <w:rPr>
          <w:sz w:val="16"/>
        </w:rPr>
        <w:t xml:space="preserve">). Thus, addressing experience(s) of relational rupture (e.g., betrayal) may be an important part of healing from betrayal trauma. Betrayal trauma is extraordinary but common In recent years, </w:t>
      </w:r>
      <w:r w:rsidRPr="003038F5">
        <w:rPr>
          <w:rStyle w:val="StyleUnderline"/>
        </w:rPr>
        <w:t>conceptualizations of betrayal trauma have changed dramatically as increasing attention has been paid to the role of childhood adversity in affecting mental and physical health outcomes later in life</w:t>
      </w:r>
      <w:r w:rsidRPr="003038F5">
        <w:rPr>
          <w:sz w:val="16"/>
        </w:rPr>
        <w:t xml:space="preserve"> (e.g., Anda et al., </w:t>
      </w:r>
      <w:hyperlink r:id="rId46" w:history="1">
        <w:r w:rsidRPr="003038F5">
          <w:rPr>
            <w:sz w:val="16"/>
          </w:rPr>
          <w:t>2006</w:t>
        </w:r>
      </w:hyperlink>
      <w:r w:rsidRPr="003038F5">
        <w:rPr>
          <w:sz w:val="16"/>
        </w:rPr>
        <w:t>Anda, R. F., Felitti, V. J., Bremner, J. D., Walker, J. D., Whitfield, C. H., Perry, B. D., … Giles, W. H. (2006). The enduring effects of abuse and related adverse experiences in childhood. European Archives of Psychiatry and Clinical Neuroscience, 256(3), 174–186. doi:10.1007/s00406-005-0624-4</w:t>
      </w:r>
      <w:hyperlink r:id="rId47" w:tgtFrame="_blank" w:history="1">
        <w:r w:rsidRPr="003038F5">
          <w:rPr>
            <w:sz w:val="16"/>
          </w:rPr>
          <w:t>[CrossRef]</w:t>
        </w:r>
      </w:hyperlink>
      <w:r w:rsidRPr="003038F5">
        <w:rPr>
          <w:sz w:val="16"/>
        </w:rPr>
        <w:t xml:space="preserve">, </w:t>
      </w:r>
      <w:hyperlink r:id="rId48" w:tgtFrame="_blank" w:history="1">
        <w:r w:rsidRPr="003038F5">
          <w:rPr>
            <w:sz w:val="16"/>
          </w:rPr>
          <w:t>[PubMed]</w:t>
        </w:r>
      </w:hyperlink>
      <w:r w:rsidRPr="003038F5">
        <w:rPr>
          <w:sz w:val="16"/>
        </w:rPr>
        <w:t xml:space="preserve">, </w:t>
      </w:r>
      <w:hyperlink r:id="rId49" w:tgtFrame="_blank" w:history="1">
        <w:r w:rsidRPr="003038F5">
          <w:rPr>
            <w:sz w:val="16"/>
          </w:rPr>
          <w:t>[Web of Science ®]</w:t>
        </w:r>
      </w:hyperlink>
      <w:r w:rsidRPr="003038F5">
        <w:rPr>
          <w:sz w:val="16"/>
        </w:rPr>
        <w:t xml:space="preserve">, </w:t>
      </w:r>
      <w:hyperlink r:id="rId50" w:tgtFrame="_blank" w:history="1">
        <w:r w:rsidRPr="003038F5">
          <w:rPr>
            <w:sz w:val="16"/>
          </w:rPr>
          <w:t>[Google Scholar]</w:t>
        </w:r>
      </w:hyperlink>
      <w:r w:rsidRPr="003038F5">
        <w:rPr>
          <w:sz w:val="16"/>
        </w:rPr>
        <w:t xml:space="preserve">; Felitti et al., </w:t>
      </w:r>
      <w:hyperlink r:id="rId51" w:history="1">
        <w:r w:rsidRPr="003038F5">
          <w:rPr>
            <w:sz w:val="16"/>
          </w:rPr>
          <w:t>1998</w:t>
        </w:r>
      </w:hyperlink>
      <w:r w:rsidRPr="003038F5">
        <w:rPr>
          <w:sz w:val="16"/>
        </w:rPr>
        <w:t>Felitti, V. J., Anda, R. F., Nordenberg, D., Williamson, D. F., Spitz, A. M., Edwards, V., … Marks, J. S. (1998). Relationship of childhood abuse and household dysfunction to many of the leading causes of death in adults. American Journal of Preventive Medicine, 14, 245–258. doi:10.1016/S0749-3797(98)00017-8</w:t>
      </w:r>
      <w:hyperlink r:id="rId52" w:tgtFrame="_blank" w:history="1">
        <w:r w:rsidRPr="003038F5">
          <w:rPr>
            <w:sz w:val="16"/>
          </w:rPr>
          <w:t>[CrossRef]</w:t>
        </w:r>
      </w:hyperlink>
      <w:r w:rsidRPr="003038F5">
        <w:rPr>
          <w:sz w:val="16"/>
        </w:rPr>
        <w:t xml:space="preserve">, </w:t>
      </w:r>
      <w:hyperlink r:id="rId53" w:tgtFrame="_blank" w:history="1">
        <w:r w:rsidRPr="003038F5">
          <w:rPr>
            <w:sz w:val="16"/>
          </w:rPr>
          <w:t>[PubMed]</w:t>
        </w:r>
      </w:hyperlink>
      <w:r w:rsidRPr="003038F5">
        <w:rPr>
          <w:sz w:val="16"/>
        </w:rPr>
        <w:t xml:space="preserve">, </w:t>
      </w:r>
      <w:hyperlink r:id="rId54" w:tgtFrame="_blank" w:history="1">
        <w:r w:rsidRPr="003038F5">
          <w:rPr>
            <w:sz w:val="16"/>
          </w:rPr>
          <w:t>[Web of Science ®]</w:t>
        </w:r>
      </w:hyperlink>
      <w:r w:rsidRPr="003038F5">
        <w:rPr>
          <w:sz w:val="16"/>
        </w:rPr>
        <w:t xml:space="preserve">, </w:t>
      </w:r>
      <w:hyperlink r:id="rId55" w:tgtFrame="_blank" w:history="1">
        <w:r w:rsidRPr="003038F5">
          <w:rPr>
            <w:sz w:val="16"/>
          </w:rPr>
          <w:t>[Google Scholar]</w:t>
        </w:r>
      </w:hyperlink>
      <w:r w:rsidRPr="003038F5">
        <w:rPr>
          <w:sz w:val="16"/>
        </w:rPr>
        <w:t xml:space="preserve">). Although extraordinary in their significance, relational and betrayal traumas are now regarded as common experiences (e.g., Goldberg &amp; Freyd, </w:t>
      </w:r>
      <w:hyperlink r:id="rId56" w:history="1">
        <w:r w:rsidRPr="003038F5">
          <w:rPr>
            <w:sz w:val="16"/>
          </w:rPr>
          <w:t>2006</w:t>
        </w:r>
      </w:hyperlink>
      <w:r w:rsidRPr="003038F5">
        <w:rPr>
          <w:sz w:val="16"/>
        </w:rPr>
        <w:t>Goldberg, L. R., &amp; Freyd, J. J. (2006). Self-reports of potentially traumatic experiences in an adult community sample: Gender differences and test-retest stabilities of the items in a brief betrayal-trauma survey. Journal of Trauma &amp; Dissociation, 7(3), 39–63. doi:10.1300/J229v07n03_04</w:t>
      </w:r>
      <w:hyperlink r:id="rId57" w:tgtFrame="_blank" w:history="1">
        <w:r w:rsidRPr="003038F5">
          <w:rPr>
            <w:sz w:val="16"/>
          </w:rPr>
          <w:t>[Taylor &amp; Francis Online]</w:t>
        </w:r>
      </w:hyperlink>
      <w:r w:rsidRPr="003038F5">
        <w:rPr>
          <w:sz w:val="16"/>
        </w:rPr>
        <w:t xml:space="preserve">, </w:t>
      </w:r>
      <w:hyperlink r:id="rId58" w:tgtFrame="_blank" w:history="1">
        <w:r w:rsidRPr="003038F5">
          <w:rPr>
            <w:sz w:val="16"/>
          </w:rPr>
          <w:t>[Google Scholar]</w:t>
        </w:r>
      </w:hyperlink>
      <w:r w:rsidRPr="003038F5">
        <w:rPr>
          <w:sz w:val="16"/>
        </w:rPr>
        <w:t xml:space="preserve">) that may occur at any point during the lifespan—beginning in early infancy when human beings are most dependent on their caregivers for survival. The prevalence of exposure to betrayal trauma in childhood is so high that it has been described as a silent epidemic (Kaffman, </w:t>
      </w:r>
      <w:hyperlink r:id="rId59" w:history="1">
        <w:r w:rsidRPr="003038F5">
          <w:rPr>
            <w:sz w:val="16"/>
          </w:rPr>
          <w:t>2009</w:t>
        </w:r>
      </w:hyperlink>
      <w:r w:rsidRPr="003038F5">
        <w:rPr>
          <w:sz w:val="16"/>
        </w:rPr>
        <w:t>Kaffman, A. (2009). The silent epidemic of neurodevelopmental injuries. Biological Psychiatry, 66, 624–626. doi:10.1016/j.biopsych.2009.08.002</w:t>
      </w:r>
      <w:hyperlink r:id="rId60" w:tgtFrame="_blank" w:history="1">
        <w:r w:rsidRPr="003038F5">
          <w:rPr>
            <w:sz w:val="16"/>
          </w:rPr>
          <w:t>[CrossRef]</w:t>
        </w:r>
      </w:hyperlink>
      <w:r w:rsidRPr="003038F5">
        <w:rPr>
          <w:sz w:val="16"/>
        </w:rPr>
        <w:t xml:space="preserve">, </w:t>
      </w:r>
      <w:hyperlink r:id="rId61" w:tgtFrame="_blank" w:history="1">
        <w:r w:rsidRPr="003038F5">
          <w:rPr>
            <w:sz w:val="16"/>
          </w:rPr>
          <w:t>[PubMed]</w:t>
        </w:r>
      </w:hyperlink>
      <w:r w:rsidRPr="003038F5">
        <w:rPr>
          <w:sz w:val="16"/>
        </w:rPr>
        <w:t xml:space="preserve">, </w:t>
      </w:r>
      <w:hyperlink r:id="rId62" w:tgtFrame="_blank" w:history="1">
        <w:r w:rsidRPr="003038F5">
          <w:rPr>
            <w:sz w:val="16"/>
          </w:rPr>
          <w:t>[Web of Science ®]</w:t>
        </w:r>
      </w:hyperlink>
      <w:r w:rsidRPr="003038F5">
        <w:rPr>
          <w:sz w:val="16"/>
        </w:rPr>
        <w:t xml:space="preserve">, </w:t>
      </w:r>
      <w:hyperlink r:id="rId63" w:tgtFrame="_blank" w:history="1">
        <w:r w:rsidRPr="003038F5">
          <w:rPr>
            <w:sz w:val="16"/>
          </w:rPr>
          <w:t>[Google Scholar]</w:t>
        </w:r>
      </w:hyperlink>
      <w:r w:rsidRPr="003038F5">
        <w:rPr>
          <w:sz w:val="16"/>
        </w:rPr>
        <w:t>). Herman (</w:t>
      </w:r>
      <w:hyperlink r:id="rId64" w:history="1">
        <w:r w:rsidRPr="003038F5">
          <w:rPr>
            <w:sz w:val="16"/>
          </w:rPr>
          <w:t>1997</w:t>
        </w:r>
      </w:hyperlink>
      <w:r w:rsidRPr="003038F5">
        <w:rPr>
          <w:sz w:val="16"/>
        </w:rPr>
        <w:t xml:space="preserve">Herman, J. L. (1997). Trauma and recovery. New York, NY: Basic Books. </w:t>
      </w:r>
      <w:hyperlink r:id="rId65" w:tgtFrame="_blank" w:history="1">
        <w:r w:rsidRPr="003038F5">
          <w:rPr>
            <w:sz w:val="16"/>
          </w:rPr>
          <w:t>[Google Scholar]</w:t>
        </w:r>
      </w:hyperlink>
      <w:r w:rsidRPr="003038F5">
        <w:rPr>
          <w:sz w:val="16"/>
        </w:rPr>
        <w:t xml:space="preserve">) aptly noted that </w:t>
      </w:r>
      <w:r w:rsidRPr="003038F5">
        <w:rPr>
          <w:rStyle w:val="StyleUnderline"/>
        </w:rPr>
        <w:t xml:space="preserve">traumatic “events are extraordinary, not because they occur rarely, but rather because they overwhelm the ordinary human adaptations to life” (p. 33). </w:t>
      </w:r>
      <w:r w:rsidRPr="003038F5">
        <w:rPr>
          <w:sz w:val="16"/>
        </w:rPr>
        <w:t xml:space="preserve">The role of attachment in betrayal trauma One important so-called ordinary human adaptation that may be overwhelmed by betrayal trauma is the attachment system, which serves to maintain proximity and relational closeness with important figures in one’s life (Bowlby, </w:t>
      </w:r>
      <w:hyperlink r:id="rId66" w:history="1">
        <w:r w:rsidRPr="003038F5">
          <w:rPr>
            <w:sz w:val="16"/>
          </w:rPr>
          <w:t>1969</w:t>
        </w:r>
      </w:hyperlink>
      <w:r w:rsidRPr="003038F5">
        <w:rPr>
          <w:sz w:val="16"/>
        </w:rPr>
        <w:t xml:space="preserve">Bowlby, J. (1969). Attachment and loss: Vol. 1. Attachment. New York, NY: Basic Books. </w:t>
      </w:r>
      <w:hyperlink r:id="rId67" w:tgtFrame="_blank" w:history="1">
        <w:r w:rsidRPr="003038F5">
          <w:rPr>
            <w:sz w:val="16"/>
          </w:rPr>
          <w:t>[Google Scholar]</w:t>
        </w:r>
      </w:hyperlink>
      <w:r w:rsidRPr="003038F5">
        <w:rPr>
          <w:sz w:val="16"/>
        </w:rPr>
        <w:t xml:space="preserve">). Although trauma may impact a person’s connections with others at any time, betrayal trauma during infancy may be particularly detrimental, as it is during this sensitive developmental period that individuals begin to develop their internal working models for social relationships. Early betrayal trauma in the form of unavailable, inconsistent, or abusive caregivers may leave infants (who have yet to develop the ability to regulate intense emotions on their own) alone with overwhelmingly negative affects and interfere with their ability to form secure attachments with others (Shore, </w:t>
      </w:r>
      <w:hyperlink r:id="rId68" w:history="1">
        <w:r w:rsidRPr="003038F5">
          <w:rPr>
            <w:sz w:val="16"/>
          </w:rPr>
          <w:t>2008</w:t>
        </w:r>
      </w:hyperlink>
      <w:r w:rsidRPr="003038F5">
        <w:rPr>
          <w:sz w:val="16"/>
        </w:rPr>
        <w:t xml:space="preserve">Shore, A. J. (2008). Early relational trauma, disorganized attachment, and the development of a predisposition to violence. In M. F. Solomon &amp; D. J. Siegel(Eds.), Healing trauma: Attachment, mind, body, and brain (pp. 107–167). New York, NY: Norton. </w:t>
      </w:r>
      <w:hyperlink r:id="rId69" w:tgtFrame="_blank" w:history="1">
        <w:r w:rsidRPr="003038F5">
          <w:rPr>
            <w:sz w:val="16"/>
          </w:rPr>
          <w:t>[Google Scholar]</w:t>
        </w:r>
      </w:hyperlink>
      <w:r w:rsidRPr="003038F5">
        <w:rPr>
          <w:sz w:val="16"/>
        </w:rPr>
        <w:t xml:space="preserve">). Regardless of when the trauma occurs, the experience of being rendered powerless by betrayal, within a relationship on which an individual depends, challenges one of the most basic human survival mechanisms—one’s orientation toward connection with others. Conceptualizations of trauma in the medical model </w:t>
      </w:r>
      <w:r w:rsidRPr="003038F5">
        <w:rPr>
          <w:rStyle w:val="StyleUnderline"/>
        </w:rPr>
        <w:t xml:space="preserve">The relationship between relational powerlessness and betrayal highlights the core distinction between instances of betrayal trauma and other traumatic experiences </w:t>
      </w:r>
      <w:r w:rsidRPr="003038F5">
        <w:rPr>
          <w:sz w:val="16"/>
        </w:rPr>
        <w:t xml:space="preserve">(e.g., Freyd, </w:t>
      </w:r>
      <w:hyperlink r:id="rId70" w:history="1">
        <w:r w:rsidRPr="003038F5">
          <w:rPr>
            <w:sz w:val="16"/>
          </w:rPr>
          <w:t>1996</w:t>
        </w:r>
      </w:hyperlink>
      <w:r w:rsidRPr="003038F5">
        <w:rPr>
          <w:sz w:val="16"/>
        </w:rPr>
        <w:t xml:space="preserve">Freyd, J. J. (1996). Betrayal trauma: The logic of forgetting childhood abuse. Cambridge, MA: Harvard University Press. </w:t>
      </w:r>
      <w:hyperlink r:id="rId71" w:tgtFrame="_blank" w:history="1">
        <w:r w:rsidRPr="003038F5">
          <w:rPr>
            <w:sz w:val="16"/>
          </w:rPr>
          <w:t>[Google Scholar]</w:t>
        </w:r>
      </w:hyperlink>
      <w:r w:rsidRPr="003038F5">
        <w:rPr>
          <w:sz w:val="16"/>
        </w:rPr>
        <w:t>, 1999</w:t>
      </w:r>
      <w:r w:rsidRPr="003038F5">
        <w:rPr>
          <w:rStyle w:val="StyleUnderline"/>
        </w:rPr>
        <w:t xml:space="preserve">). It is important that helping professionals working with individuals who have experienced betrayal trauma consider these distinctions when individuals approach them seeking support in their healing process. </w:t>
      </w:r>
      <w:r w:rsidRPr="003038F5">
        <w:rPr>
          <w:sz w:val="16"/>
        </w:rPr>
        <w:t xml:space="preserve">Psychiatric nosology and standard treatment Despite efforts to attend to the importance of interpersonal trauma, psychiatric diagnostic nosology still does not adequately distinguish between interpersonal and non-interpersonal trauma. Most significant is that the current edition of the most influential diagnostic text in the United States, the American Psychiatric Association’s (APA) Diagnostic and Statistical Manual of Mental Disorders, Fifth Edition (DSM–5; APA, </w:t>
      </w:r>
      <w:hyperlink r:id="rId72" w:history="1">
        <w:r w:rsidRPr="003038F5">
          <w:rPr>
            <w:sz w:val="16"/>
          </w:rPr>
          <w:t>2013</w:t>
        </w:r>
      </w:hyperlink>
      <w:r w:rsidRPr="003038F5">
        <w:rPr>
          <w:sz w:val="16"/>
        </w:rPr>
        <w:t>American Psychiatric Association. (2013). Diagnostic and statistical manual of mental disorders (5th ed.). Washington, DC: Author.</w:t>
      </w:r>
      <w:hyperlink r:id="rId73" w:tgtFrame="_blank" w:history="1">
        <w:r w:rsidRPr="003038F5">
          <w:rPr>
            <w:sz w:val="16"/>
          </w:rPr>
          <w:t>[CrossRef]</w:t>
        </w:r>
      </w:hyperlink>
      <w:r w:rsidRPr="003038F5">
        <w:rPr>
          <w:sz w:val="16"/>
        </w:rPr>
        <w:t xml:space="preserve">, </w:t>
      </w:r>
      <w:hyperlink r:id="rId74" w:tgtFrame="_blank" w:history="1">
        <w:r w:rsidRPr="003038F5">
          <w:rPr>
            <w:sz w:val="16"/>
          </w:rPr>
          <w:t>[Google Scholar]</w:t>
        </w:r>
      </w:hyperlink>
      <w:r w:rsidRPr="003038F5">
        <w:rPr>
          <w:sz w:val="16"/>
        </w:rPr>
        <w:t>), added a singular line to the posttraumatic stress disorder (PTSD) diagnostic section related to interpersonal traumas—what Freyd (</w:t>
      </w:r>
      <w:hyperlink r:id="rId75" w:history="1">
        <w:r w:rsidRPr="003038F5">
          <w:rPr>
            <w:sz w:val="16"/>
          </w:rPr>
          <w:t>1996</w:t>
        </w:r>
      </w:hyperlink>
      <w:r w:rsidRPr="003038F5">
        <w:rPr>
          <w:sz w:val="16"/>
        </w:rPr>
        <w:t xml:space="preserve">Freyd, J. J. (1996). Betrayal trauma: The logic of forgetting childhood abuse. Cambridge, MA: Harvard University Press. </w:t>
      </w:r>
      <w:hyperlink r:id="rId76" w:tgtFrame="_blank" w:history="1">
        <w:r w:rsidRPr="003038F5">
          <w:rPr>
            <w:sz w:val="16"/>
          </w:rPr>
          <w:t>[Google Scholar]</w:t>
        </w:r>
      </w:hyperlink>
      <w:r w:rsidRPr="003038F5">
        <w:rPr>
          <w:sz w:val="16"/>
        </w:rPr>
        <w:t xml:space="preserve">) termed betrayal trauma. The line reads, “The disorder may be especially severe or long-lasting when the stressor is interpersonal and intentional” (APA, </w:t>
      </w:r>
      <w:hyperlink r:id="rId77" w:history="1">
        <w:r w:rsidRPr="003038F5">
          <w:rPr>
            <w:sz w:val="16"/>
          </w:rPr>
          <w:t>2013</w:t>
        </w:r>
      </w:hyperlink>
      <w:r w:rsidRPr="003038F5">
        <w:rPr>
          <w:sz w:val="16"/>
        </w:rPr>
        <w:t>American Psychiatric Association. (2013). Diagnostic and statistical manual of mental disorders (5th ed.). Washington, DC: Author.</w:t>
      </w:r>
      <w:hyperlink r:id="rId78" w:tgtFrame="_blank" w:history="1">
        <w:r w:rsidRPr="003038F5">
          <w:rPr>
            <w:sz w:val="16"/>
          </w:rPr>
          <w:t>[CrossRef]</w:t>
        </w:r>
      </w:hyperlink>
      <w:r w:rsidRPr="003038F5">
        <w:rPr>
          <w:sz w:val="16"/>
        </w:rPr>
        <w:t xml:space="preserve">, </w:t>
      </w:r>
      <w:hyperlink r:id="rId79" w:tgtFrame="_blank" w:history="1">
        <w:r w:rsidRPr="003038F5">
          <w:rPr>
            <w:sz w:val="16"/>
          </w:rPr>
          <w:t>[Google Scholar]</w:t>
        </w:r>
      </w:hyperlink>
      <w:r w:rsidRPr="003038F5">
        <w:rPr>
          <w:sz w:val="16"/>
        </w:rPr>
        <w:t>, p. 275). Current treatment guidelines—specifically the Practice Guidelines for the Treatment of Patients With Acute Stress Disorder and Posttraumatic Stress Disorder published in 2004 by the APA Work Group on ASD [acute stress disorder] and PTSD—</w:t>
      </w:r>
      <w:r w:rsidRPr="003038F5">
        <w:rPr>
          <w:rStyle w:val="StyleUnderline"/>
        </w:rPr>
        <w:t>outline a stage-oriented approach as the general standard of care when treating individuals who have been exposed to trauma. With a focus on symptom reduction, stages include an initial assessment, psychiatric management, and selection and consideration of an intervention strategy</w:t>
      </w:r>
      <w:r w:rsidRPr="003038F5">
        <w:rPr>
          <w:sz w:val="16"/>
        </w:rPr>
        <w:t xml:space="preserve"> (APA Work Group on ASD and PTSD, 2004). Although this treatment guideline is not representative of every treatment facility or practitioner, it is an influential guideline for standard care and thus represents a common approach to trauma treatment in community and clinical settings. In addition, although a diverse set of practitioners may treat individuals who have experienced betrayal trauma</w:t>
      </w:r>
      <w:r w:rsidRPr="003038F5">
        <w:rPr>
          <w:rStyle w:val="StyleUnderline"/>
        </w:rPr>
        <w:t>, psychiatry still largely dominates the conceptualizations of trauma, as reflected in the aforementioned guidelines of practice and the main diagnostic tex</w:t>
      </w:r>
      <w:r w:rsidRPr="003038F5">
        <w:rPr>
          <w:sz w:val="16"/>
        </w:rPr>
        <w:t xml:space="preserve">t (Burstow, </w:t>
      </w:r>
      <w:hyperlink r:id="rId80" w:history="1">
        <w:r w:rsidRPr="003038F5">
          <w:rPr>
            <w:sz w:val="16"/>
          </w:rPr>
          <w:t>2003</w:t>
        </w:r>
      </w:hyperlink>
      <w:r w:rsidRPr="003038F5">
        <w:rPr>
          <w:sz w:val="16"/>
        </w:rPr>
        <w:t>Burstow, B. (2003). Toward a radical understanding of trauma and trauma work. Violence Against Women, 9(11), 1293–1317. doi:10.1177/1077801203255555</w:t>
      </w:r>
      <w:hyperlink r:id="rId81" w:tgtFrame="_blank" w:history="1">
        <w:r w:rsidRPr="003038F5">
          <w:rPr>
            <w:sz w:val="16"/>
          </w:rPr>
          <w:t>[CrossRef]</w:t>
        </w:r>
      </w:hyperlink>
      <w:r w:rsidRPr="003038F5">
        <w:rPr>
          <w:sz w:val="16"/>
        </w:rPr>
        <w:t xml:space="preserve">, </w:t>
      </w:r>
      <w:hyperlink r:id="rId82" w:tgtFrame="_blank" w:history="1">
        <w:r w:rsidRPr="003038F5">
          <w:rPr>
            <w:sz w:val="16"/>
          </w:rPr>
          <w:t>[Web of Science ®]</w:t>
        </w:r>
      </w:hyperlink>
      <w:r w:rsidRPr="003038F5">
        <w:rPr>
          <w:sz w:val="16"/>
        </w:rPr>
        <w:t xml:space="preserve">, </w:t>
      </w:r>
      <w:hyperlink r:id="rId83" w:tgtFrame="_blank" w:history="1">
        <w:r w:rsidRPr="003038F5">
          <w:rPr>
            <w:sz w:val="16"/>
          </w:rPr>
          <w:t>[Google Scholar]</w:t>
        </w:r>
      </w:hyperlink>
      <w:r w:rsidRPr="003038F5">
        <w:rPr>
          <w:sz w:val="16"/>
        </w:rPr>
        <w:t xml:space="preserve">), the DSM–5 (APA, </w:t>
      </w:r>
      <w:hyperlink r:id="rId84" w:history="1">
        <w:r w:rsidRPr="003038F5">
          <w:rPr>
            <w:sz w:val="16"/>
          </w:rPr>
          <w:t>2013</w:t>
        </w:r>
      </w:hyperlink>
      <w:r w:rsidRPr="003038F5">
        <w:rPr>
          <w:sz w:val="16"/>
        </w:rPr>
        <w:t>American Psychiatric Association. (2013). Diagnostic and statistical manual of mental disorders (5th ed.). Washington, DC: Author.</w:t>
      </w:r>
      <w:hyperlink r:id="rId85" w:tgtFrame="_blank" w:history="1">
        <w:r w:rsidRPr="003038F5">
          <w:rPr>
            <w:sz w:val="16"/>
          </w:rPr>
          <w:t>[CrossRef]</w:t>
        </w:r>
      </w:hyperlink>
      <w:r w:rsidRPr="003038F5">
        <w:rPr>
          <w:sz w:val="16"/>
        </w:rPr>
        <w:t xml:space="preserve">, </w:t>
      </w:r>
      <w:hyperlink r:id="rId86" w:tgtFrame="_blank" w:history="1">
        <w:r w:rsidRPr="003038F5">
          <w:rPr>
            <w:sz w:val="16"/>
          </w:rPr>
          <w:t>[Google Scholar]</w:t>
        </w:r>
      </w:hyperlink>
      <w:r w:rsidRPr="003038F5">
        <w:rPr>
          <w:sz w:val="16"/>
        </w:rPr>
        <w:t xml:space="preserve">). </w:t>
      </w:r>
      <w:r w:rsidRPr="003038F5">
        <w:rPr>
          <w:rStyle w:val="StyleUnderline"/>
        </w:rPr>
        <w:t xml:space="preserve">Not only does this framework again fail to acknowledge the key distinctions between betrayal trauma and other traumatic experiences, but also the guidelines for practice include potentially pathologizing language and methods. Thus, these standards create the potential for further harm to those with histories of betrayal trauma. </w:t>
      </w:r>
      <w:r w:rsidRPr="003038F5">
        <w:rPr>
          <w:sz w:val="16"/>
        </w:rPr>
        <w:t xml:space="preserve">Diagnostic comorbidity In most practices and treatment facilities in the United States, a psychiatric diagnosis is required for treatment. This requirement, combined with the insufficient diagnostic scope of the DSM, results in individuals with a history of betrayal trauma often receiving multiple diagnoses, both trauma related (e.g., ASD or PTSD) and non–trauma related (e.g., depression or social phobia; Galatzer-Levy, Nickerson, Litz, &amp; Marmar, </w:t>
      </w:r>
      <w:hyperlink r:id="rId87" w:history="1">
        <w:r w:rsidRPr="003038F5">
          <w:rPr>
            <w:sz w:val="16"/>
          </w:rPr>
          <w:t>2013</w:t>
        </w:r>
      </w:hyperlink>
      <w:r w:rsidRPr="003038F5">
        <w:rPr>
          <w:sz w:val="16"/>
        </w:rPr>
        <w:t>Galatzer-Levy, I. R., Nickerson, A., Litz, B. T., &amp; Marmar, C. R. (2013). Patterns of lifetime PTSD comorbidity: A latent class analysis. Depression and Anxiety, 30(5), 489–496. doi:10.1002/da.22048</w:t>
      </w:r>
      <w:hyperlink r:id="rId88" w:tgtFrame="_blank" w:history="1">
        <w:r w:rsidRPr="003038F5">
          <w:rPr>
            <w:sz w:val="16"/>
          </w:rPr>
          <w:t>[CrossRef]</w:t>
        </w:r>
      </w:hyperlink>
      <w:r w:rsidRPr="003038F5">
        <w:rPr>
          <w:sz w:val="16"/>
        </w:rPr>
        <w:t xml:space="preserve">, </w:t>
      </w:r>
      <w:hyperlink r:id="rId89" w:tgtFrame="_blank" w:history="1">
        <w:r w:rsidRPr="003038F5">
          <w:rPr>
            <w:sz w:val="16"/>
          </w:rPr>
          <w:t>[PubMed]</w:t>
        </w:r>
      </w:hyperlink>
      <w:r w:rsidRPr="003038F5">
        <w:rPr>
          <w:sz w:val="16"/>
        </w:rPr>
        <w:t xml:space="preserve">, </w:t>
      </w:r>
      <w:hyperlink r:id="rId90" w:tgtFrame="_blank" w:history="1">
        <w:r w:rsidRPr="003038F5">
          <w:rPr>
            <w:sz w:val="16"/>
          </w:rPr>
          <w:t>[Web of Science ®]</w:t>
        </w:r>
      </w:hyperlink>
      <w:r w:rsidRPr="003038F5">
        <w:rPr>
          <w:sz w:val="16"/>
        </w:rPr>
        <w:t xml:space="preserve">, </w:t>
      </w:r>
      <w:hyperlink r:id="rId91" w:tgtFrame="_blank" w:history="1">
        <w:r w:rsidRPr="003038F5">
          <w:rPr>
            <w:sz w:val="16"/>
          </w:rPr>
          <w:t>[Google Scholar]</w:t>
        </w:r>
      </w:hyperlink>
      <w:r w:rsidRPr="003038F5">
        <w:rPr>
          <w:sz w:val="16"/>
        </w:rPr>
        <w:t>). Herman (</w:t>
      </w:r>
      <w:hyperlink r:id="rId92" w:history="1">
        <w:r w:rsidRPr="003038F5">
          <w:rPr>
            <w:sz w:val="16"/>
          </w:rPr>
          <w:t>1997</w:t>
        </w:r>
      </w:hyperlink>
      <w:r w:rsidRPr="003038F5">
        <w:rPr>
          <w:sz w:val="16"/>
        </w:rPr>
        <w:t xml:space="preserve">Herman, J. L. (1997). Trauma and recovery. New York, NY: Basic Books. </w:t>
      </w:r>
      <w:hyperlink r:id="rId93" w:tgtFrame="_blank" w:history="1">
        <w:r w:rsidRPr="003038F5">
          <w:rPr>
            <w:sz w:val="16"/>
          </w:rPr>
          <w:t>[Google Scholar]</w:t>
        </w:r>
      </w:hyperlink>
      <w:r w:rsidRPr="003038F5">
        <w:rPr>
          <w:sz w:val="16"/>
        </w:rPr>
        <w:t xml:space="preserve">) referred to diagnostic comorbidity in this context as the disguised presentation of treatment-seeking individuals who have experienced chronic interpersonal trauma. The disguised presentation includes domain-general outcomes of this type of betrayal trauma, which affects individuals relationally and globally. Regarding available interventions for trauma-related symptoms, there are multiple therapeutic modalities, and evidence-based treatments are increasing in popularity (Sturmey &amp; Hersen, </w:t>
      </w:r>
      <w:hyperlink r:id="rId94" w:history="1">
        <w:r w:rsidRPr="003038F5">
          <w:rPr>
            <w:sz w:val="16"/>
          </w:rPr>
          <w:t>2012</w:t>
        </w:r>
      </w:hyperlink>
      <w:r w:rsidRPr="003038F5">
        <w:rPr>
          <w:sz w:val="16"/>
        </w:rPr>
        <w:t>Sturmey, P., &amp; Hersen, M. (2012). Handbook of evidence-based practice in clinical psychology: Vol 2. Adult disorders. Hoboken,NJ: Wiley.</w:t>
      </w:r>
      <w:hyperlink r:id="rId95" w:tgtFrame="_blank" w:history="1">
        <w:r w:rsidRPr="003038F5">
          <w:rPr>
            <w:sz w:val="16"/>
          </w:rPr>
          <w:t>[CrossRef]</w:t>
        </w:r>
      </w:hyperlink>
      <w:r w:rsidRPr="003038F5">
        <w:rPr>
          <w:sz w:val="16"/>
        </w:rPr>
        <w:t xml:space="preserve">, </w:t>
      </w:r>
      <w:hyperlink r:id="rId96" w:tgtFrame="_blank" w:history="1">
        <w:r w:rsidRPr="003038F5">
          <w:rPr>
            <w:sz w:val="16"/>
          </w:rPr>
          <w:t>[Google Scholar]</w:t>
        </w:r>
      </w:hyperlink>
      <w:r w:rsidRPr="003038F5">
        <w:rPr>
          <w:sz w:val="16"/>
        </w:rPr>
        <w:t xml:space="preserve">). Once a diagnosis is given, the standardized psychotherapy approaches often include cognitive–behavioral interventions and/or exposure therapy (Foa, </w:t>
      </w:r>
      <w:hyperlink r:id="rId97" w:history="1">
        <w:r w:rsidRPr="003038F5">
          <w:rPr>
            <w:sz w:val="16"/>
          </w:rPr>
          <w:t>1997</w:t>
        </w:r>
      </w:hyperlink>
      <w:r w:rsidRPr="003038F5">
        <w:rPr>
          <w:sz w:val="16"/>
        </w:rPr>
        <w:t>Foa, E. B. (1997). Trauma and women: Course, predictors, and treatment. Journal of Clinical Psychiatry, 58(9), 25–28.</w:t>
      </w:r>
      <w:hyperlink r:id="rId98" w:tgtFrame="_blank" w:history="1">
        <w:r w:rsidRPr="003038F5">
          <w:rPr>
            <w:sz w:val="16"/>
          </w:rPr>
          <w:t>[PubMed]</w:t>
        </w:r>
      </w:hyperlink>
      <w:r w:rsidRPr="003038F5">
        <w:rPr>
          <w:sz w:val="16"/>
        </w:rPr>
        <w:t xml:space="preserve">, </w:t>
      </w:r>
      <w:hyperlink r:id="rId99" w:tgtFrame="_blank" w:history="1">
        <w:r w:rsidRPr="003038F5">
          <w:rPr>
            <w:sz w:val="16"/>
          </w:rPr>
          <w:t>[Web of Science ®]</w:t>
        </w:r>
      </w:hyperlink>
      <w:r w:rsidRPr="003038F5">
        <w:rPr>
          <w:sz w:val="16"/>
        </w:rPr>
        <w:t xml:space="preserve">, </w:t>
      </w:r>
      <w:hyperlink r:id="rId100" w:tgtFrame="_blank" w:history="1">
        <w:r w:rsidRPr="003038F5">
          <w:rPr>
            <w:sz w:val="16"/>
          </w:rPr>
          <w:t>[Google Scholar]</w:t>
        </w:r>
      </w:hyperlink>
      <w:r w:rsidRPr="003038F5">
        <w:rPr>
          <w:sz w:val="16"/>
        </w:rPr>
        <w:t xml:space="preserve">; Hembree &amp; Foa, </w:t>
      </w:r>
      <w:hyperlink r:id="rId101" w:history="1">
        <w:r w:rsidRPr="003038F5">
          <w:rPr>
            <w:sz w:val="16"/>
          </w:rPr>
          <w:t>2000</w:t>
        </w:r>
      </w:hyperlink>
      <w:r w:rsidRPr="003038F5">
        <w:rPr>
          <w:sz w:val="16"/>
        </w:rPr>
        <w:t>Hembree, E. A., &amp; Foa, E. B. (2000). Posttraumatic stress disorder: Psychological factors and psychosocial interventions. Journal of Clinical Psychiatry, 61(7), 33–39.</w:t>
      </w:r>
      <w:hyperlink r:id="rId102" w:tgtFrame="_blank" w:history="1">
        <w:r w:rsidRPr="003038F5">
          <w:rPr>
            <w:sz w:val="16"/>
          </w:rPr>
          <w:t>[PubMed]</w:t>
        </w:r>
      </w:hyperlink>
      <w:r w:rsidRPr="003038F5">
        <w:rPr>
          <w:sz w:val="16"/>
        </w:rPr>
        <w:t xml:space="preserve">, </w:t>
      </w:r>
      <w:hyperlink r:id="rId103" w:tgtFrame="_blank" w:history="1">
        <w:r w:rsidRPr="003038F5">
          <w:rPr>
            <w:sz w:val="16"/>
          </w:rPr>
          <w:t>[Web of Science ®]</w:t>
        </w:r>
      </w:hyperlink>
      <w:r w:rsidRPr="003038F5">
        <w:rPr>
          <w:sz w:val="16"/>
        </w:rPr>
        <w:t xml:space="preserve">, </w:t>
      </w:r>
      <w:hyperlink r:id="rId104" w:tgtFrame="_blank" w:history="1">
        <w:r w:rsidRPr="003038F5">
          <w:rPr>
            <w:sz w:val="16"/>
          </w:rPr>
          <w:t>[Google Scholar]</w:t>
        </w:r>
      </w:hyperlink>
      <w:r w:rsidRPr="003038F5">
        <w:rPr>
          <w:sz w:val="16"/>
        </w:rPr>
        <w:t xml:space="preserve">; Resick, Jordan, Girelli, Hutter, &amp; Marhoefer-Dvorak, </w:t>
      </w:r>
      <w:hyperlink r:id="rId105" w:history="1">
        <w:r w:rsidRPr="003038F5">
          <w:rPr>
            <w:sz w:val="16"/>
          </w:rPr>
          <w:t>1988</w:t>
        </w:r>
      </w:hyperlink>
      <w:r w:rsidRPr="003038F5">
        <w:rPr>
          <w:sz w:val="16"/>
        </w:rPr>
        <w:t>Resick, P. A., Jordan, C. G., Girelli, S. A., Hutter, C. K., &amp; Marhoefer-Dvorak, S.(1988). A comparative victim study of behavioral group therapy for sexual assault victims. Behavioral Therapy, 19, 385–401. doi:10.1016/S0005-7894(88)80011-X</w:t>
      </w:r>
      <w:hyperlink r:id="rId106" w:tgtFrame="_blank" w:history="1">
        <w:r w:rsidRPr="003038F5">
          <w:rPr>
            <w:sz w:val="16"/>
          </w:rPr>
          <w:t>[CrossRef]</w:t>
        </w:r>
      </w:hyperlink>
      <w:r w:rsidRPr="003038F5">
        <w:rPr>
          <w:sz w:val="16"/>
        </w:rPr>
        <w:t xml:space="preserve">, </w:t>
      </w:r>
      <w:hyperlink r:id="rId107" w:tgtFrame="_blank" w:history="1">
        <w:r w:rsidRPr="003038F5">
          <w:rPr>
            <w:sz w:val="16"/>
          </w:rPr>
          <w:t>[Web of Science ®]</w:t>
        </w:r>
      </w:hyperlink>
      <w:r w:rsidRPr="003038F5">
        <w:rPr>
          <w:sz w:val="16"/>
        </w:rPr>
        <w:t xml:space="preserve">, </w:t>
      </w:r>
      <w:hyperlink r:id="rId108" w:tgtFrame="_blank" w:history="1">
        <w:r w:rsidRPr="003038F5">
          <w:rPr>
            <w:sz w:val="16"/>
          </w:rPr>
          <w:t>[Google Scholar]</w:t>
        </w:r>
      </w:hyperlink>
      <w:r w:rsidRPr="003038F5">
        <w:rPr>
          <w:sz w:val="16"/>
        </w:rPr>
        <w:t xml:space="preserve">; Resick, Nishith, Weaver, Astin, &amp; Feuer, </w:t>
      </w:r>
      <w:hyperlink r:id="rId109" w:history="1">
        <w:r w:rsidRPr="003038F5">
          <w:rPr>
            <w:sz w:val="16"/>
          </w:rPr>
          <w:t>2002</w:t>
        </w:r>
      </w:hyperlink>
      <w:r w:rsidRPr="003038F5">
        <w:rPr>
          <w:sz w:val="16"/>
        </w:rPr>
        <w:t>Resick, P. A., Nishith, P., Weaver, T. L., Astin, M. C., &amp; Feuer, C. A. (2002). A comparison of cognitive processing therapy with prolonged exposure and a waiting condition for the treatment of chronic posttraumatic stress disorder in female rape victims. Journal of Consulting Clinical Psychology, 70, 867–879. doi:10.1037/0022-006X.70.4.867</w:t>
      </w:r>
      <w:hyperlink r:id="rId110" w:tgtFrame="_blank" w:history="1">
        <w:r w:rsidRPr="003038F5">
          <w:rPr>
            <w:sz w:val="16"/>
          </w:rPr>
          <w:t>[CrossRef]</w:t>
        </w:r>
      </w:hyperlink>
      <w:r w:rsidRPr="003038F5">
        <w:rPr>
          <w:sz w:val="16"/>
        </w:rPr>
        <w:t xml:space="preserve">, </w:t>
      </w:r>
      <w:hyperlink r:id="rId111" w:tgtFrame="_blank" w:history="1">
        <w:r w:rsidRPr="003038F5">
          <w:rPr>
            <w:sz w:val="16"/>
          </w:rPr>
          <w:t>[PubMed]</w:t>
        </w:r>
      </w:hyperlink>
      <w:r w:rsidRPr="003038F5">
        <w:rPr>
          <w:sz w:val="16"/>
        </w:rPr>
        <w:t xml:space="preserve">, </w:t>
      </w:r>
      <w:hyperlink r:id="rId112" w:tgtFrame="_blank" w:history="1">
        <w:r w:rsidRPr="003038F5">
          <w:rPr>
            <w:sz w:val="16"/>
          </w:rPr>
          <w:t>[Web of Science ®]</w:t>
        </w:r>
      </w:hyperlink>
      <w:r w:rsidRPr="003038F5">
        <w:rPr>
          <w:sz w:val="16"/>
        </w:rPr>
        <w:t xml:space="preserve">, </w:t>
      </w:r>
      <w:hyperlink r:id="rId113" w:tgtFrame="_blank" w:history="1">
        <w:r w:rsidRPr="003038F5">
          <w:rPr>
            <w:sz w:val="16"/>
          </w:rPr>
          <w:t>[Google Scholar]</w:t>
        </w:r>
      </w:hyperlink>
      <w:r w:rsidRPr="003038F5">
        <w:rPr>
          <w:sz w:val="16"/>
        </w:rPr>
        <w:t xml:space="preserve">). Other treatments may include eye-movement desensitization and reprocessing, acceptance and commitment therapy (Hayes, Strosahl, &amp; Wilson, </w:t>
      </w:r>
      <w:hyperlink r:id="rId114" w:history="1">
        <w:r w:rsidRPr="003038F5">
          <w:rPr>
            <w:sz w:val="16"/>
          </w:rPr>
          <w:t>1999</w:t>
        </w:r>
      </w:hyperlink>
      <w:r w:rsidRPr="003038F5">
        <w:rPr>
          <w:sz w:val="16"/>
        </w:rPr>
        <w:t xml:space="preserve">Hayes, S. C., Strosahl, K. D., &amp; Wilson, K. G. (1999). Acceptance and commitment therapy: An experiential approach to behavior change. New York, NY: Guilford Press. </w:t>
      </w:r>
      <w:hyperlink r:id="rId115" w:tgtFrame="_blank" w:history="1">
        <w:r w:rsidRPr="003038F5">
          <w:rPr>
            <w:sz w:val="16"/>
          </w:rPr>
          <w:t>[Google Scholar]</w:t>
        </w:r>
      </w:hyperlink>
      <w:r w:rsidRPr="003038F5">
        <w:rPr>
          <w:sz w:val="16"/>
        </w:rPr>
        <w:t xml:space="preserve">), or psychodynamic psychotherapy (Foa, Keane, Friedman, &amp; Cohen, </w:t>
      </w:r>
      <w:hyperlink r:id="rId116" w:history="1">
        <w:r w:rsidRPr="003038F5">
          <w:rPr>
            <w:sz w:val="16"/>
          </w:rPr>
          <w:t>2008</w:t>
        </w:r>
      </w:hyperlink>
      <w:r w:rsidRPr="003038F5">
        <w:rPr>
          <w:sz w:val="16"/>
        </w:rPr>
        <w:t xml:space="preserve">Foa, E. B., Keane, T. M., Friedman, M. J., &amp; Cohen, J. A. (2008). Effective treatments for PTSD: Practice guidelines from the international society for traumatic stress studies (2nd ed.). New York, NY: Guilford Press. </w:t>
      </w:r>
      <w:hyperlink r:id="rId117" w:tgtFrame="_blank" w:history="1">
        <w:r w:rsidRPr="003038F5">
          <w:rPr>
            <w:sz w:val="16"/>
          </w:rPr>
          <w:t>[Google Scholar]</w:t>
        </w:r>
      </w:hyperlink>
      <w:r w:rsidRPr="003038F5">
        <w:rPr>
          <w:sz w:val="16"/>
        </w:rPr>
        <w:t xml:space="preserve">; Foa &amp; Meadows, </w:t>
      </w:r>
      <w:hyperlink r:id="rId118" w:history="1">
        <w:r w:rsidRPr="003038F5">
          <w:rPr>
            <w:sz w:val="16"/>
          </w:rPr>
          <w:t>1997</w:t>
        </w:r>
      </w:hyperlink>
      <w:r w:rsidRPr="003038F5">
        <w:rPr>
          <w:sz w:val="16"/>
        </w:rPr>
        <w:t>Foa, E. B., &amp; Meadows, E. A. (1997). Psychosocial treatments for posttraumatic stress disorder: A critical review. Annual Review of Psychology, 48, 449–480. doi:10.1146/annurev.psych.48.1.449</w:t>
      </w:r>
      <w:hyperlink r:id="rId119" w:tgtFrame="_blank" w:history="1">
        <w:r w:rsidRPr="003038F5">
          <w:rPr>
            <w:sz w:val="16"/>
          </w:rPr>
          <w:t>[CrossRef]</w:t>
        </w:r>
      </w:hyperlink>
      <w:r w:rsidRPr="003038F5">
        <w:rPr>
          <w:sz w:val="16"/>
        </w:rPr>
        <w:t xml:space="preserve">, </w:t>
      </w:r>
      <w:hyperlink r:id="rId120" w:tgtFrame="_blank" w:history="1">
        <w:r w:rsidRPr="003038F5">
          <w:rPr>
            <w:sz w:val="16"/>
          </w:rPr>
          <w:t>[PubMed]</w:t>
        </w:r>
      </w:hyperlink>
      <w:r w:rsidRPr="003038F5">
        <w:rPr>
          <w:sz w:val="16"/>
        </w:rPr>
        <w:t xml:space="preserve">, </w:t>
      </w:r>
      <w:hyperlink r:id="rId121" w:tgtFrame="_blank" w:history="1">
        <w:r w:rsidRPr="003038F5">
          <w:rPr>
            <w:sz w:val="16"/>
          </w:rPr>
          <w:t>[Web of Science ®]</w:t>
        </w:r>
      </w:hyperlink>
      <w:r w:rsidRPr="003038F5">
        <w:rPr>
          <w:sz w:val="16"/>
        </w:rPr>
        <w:t xml:space="preserve">, </w:t>
      </w:r>
      <w:hyperlink r:id="rId122" w:tgtFrame="_blank" w:history="1">
        <w:r w:rsidRPr="003038F5">
          <w:rPr>
            <w:sz w:val="16"/>
          </w:rPr>
          <w:t>[Google Scholar]</w:t>
        </w:r>
      </w:hyperlink>
      <w:r w:rsidRPr="003038F5">
        <w:rPr>
          <w:sz w:val="16"/>
        </w:rPr>
        <w:t xml:space="preserve">; PTSD Treatment Guidelines Task Force, </w:t>
      </w:r>
      <w:hyperlink r:id="rId123" w:history="1">
        <w:r w:rsidRPr="003038F5">
          <w:rPr>
            <w:sz w:val="16"/>
          </w:rPr>
          <w:t>2000</w:t>
        </w:r>
      </w:hyperlink>
      <w:r w:rsidRPr="003038F5">
        <w:rPr>
          <w:sz w:val="16"/>
        </w:rPr>
        <w:t>PTSD Treatment Guidelines Task Force. (2000). Guidelines for treatment of PTSD: Eye movement desensitization and reprocessing. Journal of Traumatic Stress, 13, 539–588. doi:10.1023/A:1007802031411</w:t>
      </w:r>
      <w:hyperlink r:id="rId124" w:tgtFrame="_blank" w:history="1">
        <w:r w:rsidRPr="003038F5">
          <w:rPr>
            <w:sz w:val="16"/>
          </w:rPr>
          <w:t>[CrossRef]</w:t>
        </w:r>
      </w:hyperlink>
      <w:r w:rsidRPr="003038F5">
        <w:rPr>
          <w:sz w:val="16"/>
        </w:rPr>
        <w:t xml:space="preserve">, </w:t>
      </w:r>
      <w:hyperlink r:id="rId125" w:tgtFrame="_blank" w:history="1">
        <w:r w:rsidRPr="003038F5">
          <w:rPr>
            <w:sz w:val="16"/>
          </w:rPr>
          <w:t>[PubMed]</w:t>
        </w:r>
      </w:hyperlink>
      <w:r w:rsidRPr="003038F5">
        <w:rPr>
          <w:sz w:val="16"/>
        </w:rPr>
        <w:t xml:space="preserve">, </w:t>
      </w:r>
      <w:hyperlink r:id="rId126" w:tgtFrame="_blank" w:history="1">
        <w:r w:rsidRPr="003038F5">
          <w:rPr>
            <w:sz w:val="16"/>
          </w:rPr>
          <w:t>[Web of Science ®]</w:t>
        </w:r>
      </w:hyperlink>
      <w:r w:rsidRPr="003038F5">
        <w:rPr>
          <w:sz w:val="16"/>
        </w:rPr>
        <w:t xml:space="preserve">, </w:t>
      </w:r>
      <w:hyperlink r:id="rId127" w:tgtFrame="_blank" w:history="1">
        <w:r w:rsidRPr="003038F5">
          <w:rPr>
            <w:sz w:val="16"/>
          </w:rPr>
          <w:t>[Google Scholar]</w:t>
        </w:r>
      </w:hyperlink>
      <w:r w:rsidRPr="003038F5">
        <w:rPr>
          <w:sz w:val="16"/>
        </w:rPr>
        <w:t xml:space="preserve">). Medication management </w:t>
      </w:r>
      <w:r w:rsidRPr="003038F5">
        <w:rPr>
          <w:rStyle w:val="StyleUnderline"/>
        </w:rPr>
        <w:t>With the medical model as its base, standard treatment for betrayal trauma often involves psychopharmacology, specifically using medication as a management tool for the disguised presentation</w:t>
      </w:r>
      <w:r w:rsidRPr="003038F5">
        <w:rPr>
          <w:sz w:val="16"/>
        </w:rPr>
        <w:t>, described by Herman (</w:t>
      </w:r>
      <w:hyperlink r:id="rId128" w:history="1">
        <w:r w:rsidRPr="003038F5">
          <w:rPr>
            <w:sz w:val="16"/>
          </w:rPr>
          <w:t>1997</w:t>
        </w:r>
      </w:hyperlink>
      <w:r w:rsidRPr="003038F5">
        <w:rPr>
          <w:sz w:val="16"/>
        </w:rPr>
        <w:t xml:space="preserve">Herman, J. L. (1997). Trauma and recovery. New York, NY: Basic Books. </w:t>
      </w:r>
      <w:hyperlink r:id="rId129" w:tgtFrame="_blank" w:history="1">
        <w:r w:rsidRPr="003038F5">
          <w:rPr>
            <w:sz w:val="16"/>
          </w:rPr>
          <w:t>[Google Scholar]</w:t>
        </w:r>
      </w:hyperlink>
      <w:r w:rsidRPr="003038F5">
        <w:rPr>
          <w:sz w:val="16"/>
        </w:rPr>
        <w:t>). Multi-medication management is sometimes used in the goal of symptom reduction. Instead of using an approach that values or highlights an individual’s experience and knowledge, various forms of trauma-related distress are treated as if they are disparate disorders as opposed to understandable reactions to betrayal trauma. Although it is difficult to know the exact percentage of cases in which psychopharmacology is used, multiple treatment recommendations often include medication; for instance, Abrams, Lund, Bernardy, and Friedman (</w:t>
      </w:r>
      <w:hyperlink r:id="rId130" w:history="1">
        <w:r w:rsidRPr="003038F5">
          <w:rPr>
            <w:sz w:val="16"/>
          </w:rPr>
          <w:t>2013</w:t>
        </w:r>
      </w:hyperlink>
      <w:r w:rsidRPr="003038F5">
        <w:rPr>
          <w:sz w:val="16"/>
        </w:rPr>
        <w:t>Abrams, T. E., Lund, B. C., Bernardy, N. C., &amp; Friedman, M. J. (2013). Aligning clinical practice to PTSD treatment guidelines: Medication prescribing by provider type. Psychiatric Services, 64(2), 142–148. doi:10.1176/appi.ps.201200217</w:t>
      </w:r>
      <w:hyperlink r:id="rId131" w:tgtFrame="_blank" w:history="1">
        <w:r w:rsidRPr="003038F5">
          <w:rPr>
            <w:sz w:val="16"/>
          </w:rPr>
          <w:t>[CrossRef]</w:t>
        </w:r>
      </w:hyperlink>
      <w:r w:rsidRPr="003038F5">
        <w:rPr>
          <w:sz w:val="16"/>
        </w:rPr>
        <w:t xml:space="preserve">, </w:t>
      </w:r>
      <w:hyperlink r:id="rId132" w:tgtFrame="_blank" w:history="1">
        <w:r w:rsidRPr="003038F5">
          <w:rPr>
            <w:sz w:val="16"/>
          </w:rPr>
          <w:t>[PubMed]</w:t>
        </w:r>
      </w:hyperlink>
      <w:r w:rsidRPr="003038F5">
        <w:rPr>
          <w:sz w:val="16"/>
        </w:rPr>
        <w:t xml:space="preserve">, </w:t>
      </w:r>
      <w:hyperlink r:id="rId133" w:tgtFrame="_blank" w:history="1">
        <w:r w:rsidRPr="003038F5">
          <w:rPr>
            <w:sz w:val="16"/>
          </w:rPr>
          <w:t>[Web of Science ®]</w:t>
        </w:r>
      </w:hyperlink>
      <w:r w:rsidRPr="003038F5">
        <w:rPr>
          <w:sz w:val="16"/>
        </w:rPr>
        <w:t xml:space="preserve">, </w:t>
      </w:r>
      <w:hyperlink r:id="rId134" w:tgtFrame="_blank" w:history="1">
        <w:r w:rsidRPr="003038F5">
          <w:rPr>
            <w:sz w:val="16"/>
          </w:rPr>
          <w:t>[Google Scholar]</w:t>
        </w:r>
      </w:hyperlink>
      <w:r w:rsidRPr="003038F5">
        <w:rPr>
          <w:sz w:val="16"/>
        </w:rPr>
        <w:t>) found that among veterans being treated for PTSD, 65.7% had been prescribed an antidepressant medication, and Mellman, Clark, and Peacock (</w:t>
      </w:r>
      <w:hyperlink r:id="rId135" w:history="1">
        <w:r w:rsidRPr="003038F5">
          <w:rPr>
            <w:sz w:val="16"/>
          </w:rPr>
          <w:t>2003</w:t>
        </w:r>
      </w:hyperlink>
      <w:r w:rsidRPr="003038F5">
        <w:rPr>
          <w:sz w:val="16"/>
        </w:rPr>
        <w:t>Mellman, T. A., Clark, R. E., &amp; Peacock, W. J. (2003). Prescribing patterns for patients with posttraumatic stress disorder. Psychiatric Services, 54(12), 1618–1621. doi:10.1176/appi.ps.54.12.1618</w:t>
      </w:r>
      <w:hyperlink r:id="rId136" w:tgtFrame="_blank" w:history="1">
        <w:r w:rsidRPr="003038F5">
          <w:rPr>
            <w:sz w:val="16"/>
          </w:rPr>
          <w:t>[CrossRef]</w:t>
        </w:r>
      </w:hyperlink>
      <w:r w:rsidRPr="003038F5">
        <w:rPr>
          <w:sz w:val="16"/>
        </w:rPr>
        <w:t xml:space="preserve">, </w:t>
      </w:r>
      <w:hyperlink r:id="rId137" w:tgtFrame="_blank" w:history="1">
        <w:r w:rsidRPr="003038F5">
          <w:rPr>
            <w:sz w:val="16"/>
          </w:rPr>
          <w:t>[PubMed]</w:t>
        </w:r>
      </w:hyperlink>
      <w:r w:rsidRPr="003038F5">
        <w:rPr>
          <w:sz w:val="16"/>
        </w:rPr>
        <w:t xml:space="preserve">, </w:t>
      </w:r>
      <w:hyperlink r:id="rId138" w:tgtFrame="_blank" w:history="1">
        <w:r w:rsidRPr="003038F5">
          <w:rPr>
            <w:sz w:val="16"/>
          </w:rPr>
          <w:t>[Web of Science ®]</w:t>
        </w:r>
      </w:hyperlink>
      <w:r w:rsidRPr="003038F5">
        <w:rPr>
          <w:sz w:val="16"/>
        </w:rPr>
        <w:t xml:space="preserve">, </w:t>
      </w:r>
      <w:hyperlink r:id="rId139" w:tgtFrame="_blank" w:history="1">
        <w:r w:rsidRPr="003038F5">
          <w:rPr>
            <w:sz w:val="16"/>
          </w:rPr>
          <w:t>[Google Scholar]</w:t>
        </w:r>
      </w:hyperlink>
      <w:r w:rsidRPr="003038F5">
        <w:rPr>
          <w:sz w:val="16"/>
        </w:rPr>
        <w:t xml:space="preserve">) found that 77% of patients in a community sample of adults received a prescription for at least one psychotropic medication. This suggests that medication use in the treatment of PTSD is relatively common. Selective serotonin reuptake inhibitors in particular are often a first-line medication for individuals diagnosed with PTSD (Brady et al., </w:t>
      </w:r>
      <w:hyperlink r:id="rId140" w:history="1">
        <w:r w:rsidRPr="003038F5">
          <w:rPr>
            <w:sz w:val="16"/>
          </w:rPr>
          <w:t>2000</w:t>
        </w:r>
      </w:hyperlink>
      <w:r w:rsidRPr="003038F5">
        <w:rPr>
          <w:sz w:val="16"/>
        </w:rPr>
        <w:t>Brady, K., Pearlstein, T., Asnis, G. M., Baker, D., Rothbaum, B., Sikes, C. R., &amp; Farfel, G. M. (2000). Efficacy and safety of sertraline treatment of posttraumatic stress disorder: A randomized controlled trial. Journal of the American Medical Association, 283, 1837–1844. doi:10.1001/jama.283.14.1837</w:t>
      </w:r>
      <w:hyperlink r:id="rId141" w:tgtFrame="_blank" w:history="1">
        <w:r w:rsidRPr="003038F5">
          <w:rPr>
            <w:sz w:val="16"/>
          </w:rPr>
          <w:t>[CrossRef]</w:t>
        </w:r>
      </w:hyperlink>
      <w:r w:rsidRPr="003038F5">
        <w:rPr>
          <w:sz w:val="16"/>
        </w:rPr>
        <w:t xml:space="preserve">, </w:t>
      </w:r>
      <w:hyperlink r:id="rId142" w:tgtFrame="_blank" w:history="1">
        <w:r w:rsidRPr="003038F5">
          <w:rPr>
            <w:sz w:val="16"/>
          </w:rPr>
          <w:t>[PubMed]</w:t>
        </w:r>
      </w:hyperlink>
      <w:r w:rsidRPr="003038F5">
        <w:rPr>
          <w:sz w:val="16"/>
        </w:rPr>
        <w:t xml:space="preserve">, </w:t>
      </w:r>
      <w:hyperlink r:id="rId143" w:tgtFrame="_blank" w:history="1">
        <w:r w:rsidRPr="003038F5">
          <w:rPr>
            <w:sz w:val="16"/>
          </w:rPr>
          <w:t>[Web of Science ®]</w:t>
        </w:r>
      </w:hyperlink>
      <w:r w:rsidRPr="003038F5">
        <w:rPr>
          <w:sz w:val="16"/>
        </w:rPr>
        <w:t xml:space="preserve">, </w:t>
      </w:r>
      <w:hyperlink r:id="rId144" w:tgtFrame="_blank" w:history="1">
        <w:r w:rsidRPr="003038F5">
          <w:rPr>
            <w:sz w:val="16"/>
          </w:rPr>
          <w:t>[Google Scholar]</w:t>
        </w:r>
      </w:hyperlink>
      <w:r w:rsidRPr="003038F5">
        <w:rPr>
          <w:sz w:val="16"/>
        </w:rPr>
        <w:t xml:space="preserve">; Conner, Sutherland, Tupler, Malik, &amp; Davidson, </w:t>
      </w:r>
      <w:hyperlink r:id="rId145" w:history="1">
        <w:r w:rsidRPr="003038F5">
          <w:rPr>
            <w:sz w:val="16"/>
          </w:rPr>
          <w:t>1999</w:t>
        </w:r>
      </w:hyperlink>
      <w:r w:rsidRPr="003038F5">
        <w:rPr>
          <w:sz w:val="16"/>
        </w:rPr>
        <w:t>Connor, K. M., Sutherland, S. M., Tupler, L. A., Malik, M. L., &amp; Davidson, J. R. (1999). Fluoxetine in posttraumatic stress disorder: Randomized, double-blind study. British Journal of Psychiatry, 175, 17–22. doi:10.1192/bjp.175.1.17</w:t>
      </w:r>
      <w:hyperlink r:id="rId146" w:tgtFrame="_blank" w:history="1">
        <w:r w:rsidRPr="003038F5">
          <w:rPr>
            <w:sz w:val="16"/>
          </w:rPr>
          <w:t>[CrossRef]</w:t>
        </w:r>
      </w:hyperlink>
      <w:r w:rsidRPr="003038F5">
        <w:rPr>
          <w:sz w:val="16"/>
        </w:rPr>
        <w:t xml:space="preserve">, </w:t>
      </w:r>
      <w:hyperlink r:id="rId147" w:tgtFrame="_blank" w:history="1">
        <w:r w:rsidRPr="003038F5">
          <w:rPr>
            <w:sz w:val="16"/>
          </w:rPr>
          <w:t>[PubMed]</w:t>
        </w:r>
      </w:hyperlink>
      <w:r w:rsidRPr="003038F5">
        <w:rPr>
          <w:sz w:val="16"/>
        </w:rPr>
        <w:t xml:space="preserve">, </w:t>
      </w:r>
      <w:hyperlink r:id="rId148" w:tgtFrame="_blank" w:history="1">
        <w:r w:rsidRPr="003038F5">
          <w:rPr>
            <w:sz w:val="16"/>
          </w:rPr>
          <w:t>[Web of Science ®]</w:t>
        </w:r>
      </w:hyperlink>
      <w:r w:rsidRPr="003038F5">
        <w:rPr>
          <w:sz w:val="16"/>
        </w:rPr>
        <w:t xml:space="preserve">, </w:t>
      </w:r>
      <w:hyperlink r:id="rId149" w:tgtFrame="_blank" w:history="1">
        <w:r w:rsidRPr="003038F5">
          <w:rPr>
            <w:sz w:val="16"/>
          </w:rPr>
          <w:t>[Google Scholar]</w:t>
        </w:r>
      </w:hyperlink>
      <w:r w:rsidRPr="003038F5">
        <w:rPr>
          <w:sz w:val="16"/>
        </w:rPr>
        <w:t xml:space="preserve">; Marshal, Beebe, Oldham, &amp; Zaninelli, </w:t>
      </w:r>
      <w:hyperlink r:id="rId150" w:history="1">
        <w:r w:rsidRPr="003038F5">
          <w:rPr>
            <w:sz w:val="16"/>
          </w:rPr>
          <w:t>2001</w:t>
        </w:r>
      </w:hyperlink>
      <w:r w:rsidRPr="003038F5">
        <w:rPr>
          <w:sz w:val="16"/>
        </w:rPr>
        <w:t>Marshall, R. D., Beebe, K. L., Oldham, M., &amp; Zaninelli, R. (2001). Efficacy and safety of paroxetine treatment for chronic PTSD: A fixed-dose, placebo-controlled study. American Journal of Psychiatry, 158, 1982–1988. doi:10.1176/appi.ajp.158.12.1982</w:t>
      </w:r>
      <w:hyperlink r:id="rId151" w:tgtFrame="_blank" w:history="1">
        <w:r w:rsidRPr="003038F5">
          <w:rPr>
            <w:sz w:val="16"/>
          </w:rPr>
          <w:t>[CrossRef]</w:t>
        </w:r>
      </w:hyperlink>
      <w:r w:rsidRPr="003038F5">
        <w:rPr>
          <w:sz w:val="16"/>
        </w:rPr>
        <w:t xml:space="preserve">, </w:t>
      </w:r>
      <w:hyperlink r:id="rId152" w:tgtFrame="_blank" w:history="1">
        <w:r w:rsidRPr="003038F5">
          <w:rPr>
            <w:sz w:val="16"/>
          </w:rPr>
          <w:t>[PubMed]</w:t>
        </w:r>
      </w:hyperlink>
      <w:r w:rsidRPr="003038F5">
        <w:rPr>
          <w:sz w:val="16"/>
        </w:rPr>
        <w:t xml:space="preserve">, </w:t>
      </w:r>
      <w:hyperlink r:id="rId153" w:tgtFrame="_blank" w:history="1">
        <w:r w:rsidRPr="003038F5">
          <w:rPr>
            <w:sz w:val="16"/>
          </w:rPr>
          <w:t>[Web of Science ®]</w:t>
        </w:r>
      </w:hyperlink>
      <w:r w:rsidRPr="003038F5">
        <w:rPr>
          <w:sz w:val="16"/>
        </w:rPr>
        <w:t xml:space="preserve">, </w:t>
      </w:r>
      <w:hyperlink r:id="rId154" w:tgtFrame="_blank" w:history="1">
        <w:r w:rsidRPr="003038F5">
          <w:rPr>
            <w:sz w:val="16"/>
          </w:rPr>
          <w:t>[Google Scholar]</w:t>
        </w:r>
      </w:hyperlink>
      <w:r w:rsidRPr="003038F5">
        <w:rPr>
          <w:sz w:val="16"/>
        </w:rPr>
        <w:t xml:space="preserve">; Martenyi, Brown, Zhang, Prakash, &amp; Koke, </w:t>
      </w:r>
      <w:hyperlink r:id="rId155" w:history="1">
        <w:r w:rsidRPr="003038F5">
          <w:rPr>
            <w:sz w:val="16"/>
          </w:rPr>
          <w:t>2002</w:t>
        </w:r>
      </w:hyperlink>
      <w:r w:rsidRPr="003038F5">
        <w:rPr>
          <w:sz w:val="16"/>
        </w:rPr>
        <w:t>Martenyi, F., Brown, E. B., Zhang, H., Prakash, A., &amp; Koke, S. C. (2002). Fluoxetine versus placebo in posttraumatic stress disorder. Journal of Clinical Psychiatry, 63, 199–206. doi:10.4088/JCP.v63n0305</w:t>
      </w:r>
      <w:hyperlink r:id="rId156" w:tgtFrame="_blank" w:history="1">
        <w:r w:rsidRPr="003038F5">
          <w:rPr>
            <w:sz w:val="16"/>
          </w:rPr>
          <w:t>[CrossRef]</w:t>
        </w:r>
      </w:hyperlink>
      <w:r w:rsidRPr="003038F5">
        <w:rPr>
          <w:sz w:val="16"/>
        </w:rPr>
        <w:t xml:space="preserve">, </w:t>
      </w:r>
      <w:hyperlink r:id="rId157" w:tgtFrame="_blank" w:history="1">
        <w:r w:rsidRPr="003038F5">
          <w:rPr>
            <w:sz w:val="16"/>
          </w:rPr>
          <w:t>[PubMed]</w:t>
        </w:r>
      </w:hyperlink>
      <w:r w:rsidRPr="003038F5">
        <w:rPr>
          <w:sz w:val="16"/>
        </w:rPr>
        <w:t xml:space="preserve">, </w:t>
      </w:r>
      <w:hyperlink r:id="rId158" w:tgtFrame="_blank" w:history="1">
        <w:r w:rsidRPr="003038F5">
          <w:rPr>
            <w:sz w:val="16"/>
          </w:rPr>
          <w:t>[Web of Science ®]</w:t>
        </w:r>
      </w:hyperlink>
      <w:r w:rsidRPr="003038F5">
        <w:rPr>
          <w:sz w:val="16"/>
        </w:rPr>
        <w:t xml:space="preserve">, </w:t>
      </w:r>
      <w:hyperlink r:id="rId159" w:tgtFrame="_blank" w:history="1">
        <w:r w:rsidRPr="003038F5">
          <w:rPr>
            <w:sz w:val="16"/>
          </w:rPr>
          <w:t>[Google Scholar]</w:t>
        </w:r>
      </w:hyperlink>
      <w:r w:rsidRPr="003038F5">
        <w:rPr>
          <w:sz w:val="16"/>
        </w:rPr>
        <w:t xml:space="preserve">; Tucker et al., 2001). </w:t>
      </w:r>
      <w:r w:rsidRPr="003038F5">
        <w:rPr>
          <w:rStyle w:val="StyleUnderline"/>
        </w:rPr>
        <w:t xml:space="preserve">Using medication primarily to manage internal states can reinforce the idea that the problem resides solely within individuals, thus decontextualizing their distress and responses to the betrayal trauma. </w:t>
      </w:r>
      <w:r w:rsidRPr="003038F5">
        <w:rPr>
          <w:sz w:val="16"/>
        </w:rPr>
        <w:t xml:space="preserve">Pathologizing language Alongside the practice of psychiatric management (APA Work Group on ASD and PTSD, </w:t>
      </w:r>
      <w:hyperlink r:id="rId160" w:history="1">
        <w:r w:rsidRPr="003038F5">
          <w:rPr>
            <w:sz w:val="16"/>
          </w:rPr>
          <w:t>2004</w:t>
        </w:r>
      </w:hyperlink>
      <w:r w:rsidRPr="003038F5">
        <w:rPr>
          <w:sz w:val="16"/>
        </w:rPr>
        <w:t xml:space="preserve">American Psychiatric Association Work Group on ASD and PTSD. (2004). Practice guidelines for the treatment of patients with acute stress disorder and posttraumatic stress disorder. Washington, DC: American Psychiatric Association. </w:t>
      </w:r>
      <w:hyperlink r:id="rId161" w:tgtFrame="_blank" w:history="1">
        <w:r w:rsidRPr="003038F5">
          <w:rPr>
            <w:sz w:val="16"/>
          </w:rPr>
          <w:t>[Google Scholar]</w:t>
        </w:r>
      </w:hyperlink>
      <w:r w:rsidRPr="003038F5">
        <w:rPr>
          <w:sz w:val="16"/>
        </w:rPr>
        <w:t xml:space="preserve">), </w:t>
      </w:r>
      <w:r w:rsidRPr="003038F5">
        <w:rPr>
          <w:rStyle w:val="StyleUnderline"/>
        </w:rPr>
        <w:t>the term psychiatric management is itself pathologizing insofar as it portrays people as needing to be managed.</w:t>
      </w:r>
      <w:r w:rsidRPr="003038F5">
        <w:rPr>
          <w:sz w:val="16"/>
        </w:rPr>
        <w:t xml:space="preserve"> </w:t>
      </w:r>
      <w:r w:rsidRPr="003038F5">
        <w:rPr>
          <w:rStyle w:val="StyleUnderline"/>
        </w:rPr>
        <w:t>Additional language (e.g., illness, comorbidity) used to describe the experience of betrayal trauma can be pathologizing as well</w:t>
      </w:r>
      <w:r w:rsidRPr="003038F5">
        <w:rPr>
          <w:sz w:val="16"/>
        </w:rPr>
        <w:t xml:space="preserve"> (Freyd, </w:t>
      </w:r>
      <w:hyperlink r:id="rId162" w:history="1">
        <w:r w:rsidRPr="003038F5">
          <w:rPr>
            <w:sz w:val="16"/>
          </w:rPr>
          <w:t>2013</w:t>
        </w:r>
      </w:hyperlink>
      <w:r w:rsidRPr="003038F5">
        <w:rPr>
          <w:sz w:val="16"/>
        </w:rPr>
        <w:t>Freyd, J. J. (2013). Preventing betrayal. Journal of Trauma &amp; Dissociation, 14, 495–500. doi:10.1080/15299732.2013.824945</w:t>
      </w:r>
      <w:hyperlink r:id="rId163" w:tgtFrame="_blank" w:history="1">
        <w:r w:rsidRPr="003038F5">
          <w:rPr>
            <w:sz w:val="16"/>
          </w:rPr>
          <w:t>[Taylor &amp; Francis Online]</w:t>
        </w:r>
      </w:hyperlink>
      <w:r w:rsidRPr="003038F5">
        <w:rPr>
          <w:sz w:val="16"/>
        </w:rPr>
        <w:t xml:space="preserve">, </w:t>
      </w:r>
      <w:hyperlink r:id="rId164" w:tgtFrame="_blank" w:history="1">
        <w:r w:rsidRPr="003038F5">
          <w:rPr>
            <w:sz w:val="16"/>
          </w:rPr>
          <w:t>[Web of Science ®]</w:t>
        </w:r>
      </w:hyperlink>
      <w:r w:rsidRPr="003038F5">
        <w:rPr>
          <w:sz w:val="16"/>
        </w:rPr>
        <w:t xml:space="preserve">, </w:t>
      </w:r>
      <w:hyperlink r:id="rId165" w:tgtFrame="_blank" w:history="1">
        <w:r w:rsidRPr="003038F5">
          <w:rPr>
            <w:sz w:val="16"/>
          </w:rPr>
          <w:t>[Google Scholar]</w:t>
        </w:r>
      </w:hyperlink>
      <w:r w:rsidRPr="003038F5">
        <w:rPr>
          <w:sz w:val="16"/>
        </w:rPr>
        <w:t xml:space="preserve">). </w:t>
      </w:r>
      <w:r w:rsidRPr="003038F5">
        <w:rPr>
          <w:rStyle w:val="StyleUnderline"/>
        </w:rPr>
        <w:t>Stemming from the foundation of a medical model, the language used to conceptualize ASD and PTSD often frames the diagnoses as illnesses</w:t>
      </w:r>
      <w:r w:rsidRPr="003038F5">
        <w:rPr>
          <w:sz w:val="16"/>
        </w:rPr>
        <w:t xml:space="preserve"> (APA Work Group on ASD and PTSD, </w:t>
      </w:r>
      <w:hyperlink r:id="rId166" w:history="1">
        <w:r w:rsidRPr="003038F5">
          <w:rPr>
            <w:sz w:val="16"/>
          </w:rPr>
          <w:t>2004</w:t>
        </w:r>
      </w:hyperlink>
      <w:r w:rsidRPr="003038F5">
        <w:rPr>
          <w:sz w:val="16"/>
        </w:rPr>
        <w:t xml:space="preserve">American Psychiatric Association Work Group on ASD and PTSD. (2004). Practice guidelines for the treatment of patients with acute stress disorder and posttraumatic stress disorder. Washington, DC: American Psychiatric Association. </w:t>
      </w:r>
      <w:hyperlink r:id="rId167" w:tgtFrame="_blank" w:history="1">
        <w:r w:rsidRPr="003038F5">
          <w:rPr>
            <w:sz w:val="16"/>
          </w:rPr>
          <w:t>[Google Scholar]</w:t>
        </w:r>
      </w:hyperlink>
      <w:r w:rsidRPr="003038F5">
        <w:rPr>
          <w:sz w:val="16"/>
        </w:rPr>
        <w:t xml:space="preserve">), </w:t>
      </w:r>
      <w:r w:rsidRPr="003038F5">
        <w:rPr>
          <w:rStyle w:val="StyleUnderline"/>
        </w:rPr>
        <w:t>which implies sickness or bad health</w:t>
      </w:r>
      <w:r w:rsidRPr="003038F5">
        <w:rPr>
          <w:sz w:val="16"/>
        </w:rPr>
        <w:t xml:space="preserve">. Although </w:t>
      </w:r>
      <w:r w:rsidRPr="003038F5">
        <w:rPr>
          <w:rStyle w:val="StyleUnderline"/>
        </w:rPr>
        <w:t>this framework</w:t>
      </w:r>
      <w:r w:rsidRPr="003038F5">
        <w:rPr>
          <w:sz w:val="16"/>
        </w:rPr>
        <w:t xml:space="preserve"> can reduce blame on the individual by legitimizing distress, it </w:t>
      </w:r>
      <w:r w:rsidRPr="003038F5">
        <w:rPr>
          <w:rStyle w:val="StyleUnderline"/>
        </w:rPr>
        <w:t>is inherently pathologizing in that it conveys that the problem and responsibility for the distress lies within the individual.</w:t>
      </w:r>
      <w:r w:rsidRPr="003038F5">
        <w:rPr>
          <w:sz w:val="16"/>
        </w:rPr>
        <w:t xml:space="preserve"> </w:t>
      </w:r>
      <w:r w:rsidRPr="003038F5">
        <w:rPr>
          <w:rStyle w:val="StyleUnderline"/>
        </w:rPr>
        <w:t>This conceptualization of trauma-related distress,</w:t>
      </w:r>
      <w:r w:rsidRPr="003038F5">
        <w:rPr>
          <w:sz w:val="16"/>
        </w:rPr>
        <w:t xml:space="preserve"> described exceptionally well by Burstow (</w:t>
      </w:r>
      <w:hyperlink r:id="rId168" w:history="1">
        <w:r w:rsidRPr="003038F5">
          <w:rPr>
            <w:sz w:val="16"/>
          </w:rPr>
          <w:t>2005</w:t>
        </w:r>
      </w:hyperlink>
      <w:r w:rsidRPr="003038F5">
        <w:rPr>
          <w:sz w:val="16"/>
        </w:rPr>
        <w:t>Burstow, B. (2005). A critique of posttraumatic stress disorder and the DSM. Journal of Humanistic Psychology, 45(4), 429–445. doi:10.1177/0022167805280265</w:t>
      </w:r>
      <w:hyperlink r:id="rId169" w:tgtFrame="_blank" w:history="1">
        <w:r w:rsidRPr="003038F5">
          <w:rPr>
            <w:sz w:val="16"/>
          </w:rPr>
          <w:t>[CrossRef]</w:t>
        </w:r>
      </w:hyperlink>
      <w:r w:rsidRPr="003038F5">
        <w:rPr>
          <w:sz w:val="16"/>
        </w:rPr>
        <w:t xml:space="preserve">, </w:t>
      </w:r>
      <w:hyperlink r:id="rId170" w:tgtFrame="_blank" w:history="1">
        <w:r w:rsidRPr="003038F5">
          <w:rPr>
            <w:sz w:val="16"/>
          </w:rPr>
          <w:t>[Web of Science ®]</w:t>
        </w:r>
      </w:hyperlink>
      <w:r w:rsidRPr="003038F5">
        <w:rPr>
          <w:sz w:val="16"/>
        </w:rPr>
        <w:t xml:space="preserve">, </w:t>
      </w:r>
      <w:hyperlink r:id="rId171" w:tgtFrame="_blank" w:history="1">
        <w:r w:rsidRPr="003038F5">
          <w:rPr>
            <w:sz w:val="16"/>
          </w:rPr>
          <w:t>[Google Scholar]</w:t>
        </w:r>
      </w:hyperlink>
      <w:r w:rsidRPr="003038F5">
        <w:rPr>
          <w:sz w:val="16"/>
        </w:rPr>
        <w:t xml:space="preserve">), </w:t>
      </w:r>
      <w:r w:rsidRPr="003038F5">
        <w:rPr>
          <w:rStyle w:val="StyleUnderline"/>
        </w:rPr>
        <w:t>is inextricably linked with the American dominant cultural belief that the world is an inherently safe place, and therefore there is something wrong with those who experience the world as dangerous. Minority individuals are not only affected by the current diagnostic system’s failure to account for chronic interpersonal trauma but also impacted by the absence of a criterion that recognizes discrimination, such as race incident–based trauma</w:t>
      </w:r>
      <w:r w:rsidRPr="003038F5">
        <w:rPr>
          <w:sz w:val="16"/>
        </w:rPr>
        <w:t xml:space="preserve"> (Bryant-Davis &amp; Ocampo, </w:t>
      </w:r>
      <w:hyperlink r:id="rId172" w:history="1">
        <w:r w:rsidRPr="003038F5">
          <w:rPr>
            <w:sz w:val="16"/>
          </w:rPr>
          <w:t>2005</w:t>
        </w:r>
      </w:hyperlink>
      <w:r w:rsidRPr="003038F5">
        <w:rPr>
          <w:sz w:val="16"/>
        </w:rPr>
        <w:t>Bryant-Davis, T., &amp; Ocampo, C. (2005). Racist incident-based trauma. The Counseling Psychologist, 33(4), 479–500. doi:10.1177/0011000005276465</w:t>
      </w:r>
      <w:hyperlink r:id="rId173" w:tgtFrame="_blank" w:history="1">
        <w:r w:rsidRPr="003038F5">
          <w:rPr>
            <w:sz w:val="16"/>
          </w:rPr>
          <w:t>[CrossRef]</w:t>
        </w:r>
      </w:hyperlink>
      <w:r w:rsidRPr="003038F5">
        <w:rPr>
          <w:sz w:val="16"/>
        </w:rPr>
        <w:t xml:space="preserve">, </w:t>
      </w:r>
      <w:hyperlink r:id="rId174" w:tgtFrame="_blank" w:history="1">
        <w:r w:rsidRPr="003038F5">
          <w:rPr>
            <w:sz w:val="16"/>
          </w:rPr>
          <w:t>[Web of Science ®]</w:t>
        </w:r>
      </w:hyperlink>
      <w:r w:rsidRPr="003038F5">
        <w:rPr>
          <w:sz w:val="16"/>
        </w:rPr>
        <w:t xml:space="preserve">, </w:t>
      </w:r>
      <w:hyperlink r:id="rId175" w:tgtFrame="_blank" w:history="1">
        <w:r w:rsidRPr="003038F5">
          <w:rPr>
            <w:sz w:val="16"/>
          </w:rPr>
          <w:t>[Google Scholar]</w:t>
        </w:r>
      </w:hyperlink>
      <w:r w:rsidRPr="003038F5">
        <w:rPr>
          <w:sz w:val="16"/>
        </w:rPr>
        <w:t xml:space="preserve">). </w:t>
      </w:r>
      <w:r w:rsidRPr="003038F5">
        <w:rPr>
          <w:rStyle w:val="StyleUnderline"/>
        </w:rPr>
        <w:t>Individuals who are subjugated within the dominant American culture on the basis of sexual orientation, race, ethnicity, gender, religion, ability, class, and/or other identity or demographic characteristics often experience microaggressions</w:t>
      </w:r>
      <w:r w:rsidRPr="003038F5">
        <w:rPr>
          <w:sz w:val="16"/>
        </w:rPr>
        <w:t xml:space="preserve"> (Shelton &amp; Delgado-Romero, </w:t>
      </w:r>
      <w:hyperlink r:id="rId176" w:history="1">
        <w:r w:rsidRPr="003038F5">
          <w:rPr>
            <w:sz w:val="16"/>
          </w:rPr>
          <w:t>2011</w:t>
        </w:r>
      </w:hyperlink>
      <w:r w:rsidRPr="003038F5">
        <w:rPr>
          <w:sz w:val="16"/>
        </w:rPr>
        <w:t>Shelton, K., &amp; Delgado-Romero, E. A.(2011). Sexual orientation microaggressions: The experience of lesbian, gay, bisexual, and queer clients in psychotherapy. Journal of Counseling Psychology, 58(2), 210–221. doi:10.1037/a0022251</w:t>
      </w:r>
      <w:hyperlink r:id="rId177" w:tgtFrame="_blank" w:history="1">
        <w:r w:rsidRPr="003038F5">
          <w:rPr>
            <w:sz w:val="16"/>
          </w:rPr>
          <w:t>[CrossRef]</w:t>
        </w:r>
      </w:hyperlink>
      <w:r w:rsidRPr="003038F5">
        <w:rPr>
          <w:sz w:val="16"/>
        </w:rPr>
        <w:t xml:space="preserve">, </w:t>
      </w:r>
      <w:hyperlink r:id="rId178" w:tgtFrame="_blank" w:history="1">
        <w:r w:rsidRPr="003038F5">
          <w:rPr>
            <w:sz w:val="16"/>
          </w:rPr>
          <w:t>[PubMed]</w:t>
        </w:r>
      </w:hyperlink>
      <w:r w:rsidRPr="003038F5">
        <w:rPr>
          <w:sz w:val="16"/>
        </w:rPr>
        <w:t xml:space="preserve">, </w:t>
      </w:r>
      <w:hyperlink r:id="rId179" w:tgtFrame="_blank" w:history="1">
        <w:r w:rsidRPr="003038F5">
          <w:rPr>
            <w:sz w:val="16"/>
          </w:rPr>
          <w:t>[Web of Science ®]</w:t>
        </w:r>
      </w:hyperlink>
      <w:r w:rsidRPr="003038F5">
        <w:rPr>
          <w:sz w:val="16"/>
        </w:rPr>
        <w:t xml:space="preserve">, </w:t>
      </w:r>
      <w:hyperlink r:id="rId180" w:tgtFrame="_blank" w:history="1">
        <w:r w:rsidRPr="003038F5">
          <w:rPr>
            <w:sz w:val="16"/>
          </w:rPr>
          <w:t>[Google Scholar]</w:t>
        </w:r>
      </w:hyperlink>
      <w:r w:rsidRPr="003038F5">
        <w:rPr>
          <w:sz w:val="16"/>
        </w:rPr>
        <w:t xml:space="preserve">; Sue, </w:t>
      </w:r>
      <w:hyperlink r:id="rId181" w:history="1">
        <w:r w:rsidRPr="003038F5">
          <w:rPr>
            <w:sz w:val="16"/>
          </w:rPr>
          <w:t>2010</w:t>
        </w:r>
      </w:hyperlink>
      <w:r w:rsidRPr="003038F5">
        <w:rPr>
          <w:sz w:val="16"/>
        </w:rPr>
        <w:t xml:space="preserve">Sue, D. W. (2010). Microaggressions in everyday life: Race, gender, and sexual orientation. New York, NY: Wiley. </w:t>
      </w:r>
      <w:hyperlink r:id="rId182" w:tgtFrame="_blank" w:history="1">
        <w:r w:rsidRPr="003038F5">
          <w:rPr>
            <w:sz w:val="16"/>
          </w:rPr>
          <w:t>[Google Scholar]</w:t>
        </w:r>
      </w:hyperlink>
      <w:r w:rsidRPr="003038F5">
        <w:rPr>
          <w:sz w:val="16"/>
        </w:rPr>
        <w:t xml:space="preserve">; Sue et al., </w:t>
      </w:r>
      <w:hyperlink r:id="rId183" w:history="1">
        <w:r w:rsidRPr="003038F5">
          <w:rPr>
            <w:sz w:val="16"/>
          </w:rPr>
          <w:t>2007</w:t>
        </w:r>
      </w:hyperlink>
      <w:r w:rsidRPr="003038F5">
        <w:rPr>
          <w:sz w:val="16"/>
        </w:rPr>
        <w:t>Sue, D. W., Capodilupo, C. M., Torino, G. C., Bucceri, J. M., Holder, A. M. B., Nadal, K. L., &amp; Esquilin, M. (2007). Racial microaggressions in everyday life: Implications for clinical practice. American Psychologist, 62(4), 271–286. doi:10.1037/0003-066X.62.4.271.</w:t>
      </w:r>
      <w:hyperlink r:id="rId184" w:tgtFrame="_blank" w:history="1">
        <w:r w:rsidRPr="003038F5">
          <w:rPr>
            <w:sz w:val="16"/>
          </w:rPr>
          <w:t>[CrossRef]</w:t>
        </w:r>
      </w:hyperlink>
      <w:r w:rsidRPr="003038F5">
        <w:rPr>
          <w:sz w:val="16"/>
        </w:rPr>
        <w:t xml:space="preserve">, </w:t>
      </w:r>
      <w:hyperlink r:id="rId185" w:tgtFrame="_blank" w:history="1">
        <w:r w:rsidRPr="003038F5">
          <w:rPr>
            <w:sz w:val="16"/>
          </w:rPr>
          <w:t>[PubMed]</w:t>
        </w:r>
      </w:hyperlink>
      <w:r w:rsidRPr="003038F5">
        <w:rPr>
          <w:sz w:val="16"/>
        </w:rPr>
        <w:t xml:space="preserve">, </w:t>
      </w:r>
      <w:hyperlink r:id="rId186" w:tgtFrame="_blank" w:history="1">
        <w:r w:rsidRPr="003038F5">
          <w:rPr>
            <w:sz w:val="16"/>
          </w:rPr>
          <w:t>[Web of Science ®]</w:t>
        </w:r>
      </w:hyperlink>
      <w:r w:rsidRPr="003038F5">
        <w:rPr>
          <w:sz w:val="16"/>
        </w:rPr>
        <w:t xml:space="preserve">, </w:t>
      </w:r>
      <w:hyperlink r:id="rId187" w:tgtFrame="_blank" w:history="1">
        <w:r w:rsidRPr="003038F5">
          <w:rPr>
            <w:sz w:val="16"/>
          </w:rPr>
          <w:t>[Google Scholar]</w:t>
        </w:r>
      </w:hyperlink>
      <w:r w:rsidRPr="003038F5">
        <w:rPr>
          <w:sz w:val="16"/>
        </w:rPr>
        <w:t xml:space="preserve">), </w:t>
      </w:r>
      <w:r w:rsidRPr="003038F5">
        <w:rPr>
          <w:rStyle w:val="StyleUnderline"/>
        </w:rPr>
        <w:t xml:space="preserve">a form of societal trauma that may occur throughout an individual’s lifespan and compound the effects of other betrayal traumas. </w:t>
      </w:r>
      <w:r w:rsidRPr="003038F5">
        <w:rPr>
          <w:sz w:val="16"/>
        </w:rPr>
        <w:t xml:space="preserve">Limitations in the evidence base for standard treatment Although there is a considerable evidence base for standard PTSD treatments (e.g., Bradley, Greene, Russ, Dutra, &amp; Westen, </w:t>
      </w:r>
      <w:hyperlink r:id="rId188" w:history="1">
        <w:r w:rsidRPr="003038F5">
          <w:rPr>
            <w:sz w:val="16"/>
          </w:rPr>
          <w:t>2005</w:t>
        </w:r>
      </w:hyperlink>
      <w:r w:rsidRPr="003038F5">
        <w:rPr>
          <w:sz w:val="16"/>
        </w:rPr>
        <w:t>Bradley, R., Greene, J., Russ, E., Dutra, L., &amp; Westen, D. (2005). A multidimensional meta-analysis of psychotherapy for PTSD. American Journal of Psychiatry, 162, 214–227. doi:10.1176/appi.ajp.162.2.214</w:t>
      </w:r>
      <w:hyperlink r:id="rId189" w:tgtFrame="_blank" w:history="1">
        <w:r w:rsidRPr="003038F5">
          <w:rPr>
            <w:sz w:val="16"/>
          </w:rPr>
          <w:t>[CrossRef]</w:t>
        </w:r>
      </w:hyperlink>
      <w:r w:rsidRPr="003038F5">
        <w:rPr>
          <w:sz w:val="16"/>
        </w:rPr>
        <w:t xml:space="preserve">, </w:t>
      </w:r>
      <w:hyperlink r:id="rId190" w:tgtFrame="_blank" w:history="1">
        <w:r w:rsidRPr="003038F5">
          <w:rPr>
            <w:sz w:val="16"/>
          </w:rPr>
          <w:t>[PubMed]</w:t>
        </w:r>
      </w:hyperlink>
      <w:r w:rsidRPr="003038F5">
        <w:rPr>
          <w:sz w:val="16"/>
        </w:rPr>
        <w:t xml:space="preserve">, </w:t>
      </w:r>
      <w:hyperlink r:id="rId191" w:tgtFrame="_blank" w:history="1">
        <w:r w:rsidRPr="003038F5">
          <w:rPr>
            <w:sz w:val="16"/>
          </w:rPr>
          <w:t>[Web of Science ®]</w:t>
        </w:r>
      </w:hyperlink>
      <w:r w:rsidRPr="003038F5">
        <w:rPr>
          <w:sz w:val="16"/>
        </w:rPr>
        <w:t xml:space="preserve">, </w:t>
      </w:r>
      <w:hyperlink r:id="rId192" w:tgtFrame="_blank" w:history="1">
        <w:r w:rsidRPr="003038F5">
          <w:rPr>
            <w:sz w:val="16"/>
          </w:rPr>
          <w:t>[Google Scholar]</w:t>
        </w:r>
      </w:hyperlink>
      <w:r w:rsidRPr="003038F5">
        <w:rPr>
          <w:sz w:val="16"/>
        </w:rPr>
        <w:t xml:space="preserve">; Foa et al., 2008; Institute of Medicine, </w:t>
      </w:r>
      <w:hyperlink r:id="rId193" w:history="1">
        <w:r w:rsidRPr="003038F5">
          <w:rPr>
            <w:sz w:val="16"/>
          </w:rPr>
          <w:t>2006</w:t>
        </w:r>
      </w:hyperlink>
      <w:r w:rsidRPr="003038F5">
        <w:rPr>
          <w:sz w:val="16"/>
        </w:rPr>
        <w:t xml:space="preserve">Institute of Medicine. (2006). Posttraumatic stress disorder: Diagnosis and assessment. Washington, DC: National Academies Press. </w:t>
      </w:r>
      <w:hyperlink r:id="rId194" w:tgtFrame="_blank" w:history="1">
        <w:r w:rsidRPr="003038F5">
          <w:rPr>
            <w:sz w:val="16"/>
          </w:rPr>
          <w:t>[Google Scholar]</w:t>
        </w:r>
      </w:hyperlink>
      <w:r w:rsidRPr="003038F5">
        <w:rPr>
          <w:sz w:val="16"/>
        </w:rPr>
        <w:t xml:space="preserve">), conflicting data indicate that exposure, cognitive behavioral therapy, and eye-movement desensitization and reprocessing therapies have highly variable nonresponse and dropout rates (Cloitre, Koenen, Cohen, &amp; Han, </w:t>
      </w:r>
      <w:hyperlink r:id="rId195" w:history="1">
        <w:r w:rsidRPr="003038F5">
          <w:rPr>
            <w:sz w:val="16"/>
          </w:rPr>
          <w:t>2002</w:t>
        </w:r>
      </w:hyperlink>
      <w:r w:rsidRPr="003038F5">
        <w:rPr>
          <w:sz w:val="16"/>
        </w:rPr>
        <w:t>Cloitre, M., Koenen, K. C., Cohen, L. R., &amp; Han, H. (2002). Skills training in affective and interpersonal regulation followed by exposure: A phase-based treatment for PTSD related to childhood abuse. Journal of Consulting Clinical Psychology, 70, 1067–1074. doi:10.1037/0022-006X.70.5.1067</w:t>
      </w:r>
      <w:hyperlink r:id="rId196" w:tgtFrame="_blank" w:history="1">
        <w:r w:rsidRPr="003038F5">
          <w:rPr>
            <w:sz w:val="16"/>
          </w:rPr>
          <w:t>[CrossRef]</w:t>
        </w:r>
      </w:hyperlink>
      <w:r w:rsidRPr="003038F5">
        <w:rPr>
          <w:sz w:val="16"/>
        </w:rPr>
        <w:t xml:space="preserve">, </w:t>
      </w:r>
      <w:hyperlink r:id="rId197" w:tgtFrame="_blank" w:history="1">
        <w:r w:rsidRPr="003038F5">
          <w:rPr>
            <w:sz w:val="16"/>
          </w:rPr>
          <w:t>[PubMed]</w:t>
        </w:r>
      </w:hyperlink>
      <w:r w:rsidRPr="003038F5">
        <w:rPr>
          <w:sz w:val="16"/>
        </w:rPr>
        <w:t xml:space="preserve">, </w:t>
      </w:r>
      <w:hyperlink r:id="rId198" w:tgtFrame="_blank" w:history="1">
        <w:r w:rsidRPr="003038F5">
          <w:rPr>
            <w:sz w:val="16"/>
          </w:rPr>
          <w:t>[Web of Science ®]</w:t>
        </w:r>
      </w:hyperlink>
      <w:r w:rsidRPr="003038F5">
        <w:rPr>
          <w:sz w:val="16"/>
        </w:rPr>
        <w:t xml:space="preserve">, </w:t>
      </w:r>
      <w:hyperlink r:id="rId199" w:tgtFrame="_blank" w:history="1">
        <w:r w:rsidRPr="003038F5">
          <w:rPr>
            <w:sz w:val="16"/>
          </w:rPr>
          <w:t>[Google Scholar]</w:t>
        </w:r>
      </w:hyperlink>
      <w:r w:rsidRPr="003038F5">
        <w:rPr>
          <w:sz w:val="16"/>
        </w:rPr>
        <w:t xml:space="preserve">; McDonagh et al., </w:t>
      </w:r>
      <w:hyperlink r:id="rId200" w:history="1">
        <w:r w:rsidRPr="003038F5">
          <w:rPr>
            <w:sz w:val="16"/>
          </w:rPr>
          <w:t>2005</w:t>
        </w:r>
      </w:hyperlink>
      <w:r w:rsidRPr="003038F5">
        <w:rPr>
          <w:sz w:val="16"/>
        </w:rPr>
        <w:t>McDonagh, A., Friedman, M., McHugo, G., Ford, J., Sengupta, A., Mueser, K., … Descamps, M. (2005). Randomized trial of cognitive-behavioral therapy for chronic posttraumatic stress disorder in adult female survivors of childhood sexual abuse. Journal of Consulting Clinical Psychology, 73, 515–524. doi:10.1037/0022-006X.73.3.515</w:t>
      </w:r>
      <w:hyperlink r:id="rId201" w:tgtFrame="_blank" w:history="1">
        <w:r w:rsidRPr="003038F5">
          <w:rPr>
            <w:sz w:val="16"/>
          </w:rPr>
          <w:t>[CrossRef]</w:t>
        </w:r>
      </w:hyperlink>
      <w:r w:rsidRPr="003038F5">
        <w:rPr>
          <w:sz w:val="16"/>
        </w:rPr>
        <w:t xml:space="preserve">, </w:t>
      </w:r>
      <w:hyperlink r:id="rId202" w:tgtFrame="_blank" w:history="1">
        <w:r w:rsidRPr="003038F5">
          <w:rPr>
            <w:sz w:val="16"/>
          </w:rPr>
          <w:t>[PubMed]</w:t>
        </w:r>
      </w:hyperlink>
      <w:r w:rsidRPr="003038F5">
        <w:rPr>
          <w:sz w:val="16"/>
        </w:rPr>
        <w:t xml:space="preserve">, </w:t>
      </w:r>
      <w:hyperlink r:id="rId203" w:tgtFrame="_blank" w:history="1">
        <w:r w:rsidRPr="003038F5">
          <w:rPr>
            <w:sz w:val="16"/>
          </w:rPr>
          <w:t>[Web of Science ®]</w:t>
        </w:r>
      </w:hyperlink>
      <w:r w:rsidRPr="003038F5">
        <w:rPr>
          <w:sz w:val="16"/>
        </w:rPr>
        <w:t xml:space="preserve">, </w:t>
      </w:r>
      <w:hyperlink r:id="rId204" w:tgtFrame="_blank" w:history="1">
        <w:r w:rsidRPr="003038F5">
          <w:rPr>
            <w:sz w:val="16"/>
          </w:rPr>
          <w:t>[Google Scholar]</w:t>
        </w:r>
      </w:hyperlink>
      <w:r w:rsidRPr="003038F5">
        <w:rPr>
          <w:sz w:val="16"/>
        </w:rPr>
        <w:t xml:space="preserve">; Schottenbauer, Glass, Arnkoff, Tendick, &amp; Gray, </w:t>
      </w:r>
      <w:hyperlink r:id="rId205" w:history="1">
        <w:r w:rsidRPr="003038F5">
          <w:rPr>
            <w:sz w:val="16"/>
          </w:rPr>
          <w:t>2008</w:t>
        </w:r>
      </w:hyperlink>
      <w:r w:rsidRPr="003038F5">
        <w:rPr>
          <w:sz w:val="16"/>
        </w:rPr>
        <w:t>Schottenbauer, M. A., Glass, C. R., Arnkoff, D. B., Tendick, V., &amp; Gray, S. H.(2008). Nonresponse and dropout rates in outcome studies on PTSD: A review and methodological considerations. Psychiatry, 71(2), 134–168. doi:10.1521/psyc.2008.71.2.134</w:t>
      </w:r>
      <w:hyperlink r:id="rId206" w:tgtFrame="_blank" w:history="1">
        <w:r w:rsidRPr="003038F5">
          <w:rPr>
            <w:sz w:val="16"/>
          </w:rPr>
          <w:t>[Taylor &amp; Francis Online]</w:t>
        </w:r>
      </w:hyperlink>
      <w:r w:rsidRPr="003038F5">
        <w:rPr>
          <w:sz w:val="16"/>
        </w:rPr>
        <w:t xml:space="preserve">, </w:t>
      </w:r>
      <w:hyperlink r:id="rId207" w:tgtFrame="_blank" w:history="1">
        <w:r w:rsidRPr="003038F5">
          <w:rPr>
            <w:sz w:val="16"/>
          </w:rPr>
          <w:t>[Web of Science ®]</w:t>
        </w:r>
      </w:hyperlink>
      <w:r w:rsidRPr="003038F5">
        <w:rPr>
          <w:sz w:val="16"/>
        </w:rPr>
        <w:t xml:space="preserve">, </w:t>
      </w:r>
      <w:hyperlink r:id="rId208" w:tgtFrame="_blank" w:history="1">
        <w:r w:rsidRPr="003038F5">
          <w:rPr>
            <w:sz w:val="16"/>
          </w:rPr>
          <w:t>[Google Scholar]</w:t>
        </w:r>
      </w:hyperlink>
      <w:r w:rsidRPr="003038F5">
        <w:rPr>
          <w:sz w:val="16"/>
        </w:rPr>
        <w:t xml:space="preserve">). Moreover, it is worth noting that this evidence base is limited in two additional key respects. First, much of the evidence focuses on symptom reduction of DSM-defined outcomes of PTSD, without accounting for types of trauma (e.g., Bisson et al., </w:t>
      </w:r>
      <w:hyperlink r:id="rId209" w:history="1">
        <w:r w:rsidRPr="003038F5">
          <w:rPr>
            <w:sz w:val="16"/>
          </w:rPr>
          <w:t>2007</w:t>
        </w:r>
      </w:hyperlink>
      <w:r w:rsidRPr="003038F5">
        <w:rPr>
          <w:sz w:val="16"/>
        </w:rPr>
        <w:t>Bisson, J. I., Ehlers, A., Matthews, R., Pilling, S., Richard, D., &amp; Turner, S.(2007). Psychological treatments for chronic post-traumatic stress disorder: Systematic review and meta-analysis. British Journal of Psychiatry, 190, 97–104. doi:10.1192/bjp.bp.106.021402</w:t>
      </w:r>
      <w:hyperlink r:id="rId210" w:tgtFrame="_blank" w:history="1">
        <w:r w:rsidRPr="003038F5">
          <w:rPr>
            <w:sz w:val="16"/>
          </w:rPr>
          <w:t>[CrossRef]</w:t>
        </w:r>
      </w:hyperlink>
      <w:r w:rsidRPr="003038F5">
        <w:rPr>
          <w:sz w:val="16"/>
        </w:rPr>
        <w:t xml:space="preserve">, </w:t>
      </w:r>
      <w:hyperlink r:id="rId211" w:tgtFrame="_blank" w:history="1">
        <w:r w:rsidRPr="003038F5">
          <w:rPr>
            <w:sz w:val="16"/>
          </w:rPr>
          <w:t>[PubMed]</w:t>
        </w:r>
      </w:hyperlink>
      <w:r w:rsidRPr="003038F5">
        <w:rPr>
          <w:sz w:val="16"/>
        </w:rPr>
        <w:t xml:space="preserve">, </w:t>
      </w:r>
      <w:hyperlink r:id="rId212" w:tgtFrame="_blank" w:history="1">
        <w:r w:rsidRPr="003038F5">
          <w:rPr>
            <w:sz w:val="16"/>
          </w:rPr>
          <w:t>[Web of Science ®]</w:t>
        </w:r>
      </w:hyperlink>
      <w:r w:rsidRPr="003038F5">
        <w:rPr>
          <w:sz w:val="16"/>
        </w:rPr>
        <w:t xml:space="preserve">, </w:t>
      </w:r>
      <w:hyperlink r:id="rId213" w:tgtFrame="_blank" w:history="1">
        <w:r w:rsidRPr="003038F5">
          <w:rPr>
            <w:sz w:val="16"/>
          </w:rPr>
          <w:t>[Google Scholar]</w:t>
        </w:r>
      </w:hyperlink>
      <w:r w:rsidRPr="003038F5">
        <w:rPr>
          <w:sz w:val="16"/>
        </w:rPr>
        <w:t xml:space="preserve">; Bradley et al., </w:t>
      </w:r>
      <w:hyperlink r:id="rId214" w:history="1">
        <w:r w:rsidRPr="003038F5">
          <w:rPr>
            <w:sz w:val="16"/>
          </w:rPr>
          <w:t>2005</w:t>
        </w:r>
      </w:hyperlink>
      <w:r w:rsidRPr="003038F5">
        <w:rPr>
          <w:sz w:val="16"/>
        </w:rPr>
        <w:t>Bradley, R., Greene, J., Russ, E., Dutra, L., &amp; Westen, D. (2005). A multidimensional meta-analysis of psychotherapy for PTSD. American Journal of Psychiatry, 162, 214–227. doi:10.1176/appi.ajp.162.2.214</w:t>
      </w:r>
      <w:hyperlink r:id="rId215" w:tgtFrame="_blank" w:history="1">
        <w:r w:rsidRPr="003038F5">
          <w:rPr>
            <w:sz w:val="16"/>
          </w:rPr>
          <w:t>[CrossRef]</w:t>
        </w:r>
      </w:hyperlink>
      <w:r w:rsidRPr="003038F5">
        <w:rPr>
          <w:sz w:val="16"/>
        </w:rPr>
        <w:t xml:space="preserve">, </w:t>
      </w:r>
      <w:hyperlink r:id="rId216" w:tgtFrame="_blank" w:history="1">
        <w:r w:rsidRPr="003038F5">
          <w:rPr>
            <w:sz w:val="16"/>
          </w:rPr>
          <w:t>[PubMed]</w:t>
        </w:r>
      </w:hyperlink>
      <w:r w:rsidRPr="003038F5">
        <w:rPr>
          <w:sz w:val="16"/>
        </w:rPr>
        <w:t xml:space="preserve">, </w:t>
      </w:r>
      <w:hyperlink r:id="rId217" w:tgtFrame="_blank" w:history="1">
        <w:r w:rsidRPr="003038F5">
          <w:rPr>
            <w:sz w:val="16"/>
          </w:rPr>
          <w:t>[Web of Science ®]</w:t>
        </w:r>
      </w:hyperlink>
      <w:r w:rsidRPr="003038F5">
        <w:rPr>
          <w:sz w:val="16"/>
        </w:rPr>
        <w:t xml:space="preserve">, </w:t>
      </w:r>
      <w:hyperlink r:id="rId218" w:tgtFrame="_blank" w:history="1">
        <w:r w:rsidRPr="003038F5">
          <w:rPr>
            <w:sz w:val="16"/>
          </w:rPr>
          <w:t>[Google Scholar]</w:t>
        </w:r>
      </w:hyperlink>
      <w:r w:rsidRPr="003038F5">
        <w:rPr>
          <w:sz w:val="16"/>
        </w:rPr>
        <w:t xml:space="preserve">; Foa et al., 2008) or the relational harms that may be associated with betrayal trauma (Birrell &amp; Freyd, </w:t>
      </w:r>
      <w:hyperlink r:id="rId219" w:history="1">
        <w:r w:rsidRPr="003038F5">
          <w:rPr>
            <w:sz w:val="16"/>
          </w:rPr>
          <w:t>2006</w:t>
        </w:r>
      </w:hyperlink>
      <w:r w:rsidRPr="003038F5">
        <w:rPr>
          <w:sz w:val="16"/>
        </w:rPr>
        <w:t>Birrell, P. J., &amp; Freyd, J. J. (2006). Betrayal trauma: Relational models of harm and healing. Journal of Trauma Practice, 5(1), 49–63. doi:10.1300/J189v05n01_04</w:t>
      </w:r>
      <w:hyperlink r:id="rId220" w:tgtFrame="_blank" w:history="1">
        <w:r w:rsidRPr="003038F5">
          <w:rPr>
            <w:sz w:val="16"/>
          </w:rPr>
          <w:t>[Taylor &amp; Francis Online]</w:t>
        </w:r>
      </w:hyperlink>
      <w:r w:rsidRPr="003038F5">
        <w:rPr>
          <w:sz w:val="16"/>
        </w:rPr>
        <w:t xml:space="preserve">, </w:t>
      </w:r>
      <w:hyperlink r:id="rId221" w:tgtFrame="_blank" w:history="1">
        <w:r w:rsidRPr="003038F5">
          <w:rPr>
            <w:sz w:val="16"/>
          </w:rPr>
          <w:t>[Google Scholar]</w:t>
        </w:r>
      </w:hyperlink>
      <w:r w:rsidRPr="003038F5">
        <w:rPr>
          <w:sz w:val="16"/>
        </w:rPr>
        <w:t xml:space="preserve">; Gómez, Becker-Blease, &amp; Freyd, </w:t>
      </w:r>
      <w:hyperlink r:id="rId222" w:history="1">
        <w:r w:rsidRPr="003038F5">
          <w:rPr>
            <w:sz w:val="16"/>
          </w:rPr>
          <w:t>2015</w:t>
        </w:r>
      </w:hyperlink>
      <w:r w:rsidRPr="003038F5">
        <w:rPr>
          <w:sz w:val="16"/>
        </w:rPr>
        <w:t>Gómez, J. M., Becker-Blease, K., &amp; Freyd, J. J. (2015). A brief report on predicting self-harm: Is it gender or abuse that matters? Journal of Aggression, Maltreatment, &amp; Trauma, 24(2), 203–214. doi:10.1080/10926771.2015.1002651</w:t>
      </w:r>
      <w:hyperlink r:id="rId223" w:tgtFrame="_blank" w:history="1">
        <w:r w:rsidRPr="003038F5">
          <w:rPr>
            <w:sz w:val="16"/>
          </w:rPr>
          <w:t>[Taylor &amp; Francis Online]</w:t>
        </w:r>
      </w:hyperlink>
      <w:r w:rsidRPr="003038F5">
        <w:rPr>
          <w:sz w:val="16"/>
        </w:rPr>
        <w:t xml:space="preserve">, </w:t>
      </w:r>
      <w:hyperlink r:id="rId224" w:tgtFrame="_blank" w:history="1">
        <w:r w:rsidRPr="003038F5">
          <w:rPr>
            <w:sz w:val="16"/>
          </w:rPr>
          <w:t>[Web of Science ®]</w:t>
        </w:r>
      </w:hyperlink>
      <w:r w:rsidRPr="003038F5">
        <w:rPr>
          <w:sz w:val="16"/>
        </w:rPr>
        <w:t xml:space="preserve">, </w:t>
      </w:r>
      <w:hyperlink r:id="rId225" w:tgtFrame="_blank" w:history="1">
        <w:r w:rsidRPr="003038F5">
          <w:rPr>
            <w:sz w:val="16"/>
          </w:rPr>
          <w:t>[Google Scholar]</w:t>
        </w:r>
      </w:hyperlink>
      <w:r w:rsidRPr="003038F5">
        <w:rPr>
          <w:sz w:val="16"/>
        </w:rPr>
        <w:t xml:space="preserve">; Gómez, Kaehler, et al., </w:t>
      </w:r>
      <w:hyperlink r:id="rId226" w:history="1">
        <w:r w:rsidRPr="003038F5">
          <w:rPr>
            <w:sz w:val="16"/>
          </w:rPr>
          <w:t>2014</w:t>
        </w:r>
      </w:hyperlink>
      <w:r w:rsidRPr="003038F5">
        <w:rPr>
          <w:sz w:val="16"/>
        </w:rPr>
        <w:t>Gómez, J. M., Kaehler, L. A., &amp; Freyd, J. J. (2014). Are hallucinations related to betrayal trauma exposure? A three-study exploration. Psychological Trauma: Theory, Research, Practice, &amp; Policy, 6, 675–682. doi:10.1037/a0037084</w:t>
      </w:r>
      <w:hyperlink r:id="rId227" w:tgtFrame="_blank" w:history="1">
        <w:r w:rsidRPr="003038F5">
          <w:rPr>
            <w:sz w:val="16"/>
          </w:rPr>
          <w:t>[CrossRef]</w:t>
        </w:r>
      </w:hyperlink>
      <w:r w:rsidRPr="003038F5">
        <w:rPr>
          <w:sz w:val="16"/>
        </w:rPr>
        <w:t xml:space="preserve">, </w:t>
      </w:r>
      <w:hyperlink r:id="rId228" w:tgtFrame="_blank" w:history="1">
        <w:r w:rsidRPr="003038F5">
          <w:rPr>
            <w:sz w:val="16"/>
          </w:rPr>
          <w:t>[Web of Science ®]</w:t>
        </w:r>
      </w:hyperlink>
      <w:r w:rsidRPr="003038F5">
        <w:rPr>
          <w:sz w:val="16"/>
        </w:rPr>
        <w:t xml:space="preserve">, </w:t>
      </w:r>
      <w:hyperlink r:id="rId229" w:tgtFrame="_blank" w:history="1">
        <w:r w:rsidRPr="003038F5">
          <w:rPr>
            <w:sz w:val="16"/>
          </w:rPr>
          <w:t>[Google Scholar]</w:t>
        </w:r>
      </w:hyperlink>
      <w:r w:rsidRPr="003038F5">
        <w:rPr>
          <w:sz w:val="16"/>
        </w:rPr>
        <w:t xml:space="preserve">; Roth, Newman, Pelcovitz, Van Der Kolk, &amp; Mandel, </w:t>
      </w:r>
      <w:hyperlink r:id="rId230" w:history="1">
        <w:r w:rsidRPr="003038F5">
          <w:rPr>
            <w:sz w:val="16"/>
          </w:rPr>
          <w:t>1997</w:t>
        </w:r>
      </w:hyperlink>
      <w:r w:rsidRPr="003038F5">
        <w:rPr>
          <w:sz w:val="16"/>
        </w:rPr>
        <w:t>Roth, S., Newman, E., Pelcovitz, D., Van Der Kolk, B., &amp; Mandel, F. S. (1997). Complex PTSD in victims exposed to sexual and physical abuse: Results from the DSM–IV field trial for posttraumatic stress disorder. Journal of Traumatic Stress, 10, 539–555. doi:10.1002/jts.2490100403</w:t>
      </w:r>
      <w:hyperlink r:id="rId231" w:tgtFrame="_blank" w:history="1">
        <w:r w:rsidRPr="003038F5">
          <w:rPr>
            <w:sz w:val="16"/>
          </w:rPr>
          <w:t>[CrossRef]</w:t>
        </w:r>
      </w:hyperlink>
      <w:r w:rsidRPr="003038F5">
        <w:rPr>
          <w:sz w:val="16"/>
        </w:rPr>
        <w:t xml:space="preserve">, </w:t>
      </w:r>
      <w:hyperlink r:id="rId232" w:tgtFrame="_blank" w:history="1">
        <w:r w:rsidRPr="003038F5">
          <w:rPr>
            <w:sz w:val="16"/>
          </w:rPr>
          <w:t>[PubMed]</w:t>
        </w:r>
      </w:hyperlink>
      <w:r w:rsidRPr="003038F5">
        <w:rPr>
          <w:sz w:val="16"/>
        </w:rPr>
        <w:t xml:space="preserve">, </w:t>
      </w:r>
      <w:hyperlink r:id="rId233" w:tgtFrame="_blank" w:history="1">
        <w:r w:rsidRPr="003038F5">
          <w:rPr>
            <w:sz w:val="16"/>
          </w:rPr>
          <w:t>[Web of Science ®]</w:t>
        </w:r>
      </w:hyperlink>
      <w:r w:rsidRPr="003038F5">
        <w:rPr>
          <w:sz w:val="16"/>
        </w:rPr>
        <w:t xml:space="preserve">, </w:t>
      </w:r>
      <w:hyperlink r:id="rId234" w:tgtFrame="_blank" w:history="1">
        <w:r w:rsidRPr="003038F5">
          <w:rPr>
            <w:sz w:val="16"/>
          </w:rPr>
          <w:t>[Google Scholar]</w:t>
        </w:r>
      </w:hyperlink>
      <w:r w:rsidRPr="003038F5">
        <w:rPr>
          <w:sz w:val="16"/>
        </w:rPr>
        <w:t xml:space="preserve">). Second, these </w:t>
      </w:r>
      <w:r w:rsidRPr="003038F5">
        <w:rPr>
          <w:rStyle w:val="StyleUnderline"/>
        </w:rPr>
        <w:t>evidence-based practices have also been criticized for their failure to recognize the needs of minority, culturally diverse, and underprivileged groups, suggesting that despite positive research results, the interventions may be lacking for several important populations</w:t>
      </w:r>
      <w:r w:rsidRPr="003038F5">
        <w:rPr>
          <w:sz w:val="16"/>
        </w:rPr>
        <w:t xml:space="preserve"> (Brown, 2008; Sue et al., 2006). Healing through relatedness: RCT </w:t>
      </w:r>
      <w:r w:rsidRPr="003038F5">
        <w:rPr>
          <w:rStyle w:val="StyleUnderline"/>
        </w:rPr>
        <w:t xml:space="preserve">The medical model has provided one way of conceptualizing and treating individuals who have experienced betrayal trauma. An alternative to this model can be found in relational cultural therapy (RCT) </w:t>
      </w:r>
      <w:r w:rsidRPr="003038F5">
        <w:rPr>
          <w:sz w:val="16"/>
        </w:rPr>
        <w:t xml:space="preserve">(Miller, </w:t>
      </w:r>
      <w:hyperlink r:id="rId235" w:history="1">
        <w:r w:rsidRPr="003038F5">
          <w:rPr>
            <w:sz w:val="16"/>
          </w:rPr>
          <w:t>1976</w:t>
        </w:r>
      </w:hyperlink>
      <w:r w:rsidRPr="003038F5">
        <w:rPr>
          <w:sz w:val="16"/>
        </w:rPr>
        <w:t xml:space="preserve">Miller, J. B. (1976). Toward a new psychology of women. Boston, MA:Beacon Press. </w:t>
      </w:r>
      <w:hyperlink r:id="rId236" w:tgtFrame="_blank" w:history="1">
        <w:r w:rsidRPr="003038F5">
          <w:rPr>
            <w:sz w:val="16"/>
          </w:rPr>
          <w:t>[Google Scholar]</w:t>
        </w:r>
      </w:hyperlink>
      <w:r w:rsidRPr="003038F5">
        <w:rPr>
          <w:sz w:val="16"/>
        </w:rPr>
        <w:t xml:space="preserve">). Emerging within the larger context of feminist therapy (see Brown, </w:t>
      </w:r>
      <w:hyperlink r:id="rId237" w:history="1">
        <w:r w:rsidRPr="003038F5">
          <w:rPr>
            <w:sz w:val="16"/>
          </w:rPr>
          <w:t>2008b</w:t>
        </w:r>
      </w:hyperlink>
      <w:r w:rsidRPr="003038F5">
        <w:rPr>
          <w:sz w:val="16"/>
        </w:rPr>
        <w:t xml:space="preserve">Brown, L. S. (2008b). Feminist therapy. In J. L. Lebow (Ed.), Twenty-first century psychotherapies: Contemporary approaches to theory and practice (pp. 277–306). New York, NY: Wiley. </w:t>
      </w:r>
      <w:hyperlink r:id="rId238" w:tgtFrame="_blank" w:history="1">
        <w:r w:rsidRPr="003038F5">
          <w:rPr>
            <w:sz w:val="16"/>
          </w:rPr>
          <w:t>[Google Scholar]</w:t>
        </w:r>
      </w:hyperlink>
      <w:r w:rsidRPr="003038F5">
        <w:rPr>
          <w:sz w:val="16"/>
        </w:rPr>
        <w:t>), which was itself born from the feminist movement of the late 1960s and early 1970s, Miller (</w:t>
      </w:r>
      <w:hyperlink r:id="rId239" w:history="1">
        <w:r w:rsidRPr="003038F5">
          <w:rPr>
            <w:sz w:val="16"/>
          </w:rPr>
          <w:t>1976</w:t>
        </w:r>
      </w:hyperlink>
      <w:r w:rsidRPr="003038F5">
        <w:rPr>
          <w:sz w:val="16"/>
        </w:rPr>
        <w:t xml:space="preserve">Miller, J. B. (1976). Toward a new psychology of women. Boston, MA:Beacon Press. </w:t>
      </w:r>
      <w:hyperlink r:id="rId240" w:tgtFrame="_blank" w:history="1">
        <w:r w:rsidRPr="003038F5">
          <w:rPr>
            <w:sz w:val="16"/>
          </w:rPr>
          <w:t>[Google Scholar]</w:t>
        </w:r>
      </w:hyperlink>
      <w:r w:rsidRPr="003038F5">
        <w:rPr>
          <w:sz w:val="16"/>
        </w:rPr>
        <w:t xml:space="preserve">) challenged the traditional individualistic model of psychological development and health as being fundamentally damaging to women. She postulated that women’s growth happens in and through relationships. Originally RCT was largely developed by, and practiced with, White, upper class, heterosexual women. Subsequent years of theory building and practice have expanded Miller’s original concepts, making them applicable to a diverse range of populations, to further encompass individual, familial, societal, cultural, and global connections (e.g., Walker, </w:t>
      </w:r>
      <w:hyperlink r:id="rId241" w:history="1">
        <w:r w:rsidRPr="003038F5">
          <w:rPr>
            <w:sz w:val="16"/>
          </w:rPr>
          <w:t>2010</w:t>
        </w:r>
      </w:hyperlink>
      <w:r w:rsidRPr="003038F5">
        <w:rPr>
          <w:sz w:val="16"/>
        </w:rPr>
        <w:t>Walker, M. (2010). What’s a feminist therapist to do? Engaging the relational paradox in a post-feminist culture. Women &amp; Therapy, 34, 38–58. doi:10.1080/02703149.2011.532689</w:t>
      </w:r>
      <w:hyperlink r:id="rId242" w:tgtFrame="_blank" w:history="1">
        <w:r w:rsidRPr="003038F5">
          <w:rPr>
            <w:sz w:val="16"/>
          </w:rPr>
          <w:t>[Taylor &amp; Francis Online]</w:t>
        </w:r>
      </w:hyperlink>
      <w:r w:rsidRPr="003038F5">
        <w:rPr>
          <w:sz w:val="16"/>
        </w:rPr>
        <w:t xml:space="preserve">, </w:t>
      </w:r>
      <w:hyperlink r:id="rId243" w:tgtFrame="_blank" w:history="1">
        <w:r w:rsidRPr="003038F5">
          <w:rPr>
            <w:sz w:val="16"/>
          </w:rPr>
          <w:t>[Web of Science ®]</w:t>
        </w:r>
      </w:hyperlink>
      <w:r w:rsidRPr="003038F5">
        <w:rPr>
          <w:sz w:val="16"/>
        </w:rPr>
        <w:t xml:space="preserve">, </w:t>
      </w:r>
      <w:hyperlink r:id="rId244" w:tgtFrame="_blank" w:history="1">
        <w:r w:rsidRPr="003038F5">
          <w:rPr>
            <w:sz w:val="16"/>
          </w:rPr>
          <w:t>[Google Scholar]</w:t>
        </w:r>
      </w:hyperlink>
      <w:r w:rsidRPr="003038F5">
        <w:rPr>
          <w:sz w:val="16"/>
        </w:rPr>
        <w:t xml:space="preserve">). </w:t>
      </w:r>
      <w:r w:rsidRPr="003038F5">
        <w:rPr>
          <w:rStyle w:val="StyleUnderline"/>
        </w:rPr>
        <w:t>RCT incorporates several core principles that can help one understand that the primary damage of trauma and betrayal is the experience of relational disconnection and not symptoms or disorder. First, growth for all human beings happens in and through interconnection and interdependence within growth-fostering relationships</w:t>
      </w:r>
      <w:r w:rsidRPr="003038F5">
        <w:rPr>
          <w:sz w:val="16"/>
        </w:rPr>
        <w:t xml:space="preserve"> (Miller, </w:t>
      </w:r>
      <w:hyperlink r:id="rId245" w:history="1">
        <w:r w:rsidRPr="003038F5">
          <w:rPr>
            <w:sz w:val="16"/>
          </w:rPr>
          <w:t>1976</w:t>
        </w:r>
      </w:hyperlink>
      <w:r w:rsidRPr="003038F5">
        <w:rPr>
          <w:sz w:val="16"/>
        </w:rPr>
        <w:t xml:space="preserve">Miller, J. B. (1976). Toward a new psychology of women. Boston, MA:Beacon Press. </w:t>
      </w:r>
      <w:hyperlink r:id="rId246" w:tgtFrame="_blank" w:history="1">
        <w:r w:rsidRPr="003038F5">
          <w:rPr>
            <w:sz w:val="16"/>
          </w:rPr>
          <w:t>[Google Scholar]</w:t>
        </w:r>
      </w:hyperlink>
      <w:r w:rsidRPr="003038F5">
        <w:rPr>
          <w:sz w:val="16"/>
        </w:rPr>
        <w:t xml:space="preserve">). </w:t>
      </w:r>
      <w:r w:rsidRPr="003038F5">
        <w:rPr>
          <w:rStyle w:val="StyleUnderline"/>
        </w:rPr>
        <w:t>Closely aligned is the second tenet: Disconnections from self, others, cultures, and society at large are the cause of suffering and can result in isolation</w:t>
      </w:r>
      <w:r w:rsidRPr="003038F5">
        <w:rPr>
          <w:sz w:val="16"/>
        </w:rPr>
        <w:t xml:space="preserve"> (Miller &amp; Stiver, </w:t>
      </w:r>
      <w:hyperlink r:id="rId247" w:history="1">
        <w:r w:rsidRPr="003038F5">
          <w:rPr>
            <w:sz w:val="16"/>
          </w:rPr>
          <w:t>1997</w:t>
        </w:r>
      </w:hyperlink>
      <w:r w:rsidRPr="003038F5">
        <w:rPr>
          <w:sz w:val="16"/>
        </w:rPr>
        <w:t xml:space="preserve">Miller, J. B., &amp; Stiver, I. P. (1997). The healing connection: How women form relationships in therapy and in life. Boston, MA: Beacon Press. </w:t>
      </w:r>
      <w:hyperlink r:id="rId248" w:tgtFrame="_blank" w:history="1">
        <w:r w:rsidRPr="003038F5">
          <w:rPr>
            <w:sz w:val="16"/>
          </w:rPr>
          <w:t>[Google Scholar]</w:t>
        </w:r>
      </w:hyperlink>
      <w:r w:rsidRPr="003038F5">
        <w:rPr>
          <w:sz w:val="16"/>
        </w:rPr>
        <w:t xml:space="preserve">). </w:t>
      </w:r>
      <w:r w:rsidRPr="003038F5">
        <w:rPr>
          <w:rStyle w:val="StyleUnderline"/>
        </w:rPr>
        <w:t>Third, power-over relational dynamics and mutuality are incompatible; disconnections are caused by power-over dynamics that remove agency from the individual, whereas connections are borne out of power-with dynamics that utilize mutuality to cocreate the path toward healing</w:t>
      </w:r>
      <w:r w:rsidRPr="003038F5">
        <w:rPr>
          <w:sz w:val="16"/>
        </w:rPr>
        <w:t xml:space="preserve"> (Bruns &amp; Trimble, </w:t>
      </w:r>
      <w:hyperlink r:id="rId249" w:history="1">
        <w:r w:rsidRPr="003038F5">
          <w:rPr>
            <w:sz w:val="16"/>
          </w:rPr>
          <w:t>2001</w:t>
        </w:r>
      </w:hyperlink>
      <w:r w:rsidRPr="003038F5">
        <w:rPr>
          <w:sz w:val="16"/>
        </w:rPr>
        <w:t>Bruns, C. M., &amp; Trimble, C. (2001). Rising tide: Taking our place as young feminist psychologists. Women &amp; Therapy, 23(2), 19–36. doi:10.1300/J015v23n02_03</w:t>
      </w:r>
      <w:hyperlink r:id="rId250" w:tgtFrame="_blank" w:history="1">
        <w:r w:rsidRPr="003038F5">
          <w:rPr>
            <w:sz w:val="16"/>
          </w:rPr>
          <w:t>[Taylor &amp; Francis Online]</w:t>
        </w:r>
      </w:hyperlink>
      <w:r w:rsidRPr="003038F5">
        <w:rPr>
          <w:sz w:val="16"/>
        </w:rPr>
        <w:t xml:space="preserve">, </w:t>
      </w:r>
      <w:hyperlink r:id="rId251" w:tgtFrame="_blank" w:history="1">
        <w:r w:rsidRPr="003038F5">
          <w:rPr>
            <w:sz w:val="16"/>
          </w:rPr>
          <w:t>[Web of Science ®]</w:t>
        </w:r>
      </w:hyperlink>
      <w:r w:rsidRPr="003038F5">
        <w:rPr>
          <w:sz w:val="16"/>
        </w:rPr>
        <w:t xml:space="preserve">, </w:t>
      </w:r>
      <w:hyperlink r:id="rId252" w:tgtFrame="_blank" w:history="1">
        <w:r w:rsidRPr="003038F5">
          <w:rPr>
            <w:sz w:val="16"/>
          </w:rPr>
          <w:t>[Google Scholar]</w:t>
        </w:r>
      </w:hyperlink>
      <w:r w:rsidRPr="003038F5">
        <w:rPr>
          <w:sz w:val="16"/>
        </w:rPr>
        <w:t xml:space="preserve">; Miller, </w:t>
      </w:r>
      <w:hyperlink r:id="rId253" w:history="1">
        <w:r w:rsidRPr="003038F5">
          <w:rPr>
            <w:sz w:val="16"/>
          </w:rPr>
          <w:t>1988</w:t>
        </w:r>
      </w:hyperlink>
      <w:r w:rsidRPr="003038F5">
        <w:rPr>
          <w:sz w:val="16"/>
        </w:rPr>
        <w:t xml:space="preserve">Miller, J. B. (1988). Connections, disconnections and violations (Wellesley Centers for Women Work in Progress Series No. 33). Wellesley, MA: Wellesley Centers for Women. </w:t>
      </w:r>
      <w:hyperlink r:id="rId254" w:tgtFrame="_blank" w:history="1">
        <w:r w:rsidRPr="003038F5">
          <w:rPr>
            <w:sz w:val="16"/>
          </w:rPr>
          <w:t>[Google Scholar]</w:t>
        </w:r>
      </w:hyperlink>
      <w:r w:rsidRPr="003038F5">
        <w:rPr>
          <w:sz w:val="16"/>
        </w:rPr>
        <w:t>). Walker (</w:t>
      </w:r>
      <w:hyperlink r:id="rId255" w:history="1">
        <w:r w:rsidRPr="003038F5">
          <w:rPr>
            <w:sz w:val="16"/>
          </w:rPr>
          <w:t>2010</w:t>
        </w:r>
      </w:hyperlink>
      <w:r w:rsidRPr="003038F5">
        <w:rPr>
          <w:sz w:val="16"/>
        </w:rPr>
        <w:t>Walker, M. (2010). What’s a feminist therapist to do? Engaging the relational paradox in a post-feminist culture. Women &amp; Therapy, 34, 38–58. doi:10.1080/02703149.2011.532689</w:t>
      </w:r>
      <w:hyperlink r:id="rId256" w:tgtFrame="_blank" w:history="1">
        <w:r w:rsidRPr="003038F5">
          <w:rPr>
            <w:sz w:val="16"/>
          </w:rPr>
          <w:t>[Taylor &amp; Francis Online]</w:t>
        </w:r>
      </w:hyperlink>
      <w:r w:rsidRPr="003038F5">
        <w:rPr>
          <w:sz w:val="16"/>
        </w:rPr>
        <w:t xml:space="preserve">, </w:t>
      </w:r>
      <w:hyperlink r:id="rId257" w:tgtFrame="_blank" w:history="1">
        <w:r w:rsidRPr="003038F5">
          <w:rPr>
            <w:sz w:val="16"/>
          </w:rPr>
          <w:t>[Web of Science ®]</w:t>
        </w:r>
      </w:hyperlink>
      <w:r w:rsidRPr="003038F5">
        <w:rPr>
          <w:sz w:val="16"/>
        </w:rPr>
        <w:t xml:space="preserve">, </w:t>
      </w:r>
      <w:hyperlink r:id="rId258" w:tgtFrame="_blank" w:history="1">
        <w:r w:rsidRPr="003038F5">
          <w:rPr>
            <w:sz w:val="16"/>
          </w:rPr>
          <w:t>[Google Scholar]</w:t>
        </w:r>
      </w:hyperlink>
      <w:r w:rsidRPr="003038F5">
        <w:rPr>
          <w:sz w:val="16"/>
        </w:rPr>
        <w:t xml:space="preserve">) summarized these complex tasks as follows: </w:t>
      </w:r>
      <w:r w:rsidRPr="003038F5">
        <w:rPr>
          <w:rStyle w:val="StyleUnderline"/>
        </w:rPr>
        <w:t>The goal of therapy is not separation or autonomous power. Rather, the goal is increased initiative and response capability within relationship. Chronic disconnection … is the primary source of human suffering. Such suffering gives rise to the relational paradox, a deep-seated yearning for connection along with a near-primal terror of the vulnerabilities inherent in connection … Together the client and therapist develop practices for engaging the dialectic of power and vulnerability</w:t>
      </w:r>
      <w:r w:rsidRPr="003038F5">
        <w:rPr>
          <w:sz w:val="16"/>
        </w:rPr>
        <w:t xml:space="preserve">. </w:t>
      </w:r>
      <w:r w:rsidRPr="003038F5">
        <w:rPr>
          <w:rStyle w:val="StyleUnderline"/>
        </w:rPr>
        <w:t>The treatment process requires direct engagement with operative power dynamics … The schemata held by the therapist and the clients are interrogated through the treatment process. Movement toward healing represents a transformation of the power dynamics that shape the client-therapist relationship</w:t>
      </w:r>
      <w:r w:rsidRPr="003038F5">
        <w:rPr>
          <w:sz w:val="16"/>
        </w:rPr>
        <w:t xml:space="preserve">. (p. 42) </w:t>
      </w:r>
      <w:r w:rsidRPr="003038F5">
        <w:rPr>
          <w:rStyle w:val="StyleUnderline"/>
        </w:rPr>
        <w:t>The core tenets of RCT posit that disconnection is at the root of problems for those who have suffered betrayal trauma. By focusing almost exclusively on symptom reduction, standard treatments may increase the disconnection that survivors feel</w:t>
      </w:r>
      <w:r w:rsidRPr="003038F5">
        <w:rPr>
          <w:sz w:val="16"/>
        </w:rPr>
        <w:t xml:space="preserve"> (Birrell &amp; Freyd, </w:t>
      </w:r>
      <w:hyperlink r:id="rId259" w:history="1">
        <w:r w:rsidRPr="003038F5">
          <w:rPr>
            <w:sz w:val="16"/>
          </w:rPr>
          <w:t>2006</w:t>
        </w:r>
      </w:hyperlink>
      <w:r w:rsidRPr="003038F5">
        <w:rPr>
          <w:sz w:val="16"/>
        </w:rPr>
        <w:t>Birrell, P. J., &amp; Freyd, J. J. (2006). Betrayal trauma: Relational models of harm and healing. Journal of Trauma Practice, 5(1), 49–63. doi:10.1300/J189v05n01_04</w:t>
      </w:r>
      <w:hyperlink r:id="rId260" w:tgtFrame="_blank" w:history="1">
        <w:r w:rsidRPr="003038F5">
          <w:rPr>
            <w:sz w:val="16"/>
          </w:rPr>
          <w:t>[Taylor &amp; Francis Online]</w:t>
        </w:r>
      </w:hyperlink>
      <w:r w:rsidRPr="003038F5">
        <w:rPr>
          <w:sz w:val="16"/>
        </w:rPr>
        <w:t xml:space="preserve">, </w:t>
      </w:r>
      <w:hyperlink r:id="rId261" w:tgtFrame="_blank" w:history="1">
        <w:r w:rsidRPr="003038F5">
          <w:rPr>
            <w:sz w:val="16"/>
          </w:rPr>
          <w:t>[Google Scholar]</w:t>
        </w:r>
      </w:hyperlink>
      <w:r w:rsidRPr="003038F5">
        <w:rPr>
          <w:sz w:val="16"/>
        </w:rPr>
        <w:t xml:space="preserve">). </w:t>
      </w:r>
      <w:r w:rsidRPr="003038F5">
        <w:rPr>
          <w:rStyle w:val="StyleUnderline"/>
        </w:rPr>
        <w:t>As an alternative to standard treatments, RCT takes a stance against decontextualized, departicularized, disconnected, and separate-self decision making</w:t>
      </w:r>
      <w:r w:rsidRPr="003038F5">
        <w:rPr>
          <w:sz w:val="16"/>
        </w:rPr>
        <w:t xml:space="preserve"> (Birrell, </w:t>
      </w:r>
      <w:hyperlink r:id="rId262" w:history="1">
        <w:r w:rsidRPr="003038F5">
          <w:rPr>
            <w:sz w:val="16"/>
          </w:rPr>
          <w:t>2011</w:t>
        </w:r>
      </w:hyperlink>
      <w:r w:rsidRPr="003038F5">
        <w:rPr>
          <w:sz w:val="16"/>
        </w:rPr>
        <w:t xml:space="preserve">Birrell, P. J. (2011). Ethics and power: Navigating mutuality in therapeutic relationships (Wellesley Centers for Women Work in Progress Series No. 108). Wellesley, MA: Wellesley Centers for Women. </w:t>
      </w:r>
      <w:hyperlink r:id="rId263" w:tgtFrame="_blank" w:history="1">
        <w:r w:rsidRPr="003038F5">
          <w:rPr>
            <w:sz w:val="16"/>
          </w:rPr>
          <w:t>[Google Scholar]</w:t>
        </w:r>
      </w:hyperlink>
      <w:r w:rsidRPr="003038F5">
        <w:rPr>
          <w:sz w:val="16"/>
        </w:rPr>
        <w:t>). Ingrained in this stance is mutuality, another concept central to RCT theory and practice. Jordan (</w:t>
      </w:r>
      <w:hyperlink r:id="rId264" w:history="1">
        <w:r w:rsidRPr="003038F5">
          <w:rPr>
            <w:sz w:val="16"/>
          </w:rPr>
          <w:t>1986</w:t>
        </w:r>
      </w:hyperlink>
      <w:r w:rsidRPr="003038F5">
        <w:rPr>
          <w:sz w:val="16"/>
        </w:rPr>
        <w:t xml:space="preserve">Jordan, J. V. (1986). The meaning of mutuality (Wellesley Centers for Women Work in Progress Series No. 23). Wellesley, MA: Wellesley Centers for Women. </w:t>
      </w:r>
      <w:hyperlink r:id="rId265" w:tgtFrame="_blank" w:history="1">
        <w:r w:rsidRPr="003038F5">
          <w:rPr>
            <w:sz w:val="16"/>
          </w:rPr>
          <w:t>[Google Scholar]</w:t>
        </w:r>
      </w:hyperlink>
      <w:r w:rsidRPr="003038F5">
        <w:rPr>
          <w:sz w:val="16"/>
        </w:rPr>
        <w:t>) described the experience of mutuality as one by which “one extends oneself out to the other and is also receptive to the impact of the other” (p. 82). Jordan (</w:t>
      </w:r>
      <w:hyperlink r:id="rId266" w:history="1">
        <w:r w:rsidRPr="003038F5">
          <w:rPr>
            <w:sz w:val="16"/>
          </w:rPr>
          <w:t>1986</w:t>
        </w:r>
      </w:hyperlink>
      <w:r w:rsidRPr="003038F5">
        <w:rPr>
          <w:sz w:val="16"/>
        </w:rPr>
        <w:t xml:space="preserve">Jordan, J. V. (1986). The meaning of mutuality (Wellesley Centers for Women Work in Progress Series No. 23). Wellesley, MA: Wellesley Centers for Women. </w:t>
      </w:r>
      <w:hyperlink r:id="rId267" w:tgtFrame="_blank" w:history="1">
        <w:r w:rsidRPr="003038F5">
          <w:rPr>
            <w:sz w:val="16"/>
          </w:rPr>
          <w:t>[Google Scholar]</w:t>
        </w:r>
      </w:hyperlink>
      <w:r w:rsidRPr="003038F5">
        <w:rPr>
          <w:sz w:val="16"/>
        </w:rPr>
        <w:t>) went on to state that in mutuality “there is openness to influence, emotional availability, and a constantly changing pattern of responding to and affecting the other’s state. There is both receptivity and active initiative toward the other” (p. 82). From a practice standpoint, Miller and Stiver (</w:t>
      </w:r>
      <w:hyperlink r:id="rId268" w:history="1">
        <w:r w:rsidRPr="003038F5">
          <w:rPr>
            <w:sz w:val="16"/>
          </w:rPr>
          <w:t>1997</w:t>
        </w:r>
      </w:hyperlink>
      <w:r w:rsidRPr="003038F5">
        <w:rPr>
          <w:sz w:val="16"/>
        </w:rPr>
        <w:t xml:space="preserve">Miller, J. B., &amp; Stiver, I. P. (1997). The healing connection: How women form relationships in therapy and in life. Boston, MA: Beacon Press. </w:t>
      </w:r>
      <w:hyperlink r:id="rId269" w:tgtFrame="_blank" w:history="1">
        <w:r w:rsidRPr="003038F5">
          <w:rPr>
            <w:sz w:val="16"/>
          </w:rPr>
          <w:t>[Google Scholar]</w:t>
        </w:r>
      </w:hyperlink>
      <w:r w:rsidRPr="003038F5">
        <w:rPr>
          <w:sz w:val="16"/>
        </w:rPr>
        <w:t xml:space="preserve">) emphasized that mutuality “does not mean sameness, equality, or reciprocity; it is a way of relating, a shared activity in which each (or all) of the people involved are participating as fully as possible” (p. 43). </w:t>
      </w:r>
      <w:r w:rsidRPr="003038F5">
        <w:rPr>
          <w:rStyle w:val="StyleUnderline"/>
        </w:rPr>
        <w:t>If authentic connection and the reparation of disconnections through mutual empathy are the source of healing and growth, and chronic disconnections are the primary source of suffering, then every moment in therapy becomes an important moment of connection</w:t>
      </w:r>
      <w:r w:rsidRPr="003038F5">
        <w:rPr>
          <w:sz w:val="16"/>
        </w:rPr>
        <w:t xml:space="preserve"> (Birrell, </w:t>
      </w:r>
      <w:hyperlink r:id="rId270" w:history="1">
        <w:r w:rsidRPr="003038F5">
          <w:rPr>
            <w:sz w:val="16"/>
          </w:rPr>
          <w:t>2006</w:t>
        </w:r>
      </w:hyperlink>
      <w:r w:rsidRPr="003038F5">
        <w:rPr>
          <w:sz w:val="16"/>
        </w:rPr>
        <w:t>Birrell, P. J. (2006). An ethic of possibility: Relationship, risk, and presence. Ethics &amp; Behavior, 16(2), 95–115. doi:10.1207/s15327019eb1602_2</w:t>
      </w:r>
      <w:hyperlink r:id="rId271" w:tgtFrame="_blank" w:history="1">
        <w:r w:rsidRPr="003038F5">
          <w:rPr>
            <w:sz w:val="16"/>
          </w:rPr>
          <w:t>[Taylor &amp; Francis Online]</w:t>
        </w:r>
      </w:hyperlink>
      <w:r w:rsidRPr="003038F5">
        <w:rPr>
          <w:sz w:val="16"/>
        </w:rPr>
        <w:t xml:space="preserve">, </w:t>
      </w:r>
      <w:hyperlink r:id="rId272" w:tgtFrame="_blank" w:history="1">
        <w:r w:rsidRPr="003038F5">
          <w:rPr>
            <w:sz w:val="16"/>
          </w:rPr>
          <w:t>[Web of Science ®]</w:t>
        </w:r>
      </w:hyperlink>
      <w:r w:rsidRPr="003038F5">
        <w:rPr>
          <w:sz w:val="16"/>
        </w:rPr>
        <w:t xml:space="preserve">, </w:t>
      </w:r>
      <w:hyperlink r:id="rId273" w:tgtFrame="_blank" w:history="1">
        <w:r w:rsidRPr="003038F5">
          <w:rPr>
            <w:sz w:val="16"/>
          </w:rPr>
          <w:t>[Google Scholar]</w:t>
        </w:r>
      </w:hyperlink>
      <w:r w:rsidRPr="003038F5">
        <w:rPr>
          <w:sz w:val="16"/>
        </w:rPr>
        <w:t xml:space="preserve">, </w:t>
      </w:r>
      <w:hyperlink r:id="rId274" w:history="1">
        <w:r w:rsidRPr="003038F5">
          <w:rPr>
            <w:sz w:val="16"/>
          </w:rPr>
          <w:t>2011</w:t>
        </w:r>
      </w:hyperlink>
      <w:r w:rsidRPr="003038F5">
        <w:rPr>
          <w:sz w:val="16"/>
        </w:rPr>
        <w:t xml:space="preserve">Birrell, P. J. (2011). Ethics and power: Navigating mutuality in therapeutic relationships (Wellesley Centers for Women Work in Progress Series No. 108). Wellesley, MA: Wellesley Centers for Women. </w:t>
      </w:r>
      <w:hyperlink r:id="rId275" w:tgtFrame="_blank" w:history="1">
        <w:r w:rsidRPr="003038F5">
          <w:rPr>
            <w:sz w:val="16"/>
          </w:rPr>
          <w:t>[Google Scholar]</w:t>
        </w:r>
      </w:hyperlink>
      <w:r w:rsidRPr="003038F5">
        <w:rPr>
          <w:sz w:val="16"/>
        </w:rPr>
        <w:t xml:space="preserve">; Miller &amp; Stiver, </w:t>
      </w:r>
      <w:hyperlink r:id="rId276" w:history="1">
        <w:r w:rsidRPr="003038F5">
          <w:rPr>
            <w:sz w:val="16"/>
          </w:rPr>
          <w:t>1994</w:t>
        </w:r>
      </w:hyperlink>
      <w:r w:rsidRPr="003038F5">
        <w:rPr>
          <w:sz w:val="16"/>
        </w:rPr>
        <w:t xml:space="preserve">Miller, J. B., &amp; Stiver, I. P. (1994) Movement in therapy: Honoring the “strategies of disconnection (Wellesley Centers for Women Work in Progress Series No. 65). Wellesley, MA: Wellesley Centers for Women. </w:t>
      </w:r>
      <w:hyperlink r:id="rId277" w:tgtFrame="_blank" w:history="1">
        <w:r w:rsidRPr="003038F5">
          <w:rPr>
            <w:sz w:val="16"/>
          </w:rPr>
          <w:t>[Google Scholar]</w:t>
        </w:r>
      </w:hyperlink>
      <w:r w:rsidRPr="003038F5">
        <w:rPr>
          <w:sz w:val="16"/>
        </w:rPr>
        <w:t xml:space="preserve">, </w:t>
      </w:r>
      <w:hyperlink r:id="rId278" w:history="1">
        <w:r w:rsidRPr="003038F5">
          <w:rPr>
            <w:sz w:val="16"/>
          </w:rPr>
          <w:t>1997</w:t>
        </w:r>
      </w:hyperlink>
      <w:r w:rsidRPr="003038F5">
        <w:rPr>
          <w:sz w:val="16"/>
        </w:rPr>
        <w:t xml:space="preserve">Miller, J. B., &amp; Stiver, I. P. (1997). The healing connection: How women form relationships in therapy and in life. Boston, MA: Beacon Press. </w:t>
      </w:r>
      <w:hyperlink r:id="rId279" w:tgtFrame="_blank" w:history="1">
        <w:r w:rsidRPr="003038F5">
          <w:rPr>
            <w:sz w:val="16"/>
          </w:rPr>
          <w:t>[Google Scholar]</w:t>
        </w:r>
      </w:hyperlink>
      <w:r w:rsidRPr="003038F5">
        <w:rPr>
          <w:sz w:val="16"/>
        </w:rPr>
        <w:t xml:space="preserve">). To accomplish this in the RCT framework, every therapeutic step requires placing mutuality, connection, and authenticity at the center of the clinical and ethical model (Bergum &amp; Dossetor, </w:t>
      </w:r>
      <w:hyperlink r:id="rId280" w:history="1">
        <w:r w:rsidRPr="003038F5">
          <w:rPr>
            <w:sz w:val="16"/>
          </w:rPr>
          <w:t>2005</w:t>
        </w:r>
      </w:hyperlink>
      <w:r w:rsidRPr="003038F5">
        <w:rPr>
          <w:sz w:val="16"/>
        </w:rPr>
        <w:t xml:space="preserve">Bergum, V., &amp; Dossetor, J. (2005). Relational ethics: The full meaning of respect. Hagerstown, MD: University Publishing Group. </w:t>
      </w:r>
      <w:hyperlink r:id="rId281" w:tgtFrame="_blank" w:history="1">
        <w:r w:rsidRPr="003038F5">
          <w:rPr>
            <w:sz w:val="16"/>
          </w:rPr>
          <w:t>[Google Scholar]</w:t>
        </w:r>
      </w:hyperlink>
      <w:r w:rsidRPr="003038F5">
        <w:rPr>
          <w:sz w:val="16"/>
        </w:rPr>
        <w:t xml:space="preserve">; Birrell, </w:t>
      </w:r>
      <w:hyperlink r:id="rId282" w:history="1">
        <w:r w:rsidRPr="003038F5">
          <w:rPr>
            <w:sz w:val="16"/>
          </w:rPr>
          <w:t>2006</w:t>
        </w:r>
      </w:hyperlink>
      <w:r w:rsidRPr="003038F5">
        <w:rPr>
          <w:sz w:val="16"/>
        </w:rPr>
        <w:t>Birrell, P. J. (2006). An ethic of possibility: Relationship, risk, and presence. Ethics &amp; Behavior, 16(2), 95–115. doi:10.1207/s15327019eb1602_2</w:t>
      </w:r>
      <w:hyperlink r:id="rId283" w:tgtFrame="_blank" w:history="1">
        <w:r w:rsidRPr="003038F5">
          <w:rPr>
            <w:sz w:val="16"/>
          </w:rPr>
          <w:t>[Taylor &amp; Francis Online]</w:t>
        </w:r>
      </w:hyperlink>
      <w:r w:rsidRPr="003038F5">
        <w:rPr>
          <w:sz w:val="16"/>
        </w:rPr>
        <w:t xml:space="preserve">, </w:t>
      </w:r>
      <w:hyperlink r:id="rId284" w:tgtFrame="_blank" w:history="1">
        <w:r w:rsidRPr="003038F5">
          <w:rPr>
            <w:sz w:val="16"/>
          </w:rPr>
          <w:t>[Web of Science ®]</w:t>
        </w:r>
      </w:hyperlink>
      <w:r w:rsidRPr="003038F5">
        <w:rPr>
          <w:sz w:val="16"/>
        </w:rPr>
        <w:t xml:space="preserve">, </w:t>
      </w:r>
      <w:hyperlink r:id="rId285" w:tgtFrame="_blank" w:history="1">
        <w:r w:rsidRPr="003038F5">
          <w:rPr>
            <w:sz w:val="16"/>
          </w:rPr>
          <w:t>[Google Scholar]</w:t>
        </w:r>
      </w:hyperlink>
      <w:r w:rsidRPr="003038F5">
        <w:rPr>
          <w:sz w:val="16"/>
        </w:rPr>
        <w:t xml:space="preserve">; Miller &amp; Stiver, </w:t>
      </w:r>
      <w:hyperlink r:id="rId286" w:history="1">
        <w:r w:rsidRPr="003038F5">
          <w:rPr>
            <w:sz w:val="16"/>
          </w:rPr>
          <w:t>1997</w:t>
        </w:r>
      </w:hyperlink>
      <w:r w:rsidRPr="003038F5">
        <w:rPr>
          <w:sz w:val="16"/>
        </w:rPr>
        <w:t xml:space="preserve">Miller, J. B., &amp; Stiver, I. P. (1997). The healing connection: How women form relationships in therapy and in life. Boston, MA: Beacon Press. </w:t>
      </w:r>
      <w:hyperlink r:id="rId287" w:tgtFrame="_blank" w:history="1">
        <w:r w:rsidRPr="003038F5">
          <w:rPr>
            <w:sz w:val="16"/>
          </w:rPr>
          <w:t>[Google Scholar]</w:t>
        </w:r>
      </w:hyperlink>
      <w:r w:rsidRPr="003038F5">
        <w:rPr>
          <w:sz w:val="16"/>
        </w:rPr>
        <w:t>; Walker, 2001). Birrell (</w:t>
      </w:r>
      <w:hyperlink r:id="rId288" w:history="1">
        <w:r w:rsidRPr="003038F5">
          <w:rPr>
            <w:sz w:val="16"/>
          </w:rPr>
          <w:t>2011</w:t>
        </w:r>
      </w:hyperlink>
      <w:r w:rsidRPr="003038F5">
        <w:rPr>
          <w:sz w:val="16"/>
        </w:rPr>
        <w:t xml:space="preserve">Birrell, P. J. (2011). Ethics and power: Navigating mutuality in therapeutic relationships (Wellesley Centers for Women Work in Progress Series No. 108). Wellesley, MA: Wellesley Centers for Women. </w:t>
      </w:r>
      <w:hyperlink r:id="rId289" w:tgtFrame="_blank" w:history="1">
        <w:r w:rsidRPr="003038F5">
          <w:rPr>
            <w:sz w:val="16"/>
          </w:rPr>
          <w:t>[Google Scholar]</w:t>
        </w:r>
      </w:hyperlink>
      <w:r w:rsidRPr="003038F5">
        <w:rPr>
          <w:sz w:val="16"/>
        </w:rPr>
        <w:t xml:space="preserve">) has extended these facets of the RCT therapeutic framework to the idea of a relational ethic. She has argued that there are three dimensions that must be addressed to come to a true relational ethic: power, compassion, and the ability to be with uncertainty in relational space. The ethics of relational engagement consist of full presence—not only to the other but also to the self and to the space between. This is an aspect of the RCT concept of authenticity, referred to earlier (Miller et al., </w:t>
      </w:r>
      <w:hyperlink r:id="rId290" w:history="1">
        <w:r w:rsidRPr="003038F5">
          <w:rPr>
            <w:sz w:val="16"/>
          </w:rPr>
          <w:t>1999</w:t>
        </w:r>
      </w:hyperlink>
      <w:r w:rsidRPr="003038F5">
        <w:rPr>
          <w:sz w:val="16"/>
        </w:rPr>
        <w:t xml:space="preserve">Miller, J. B., Jordan, J., Stiver, I. P., Walker, M., Surrey, J. L., &amp; Eldridge, N. A. (1999). Therapists’ authenticity(Wellesley Centers for Women Work in Progress Series No. 82). Wellesley, MA: Stone Center Working Paper Series. </w:t>
      </w:r>
      <w:hyperlink r:id="rId291" w:tgtFrame="_blank" w:history="1">
        <w:r w:rsidRPr="003038F5">
          <w:rPr>
            <w:sz w:val="16"/>
          </w:rPr>
          <w:t>[Google Scholar]</w:t>
        </w:r>
      </w:hyperlink>
      <w:r w:rsidRPr="003038F5">
        <w:rPr>
          <w:sz w:val="16"/>
        </w:rPr>
        <w:t xml:space="preserve">). In RCT, authenticity is defined as “a person’s ongoing ability to represent … [himself or herself] … in relationships more fully” (Miller et al., </w:t>
      </w:r>
      <w:hyperlink r:id="rId292" w:history="1">
        <w:r w:rsidRPr="003038F5">
          <w:rPr>
            <w:sz w:val="16"/>
          </w:rPr>
          <w:t>1999</w:t>
        </w:r>
      </w:hyperlink>
      <w:r w:rsidRPr="003038F5">
        <w:rPr>
          <w:sz w:val="16"/>
        </w:rPr>
        <w:t xml:space="preserve">Miller, J. B., Jordan, J., Stiver, I. P., Walker, M., Surrey, J. L., &amp; Eldridge, N. A. (1999). Therapists’ authenticity(Wellesley Centers for Women Work in Progress Series No. 82). Wellesley, MA: Stone Center Working Paper Series. </w:t>
      </w:r>
      <w:hyperlink r:id="rId293" w:tgtFrame="_blank" w:history="1">
        <w:r w:rsidRPr="003038F5">
          <w:rPr>
            <w:sz w:val="16"/>
          </w:rPr>
          <w:t>[Google Scholar]</w:t>
        </w:r>
      </w:hyperlink>
      <w:r w:rsidRPr="003038F5">
        <w:rPr>
          <w:sz w:val="16"/>
        </w:rPr>
        <w:t xml:space="preserve">, p. 5). It also means being present with one’s whole being, with the ability to listen not only to verbal and nonverbal communications but also to the space between (Bergum &amp; Dossetor, </w:t>
      </w:r>
      <w:hyperlink r:id="rId294" w:history="1">
        <w:r w:rsidRPr="003038F5">
          <w:rPr>
            <w:sz w:val="16"/>
          </w:rPr>
          <w:t>2005</w:t>
        </w:r>
      </w:hyperlink>
      <w:r w:rsidRPr="003038F5">
        <w:rPr>
          <w:sz w:val="16"/>
        </w:rPr>
        <w:t xml:space="preserve">Bergum, V., &amp; Dossetor, J. (2005). Relational ethics: The full meaning of respect. Hagerstown, MD: University Publishing Group. </w:t>
      </w:r>
      <w:hyperlink r:id="rId295" w:tgtFrame="_blank" w:history="1">
        <w:r w:rsidRPr="003038F5">
          <w:rPr>
            <w:sz w:val="16"/>
          </w:rPr>
          <w:t>[Google Scholar]</w:t>
        </w:r>
      </w:hyperlink>
      <w:r w:rsidRPr="003038F5">
        <w:rPr>
          <w:sz w:val="16"/>
        </w:rPr>
        <w:t xml:space="preserve">; Winnicott, </w:t>
      </w:r>
      <w:hyperlink r:id="rId296" w:history="1">
        <w:r w:rsidRPr="003038F5">
          <w:rPr>
            <w:sz w:val="16"/>
          </w:rPr>
          <w:t>1971</w:t>
        </w:r>
      </w:hyperlink>
      <w:r w:rsidRPr="003038F5">
        <w:rPr>
          <w:sz w:val="16"/>
        </w:rPr>
        <w:t xml:space="preserve">Winnicott, D. W. (1971). Playing and reality. New York, NY: Routledge. </w:t>
      </w:r>
      <w:hyperlink r:id="rId297" w:tgtFrame="_blank" w:history="1">
        <w:r w:rsidRPr="003038F5">
          <w:rPr>
            <w:sz w:val="16"/>
          </w:rPr>
          <w:t>[Google Scholar]</w:t>
        </w:r>
      </w:hyperlink>
      <w:r w:rsidRPr="003038F5">
        <w:rPr>
          <w:sz w:val="16"/>
        </w:rPr>
        <w:t xml:space="preserve">). It is only through one’s own authenticity that he or she can invite the other to be truly authentic (Miller et al., </w:t>
      </w:r>
      <w:hyperlink r:id="rId298" w:history="1">
        <w:r w:rsidRPr="003038F5">
          <w:rPr>
            <w:sz w:val="16"/>
          </w:rPr>
          <w:t>1999</w:t>
        </w:r>
      </w:hyperlink>
      <w:r w:rsidRPr="003038F5">
        <w:rPr>
          <w:sz w:val="16"/>
        </w:rPr>
        <w:t xml:space="preserve">Miller, J. B., Jordan, J., Stiver, I. P., Walker, M., Surrey, J. L., &amp; Eldridge, N. A. (1999). Therapists’ authenticity(Wellesley Centers for Women Work in Progress Series No. 82). Wellesley, MA: Stone Center Working Paper Series. </w:t>
      </w:r>
      <w:hyperlink r:id="rId299" w:tgtFrame="_blank" w:history="1">
        <w:r w:rsidRPr="003038F5">
          <w:rPr>
            <w:sz w:val="16"/>
          </w:rPr>
          <w:t>[Google Scholar]</w:t>
        </w:r>
      </w:hyperlink>
      <w:r w:rsidRPr="003038F5">
        <w:rPr>
          <w:sz w:val="16"/>
        </w:rPr>
        <w:t xml:space="preserve">). From the RCT perspective, the goal of therapy is connection through mutual empathy (Jordan, </w:t>
      </w:r>
      <w:hyperlink r:id="rId300" w:history="1">
        <w:r w:rsidRPr="003038F5">
          <w:rPr>
            <w:sz w:val="16"/>
          </w:rPr>
          <w:t>2010</w:t>
        </w:r>
      </w:hyperlink>
      <w:r w:rsidRPr="003038F5">
        <w:rPr>
          <w:sz w:val="16"/>
        </w:rPr>
        <w:t xml:space="preserve">Jordan, J. V. (2010). Relational-cultural therapy. Washington, DC: American Psychological Association. </w:t>
      </w:r>
      <w:hyperlink r:id="rId301" w:tgtFrame="_blank" w:history="1">
        <w:r w:rsidRPr="003038F5">
          <w:rPr>
            <w:sz w:val="16"/>
          </w:rPr>
          <w:t>[Google Scholar]</w:t>
        </w:r>
      </w:hyperlink>
      <w:r w:rsidRPr="003038F5">
        <w:rPr>
          <w:sz w:val="16"/>
        </w:rPr>
        <w:t xml:space="preserve">), not repair; </w:t>
      </w:r>
      <w:r w:rsidRPr="003038F5">
        <w:rPr>
          <w:rStyle w:val="StyleUnderline"/>
        </w:rPr>
        <w:t>individuals need not be conceptualized as broken people who need to be fixed</w:t>
      </w:r>
      <w:r w:rsidRPr="003038F5">
        <w:rPr>
          <w:sz w:val="16"/>
        </w:rPr>
        <w:t xml:space="preserve">. The connection itself is the healing agent, as those who have experienced betrayal trauma have suffered fundamental disconnection. Growth then occurs through connections in the therapeutic relationship. Simultaneously, the therapist also grows in this ever-expanding, empathetic connection. This type of relational growth is therapeutically beneficial, with the therapist (Wampold, </w:t>
      </w:r>
      <w:hyperlink r:id="rId302" w:history="1">
        <w:r w:rsidRPr="003038F5">
          <w:rPr>
            <w:sz w:val="16"/>
          </w:rPr>
          <w:t>2006</w:t>
        </w:r>
      </w:hyperlink>
      <w:r w:rsidRPr="003038F5">
        <w:rPr>
          <w:sz w:val="16"/>
        </w:rPr>
        <w:t xml:space="preserve">Wampold, B. E. (2006). The psychotherapist. In J. C. Norcross, L. E.Beutler, &amp; R. F. Levant (Eds.), Evidence-based practices in mental health: Debate and dialogue on the fundamental questions (pp. 200–208). Washington, DC: American Psychological Association. </w:t>
      </w:r>
      <w:hyperlink r:id="rId303" w:tgtFrame="_blank" w:history="1">
        <w:r w:rsidRPr="003038F5">
          <w:rPr>
            <w:sz w:val="16"/>
          </w:rPr>
          <w:t>[Google Scholar]</w:t>
        </w:r>
      </w:hyperlink>
      <w:r w:rsidRPr="003038F5">
        <w:rPr>
          <w:sz w:val="16"/>
        </w:rPr>
        <w:t xml:space="preserve">) and therapeutic relational factors playing important roles in alleviating distress (e.g., Castonguay &amp; Beutler, </w:t>
      </w:r>
      <w:hyperlink r:id="rId304" w:history="1">
        <w:r w:rsidRPr="003038F5">
          <w:rPr>
            <w:sz w:val="16"/>
          </w:rPr>
          <w:t>2006b</w:t>
        </w:r>
      </w:hyperlink>
      <w:r w:rsidRPr="003038F5">
        <w:rPr>
          <w:sz w:val="16"/>
        </w:rPr>
        <w:t>Castonguay, L. G., &amp; Beutler, L. E.(2006b). Principles of therapeutic change: A task force on participants, relationships, and techniques factors. Journal of Clinical Psychology, 62(6), 631–638. doi:10.1002/(ISSN)1097-4679</w:t>
      </w:r>
      <w:hyperlink r:id="rId305" w:tgtFrame="_blank" w:history="1">
        <w:r w:rsidRPr="003038F5">
          <w:rPr>
            <w:sz w:val="16"/>
          </w:rPr>
          <w:t>[CrossRef]</w:t>
        </w:r>
      </w:hyperlink>
      <w:r w:rsidRPr="003038F5">
        <w:rPr>
          <w:sz w:val="16"/>
        </w:rPr>
        <w:t xml:space="preserve">, </w:t>
      </w:r>
      <w:hyperlink r:id="rId306" w:tgtFrame="_blank" w:history="1">
        <w:r w:rsidRPr="003038F5">
          <w:rPr>
            <w:sz w:val="16"/>
          </w:rPr>
          <w:t>[PubMed]</w:t>
        </w:r>
      </w:hyperlink>
      <w:r w:rsidRPr="003038F5">
        <w:rPr>
          <w:sz w:val="16"/>
        </w:rPr>
        <w:t xml:space="preserve">, </w:t>
      </w:r>
      <w:hyperlink r:id="rId307" w:tgtFrame="_blank" w:history="1">
        <w:r w:rsidRPr="003038F5">
          <w:rPr>
            <w:sz w:val="16"/>
          </w:rPr>
          <w:t>[Web of Science ®]</w:t>
        </w:r>
      </w:hyperlink>
      <w:r w:rsidRPr="003038F5">
        <w:rPr>
          <w:sz w:val="16"/>
        </w:rPr>
        <w:t xml:space="preserve">, </w:t>
      </w:r>
      <w:hyperlink r:id="rId308" w:tgtFrame="_blank" w:history="1">
        <w:r w:rsidRPr="003038F5">
          <w:rPr>
            <w:sz w:val="16"/>
          </w:rPr>
          <w:t>[Google Scholar]</w:t>
        </w:r>
      </w:hyperlink>
      <w:r w:rsidRPr="003038F5">
        <w:rPr>
          <w:sz w:val="16"/>
        </w:rPr>
        <w:t xml:space="preserve">; Goldfried &amp; Davila, </w:t>
      </w:r>
      <w:hyperlink r:id="rId309" w:history="1">
        <w:r w:rsidRPr="003038F5">
          <w:rPr>
            <w:sz w:val="16"/>
          </w:rPr>
          <w:t>2005</w:t>
        </w:r>
      </w:hyperlink>
      <w:r w:rsidRPr="003038F5">
        <w:rPr>
          <w:sz w:val="16"/>
        </w:rPr>
        <w:t>Goldfried, M. R., &amp; Davila, J. (2005). The role of relationship and technique in therapeutic change. Psychotherapy: Theory, Research, Practice, Training, 42(4), 421–430. doi:10.1037/0033-3204.42.4.421</w:t>
      </w:r>
      <w:hyperlink r:id="rId310" w:tgtFrame="_blank" w:history="1">
        <w:r w:rsidRPr="003038F5">
          <w:rPr>
            <w:sz w:val="16"/>
          </w:rPr>
          <w:t>[CrossRef]</w:t>
        </w:r>
      </w:hyperlink>
      <w:r w:rsidRPr="003038F5">
        <w:rPr>
          <w:sz w:val="16"/>
        </w:rPr>
        <w:t xml:space="preserve">, </w:t>
      </w:r>
      <w:hyperlink r:id="rId311" w:tgtFrame="_blank" w:history="1">
        <w:r w:rsidRPr="003038F5">
          <w:rPr>
            <w:sz w:val="16"/>
          </w:rPr>
          <w:t>[Web of Science ®]</w:t>
        </w:r>
      </w:hyperlink>
      <w:r w:rsidRPr="003038F5">
        <w:rPr>
          <w:sz w:val="16"/>
        </w:rPr>
        <w:t xml:space="preserve">, </w:t>
      </w:r>
      <w:hyperlink r:id="rId312" w:tgtFrame="_blank" w:history="1">
        <w:r w:rsidRPr="003038F5">
          <w:rPr>
            <w:sz w:val="16"/>
          </w:rPr>
          <w:t>[Google Scholar]</w:t>
        </w:r>
      </w:hyperlink>
      <w:r w:rsidRPr="003038F5">
        <w:rPr>
          <w:sz w:val="16"/>
        </w:rPr>
        <w:t xml:space="preserve">; Lambert &amp; Barley, </w:t>
      </w:r>
      <w:hyperlink r:id="rId313" w:history="1">
        <w:r w:rsidRPr="003038F5">
          <w:rPr>
            <w:sz w:val="16"/>
          </w:rPr>
          <w:t>2001</w:t>
        </w:r>
      </w:hyperlink>
      <w:r w:rsidRPr="003038F5">
        <w:rPr>
          <w:sz w:val="16"/>
        </w:rPr>
        <w:t>Lambert, M. J., &amp; Barley, D. E. (2001). Research summary on the therapeutic relationship and psychotherapy outcomes. Psychotherapy: Theory, Research, Practice, Training, 38, 357–361. doi:10.1037/0033-3204.38.4.357</w:t>
      </w:r>
      <w:hyperlink r:id="rId314" w:tgtFrame="_blank" w:history="1">
        <w:r w:rsidRPr="003038F5">
          <w:rPr>
            <w:sz w:val="16"/>
          </w:rPr>
          <w:t>[CrossRef]</w:t>
        </w:r>
      </w:hyperlink>
      <w:r w:rsidRPr="003038F5">
        <w:rPr>
          <w:sz w:val="16"/>
        </w:rPr>
        <w:t xml:space="preserve">, </w:t>
      </w:r>
      <w:hyperlink r:id="rId315" w:tgtFrame="_blank" w:history="1">
        <w:r w:rsidRPr="003038F5">
          <w:rPr>
            <w:sz w:val="16"/>
          </w:rPr>
          <w:t>[Web of Science ®]</w:t>
        </w:r>
      </w:hyperlink>
      <w:r w:rsidRPr="003038F5">
        <w:rPr>
          <w:sz w:val="16"/>
        </w:rPr>
        <w:t xml:space="preserve">, </w:t>
      </w:r>
      <w:hyperlink r:id="rId316" w:tgtFrame="_blank" w:history="1">
        <w:r w:rsidRPr="003038F5">
          <w:rPr>
            <w:sz w:val="16"/>
          </w:rPr>
          <w:t>[Google Scholar]</w:t>
        </w:r>
      </w:hyperlink>
      <w:r w:rsidRPr="003038F5">
        <w:rPr>
          <w:sz w:val="16"/>
        </w:rPr>
        <w:t xml:space="preserve">). For instance, relational factors, such as the therapeutic alliance are important for therapy outcomes independent of treatment modality (Castonguay &amp; Beutler, </w:t>
      </w:r>
      <w:hyperlink r:id="rId317" w:history="1">
        <w:r w:rsidRPr="003038F5">
          <w:rPr>
            <w:sz w:val="16"/>
          </w:rPr>
          <w:t>2006a</w:t>
        </w:r>
      </w:hyperlink>
      <w:r w:rsidRPr="003038F5">
        <w:rPr>
          <w:sz w:val="16"/>
        </w:rPr>
        <w:t>Castonguay, L. G., &amp; Beutler, L. E.(2006a). Common and unique principles of therapeutic change: What do we know and what do we need to know. In Principles of therapeutic change that work (pp. 353–369). USA: Oxford University Press.</w:t>
      </w:r>
      <w:hyperlink r:id="rId318" w:tgtFrame="_blank" w:history="1">
        <w:r w:rsidRPr="003038F5">
          <w:rPr>
            <w:sz w:val="16"/>
          </w:rPr>
          <w:t>[CrossRef]</w:t>
        </w:r>
      </w:hyperlink>
      <w:r w:rsidRPr="003038F5">
        <w:rPr>
          <w:sz w:val="16"/>
        </w:rPr>
        <w:t xml:space="preserve">, </w:t>
      </w:r>
      <w:hyperlink r:id="rId319" w:tgtFrame="_blank" w:history="1">
        <w:r w:rsidRPr="003038F5">
          <w:rPr>
            <w:sz w:val="16"/>
          </w:rPr>
          <w:t>[Google Scholar]</w:t>
        </w:r>
      </w:hyperlink>
      <w:r w:rsidRPr="003038F5">
        <w:rPr>
          <w:sz w:val="16"/>
        </w:rPr>
        <w:t xml:space="preserve">; Goldfried &amp; Davila, </w:t>
      </w:r>
      <w:hyperlink r:id="rId320" w:history="1">
        <w:r w:rsidRPr="003038F5">
          <w:rPr>
            <w:sz w:val="16"/>
          </w:rPr>
          <w:t>2005</w:t>
        </w:r>
      </w:hyperlink>
      <w:r w:rsidRPr="003038F5">
        <w:rPr>
          <w:sz w:val="16"/>
        </w:rPr>
        <w:t>Goldfried, M. R., &amp; Davila, J. (2005). The role of relationship and technique in therapeutic change. Psychotherapy: Theory, Research, Practice, Training, 42(4), 421–430. doi:10.1037/0033-3204.42.4.421</w:t>
      </w:r>
      <w:hyperlink r:id="rId321" w:tgtFrame="_blank" w:history="1">
        <w:r w:rsidRPr="003038F5">
          <w:rPr>
            <w:sz w:val="16"/>
          </w:rPr>
          <w:t>[CrossRef]</w:t>
        </w:r>
      </w:hyperlink>
      <w:r w:rsidRPr="003038F5">
        <w:rPr>
          <w:sz w:val="16"/>
        </w:rPr>
        <w:t xml:space="preserve">, </w:t>
      </w:r>
      <w:hyperlink r:id="rId322" w:tgtFrame="_blank" w:history="1">
        <w:r w:rsidRPr="003038F5">
          <w:rPr>
            <w:sz w:val="16"/>
          </w:rPr>
          <w:t>[Web of Science ®]</w:t>
        </w:r>
      </w:hyperlink>
      <w:r w:rsidRPr="003038F5">
        <w:rPr>
          <w:sz w:val="16"/>
        </w:rPr>
        <w:t xml:space="preserve">, </w:t>
      </w:r>
      <w:hyperlink r:id="rId323" w:tgtFrame="_blank" w:history="1">
        <w:r w:rsidRPr="003038F5">
          <w:rPr>
            <w:sz w:val="16"/>
          </w:rPr>
          <w:t>[Google Scholar]</w:t>
        </w:r>
      </w:hyperlink>
      <w:r w:rsidRPr="003038F5">
        <w:rPr>
          <w:sz w:val="16"/>
        </w:rPr>
        <w:t xml:space="preserve">; Holforth &amp; Castonguay, </w:t>
      </w:r>
      <w:hyperlink r:id="rId324" w:history="1">
        <w:r w:rsidRPr="003038F5">
          <w:rPr>
            <w:sz w:val="16"/>
          </w:rPr>
          <w:t>2005</w:t>
        </w:r>
      </w:hyperlink>
      <w:r w:rsidRPr="003038F5">
        <w:rPr>
          <w:sz w:val="16"/>
        </w:rPr>
        <w:t>Holtforth, M. G., &amp; Castonguay, L. G.(2005). Relationship and techniques in cognitive-behavioral therapy—A motivational approach. Psychotherapy: Theory, Research, Practice, Training, 42(4), 443–455. doi:10.1037/0033-3204.42.4.443</w:t>
      </w:r>
      <w:hyperlink r:id="rId325" w:tgtFrame="_blank" w:history="1">
        <w:r w:rsidRPr="003038F5">
          <w:rPr>
            <w:sz w:val="16"/>
          </w:rPr>
          <w:t>[CrossRef]</w:t>
        </w:r>
      </w:hyperlink>
      <w:r w:rsidRPr="003038F5">
        <w:rPr>
          <w:sz w:val="16"/>
        </w:rPr>
        <w:t xml:space="preserve">, </w:t>
      </w:r>
      <w:hyperlink r:id="rId326" w:tgtFrame="_blank" w:history="1">
        <w:r w:rsidRPr="003038F5">
          <w:rPr>
            <w:sz w:val="16"/>
          </w:rPr>
          <w:t>[Web of Science ®]</w:t>
        </w:r>
      </w:hyperlink>
      <w:r w:rsidRPr="003038F5">
        <w:rPr>
          <w:sz w:val="16"/>
        </w:rPr>
        <w:t xml:space="preserve">, </w:t>
      </w:r>
      <w:hyperlink r:id="rId327" w:tgtFrame="_blank" w:history="1">
        <w:r w:rsidRPr="003038F5">
          <w:rPr>
            <w:sz w:val="16"/>
          </w:rPr>
          <w:t>[Google Scholar]</w:t>
        </w:r>
      </w:hyperlink>
      <w:r w:rsidRPr="003038F5">
        <w:rPr>
          <w:sz w:val="16"/>
        </w:rPr>
        <w:t xml:space="preserve">; Norcross &amp; Hill, 2004; Van Beek, </w:t>
      </w:r>
      <w:hyperlink r:id="rId328" w:history="1">
        <w:r w:rsidRPr="003038F5">
          <w:rPr>
            <w:sz w:val="16"/>
          </w:rPr>
          <w:t>1996</w:t>
        </w:r>
      </w:hyperlink>
      <w:r w:rsidRPr="003038F5">
        <w:rPr>
          <w:sz w:val="16"/>
        </w:rPr>
        <w:t xml:space="preserve">Van Beek, G. (1996). De visie van de client op de werkzame ingredienten binnen gedragstherapie [View of the client on the effective ingredients of behavior therapy]. (Unpublished master’s thesis). Catholic University of Nijmegen, The Netherlands. </w:t>
      </w:r>
      <w:hyperlink r:id="rId329" w:tgtFrame="_blank" w:history="1">
        <w:r w:rsidRPr="003038F5">
          <w:rPr>
            <w:sz w:val="16"/>
          </w:rPr>
          <w:t>[Google Scholar]</w:t>
        </w:r>
      </w:hyperlink>
      <w:r w:rsidRPr="003038F5">
        <w:rPr>
          <w:sz w:val="16"/>
        </w:rPr>
        <w:t xml:space="preserve">). These </w:t>
      </w:r>
      <w:r w:rsidRPr="003038F5">
        <w:rPr>
          <w:rStyle w:val="StyleUnderline"/>
        </w:rPr>
        <w:t xml:space="preserve">relational factors—the therapeutic alliance, empathy, genuineness, and the ability to repair disconnections—may be particularly important for individuals who have experienced betrayal trauma </w:t>
      </w:r>
      <w:r w:rsidRPr="003038F5">
        <w:rPr>
          <w:sz w:val="16"/>
        </w:rPr>
        <w:t xml:space="preserve">(e.g., Birrell &amp; Freyd, </w:t>
      </w:r>
      <w:hyperlink r:id="rId330" w:history="1">
        <w:r w:rsidRPr="003038F5">
          <w:rPr>
            <w:sz w:val="16"/>
          </w:rPr>
          <w:t>2006</w:t>
        </w:r>
      </w:hyperlink>
      <w:r w:rsidRPr="003038F5">
        <w:rPr>
          <w:sz w:val="16"/>
        </w:rPr>
        <w:t>Birrell, P. J., &amp; Freyd, J. J. (2006). Betrayal trauma: Relational models of harm and healing. Journal of Trauma Practice, 5(1), 49–63. doi:10.1300/J189v05n01_04</w:t>
      </w:r>
      <w:hyperlink r:id="rId331" w:tgtFrame="_blank" w:history="1">
        <w:r w:rsidRPr="003038F5">
          <w:rPr>
            <w:sz w:val="16"/>
          </w:rPr>
          <w:t>[Taylor &amp; Francis Online]</w:t>
        </w:r>
      </w:hyperlink>
      <w:r w:rsidRPr="003038F5">
        <w:rPr>
          <w:sz w:val="16"/>
        </w:rPr>
        <w:t xml:space="preserve">, </w:t>
      </w:r>
      <w:hyperlink r:id="rId332" w:tgtFrame="_blank" w:history="1">
        <w:r w:rsidRPr="003038F5">
          <w:rPr>
            <w:sz w:val="16"/>
          </w:rPr>
          <w:t>[Google Scholar]</w:t>
        </w:r>
      </w:hyperlink>
      <w:r w:rsidRPr="003038F5">
        <w:rPr>
          <w:sz w:val="16"/>
        </w:rPr>
        <w:t xml:space="preserve">; Gómez et al., </w:t>
      </w:r>
      <w:hyperlink r:id="rId333" w:history="1">
        <w:r w:rsidRPr="003038F5">
          <w:rPr>
            <w:sz w:val="16"/>
          </w:rPr>
          <w:t>2015</w:t>
        </w:r>
      </w:hyperlink>
      <w:r w:rsidRPr="003038F5">
        <w:rPr>
          <w:sz w:val="16"/>
        </w:rPr>
        <w:t>Gómez, J. M., Becker-Blease, K., &amp; Freyd, J. J. (2015). A brief report on predicting self-harm: Is it gender or abuse that matters? Journal of Aggression, Maltreatment, &amp; Trauma, 24(2), 203–214. doi:10.1080/10926771.2015.1002651</w:t>
      </w:r>
      <w:hyperlink r:id="rId334" w:tgtFrame="_blank" w:history="1">
        <w:r w:rsidRPr="003038F5">
          <w:rPr>
            <w:sz w:val="16"/>
          </w:rPr>
          <w:t>[Taylor &amp; Francis Online]</w:t>
        </w:r>
      </w:hyperlink>
      <w:r w:rsidRPr="003038F5">
        <w:rPr>
          <w:sz w:val="16"/>
        </w:rPr>
        <w:t xml:space="preserve">, </w:t>
      </w:r>
      <w:hyperlink r:id="rId335" w:tgtFrame="_blank" w:history="1">
        <w:r w:rsidRPr="003038F5">
          <w:rPr>
            <w:sz w:val="16"/>
          </w:rPr>
          <w:t>[Web of Science ®]</w:t>
        </w:r>
      </w:hyperlink>
      <w:r w:rsidRPr="003038F5">
        <w:rPr>
          <w:sz w:val="16"/>
        </w:rPr>
        <w:t xml:space="preserve">, </w:t>
      </w:r>
      <w:hyperlink r:id="rId336" w:tgtFrame="_blank" w:history="1">
        <w:r w:rsidRPr="003038F5">
          <w:rPr>
            <w:sz w:val="16"/>
          </w:rPr>
          <w:t>[Google Scholar]</w:t>
        </w:r>
      </w:hyperlink>
      <w:r w:rsidRPr="003038F5">
        <w:rPr>
          <w:sz w:val="16"/>
        </w:rPr>
        <w:t xml:space="preserve">; Gómez, Kaehler, &amp; Freyd, </w:t>
      </w:r>
      <w:hyperlink r:id="rId337" w:history="1">
        <w:r w:rsidRPr="003038F5">
          <w:rPr>
            <w:sz w:val="16"/>
          </w:rPr>
          <w:t>2014</w:t>
        </w:r>
      </w:hyperlink>
      <w:r w:rsidRPr="003038F5">
        <w:rPr>
          <w:sz w:val="16"/>
        </w:rPr>
        <w:t xml:space="preserve">Gómez, J. M., &amp; Freyd, J. J. (2014, June). Sexual trauma, cultural betrayal, and PTSD within cultural minorities. Poster presented at the Third Biennial American Psychological Association Division 45 Research Conference, Eugene, OR. </w:t>
      </w:r>
      <w:hyperlink r:id="rId338" w:tgtFrame="_blank" w:history="1">
        <w:r w:rsidRPr="003038F5">
          <w:rPr>
            <w:sz w:val="16"/>
          </w:rPr>
          <w:t>[Google Scholar]</w:t>
        </w:r>
      </w:hyperlink>
      <w:r w:rsidRPr="003038F5">
        <w:rPr>
          <w:sz w:val="16"/>
        </w:rPr>
        <w:t xml:space="preserve">; Pearce &amp; Pezzot-Pearce, 2013). In addition to utilizing the aforementioned relational factors, RCT appears to operate beyond these factors (Norcross &amp; Wampold, </w:t>
      </w:r>
      <w:hyperlink r:id="rId339" w:history="1">
        <w:r w:rsidRPr="003038F5">
          <w:rPr>
            <w:sz w:val="16"/>
          </w:rPr>
          <w:t>2011</w:t>
        </w:r>
      </w:hyperlink>
      <w:r w:rsidRPr="003038F5">
        <w:rPr>
          <w:sz w:val="16"/>
        </w:rPr>
        <w:t>Norcross, J. C., &amp; Wampold, B. E.(2011). Evidence-based therapy relationships: Research conclusions and clinical practices. Psychotherapy, 48, 98–102. doi:10.1037/a0022161</w:t>
      </w:r>
      <w:hyperlink r:id="rId340" w:tgtFrame="_blank" w:history="1">
        <w:r w:rsidRPr="003038F5">
          <w:rPr>
            <w:sz w:val="16"/>
          </w:rPr>
          <w:t>[CrossRef]</w:t>
        </w:r>
      </w:hyperlink>
      <w:r w:rsidRPr="003038F5">
        <w:rPr>
          <w:sz w:val="16"/>
        </w:rPr>
        <w:t xml:space="preserve">, </w:t>
      </w:r>
      <w:hyperlink r:id="rId341" w:tgtFrame="_blank" w:history="1">
        <w:r w:rsidRPr="003038F5">
          <w:rPr>
            <w:sz w:val="16"/>
          </w:rPr>
          <w:t>[PubMed]</w:t>
        </w:r>
      </w:hyperlink>
      <w:r w:rsidRPr="003038F5">
        <w:rPr>
          <w:sz w:val="16"/>
        </w:rPr>
        <w:t xml:space="preserve">, </w:t>
      </w:r>
      <w:hyperlink r:id="rId342" w:tgtFrame="_blank" w:history="1">
        <w:r w:rsidRPr="003038F5">
          <w:rPr>
            <w:sz w:val="16"/>
          </w:rPr>
          <w:t>[Web of Science ®]</w:t>
        </w:r>
      </w:hyperlink>
      <w:r w:rsidRPr="003038F5">
        <w:rPr>
          <w:sz w:val="16"/>
        </w:rPr>
        <w:t xml:space="preserve">, </w:t>
      </w:r>
      <w:hyperlink r:id="rId343" w:tgtFrame="_blank" w:history="1">
        <w:r w:rsidRPr="003038F5">
          <w:rPr>
            <w:sz w:val="16"/>
          </w:rPr>
          <w:t>[Google Scholar]</w:t>
        </w:r>
      </w:hyperlink>
      <w:r w:rsidRPr="003038F5">
        <w:rPr>
          <w:sz w:val="16"/>
        </w:rPr>
        <w:t xml:space="preserve">) and to be an effective therapeutic modality in its own right (Oakley et al., </w:t>
      </w:r>
      <w:hyperlink r:id="rId344" w:history="1">
        <w:r w:rsidRPr="003038F5">
          <w:rPr>
            <w:sz w:val="16"/>
          </w:rPr>
          <w:t>2013</w:t>
        </w:r>
      </w:hyperlink>
      <w:r w:rsidRPr="003038F5">
        <w:rPr>
          <w:sz w:val="16"/>
        </w:rPr>
        <w:t>Oakley, M. A., Addison, S. C., Piran, N., Johnston, G. J., Damianakis, M., Curry, J., … Weigeldt, A. (2013). Outcome study of brief relational-cultural therapy in a women’s mental health center. Psychotherapy Research, 23, 137–151. doi:10.1080/10503307.2012.745956</w:t>
      </w:r>
      <w:hyperlink r:id="rId345" w:tgtFrame="_blank" w:history="1">
        <w:r w:rsidRPr="003038F5">
          <w:rPr>
            <w:sz w:val="16"/>
          </w:rPr>
          <w:t>[Taylor &amp; Francis Online]</w:t>
        </w:r>
      </w:hyperlink>
      <w:r w:rsidRPr="003038F5">
        <w:rPr>
          <w:sz w:val="16"/>
        </w:rPr>
        <w:t xml:space="preserve">, </w:t>
      </w:r>
      <w:hyperlink r:id="rId346" w:tgtFrame="_blank" w:history="1">
        <w:r w:rsidRPr="003038F5">
          <w:rPr>
            <w:sz w:val="16"/>
          </w:rPr>
          <w:t>[Web of Science ®]</w:t>
        </w:r>
      </w:hyperlink>
      <w:r w:rsidRPr="003038F5">
        <w:rPr>
          <w:sz w:val="16"/>
        </w:rPr>
        <w:t xml:space="preserve">, </w:t>
      </w:r>
      <w:hyperlink r:id="rId347" w:tgtFrame="_blank" w:history="1">
        <w:r w:rsidRPr="003038F5">
          <w:rPr>
            <w:sz w:val="16"/>
          </w:rPr>
          <w:t>[Google Scholar]</w:t>
        </w:r>
      </w:hyperlink>
      <w:r w:rsidRPr="003038F5">
        <w:rPr>
          <w:sz w:val="16"/>
        </w:rPr>
        <w:t xml:space="preserve">). Thus, in offering a nonpathologizing alternative to treatment under the medical model, RCT uses empirically supported relational factors to promote healing from traumatic betrayal. Contextual considerations in RCT Oppression in therapy </w:t>
      </w:r>
      <w:r w:rsidRPr="003038F5">
        <w:rPr>
          <w:rStyle w:val="StyleUnderline"/>
        </w:rPr>
        <w:t>Within interpersonal therapeutic contexts, strict adherence to rigid protocols can mirror power-over dynamics that remove control from people who have experienced betrayal trauma. Clients who have minority status in the United States, in addition to experiences of betrayal trauma, may be particularly at risk, as cultural oppression within therapy may replicate current and historical societal oppression</w:t>
      </w:r>
      <w:r w:rsidRPr="003038F5">
        <w:rPr>
          <w:sz w:val="16"/>
        </w:rPr>
        <w:t xml:space="preserve"> (see Hays, </w:t>
      </w:r>
      <w:hyperlink r:id="rId348" w:history="1">
        <w:r w:rsidRPr="003038F5">
          <w:rPr>
            <w:sz w:val="16"/>
          </w:rPr>
          <w:t>2008</w:t>
        </w:r>
      </w:hyperlink>
      <w:r w:rsidRPr="003038F5">
        <w:rPr>
          <w:sz w:val="16"/>
        </w:rPr>
        <w:t>Hays, P. A. (2008). Addressing cultural complexities in practice: Assessment, diagnosis, and therapy. Washington, DC: American Psychological Association.</w:t>
      </w:r>
      <w:hyperlink r:id="rId349" w:tgtFrame="_blank" w:history="1">
        <w:r w:rsidRPr="003038F5">
          <w:rPr>
            <w:sz w:val="16"/>
          </w:rPr>
          <w:t>[CrossRef]</w:t>
        </w:r>
      </w:hyperlink>
      <w:r w:rsidRPr="003038F5">
        <w:rPr>
          <w:sz w:val="16"/>
        </w:rPr>
        <w:t xml:space="preserve">, </w:t>
      </w:r>
      <w:hyperlink r:id="rId350" w:tgtFrame="_blank" w:history="1">
        <w:r w:rsidRPr="003038F5">
          <w:rPr>
            <w:sz w:val="16"/>
          </w:rPr>
          <w:t>[Google Scholar]</w:t>
        </w:r>
      </w:hyperlink>
      <w:r w:rsidRPr="003038F5">
        <w:rPr>
          <w:sz w:val="16"/>
        </w:rPr>
        <w:t xml:space="preserve">; Sue, </w:t>
      </w:r>
      <w:hyperlink r:id="rId351" w:history="1">
        <w:r w:rsidRPr="003038F5">
          <w:rPr>
            <w:sz w:val="16"/>
          </w:rPr>
          <w:t>1978</w:t>
        </w:r>
      </w:hyperlink>
      <w:r w:rsidRPr="003038F5">
        <w:rPr>
          <w:sz w:val="16"/>
        </w:rPr>
        <w:t>Sue, D. W. (1978). Eliminating cultural oppression in counseling: Toward a general theory. Journal of Counseling Psychology, 25, 419–428. doi:10.1037/0022-0167.25.5.419</w:t>
      </w:r>
      <w:hyperlink r:id="rId352" w:tgtFrame="_blank" w:history="1">
        <w:r w:rsidRPr="003038F5">
          <w:rPr>
            <w:sz w:val="16"/>
          </w:rPr>
          <w:t>[CrossRef]</w:t>
        </w:r>
      </w:hyperlink>
      <w:r w:rsidRPr="003038F5">
        <w:rPr>
          <w:sz w:val="16"/>
        </w:rPr>
        <w:t xml:space="preserve">, </w:t>
      </w:r>
      <w:hyperlink r:id="rId353" w:tgtFrame="_blank" w:history="1">
        <w:r w:rsidRPr="003038F5">
          <w:rPr>
            <w:sz w:val="16"/>
          </w:rPr>
          <w:t>[Web of Science ®]</w:t>
        </w:r>
      </w:hyperlink>
      <w:r w:rsidRPr="003038F5">
        <w:rPr>
          <w:sz w:val="16"/>
        </w:rPr>
        <w:t xml:space="preserve">, </w:t>
      </w:r>
      <w:hyperlink r:id="rId354" w:tgtFrame="_blank" w:history="1">
        <w:r w:rsidRPr="003038F5">
          <w:rPr>
            <w:sz w:val="16"/>
          </w:rPr>
          <w:t>[Google Scholar]</w:t>
        </w:r>
      </w:hyperlink>
      <w:r w:rsidRPr="003038F5">
        <w:rPr>
          <w:sz w:val="16"/>
        </w:rPr>
        <w:t xml:space="preserve">) and unintentional bias may interfere with the therapeutic alliance (Vasquez, </w:t>
      </w:r>
      <w:hyperlink r:id="rId355" w:history="1">
        <w:r w:rsidRPr="003038F5">
          <w:rPr>
            <w:sz w:val="16"/>
          </w:rPr>
          <w:t>2007</w:t>
        </w:r>
      </w:hyperlink>
      <w:r w:rsidRPr="003038F5">
        <w:rPr>
          <w:sz w:val="16"/>
        </w:rPr>
        <w:t>Vasquez, M. J. T. (2007). Cultural difference and the therapeutic alliance: An evidence-based analysis. American Psychologist, 62, 878–885. doi:10.1037/0003-066X.62.8.878</w:t>
      </w:r>
      <w:hyperlink r:id="rId356" w:tgtFrame="_blank" w:history="1">
        <w:r w:rsidRPr="003038F5">
          <w:rPr>
            <w:sz w:val="16"/>
          </w:rPr>
          <w:t>[CrossRef]</w:t>
        </w:r>
      </w:hyperlink>
      <w:r w:rsidRPr="003038F5">
        <w:rPr>
          <w:sz w:val="16"/>
        </w:rPr>
        <w:t xml:space="preserve">, </w:t>
      </w:r>
      <w:hyperlink r:id="rId357" w:tgtFrame="_blank" w:history="1">
        <w:r w:rsidRPr="003038F5">
          <w:rPr>
            <w:sz w:val="16"/>
          </w:rPr>
          <w:t>[Web of Science ®]</w:t>
        </w:r>
      </w:hyperlink>
      <w:r w:rsidRPr="003038F5">
        <w:rPr>
          <w:sz w:val="16"/>
        </w:rPr>
        <w:t xml:space="preserve">, </w:t>
      </w:r>
      <w:hyperlink r:id="rId358" w:tgtFrame="_blank" w:history="1">
        <w:r w:rsidRPr="003038F5">
          <w:rPr>
            <w:sz w:val="16"/>
          </w:rPr>
          <w:t>[Google Scholar]</w:t>
        </w:r>
      </w:hyperlink>
      <w:r w:rsidRPr="003038F5">
        <w:rPr>
          <w:sz w:val="16"/>
        </w:rPr>
        <w:t xml:space="preserve">). </w:t>
      </w:r>
      <w:r w:rsidRPr="003038F5">
        <w:rPr>
          <w:rStyle w:val="StyleUnderline"/>
        </w:rPr>
        <w:t>Given that connections, in the context of growth-fostering relationships, are at the heart of RCT, it is important to pay attention to power dynamics within the therapy process that may be exacerbated for those with minority status.</w:t>
      </w:r>
      <w:r w:rsidRPr="003038F5">
        <w:rPr>
          <w:sz w:val="16"/>
        </w:rPr>
        <w:t xml:space="preserve"> Thus, cultural competency is especially important in RCT because this culture-bound form of healing is centered around reparative relationships. Cultural competence refers to an iterative process of therapists’ acceptance of their own ignorance (Brown, </w:t>
      </w:r>
      <w:hyperlink r:id="rId359" w:history="1">
        <w:r w:rsidRPr="003038F5">
          <w:rPr>
            <w:sz w:val="16"/>
          </w:rPr>
          <w:t>2008a</w:t>
        </w:r>
      </w:hyperlink>
      <w:r w:rsidRPr="003038F5">
        <w:rPr>
          <w:sz w:val="16"/>
        </w:rPr>
        <w:t>Brown, L. S. (2008a). Cultural competence in trauma therapy: Beyond the flashback. Washington, DC: American Psychological Association.</w:t>
      </w:r>
      <w:hyperlink r:id="rId360" w:tgtFrame="_blank" w:history="1">
        <w:r w:rsidRPr="003038F5">
          <w:rPr>
            <w:sz w:val="16"/>
          </w:rPr>
          <w:t>[CrossRef]</w:t>
        </w:r>
      </w:hyperlink>
      <w:r w:rsidRPr="003038F5">
        <w:rPr>
          <w:sz w:val="16"/>
        </w:rPr>
        <w:t xml:space="preserve">, </w:t>
      </w:r>
      <w:hyperlink r:id="rId361" w:tgtFrame="_blank" w:history="1">
        <w:r w:rsidRPr="003038F5">
          <w:rPr>
            <w:sz w:val="16"/>
          </w:rPr>
          <w:t>[Google Scholar]</w:t>
        </w:r>
      </w:hyperlink>
      <w:r w:rsidRPr="003038F5">
        <w:rPr>
          <w:sz w:val="16"/>
        </w:rPr>
        <w:t xml:space="preserve">), acceptance of their role as visitors in clients’ inner and outer worlds (Ford, </w:t>
      </w:r>
      <w:hyperlink r:id="rId362" w:history="1">
        <w:r w:rsidRPr="003038F5">
          <w:rPr>
            <w:sz w:val="16"/>
          </w:rPr>
          <w:t>2008</w:t>
        </w:r>
      </w:hyperlink>
      <w:r w:rsidRPr="003038F5">
        <w:rPr>
          <w:sz w:val="16"/>
        </w:rPr>
        <w:t>Ford, J. D. (2008). Trauma, posttraumatic stress disorder, and ethnoracial minorities: Toward diversity and cultural competence in principles and practices. Clinical Psychology: Science and Practice, 15(1), 62–67.</w:t>
      </w:r>
      <w:hyperlink r:id="rId363" w:tgtFrame="_blank" w:history="1">
        <w:r w:rsidRPr="003038F5">
          <w:rPr>
            <w:sz w:val="16"/>
          </w:rPr>
          <w:t>[CrossRef]</w:t>
        </w:r>
      </w:hyperlink>
      <w:r w:rsidRPr="003038F5">
        <w:rPr>
          <w:sz w:val="16"/>
        </w:rPr>
        <w:t xml:space="preserve">, </w:t>
      </w:r>
      <w:hyperlink r:id="rId364" w:tgtFrame="_blank" w:history="1">
        <w:r w:rsidRPr="003038F5">
          <w:rPr>
            <w:sz w:val="16"/>
          </w:rPr>
          <w:t>[Web of Science ®]</w:t>
        </w:r>
      </w:hyperlink>
      <w:r w:rsidRPr="003038F5">
        <w:rPr>
          <w:sz w:val="16"/>
        </w:rPr>
        <w:t xml:space="preserve">, </w:t>
      </w:r>
      <w:hyperlink r:id="rId365" w:tgtFrame="_blank" w:history="1">
        <w:r w:rsidRPr="003038F5">
          <w:rPr>
            <w:sz w:val="16"/>
          </w:rPr>
          <w:t>[Google Scholar]</w:t>
        </w:r>
      </w:hyperlink>
      <w:r w:rsidRPr="003038F5">
        <w:rPr>
          <w:sz w:val="16"/>
        </w:rPr>
        <w:t xml:space="preserve">), and acknowledgment of the interplay between societal trauma and the social locations of both therapist and client (e.g., Brown, </w:t>
      </w:r>
      <w:hyperlink r:id="rId366" w:history="1">
        <w:r w:rsidRPr="003038F5">
          <w:rPr>
            <w:sz w:val="16"/>
          </w:rPr>
          <w:t>2008a</w:t>
        </w:r>
      </w:hyperlink>
      <w:r w:rsidRPr="003038F5">
        <w:rPr>
          <w:sz w:val="16"/>
        </w:rPr>
        <w:t>Brown, L. S. (2008a). Cultural competence in trauma therapy: Beyond the flashback. Washington, DC: American Psychological Association.</w:t>
      </w:r>
      <w:hyperlink r:id="rId367" w:tgtFrame="_blank" w:history="1">
        <w:r w:rsidRPr="003038F5">
          <w:rPr>
            <w:sz w:val="16"/>
          </w:rPr>
          <w:t>[CrossRef]</w:t>
        </w:r>
      </w:hyperlink>
      <w:r w:rsidRPr="003038F5">
        <w:rPr>
          <w:sz w:val="16"/>
        </w:rPr>
        <w:t xml:space="preserve">, </w:t>
      </w:r>
      <w:hyperlink r:id="rId368" w:tgtFrame="_blank" w:history="1">
        <w:r w:rsidRPr="003038F5">
          <w:rPr>
            <w:sz w:val="16"/>
          </w:rPr>
          <w:t>[Google Scholar]</w:t>
        </w:r>
      </w:hyperlink>
      <w:r w:rsidRPr="003038F5">
        <w:rPr>
          <w:sz w:val="16"/>
        </w:rPr>
        <w:t>). Recognizing and correcting one’s mistakes, while examining one’s own biases, can potentially mitigate harm that is inevitably perpetrated in the context of therapy operating within a society of inequality. Contextual influences on trauma According to Brown (</w:t>
      </w:r>
      <w:hyperlink r:id="rId369" w:history="1">
        <w:r w:rsidRPr="003038F5">
          <w:rPr>
            <w:sz w:val="16"/>
          </w:rPr>
          <w:t>2004</w:t>
        </w:r>
      </w:hyperlink>
      <w:r w:rsidRPr="003038F5">
        <w:rPr>
          <w:sz w:val="16"/>
        </w:rPr>
        <w:t>Brown, L. S. (2004). Feminist paradigms of trauma treatment. Psychotherapy: Theory, Research, Practice, Training, 41, 464–471. doi:10.1037/0033-3204.41.4.464</w:t>
      </w:r>
      <w:hyperlink r:id="rId370" w:tgtFrame="_blank" w:history="1">
        <w:r w:rsidRPr="003038F5">
          <w:rPr>
            <w:sz w:val="16"/>
          </w:rPr>
          <w:t>[CrossRef]</w:t>
        </w:r>
      </w:hyperlink>
      <w:r w:rsidRPr="003038F5">
        <w:rPr>
          <w:sz w:val="16"/>
        </w:rPr>
        <w:t xml:space="preserve">, </w:t>
      </w:r>
      <w:hyperlink r:id="rId371" w:tgtFrame="_blank" w:history="1">
        <w:r w:rsidRPr="003038F5">
          <w:rPr>
            <w:sz w:val="16"/>
          </w:rPr>
          <w:t>[Web of Science ®]</w:t>
        </w:r>
      </w:hyperlink>
      <w:r w:rsidRPr="003038F5">
        <w:rPr>
          <w:sz w:val="16"/>
        </w:rPr>
        <w:t xml:space="preserve">, </w:t>
      </w:r>
      <w:hyperlink r:id="rId372" w:tgtFrame="_blank" w:history="1">
        <w:r w:rsidRPr="003038F5">
          <w:rPr>
            <w:sz w:val="16"/>
          </w:rPr>
          <w:t>[Google Scholar]</w:t>
        </w:r>
      </w:hyperlink>
      <w:r w:rsidRPr="003038F5">
        <w:rPr>
          <w:sz w:val="16"/>
        </w:rPr>
        <w:t xml:space="preserve">), </w:t>
      </w:r>
      <w:r w:rsidRPr="003038F5">
        <w:rPr>
          <w:rStyle w:val="StyleUnderline"/>
        </w:rPr>
        <w:t>the processes of recovering and healing from trauma need to be framed within the broader contexts in which they occur</w:t>
      </w:r>
      <w:r w:rsidRPr="003038F5">
        <w:rPr>
          <w:sz w:val="16"/>
        </w:rPr>
        <w:t xml:space="preserve">. For women, this means understanding betrayal trauma through the lens of gendered violence stemming from gender inequality. Thus, feminist theory (Brown, </w:t>
      </w:r>
      <w:hyperlink r:id="rId373" w:history="1">
        <w:r w:rsidRPr="003038F5">
          <w:rPr>
            <w:sz w:val="16"/>
          </w:rPr>
          <w:t>2004</w:t>
        </w:r>
      </w:hyperlink>
      <w:r w:rsidRPr="003038F5">
        <w:rPr>
          <w:sz w:val="16"/>
        </w:rPr>
        <w:t>Brown, L. S. (2004). Feminist paradigms of trauma treatment. Psychotherapy: Theory, Research, Practice, Training, 41, 464–471. doi:10.1037/0033-3204.41.4.464</w:t>
      </w:r>
      <w:hyperlink r:id="rId374" w:tgtFrame="_blank" w:history="1">
        <w:r w:rsidRPr="003038F5">
          <w:rPr>
            <w:sz w:val="16"/>
          </w:rPr>
          <w:t>[CrossRef]</w:t>
        </w:r>
      </w:hyperlink>
      <w:r w:rsidRPr="003038F5">
        <w:rPr>
          <w:sz w:val="16"/>
        </w:rPr>
        <w:t xml:space="preserve">, </w:t>
      </w:r>
      <w:hyperlink r:id="rId375" w:tgtFrame="_blank" w:history="1">
        <w:r w:rsidRPr="003038F5">
          <w:rPr>
            <w:sz w:val="16"/>
          </w:rPr>
          <w:t>[Web of Science ®]</w:t>
        </w:r>
      </w:hyperlink>
      <w:r w:rsidRPr="003038F5">
        <w:rPr>
          <w:sz w:val="16"/>
        </w:rPr>
        <w:t xml:space="preserve">, </w:t>
      </w:r>
      <w:hyperlink r:id="rId376" w:tgtFrame="_blank" w:history="1">
        <w:r w:rsidRPr="003038F5">
          <w:rPr>
            <w:sz w:val="16"/>
          </w:rPr>
          <w:t>[Google Scholar]</w:t>
        </w:r>
      </w:hyperlink>
      <w:r w:rsidRPr="003038F5">
        <w:rPr>
          <w:sz w:val="16"/>
        </w:rPr>
        <w:t xml:space="preserve">) takes trauma-related distress out of the presumed pathological personality of women and instead places it within the context of cultural misogyny. Therefore, suffering from betrayal trauma is understood through subjugated status in society, likelihood of gendered violence, silencing, and other harms and not from personal deficits (e.g., Burstow, </w:t>
      </w:r>
      <w:hyperlink r:id="rId377" w:history="1">
        <w:r w:rsidRPr="003038F5">
          <w:rPr>
            <w:sz w:val="16"/>
          </w:rPr>
          <w:t>2005</w:t>
        </w:r>
      </w:hyperlink>
      <w:r w:rsidRPr="003038F5">
        <w:rPr>
          <w:sz w:val="16"/>
        </w:rPr>
        <w:t>Burstow, B. (2005). A critique of posttraumatic stress disorder and the DSM. Journal of Humanistic Psychology, 45(4), 429–445. doi:10.1177/0022167805280265</w:t>
      </w:r>
      <w:hyperlink r:id="rId378" w:tgtFrame="_blank" w:history="1">
        <w:r w:rsidRPr="003038F5">
          <w:rPr>
            <w:sz w:val="16"/>
          </w:rPr>
          <w:t>[CrossRef]</w:t>
        </w:r>
      </w:hyperlink>
      <w:r w:rsidRPr="003038F5">
        <w:rPr>
          <w:sz w:val="16"/>
        </w:rPr>
        <w:t xml:space="preserve">, </w:t>
      </w:r>
      <w:hyperlink r:id="rId379" w:tgtFrame="_blank" w:history="1">
        <w:r w:rsidRPr="003038F5">
          <w:rPr>
            <w:sz w:val="16"/>
          </w:rPr>
          <w:t>[Web of Science ®]</w:t>
        </w:r>
      </w:hyperlink>
      <w:r w:rsidRPr="003038F5">
        <w:rPr>
          <w:sz w:val="16"/>
        </w:rPr>
        <w:t xml:space="preserve">, </w:t>
      </w:r>
      <w:hyperlink r:id="rId380" w:tgtFrame="_blank" w:history="1">
        <w:r w:rsidRPr="003038F5">
          <w:rPr>
            <w:sz w:val="16"/>
          </w:rPr>
          <w:t>[Google Scholar]</w:t>
        </w:r>
      </w:hyperlink>
      <w:r w:rsidRPr="003038F5">
        <w:rPr>
          <w:sz w:val="16"/>
        </w:rPr>
        <w:t xml:space="preserve">). It is these assumed personal deficits that individual therapy addresses, by its very framework, largely to the exclusion of outside forces, such as attachment and betrayal (Brown &amp; Freyd, </w:t>
      </w:r>
      <w:hyperlink r:id="rId381" w:history="1">
        <w:r w:rsidRPr="003038F5">
          <w:rPr>
            <w:sz w:val="16"/>
          </w:rPr>
          <w:t>2008</w:t>
        </w:r>
      </w:hyperlink>
      <w:r w:rsidRPr="003038F5">
        <w:rPr>
          <w:sz w:val="16"/>
        </w:rPr>
        <w:t xml:space="preserve">Brown, L. S., &amp; Freyd, J. J. (2008). PTSD Criterion A and betrayal trauma: A modest proposal for a new look at what constitutes danger to self. Trauma Psychology Newsletter, 3(1), 11–15. </w:t>
      </w:r>
      <w:hyperlink r:id="rId382" w:tgtFrame="_blank" w:history="1">
        <w:r w:rsidRPr="003038F5">
          <w:rPr>
            <w:sz w:val="16"/>
          </w:rPr>
          <w:t>[Google Scholar]</w:t>
        </w:r>
      </w:hyperlink>
      <w:r w:rsidRPr="003038F5">
        <w:rPr>
          <w:sz w:val="16"/>
        </w:rPr>
        <w:t xml:space="preserve">). </w:t>
      </w:r>
      <w:r w:rsidRPr="003038F5">
        <w:rPr>
          <w:rStyle w:val="StyleUnderline"/>
        </w:rPr>
        <w:t>RCT therapists acknowledge and incorporate the deeply imperfect relational, familial, institutional, cultural, and societal systems that perpetrate—or are complicit in the perpetration of—societal trauma of persons of different cultural backgrounds and social statuses</w:t>
      </w:r>
      <w:r w:rsidRPr="003038F5">
        <w:rPr>
          <w:sz w:val="16"/>
        </w:rPr>
        <w:t xml:space="preserve"> (Comstock et al., </w:t>
      </w:r>
      <w:hyperlink r:id="rId383" w:history="1">
        <w:r w:rsidRPr="003038F5">
          <w:rPr>
            <w:sz w:val="16"/>
          </w:rPr>
          <w:t>2008</w:t>
        </w:r>
      </w:hyperlink>
      <w:r w:rsidRPr="003038F5">
        <w:rPr>
          <w:sz w:val="16"/>
        </w:rPr>
        <w:t>Comstock, D. L., Hammer, T. R., Strentzsch, J., Cannon, K., Parsons, J., &amp; Salazar, G., II. (2008). Relational‐cultural theory: A framework for bridging relational, multicultural, and social justice competencies. Journal of Counseling &amp; Development, 86(3), 279–287. doi:10.1002/j.1556-6678.2008.tb00510.x</w:t>
      </w:r>
      <w:hyperlink r:id="rId384" w:tgtFrame="_blank" w:history="1">
        <w:r w:rsidRPr="003038F5">
          <w:rPr>
            <w:sz w:val="16"/>
          </w:rPr>
          <w:t>[CrossRef]</w:t>
        </w:r>
      </w:hyperlink>
      <w:r w:rsidRPr="003038F5">
        <w:rPr>
          <w:sz w:val="16"/>
        </w:rPr>
        <w:t xml:space="preserve">, </w:t>
      </w:r>
      <w:hyperlink r:id="rId385" w:tgtFrame="_blank" w:history="1">
        <w:r w:rsidRPr="003038F5">
          <w:rPr>
            <w:sz w:val="16"/>
          </w:rPr>
          <w:t>[Web of Science ®]</w:t>
        </w:r>
      </w:hyperlink>
      <w:r w:rsidRPr="003038F5">
        <w:rPr>
          <w:sz w:val="16"/>
        </w:rPr>
        <w:t xml:space="preserve">, </w:t>
      </w:r>
      <w:hyperlink r:id="rId386" w:tgtFrame="_blank" w:history="1">
        <w:r w:rsidRPr="003038F5">
          <w:rPr>
            <w:sz w:val="16"/>
          </w:rPr>
          <w:t>[Google Scholar]</w:t>
        </w:r>
      </w:hyperlink>
      <w:r w:rsidRPr="003038F5">
        <w:rPr>
          <w:sz w:val="16"/>
        </w:rPr>
        <w:t xml:space="preserve">). The complexities of the sociocultural context necessitate its inclusion in every aspect of trauma: the implicit and explicit threat of trauma, the trauma(s) itself, the experience of trauma, coping strategies for dealing with trauma, how micro- and macrocommunities understand trauma, and the meaning that individuals place both on the betrayal trauma they have experienced and on themselves. </w:t>
      </w:r>
    </w:p>
    <w:p w:rsidR="00CC593C" w:rsidRPr="003038F5" w:rsidRDefault="00CC593C" w:rsidP="00CC593C">
      <w:pPr>
        <w:rPr>
          <w:sz w:val="16"/>
        </w:rPr>
      </w:pPr>
    </w:p>
    <w:p w:rsidR="00CC593C" w:rsidRPr="00CC593C" w:rsidRDefault="00CC593C" w:rsidP="00CC593C"/>
    <w:p w:rsidR="004426AB" w:rsidRDefault="004426AB" w:rsidP="00CC593C">
      <w:pPr>
        <w:pStyle w:val="Heading3"/>
      </w:pPr>
      <w:r>
        <w:t>turn – training bad</w:t>
      </w:r>
    </w:p>
    <w:p w:rsidR="004426AB" w:rsidRDefault="004426AB" w:rsidP="004426AB"/>
    <w:p w:rsidR="00CC593C" w:rsidRPr="003038F5" w:rsidRDefault="00CC593C" w:rsidP="00CC593C">
      <w:pPr>
        <w:pStyle w:val="Heading4"/>
      </w:pPr>
      <w:r w:rsidRPr="003038F5">
        <w:t>Cultural competency training fails and masks underlying structural causes- specifically contextualized to black students</w:t>
      </w:r>
    </w:p>
    <w:p w:rsidR="00CC593C" w:rsidRPr="00CC593C" w:rsidRDefault="00CC593C" w:rsidP="00CC593C">
      <w:r w:rsidRPr="00CC593C">
        <w:rPr>
          <w:rStyle w:val="Style13ptBold"/>
        </w:rPr>
        <w:t>Kunkel 15</w:t>
      </w:r>
      <w:r w:rsidRPr="00CC593C">
        <w:t xml:space="preserve"> (Charlotte Kunkel has been a professor in the sociology department since 1995, focusing on the topics of gender, stratification and visual sociology. She also serves as the director of Luther's Women and Gender Studies program. Some of her course topics include Introduction to Sociology; Race, Class and Gender in Contemporary Society; Social Psychology; and Seminar: Gender, Globalization, and Development. She is active in community anti-bias education and has been a long time volunteer for diversity education and the elimination of domestic violence. Her current research interests include the intersections of immigration and systems of race and gender stratification.)  4-23-2015, "The problem with cultural competency," Ideas and Creations Blog, </w:t>
      </w:r>
      <w:hyperlink r:id="rId387" w:history="1">
        <w:r w:rsidRPr="00CC593C">
          <w:rPr>
            <w:rStyle w:val="Hyperlink"/>
          </w:rPr>
          <w:t>https://www.luther.edu/ideas-creations-blog/?story_id=621790</w:t>
        </w:r>
      </w:hyperlink>
      <w:r w:rsidRPr="00CC593C">
        <w:t xml:space="preserve"> WS</w:t>
      </w:r>
    </w:p>
    <w:p w:rsidR="00CC593C" w:rsidRPr="003038F5" w:rsidRDefault="00CC593C" w:rsidP="00CC593C">
      <w:pPr>
        <w:tabs>
          <w:tab w:val="left" w:pos="3320"/>
        </w:tabs>
      </w:pPr>
      <w:r>
        <w:tab/>
      </w:r>
    </w:p>
    <w:p w:rsidR="00CC593C" w:rsidRPr="003038F5" w:rsidRDefault="00CC593C" w:rsidP="00CC593C">
      <w:pPr>
        <w:rPr>
          <w:rStyle w:val="StyleUnderline"/>
        </w:rPr>
      </w:pPr>
      <w:r w:rsidRPr="003038F5">
        <w:rPr>
          <w:rStyle w:val="StyleUnderline"/>
        </w:rPr>
        <w:t>Cultural competency has its place. In health services, for example, it may be very practical and efficient to offer cultural competency training to providers so that they can offer more effective healthcare to their immigrant/refugee patients</w:t>
      </w:r>
      <w:r w:rsidRPr="003038F5">
        <w:t>. Service providers who are struggling to deal with clients of various cultures that are different than their own may need information based on culturally different approaches to healthcare</w:t>
      </w:r>
      <w:r w:rsidRPr="003038F5">
        <w:rPr>
          <w:rStyle w:val="StyleUnderline"/>
          <w:highlight w:val="green"/>
        </w:rPr>
        <w:t>. Cultural competency</w:t>
      </w:r>
      <w:r w:rsidRPr="003038F5">
        <w:rPr>
          <w:rStyle w:val="StyleUnderline"/>
        </w:rPr>
        <w:t xml:space="preserve"> makes sense in certain situations. It </w:t>
      </w:r>
      <w:r w:rsidRPr="003038F5">
        <w:rPr>
          <w:rStyle w:val="StyleUnderline"/>
          <w:highlight w:val="green"/>
        </w:rPr>
        <w:t>is not</w:t>
      </w:r>
      <w:r w:rsidRPr="003038F5">
        <w:rPr>
          <w:rStyle w:val="StyleUnderline"/>
        </w:rPr>
        <w:t xml:space="preserve">, however, </w:t>
      </w:r>
      <w:r w:rsidRPr="003038F5">
        <w:rPr>
          <w:rStyle w:val="StyleUnderline"/>
          <w:highlight w:val="green"/>
        </w:rPr>
        <w:t>appropriate in all situations</w:t>
      </w:r>
      <w:r w:rsidRPr="003038F5">
        <w:rPr>
          <w:rStyle w:val="StyleUnderline"/>
        </w:rPr>
        <w:t>.</w:t>
      </w:r>
    </w:p>
    <w:p w:rsidR="00CC593C" w:rsidRPr="003038F5" w:rsidRDefault="00CC593C" w:rsidP="00CC593C">
      <w:r w:rsidRPr="003038F5">
        <w:t xml:space="preserve">Two recent experiences remind me of the disconnect between the problem of our racism in society and the ill-fitting response of "cultural competency." In a news article about racism on campus last week (AP 4/3/15), the University of Maryland is reportedly challenging a racist climate with cultural competency programs. More locally, I recently attended a conference paper session about creating a diversity task force. This was a presentation about how a community responded to racism in local schools by creating a task force. We heard about troubling incidents in the community as well as how the author and his colleagues responded. At one point, the author, an Asian-American man, told stories about students being accused of flashing gang signs, being called names, and other examples of a hostile climate. He also told a story about how he is always asked to "bring the eggrolls" when a community gathering takes place. He told us the task force was urging the school system to engage in cultural competency training. My question was/is this: </w:t>
      </w:r>
      <w:r w:rsidRPr="003038F5">
        <w:rPr>
          <w:rStyle w:val="StyleUnderline"/>
          <w:highlight w:val="green"/>
        </w:rPr>
        <w:t>How will cultural competency stop</w:t>
      </w:r>
      <w:r w:rsidRPr="003038F5">
        <w:rPr>
          <w:rStyle w:val="StyleUnderline"/>
        </w:rPr>
        <w:t xml:space="preserve"> the </w:t>
      </w:r>
      <w:r w:rsidRPr="003038F5">
        <w:rPr>
          <w:rStyle w:val="StyleUnderline"/>
          <w:highlight w:val="green"/>
        </w:rPr>
        <w:t>racial stereotyping</w:t>
      </w:r>
      <w:r w:rsidRPr="003038F5">
        <w:rPr>
          <w:rStyle w:val="StyleUnderline"/>
        </w:rPr>
        <w:t xml:space="preserve"> he/others experienced</w:t>
      </w:r>
      <w:r w:rsidRPr="003038F5">
        <w:rPr>
          <w:rStyle w:val="StyleUnderline"/>
          <w:highlight w:val="green"/>
        </w:rPr>
        <w:t>?</w:t>
      </w:r>
      <w:r w:rsidRPr="003038F5">
        <w:rPr>
          <w:rStyle w:val="StyleUnderline"/>
        </w:rPr>
        <w:t xml:space="preserve"> </w:t>
      </w:r>
      <w:r w:rsidRPr="003038F5">
        <w:rPr>
          <w:rStyle w:val="StyleUnderline"/>
          <w:highlight w:val="green"/>
        </w:rPr>
        <w:t>It won’t</w:t>
      </w:r>
      <w:r w:rsidRPr="003038F5">
        <w:rPr>
          <w:rStyle w:val="StyleUnderline"/>
        </w:rPr>
        <w:t xml:space="preserve">. What the community needs is anti-racism training. So </w:t>
      </w:r>
      <w:r w:rsidRPr="003038F5">
        <w:rPr>
          <w:rStyle w:val="StyleUnderline"/>
          <w:highlight w:val="green"/>
        </w:rPr>
        <w:t>why is cultural competency the goal?</w:t>
      </w:r>
      <w:r w:rsidRPr="003038F5">
        <w:rPr>
          <w:rStyle w:val="StyleUnderline"/>
        </w:rPr>
        <w:t xml:space="preserve"> I contend it is </w:t>
      </w:r>
      <w:r w:rsidRPr="003038F5">
        <w:rPr>
          <w:rStyle w:val="StyleUnderline"/>
          <w:highlight w:val="green"/>
        </w:rPr>
        <w:t>because "cultural competency" is more palatable to white folks than anti-racism training.</w:t>
      </w:r>
      <w:r w:rsidRPr="003038F5">
        <w:rPr>
          <w:rStyle w:val="StyleUnderline"/>
        </w:rPr>
        <w:t xml:space="preserve"> Unfortunately, </w:t>
      </w:r>
      <w:r w:rsidRPr="003038F5">
        <w:rPr>
          <w:rStyle w:val="StyleUnderline"/>
          <w:highlight w:val="green"/>
        </w:rPr>
        <w:t>it won't solve the problems</w:t>
      </w:r>
      <w:r w:rsidRPr="003038F5">
        <w:rPr>
          <w:rStyle w:val="StyleUnderline"/>
        </w:rPr>
        <w:t>.</w:t>
      </w:r>
    </w:p>
    <w:p w:rsidR="00CC593C" w:rsidRPr="003038F5" w:rsidRDefault="00CC593C" w:rsidP="00CC593C">
      <w:pPr>
        <w:rPr>
          <w:rStyle w:val="StyleUnderline"/>
        </w:rPr>
      </w:pPr>
      <w:r w:rsidRPr="003038F5">
        <w:t xml:space="preserve">We live in a diverse society that still struggles with daily practices of racism and bias. </w:t>
      </w:r>
      <w:r w:rsidRPr="003038F5">
        <w:rPr>
          <w:rStyle w:val="StyleUnderline"/>
          <w:highlight w:val="green"/>
        </w:rPr>
        <w:t>Systemic racism persists because privilege and oppression are built into the social institutions of our society. Education teaches a curriculum of white dominance</w:t>
      </w:r>
      <w:r w:rsidRPr="003038F5">
        <w:rPr>
          <w:rStyle w:val="StyleUnderline"/>
        </w:rPr>
        <w:t>.</w:t>
      </w:r>
      <w:r w:rsidRPr="003038F5">
        <w:t xml:space="preserve"> The banking industry offers loans in a disparate fashion based on race, geography and class. </w:t>
      </w:r>
      <w:r w:rsidRPr="003038F5">
        <w:rPr>
          <w:rStyle w:val="StyleUnderline"/>
          <w:highlight w:val="green"/>
        </w:rPr>
        <w:t>If the issue of micro-aggressions in a racialized society are central, then cultural competency will fall short.</w:t>
      </w:r>
      <w:r w:rsidRPr="003038F5">
        <w:t xml:space="preserve"> </w:t>
      </w:r>
      <w:r w:rsidRPr="003038F5">
        <w:rPr>
          <w:rStyle w:val="StyleUnderline"/>
        </w:rPr>
        <w:t xml:space="preserve">If I understand Hmong or Somali culture, am I less likely to be biased against Hmong and Somali people? I am not so sure. </w:t>
      </w:r>
      <w:r w:rsidRPr="003038F5">
        <w:t xml:space="preserve">Could I use my cultural knowledge to further target this group? </w:t>
      </w:r>
      <w:r w:rsidRPr="003038F5">
        <w:rPr>
          <w:rStyle w:val="StyleUnderline"/>
          <w:highlight w:val="green"/>
        </w:rPr>
        <w:t>It is</w:t>
      </w:r>
      <w:r w:rsidRPr="003038F5">
        <w:rPr>
          <w:rStyle w:val="StyleUnderline"/>
        </w:rPr>
        <w:t xml:space="preserve"> even more </w:t>
      </w:r>
      <w:r w:rsidRPr="003038F5">
        <w:rPr>
          <w:rStyle w:val="StyleUnderline"/>
          <w:highlight w:val="green"/>
        </w:rPr>
        <w:t>problematic</w:t>
      </w:r>
      <w:r w:rsidRPr="003038F5">
        <w:rPr>
          <w:rStyle w:val="StyleUnderline"/>
        </w:rPr>
        <w:t xml:space="preserve"> </w:t>
      </w:r>
      <w:r w:rsidRPr="003038F5">
        <w:rPr>
          <w:rStyle w:val="StyleUnderline"/>
          <w:highlight w:val="green"/>
        </w:rPr>
        <w:t xml:space="preserve">to try to end bias against Blacks </w:t>
      </w:r>
      <w:r w:rsidRPr="003038F5">
        <w:rPr>
          <w:rStyle w:val="StyleUnderline"/>
        </w:rPr>
        <w:t xml:space="preserve">or Latinos </w:t>
      </w:r>
      <w:r w:rsidRPr="003038F5">
        <w:rPr>
          <w:rStyle w:val="StyleUnderline"/>
          <w:highlight w:val="green"/>
        </w:rPr>
        <w:t xml:space="preserve">through cultural competency. What is Black culture </w:t>
      </w:r>
      <w:r w:rsidRPr="003038F5">
        <w:rPr>
          <w:rStyle w:val="StyleUnderline"/>
        </w:rPr>
        <w:t>or Latino culture</w:t>
      </w:r>
      <w:r w:rsidRPr="003038F5">
        <w:rPr>
          <w:rStyle w:val="StyleUnderline"/>
          <w:highlight w:val="green"/>
        </w:rPr>
        <w:t>? There is no monolithic or homogenous Black culture</w:t>
      </w:r>
      <w:r w:rsidRPr="003038F5">
        <w:t xml:space="preserve">. There is no one Latino culture. How would one learn to be culturally competent with Asian-Americans? If one is referring to cultural ancestry, the answer is there is not one Asian culture. </w:t>
      </w:r>
      <w:r w:rsidRPr="003038F5">
        <w:rPr>
          <w:rStyle w:val="StyleUnderline"/>
          <w:highlight w:val="green"/>
        </w:rPr>
        <w:t>There are many</w:t>
      </w:r>
      <w:r w:rsidRPr="003038F5">
        <w:rPr>
          <w:rStyle w:val="StyleUnderline"/>
        </w:rPr>
        <w:t xml:space="preserve"> Asian (and Latino or </w:t>
      </w:r>
      <w:r w:rsidRPr="003038F5">
        <w:rPr>
          <w:rStyle w:val="StyleUnderline"/>
          <w:highlight w:val="green"/>
        </w:rPr>
        <w:t>Black) cultures</w:t>
      </w:r>
      <w:r w:rsidRPr="003038F5">
        <w:rPr>
          <w:rStyle w:val="StyleUnderline"/>
        </w:rPr>
        <w:t>—they are not all the same.</w:t>
      </w:r>
      <w:r w:rsidRPr="003038F5">
        <w:t xml:space="preserve"> If one is speaking of American culture, one could argue there are many more similarities than differences (most of us value family, education and social mobility</w:t>
      </w:r>
      <w:r w:rsidRPr="003038F5">
        <w:rPr>
          <w:rStyle w:val="StyleUnderline"/>
        </w:rPr>
        <w:t xml:space="preserve">). </w:t>
      </w:r>
      <w:r w:rsidRPr="003038F5">
        <w:rPr>
          <w:rStyle w:val="StyleUnderline"/>
          <w:highlight w:val="green"/>
        </w:rPr>
        <w:t>Knowing someone's culture will not stop stereotyping based on racialization</w:t>
      </w:r>
      <w:r w:rsidRPr="003038F5">
        <w:t>—the belief that all Asians are good at math and eat eggrolls, or that all Latinos take siestas and eat tacos, or that African Americans are in gangs, rap and love watermelon</w:t>
      </w:r>
      <w:r w:rsidRPr="003038F5">
        <w:rPr>
          <w:rStyle w:val="StyleUnderline"/>
        </w:rPr>
        <w:t xml:space="preserve">. These are </w:t>
      </w:r>
      <w:r w:rsidRPr="003038F5">
        <w:rPr>
          <w:rStyle w:val="StyleUnderline"/>
          <w:highlight w:val="green"/>
        </w:rPr>
        <w:t>race-based stereotypes</w:t>
      </w:r>
      <w:r w:rsidRPr="003038F5">
        <w:rPr>
          <w:rStyle w:val="StyleUnderline"/>
        </w:rPr>
        <w:t xml:space="preserve"> and </w:t>
      </w:r>
      <w:r w:rsidRPr="003038F5">
        <w:rPr>
          <w:rStyle w:val="StyleUnderline"/>
          <w:highlight w:val="green"/>
        </w:rPr>
        <w:t>will only be dismantled through ending racism.</w:t>
      </w:r>
    </w:p>
    <w:p w:rsidR="00CC593C" w:rsidRPr="003038F5" w:rsidRDefault="00CC593C" w:rsidP="00CC593C">
      <w:pPr>
        <w:rPr>
          <w:rStyle w:val="StyleUnderline"/>
        </w:rPr>
      </w:pPr>
      <w:r w:rsidRPr="003038F5">
        <w:rPr>
          <w:rStyle w:val="StyleUnderline"/>
          <w:highlight w:val="green"/>
        </w:rPr>
        <w:t>Framing the problem as one of dealing with newcomers ignores the 400-year history of racism in this country</w:t>
      </w:r>
      <w:r w:rsidRPr="003038F5">
        <w:rPr>
          <w:rStyle w:val="StyleUnderline"/>
        </w:rPr>
        <w:t xml:space="preserve">. </w:t>
      </w:r>
      <w:r w:rsidRPr="003038F5">
        <w:rPr>
          <w:rStyle w:val="StyleUnderline"/>
          <w:highlight w:val="green"/>
        </w:rPr>
        <w:t>It ignores the privileges of whiteness</w:t>
      </w:r>
      <w:r w:rsidRPr="003038F5">
        <w:rPr>
          <w:rStyle w:val="StyleUnderline"/>
        </w:rPr>
        <w:t xml:space="preserve">. It ignores </w:t>
      </w:r>
      <w:r w:rsidRPr="003038F5">
        <w:rPr>
          <w:rStyle w:val="StyleUnderline"/>
          <w:highlight w:val="green"/>
        </w:rPr>
        <w:t>that race is not synonymous with culture</w:t>
      </w:r>
      <w:r w:rsidRPr="003038F5">
        <w:rPr>
          <w:rStyle w:val="StyleUnderline"/>
        </w:rPr>
        <w:t xml:space="preserve">. It ignores </w:t>
      </w:r>
      <w:r w:rsidRPr="003038F5">
        <w:rPr>
          <w:rStyle w:val="StyleUnderline"/>
          <w:highlight w:val="green"/>
        </w:rPr>
        <w:t>that racism is a system of material distribution of resources that has nothing to do with cultural practices of those deemed "Other" in this white dominated society.</w:t>
      </w:r>
      <w:r w:rsidRPr="003038F5">
        <w:rPr>
          <w:rStyle w:val="StyleUnderline"/>
        </w:rPr>
        <w:t xml:space="preserve"> It ignores </w:t>
      </w:r>
      <w:r w:rsidRPr="003038F5">
        <w:rPr>
          <w:rStyle w:val="StyleUnderline"/>
          <w:highlight w:val="green"/>
        </w:rPr>
        <w:t>that racism is part of our culture</w:t>
      </w:r>
      <w:r w:rsidRPr="003038F5">
        <w:rPr>
          <w:rStyle w:val="StyleUnderline"/>
        </w:rPr>
        <w:t xml:space="preserve">. </w:t>
      </w:r>
      <w:r w:rsidRPr="003038F5">
        <w:rPr>
          <w:rStyle w:val="StyleUnderline"/>
          <w:highlight w:val="green"/>
        </w:rPr>
        <w:t>Racism is not a problem of "Other" cultures but of white supremacy and historical practices of systemic material disenfranchisement of people of color. We need anti-racist practices to dismantle the systems and change social norms. Cultural competency programs still focus attention on the "Other." What we need is to focus attention on whiteness.</w:t>
      </w:r>
    </w:p>
    <w:p w:rsidR="00CC593C" w:rsidRPr="003038F5" w:rsidRDefault="00CC593C" w:rsidP="00CC593C">
      <w:pPr>
        <w:rPr>
          <w:rStyle w:val="StyleUnderline"/>
        </w:rPr>
      </w:pPr>
      <w:r w:rsidRPr="003038F5">
        <w:rPr>
          <w:rStyle w:val="StyleUnderline"/>
          <w:highlight w:val="green"/>
        </w:rPr>
        <w:t>Cultural competency is more palatable to many white people and organizations</w:t>
      </w:r>
      <w:r w:rsidRPr="003038F5">
        <w:rPr>
          <w:rStyle w:val="StyleUnderline"/>
        </w:rPr>
        <w:t xml:space="preserve"> (such as universities and school districts) </w:t>
      </w:r>
      <w:r w:rsidRPr="003038F5">
        <w:rPr>
          <w:rStyle w:val="StyleUnderline"/>
          <w:highlight w:val="green"/>
        </w:rPr>
        <w:t>because no one has to admit or acknowledge a system of racism in order to admit they don't know anything about</w:t>
      </w:r>
      <w:r w:rsidRPr="003038F5">
        <w:rPr>
          <w:rStyle w:val="StyleUnderline"/>
        </w:rPr>
        <w:t xml:space="preserve"> Hmong or Bosnian </w:t>
      </w:r>
      <w:r w:rsidRPr="003038F5">
        <w:rPr>
          <w:rStyle w:val="StyleUnderline"/>
          <w:highlight w:val="green"/>
        </w:rPr>
        <w:t>culture</w:t>
      </w:r>
      <w:r w:rsidRPr="003038F5">
        <w:rPr>
          <w:rStyle w:val="StyleUnderline"/>
        </w:rPr>
        <w:t xml:space="preserve">. But if we still exclude people of color from AP courses and assume Asian "looking" immigrants should be put directly into ESL programs, </w:t>
      </w:r>
      <w:r w:rsidRPr="003038F5">
        <w:rPr>
          <w:rStyle w:val="StyleUnderline"/>
          <w:highlight w:val="green"/>
        </w:rPr>
        <w:t>then we are not challenging the material realities of racism.</w:t>
      </w:r>
    </w:p>
    <w:p w:rsidR="00CC593C" w:rsidRDefault="00CC593C" w:rsidP="00CC593C">
      <w:pPr>
        <w:rPr>
          <w:rStyle w:val="StyleUnderline"/>
        </w:rPr>
      </w:pPr>
    </w:p>
    <w:p w:rsidR="00343441" w:rsidRDefault="00343441" w:rsidP="00343441">
      <w:pPr>
        <w:pStyle w:val="Heading4"/>
      </w:pPr>
      <w:r>
        <w:t xml:space="preserve">Cultural competence fails and is more likely to result in </w:t>
      </w:r>
      <w:r w:rsidR="004B70BE">
        <w:t>resentment and masking of the realities of racism</w:t>
      </w:r>
    </w:p>
    <w:p w:rsidR="004B70BE" w:rsidRPr="004B70BE" w:rsidRDefault="004B70BE" w:rsidP="004B70BE">
      <w:r>
        <w:t>- even if defensive reactions are necessary to change attitudes, studies show that cultural competence training in particular never moves past defensiveness</w:t>
      </w:r>
    </w:p>
    <w:p w:rsidR="00343441" w:rsidRPr="00025F97" w:rsidRDefault="00343441" w:rsidP="00343441">
      <w:pPr>
        <w:rPr>
          <w:rStyle w:val="Style13ptBold"/>
        </w:rPr>
      </w:pPr>
      <w:r w:rsidRPr="00025F97">
        <w:rPr>
          <w:rStyle w:val="Style13ptBold"/>
        </w:rPr>
        <w:t>Abrams 06</w:t>
      </w:r>
    </w:p>
    <w:p w:rsidR="00343441" w:rsidRDefault="00343441" w:rsidP="00343441">
      <w:r>
        <w:t xml:space="preserve">Laura S. Abrams, University of California at Los Angeles, Jené A. Moio, University of California at Los Angeles, </w:t>
      </w:r>
      <w:r w:rsidRPr="00977EF8">
        <w:t xml:space="preserve">Journal of Social Work Education, </w:t>
      </w:r>
      <w:r>
        <w:t>Spring/Summer 2006, “CRITICAL RACE THEORY AND THE CULTURAL COMPETENCE DILEMMA IN SOCIAL WORK EDUCATION”, Vol. 45, No. 2, p. 245</w:t>
      </w:r>
    </w:p>
    <w:p w:rsidR="00343441" w:rsidRDefault="00343441" w:rsidP="00343441"/>
    <w:p w:rsidR="00343441" w:rsidRDefault="00343441" w:rsidP="00343441">
      <w:r>
        <w:t>Critiques of Cultural Competence</w:t>
      </w:r>
    </w:p>
    <w:p w:rsidR="00343441" w:rsidRDefault="00343441" w:rsidP="00343441">
      <w:r w:rsidRPr="00EF2F2E">
        <w:rPr>
          <w:rStyle w:val="StyleUnderline"/>
        </w:rPr>
        <w:t>Scholars adopting a critical lens toward the cultural competence model often contend</w:t>
      </w:r>
      <w:r>
        <w:t xml:space="preserve"> that </w:t>
      </w:r>
      <w:r w:rsidRPr="00EF2F2E">
        <w:rPr>
          <w:rStyle w:val="StyleUnderline"/>
        </w:rPr>
        <w:t>the framework’s focus on individual attitudes leaves social workers unequipped to deal with institutional racism and oppression on all of the levels where it permeates</w:t>
      </w:r>
      <w:r>
        <w:t xml:space="preserve">—individually, structurally, and globally (Pollack, 2004; Razack, 1999; Razack &amp; Jeffery, 2002; Yee, 2005). In historically tracing social work’s various movements surrounding diversity, Potocky (1997) notes that the “cultural sensitivity” model targets change at the level of social workers’ personal beliefs and agency practices, whereas the “antioppression model” works toward change across individual, agency, and systems levels. Hence, an overarching critique of </w:t>
      </w:r>
      <w:r w:rsidRPr="00EF2F2E">
        <w:rPr>
          <w:rStyle w:val="Emphasis"/>
        </w:rPr>
        <w:t>the cultural competence framework</w:t>
      </w:r>
      <w:r>
        <w:t xml:space="preserve"> is that it </w:t>
      </w:r>
      <w:r w:rsidRPr="00EF2F2E">
        <w:rPr>
          <w:rStyle w:val="Emphasis"/>
        </w:rPr>
        <w:t>does not reach far enough in addressing systemic and institutionalized oppressions</w:t>
      </w:r>
      <w:r>
        <w:t xml:space="preserve">. </w:t>
      </w:r>
      <w:r w:rsidRPr="00EF2F2E">
        <w:rPr>
          <w:rStyle w:val="StyleUnderline"/>
        </w:rPr>
        <w:t>Additional critiques of cultural competence emerge from philosophical angles as well as</w:t>
      </w:r>
      <w:r>
        <w:t xml:space="preserve"> </w:t>
      </w:r>
      <w:r w:rsidRPr="00EF2F2E">
        <w:rPr>
          <w:rStyle w:val="Emphasis"/>
        </w:rPr>
        <w:t>limited empirical evidence</w:t>
      </w:r>
      <w:r>
        <w:t>. In the following sections we organize these critiques thematically, paying specific attention to the preparation of students to grapple with enduring and systemic race-based oppression.</w:t>
      </w:r>
    </w:p>
    <w:p w:rsidR="00343441" w:rsidRPr="009F199B" w:rsidRDefault="00343441" w:rsidP="00343441">
      <w:pPr>
        <w:rPr>
          <w:rStyle w:val="Emphasis"/>
        </w:rPr>
      </w:pPr>
      <w:r w:rsidRPr="009F199B">
        <w:rPr>
          <w:rStyle w:val="Emphasis"/>
        </w:rPr>
        <w:t>Pedagogical Pitfalls</w:t>
      </w:r>
    </w:p>
    <w:p w:rsidR="00343441" w:rsidRDefault="00343441" w:rsidP="00343441">
      <w:r w:rsidRPr="009F199B">
        <w:rPr>
          <w:rStyle w:val="StyleUnderline"/>
        </w:rPr>
        <w:t>Challenges raised regarding the delivery of effective cultural competence education include</w:t>
      </w:r>
      <w:r>
        <w:t xml:space="preserve"> </w:t>
      </w:r>
      <w:r w:rsidRPr="009F199B">
        <w:rPr>
          <w:rStyle w:val="Emphasis"/>
        </w:rPr>
        <w:t>student readiness</w:t>
      </w:r>
      <w:r>
        <w:t xml:space="preserve">, </w:t>
      </w:r>
      <w:r w:rsidRPr="009F199B">
        <w:rPr>
          <w:rStyle w:val="Emphasis"/>
        </w:rPr>
        <w:t>teacher preparation</w:t>
      </w:r>
      <w:r>
        <w:t xml:space="preserve">, </w:t>
      </w:r>
      <w:r w:rsidRPr="009F199B">
        <w:rPr>
          <w:rStyle w:val="StyleUnderline"/>
        </w:rPr>
        <w:t>and</w:t>
      </w:r>
      <w:r>
        <w:t xml:space="preserve"> possible </w:t>
      </w:r>
      <w:r w:rsidRPr="009F199B">
        <w:rPr>
          <w:rStyle w:val="Emphasis"/>
        </w:rPr>
        <w:t>resistance from both groups</w:t>
      </w:r>
      <w:r>
        <w:t xml:space="preserve">. Lee and Greene (2003) and Razack (1999) argue that </w:t>
      </w:r>
      <w:r w:rsidRPr="009F199B">
        <w:rPr>
          <w:rStyle w:val="StyleUnderline"/>
        </w:rPr>
        <w:t>the teaching of diversity content in social work education is often hindered by a lack of student readiness to deal with difficult or contentious discussions about race or other oppressions in the classroom setting</w:t>
      </w:r>
      <w:r>
        <w:t xml:space="preserve">. Related to this lack of readiness, </w:t>
      </w:r>
      <w:r w:rsidRPr="009F199B">
        <w:rPr>
          <w:rStyle w:val="StyleUnderline"/>
        </w:rPr>
        <w:t>a common reaction to discussing racism</w:t>
      </w:r>
      <w:r>
        <w:t xml:space="preserve">, structural disadvantages, or oppression </w:t>
      </w:r>
      <w:r w:rsidRPr="009F199B">
        <w:rPr>
          <w:rStyle w:val="StyleUnderline"/>
        </w:rPr>
        <w:t>is resistance to the material, particularly when the conversation turns to</w:t>
      </w:r>
      <w:r>
        <w:t xml:space="preserve"> issues of privilege, and </w:t>
      </w:r>
      <w:r w:rsidRPr="009F199B">
        <w:rPr>
          <w:rStyle w:val="StyleUnderline"/>
        </w:rPr>
        <w:t>White privilege</w:t>
      </w:r>
      <w:r>
        <w:t xml:space="preserve"> in particular (Abrams &amp; Gibson, 2007). Resistance in this context means that </w:t>
      </w:r>
      <w:r w:rsidRPr="009F199B">
        <w:rPr>
          <w:rStyle w:val="StyleUnderline"/>
        </w:rPr>
        <w:t>students tend to deny their own role in occupying privileged or more powerful social identity positions, and it may even take the form of outward anger, resentment, or an overwhelming sense of guilt</w:t>
      </w:r>
      <w:r>
        <w:t xml:space="preserve"> (Julia, 2000). Although resistance to locating the self in the privilege-oppression spectrum can occur for any individual, most empirical research has specifically examined White privilege. Garcia and Van Soest’s (1997) study of 43 MSW students enrolled in a mandatory cultural diversity class lends some support to these philosophical charges. They found that 71% of White students reported that their own privilege acted as a barrier to learning about or accepting the existence of oppression. </w:t>
      </w:r>
      <w:r w:rsidRPr="000508B4">
        <w:rPr>
          <w:rStyle w:val="StyleUnderline"/>
        </w:rPr>
        <w:t>In addition</w:t>
      </w:r>
      <w:r>
        <w:t xml:space="preserve">, Le-Doux and Montalvo’s (1999) national survey of 75 deans and directors of accredited graduate social work programs and 45 social work faculty teaching diversity content (and including a review of 32 course syllabi) found that </w:t>
      </w:r>
      <w:r w:rsidRPr="000508B4">
        <w:rPr>
          <w:rStyle w:val="StyleUnderline"/>
        </w:rPr>
        <w:t>instructors experienced defensiveness, anger, and denial as common reactions to the presentation of diversity material</w:t>
      </w:r>
      <w:r>
        <w:t xml:space="preserve">. </w:t>
      </w:r>
      <w:r w:rsidRPr="000508B4">
        <w:rPr>
          <w:rStyle w:val="Emphasis"/>
        </w:rPr>
        <w:t>The issue is not that these reactions arise</w:t>
      </w:r>
      <w:r>
        <w:t xml:space="preserve">, </w:t>
      </w:r>
      <w:r w:rsidRPr="000508B4">
        <w:rPr>
          <w:rStyle w:val="StyleUnderline"/>
        </w:rPr>
        <w:t>because the literature on teaching about White privilege suggests</w:t>
      </w:r>
      <w:r>
        <w:t xml:space="preserve"> that </w:t>
      </w:r>
      <w:r w:rsidRPr="000508B4">
        <w:rPr>
          <w:rStyle w:val="StyleUnderline"/>
        </w:rPr>
        <w:t>these responses are part of a normative process</w:t>
      </w:r>
      <w:r>
        <w:t xml:space="preserve"> (Abrams &amp; Gibson, 2007). </w:t>
      </w:r>
      <w:r w:rsidRPr="000508B4">
        <w:rPr>
          <w:rStyle w:val="Emphasis"/>
        </w:rPr>
        <w:t>Rather, it is that the cultural competence model may not move students from these more primary defensive responses to a more refined critique of privilege and then to collective social action</w:t>
      </w:r>
      <w:r>
        <w:t xml:space="preserve"> (Helms, 1995).</w:t>
      </w:r>
    </w:p>
    <w:p w:rsidR="00343441" w:rsidRDefault="00343441" w:rsidP="00343441">
      <w:r>
        <w:t xml:space="preserve">Other scholars argue that </w:t>
      </w:r>
      <w:r w:rsidRPr="000508B4">
        <w:rPr>
          <w:rStyle w:val="StyleUnderline"/>
        </w:rPr>
        <w:t>the delivery of cultural competence</w:t>
      </w:r>
      <w:r>
        <w:t xml:space="preserve"> or diversity education in social work </w:t>
      </w:r>
      <w:r w:rsidRPr="000508B4">
        <w:rPr>
          <w:rStyle w:val="StyleUnderline"/>
        </w:rPr>
        <w:t>can be hindered by instructors’ lack of preparation and training in this area</w:t>
      </w:r>
      <w:r>
        <w:t xml:space="preserve"> (Petrovich &amp; Lowe, 2005; Razack, 1999). </w:t>
      </w:r>
      <w:r w:rsidRPr="000508B4">
        <w:rPr>
          <w:rStyle w:val="StyleUnderline"/>
        </w:rPr>
        <w:t>LeDoux and Montalvo’s</w:t>
      </w:r>
      <w:r>
        <w:t xml:space="preserve"> (1999) </w:t>
      </w:r>
      <w:r w:rsidRPr="000508B4">
        <w:rPr>
          <w:rStyle w:val="StyleUnderline"/>
        </w:rPr>
        <w:t>study found a heavy reliance among instructors on traditional methods to deliver diversity education</w:t>
      </w:r>
      <w:r>
        <w:t xml:space="preserve">. They suggest that </w:t>
      </w:r>
      <w:r w:rsidRPr="00001BF1">
        <w:rPr>
          <w:rStyle w:val="Emphasis"/>
        </w:rPr>
        <w:t>these traditional didactic methods are not appropriate for this course content</w:t>
      </w:r>
      <w:r>
        <w:t xml:space="preserve">, which requires skills in facilitating difficult discussions and contending with group dynamics. Moreover, </w:t>
      </w:r>
      <w:r w:rsidRPr="00001BF1">
        <w:rPr>
          <w:rStyle w:val="StyleUnderline"/>
        </w:rPr>
        <w:t>based on their personal or professional backgrounds, educators may not be ready to deal with the type of intense personal or interpersonal reactions that can arise when engaging in discussions about racism or other oppressions</w:t>
      </w:r>
      <w:r>
        <w:t>. Garcia and Van Soest’s (2000) empirical study of 304 graduate- and undergraduate-level social work faculty found that faculty of color and junior faculty were more likely to respond with sensitivity to “critical events” (such as conflicts or arguments about diversity issues) than were White or more senior faculty. They argue that faculty must “develop comfort with discussing issues related to diversity in order to demonstrate how to place perspective on heated and strained interaction” (2000, p. 35). Hence, they concur with Le-Doux and Montalvo (1999) that training teachers how to facilitate meaningful dialogues about race and racism is needed to effectively implement a diversity curriculum.</w:t>
      </w:r>
    </w:p>
    <w:p w:rsidR="00343441" w:rsidRDefault="00343441" w:rsidP="00343441">
      <w:r>
        <w:t>Learning Outcomes</w:t>
      </w:r>
    </w:p>
    <w:p w:rsidR="00343441" w:rsidRDefault="00343441" w:rsidP="00343441">
      <w:r w:rsidRPr="00001BF1">
        <w:rPr>
          <w:rStyle w:val="StyleUnderline"/>
        </w:rPr>
        <w:t>A longstanding, overarching critique of the cultural competence framework is that it</w:t>
      </w:r>
      <w:r>
        <w:t xml:space="preserve"> </w:t>
      </w:r>
      <w:r w:rsidRPr="00001BF1">
        <w:rPr>
          <w:rStyle w:val="Emphasis"/>
        </w:rPr>
        <w:t>lacks the specificity needed to attain any concrete learning or practice objectives</w:t>
      </w:r>
      <w:r>
        <w:t xml:space="preserve"> (Furness, 2005; Horner &amp; Borrero, 1981; Julia, 2000; Williams, 2006). There are few empirical outcome studies, however, to support this claim, and those that do exist are typically pilot or exploratory (Garcia &amp; Van Soest, 1997; Petrovich &amp; Lowe, 2005). Yet </w:t>
      </w:r>
      <w:r w:rsidRPr="00001BF1">
        <w:t xml:space="preserve">the </w:t>
      </w:r>
      <w:r w:rsidRPr="00001BF1">
        <w:rPr>
          <w:rStyle w:val="Emphasis"/>
        </w:rPr>
        <w:t>findings</w:t>
      </w:r>
      <w:r w:rsidRPr="00001BF1">
        <w:t xml:space="preserve"> derived </w:t>
      </w:r>
      <w:r w:rsidRPr="00001BF1">
        <w:rPr>
          <w:rStyle w:val="Emphasis"/>
        </w:rPr>
        <w:t>from</w:t>
      </w:r>
      <w:r w:rsidRPr="00001BF1">
        <w:t xml:space="preserve"> these</w:t>
      </w:r>
      <w:r w:rsidRPr="00686A75">
        <w:t xml:space="preserve"> </w:t>
      </w:r>
      <w:r w:rsidRPr="00001BF1">
        <w:rPr>
          <w:rStyle w:val="Emphasis"/>
        </w:rPr>
        <w:t>exploratory studies cast</w:t>
      </w:r>
      <w:r>
        <w:t xml:space="preserve"> some </w:t>
      </w:r>
      <w:r w:rsidRPr="00001BF1">
        <w:rPr>
          <w:rStyle w:val="Emphasis"/>
        </w:rPr>
        <w:t>doubt that learning outcomes are actually attained</w:t>
      </w:r>
      <w:r>
        <w:t xml:space="preserve">. For example, Bronstein, Berman-Rossi, and Winfield’s (2002) </w:t>
      </w:r>
      <w:r w:rsidRPr="00686A75">
        <w:rPr>
          <w:rStyle w:val="StyleUnderline"/>
        </w:rPr>
        <w:t>study of 57 students in direct practice courses found that students were not learning as much content on oppression as faculty stated they were teaching</w:t>
      </w:r>
      <w:r>
        <w:t xml:space="preserve">. Moreover, in a recent focus group study of alumni and current students of an MSW program, both students and alumni expressed the need for a greater level of transferability of cultural competence principles to field and agency settings (Petrovich &amp; Lowe, 2005). In a more removed outcome measure, Green, Kiernan-Stern, and Baskind’s (2005) survey of 257 White NASW members found that social workers’ cognitive attitudes about race were more positive than their affective attitudes, and that their beliefs about the existence of racism did not differ widely from those of the wider American public. These </w:t>
      </w:r>
      <w:r w:rsidRPr="00686A75">
        <w:rPr>
          <w:rStyle w:val="StyleUnderline"/>
        </w:rPr>
        <w:t>empirical studies suggest</w:t>
      </w:r>
      <w:r>
        <w:t xml:space="preserve"> that </w:t>
      </w:r>
      <w:r w:rsidRPr="00686A75">
        <w:rPr>
          <w:rStyle w:val="StyleUnderline"/>
        </w:rPr>
        <w:t>the transfer of cultural competence learning to practice situations may be an area of concern</w:t>
      </w:r>
      <w:r>
        <w:t>; however, it is difficult to generalize from these studies given their sample sizes and design limitations.</w:t>
      </w:r>
    </w:p>
    <w:p w:rsidR="00343441" w:rsidRDefault="00343441" w:rsidP="00343441">
      <w:r>
        <w:t>Diffusion of Racism and Color Blindness</w:t>
      </w:r>
    </w:p>
    <w:p w:rsidR="00343441" w:rsidRDefault="00343441" w:rsidP="00343441">
      <w:r>
        <w:t xml:space="preserve">As highlighted earlier, </w:t>
      </w:r>
      <w:r w:rsidRPr="007824FC">
        <w:rPr>
          <w:rStyle w:val="StyleUnderline"/>
        </w:rPr>
        <w:t>the cultural competence model has increasingly expanded its focus to include many categories of social difference</w:t>
      </w:r>
      <w:r>
        <w:t xml:space="preserve">. Schiele (2007) argues that </w:t>
      </w:r>
      <w:r w:rsidRPr="007824FC">
        <w:rPr>
          <w:rStyle w:val="StyleUnderline"/>
        </w:rPr>
        <w:t>although this broadening was a foreseeable response to emerging knowledge about the complexity of multiple identities and increasingly vocal activism about multiple forms of oppression, this diffusion of information produces an “equality of oppressions” paradigm that tends to</w:t>
      </w:r>
      <w:r>
        <w:t xml:space="preserve"> </w:t>
      </w:r>
      <w:r w:rsidRPr="007824FC">
        <w:rPr>
          <w:rStyle w:val="Emphasis"/>
        </w:rPr>
        <w:t>downplay racism’s persistent legacy and leaves social workers unprepared to deal with the realities of racism</w:t>
      </w:r>
      <w:r>
        <w:t xml:space="preserve">, both systemically and interpersonally. Razack and Jeffery (2002) likewise contend that the fundamental problem of approaching racism in the cultural sensitivity framework is the leveling of oppressions, which instructors and students might find more comfortable (and fair) because it avoids a hierarchy of oppressions, but it leaves unquestioned the racialized values and beliefs that drive our fundamental social institutions. </w:t>
      </w:r>
      <w:r w:rsidRPr="002878CC">
        <w:rPr>
          <w:rStyle w:val="StyleUnderline"/>
        </w:rPr>
        <w:t>Le-Doux and Montalvo’s</w:t>
      </w:r>
      <w:r>
        <w:t xml:space="preserve"> (1999) </w:t>
      </w:r>
      <w:r w:rsidRPr="002878CC">
        <w:rPr>
          <w:rStyle w:val="StyleUnderline"/>
        </w:rPr>
        <w:t>national survey empirically supports these arguments about the diffusion of race in the cultural competence model</w:t>
      </w:r>
      <w:r>
        <w:t>. For example, the course syllabi they reviewed include a “very diluted curricula” that spans many groups with “a little something for everyone” (p. 49).</w:t>
      </w:r>
    </w:p>
    <w:p w:rsidR="00343441" w:rsidRDefault="00343441" w:rsidP="00343441">
      <w:r>
        <w:t xml:space="preserve">Further, by leveling race under the auspices of a “multicultural umbrella,” critics charge that </w:t>
      </w:r>
      <w:r w:rsidRPr="002878CC">
        <w:rPr>
          <w:rStyle w:val="StyleUnderline"/>
        </w:rPr>
        <w:t>social work’s cultural competence curriculum may</w:t>
      </w:r>
      <w:r>
        <w:t xml:space="preserve"> </w:t>
      </w:r>
      <w:r w:rsidRPr="002878CC">
        <w:rPr>
          <w:rStyle w:val="Emphasis"/>
        </w:rPr>
        <w:t>unintentionally reinforce a color-blind paradigm that teaches students to ignore racial differences</w:t>
      </w:r>
      <w:r>
        <w:t xml:space="preserve"> (Schiele, 2007; Yee, 2005). Color blindness is associated with the liberal 1970s ideal of learning not to see race or color in an attempt to eliminate personal prejudices and to promote a “level playing field.” According to Carniol (2005), color blindness precludes analysis of contradictions among claims of neutrality, fairness, and equality, and the below-surface reality of discrimination in everyday practice and policy. Empirical support for these arguments about the color-blind results of social work education is limited. However, </w:t>
      </w:r>
      <w:r w:rsidRPr="0039410F">
        <w:rPr>
          <w:rStyle w:val="StyleUnderline"/>
        </w:rPr>
        <w:t>Van Soest’s</w:t>
      </w:r>
      <w:r>
        <w:t xml:space="preserve"> (1996) quasi-experimental </w:t>
      </w:r>
      <w:r w:rsidRPr="0039410F">
        <w:rPr>
          <w:rStyle w:val="StyleUnderline"/>
        </w:rPr>
        <w:t>study of 222 MSW students, most of whom were White, found that exposure to a cultural diversity class</w:t>
      </w:r>
      <w:r>
        <w:t xml:space="preserve"> </w:t>
      </w:r>
      <w:r w:rsidRPr="0039410F">
        <w:rPr>
          <w:rStyle w:val="Emphasis"/>
        </w:rPr>
        <w:t>actually increased respondents’ belief in a “just world,”</w:t>
      </w:r>
      <w:r>
        <w:t xml:space="preserve"> meaning a fundamentally fair and equal society, </w:t>
      </w:r>
      <w:r w:rsidRPr="0039410F">
        <w:rPr>
          <w:rStyle w:val="Emphasis"/>
        </w:rPr>
        <w:t>despite the intent of the class</w:t>
      </w:r>
      <w:r>
        <w:t xml:space="preserve"> </w:t>
      </w:r>
      <w:r w:rsidRPr="0039410F">
        <w:rPr>
          <w:rStyle w:val="StyleUnderline"/>
        </w:rPr>
        <w:t>to expose students to the realities of structural disadvantages such as racism and sexism</w:t>
      </w:r>
      <w:r>
        <w:t xml:space="preserve">. </w:t>
      </w:r>
      <w:r w:rsidRPr="0039410F">
        <w:t xml:space="preserve">Similarly, Julia’s (2000) study of 75 students at a midwestern university found a great deal of complacency among students about the existence of racism in American society. Although more rigorous research is needed, these </w:t>
      </w:r>
      <w:r w:rsidRPr="0039410F">
        <w:rPr>
          <w:rStyle w:val="StyleUnderline"/>
        </w:rPr>
        <w:t>data lend</w:t>
      </w:r>
      <w:r w:rsidRPr="0039410F">
        <w:t xml:space="preserve"> some </w:t>
      </w:r>
      <w:r w:rsidRPr="0039410F">
        <w:rPr>
          <w:rStyle w:val="StyleUnderline"/>
        </w:rPr>
        <w:t>empirical support to the argument that</w:t>
      </w:r>
      <w:r w:rsidRPr="0039410F">
        <w:t xml:space="preserve"> </w:t>
      </w:r>
      <w:r w:rsidRPr="0039410F">
        <w:rPr>
          <w:rStyle w:val="Emphasis"/>
        </w:rPr>
        <w:t>the cultural competence model’s focus on individual attitudes</w:t>
      </w:r>
      <w:r>
        <w:t xml:space="preserve"> and its diffuse survey of cultural and social groups </w:t>
      </w:r>
      <w:r w:rsidRPr="0039410F">
        <w:rPr>
          <w:rStyle w:val="Emphasis"/>
        </w:rPr>
        <w:t>may not effectively prepare students to grapple with the realities of racism</w:t>
      </w:r>
      <w:r>
        <w:t>.</w:t>
      </w:r>
    </w:p>
    <w:p w:rsidR="00343441" w:rsidRDefault="00343441" w:rsidP="004426AB"/>
    <w:p w:rsidR="004426AB" w:rsidRDefault="004426AB" w:rsidP="004426AB">
      <w:pPr>
        <w:pStyle w:val="Heading4"/>
      </w:pPr>
      <w:r>
        <w:t>Training programs are counterproductive</w:t>
      </w:r>
    </w:p>
    <w:p w:rsidR="004426AB" w:rsidRPr="00EC4E53" w:rsidRDefault="004426AB" w:rsidP="004426AB">
      <w:pPr>
        <w:rPr>
          <w:rStyle w:val="Style13ptBold"/>
        </w:rPr>
      </w:pPr>
      <w:r w:rsidRPr="00EC4E53">
        <w:rPr>
          <w:rStyle w:val="Style13ptBold"/>
        </w:rPr>
        <w:t>Taylor 10</w:t>
      </w:r>
    </w:p>
    <w:p w:rsidR="004426AB" w:rsidRDefault="004426AB" w:rsidP="004426AB">
      <w:r w:rsidRPr="00EC4E53">
        <w:t>Roben W. Taylor is a professor in the College of Education at Jacksonville State University</w:t>
      </w:r>
      <w:r>
        <w:t>, Multicultural Education, Spring 2010, “</w:t>
      </w:r>
      <w:r w:rsidRPr="00EC4E53">
        <w:t>THE ROLE OF TEACHER EDUCATION PROGRAMS IN CREATING CULTURALLY COMPETANT TEACHERS: A MORAL IMPERATIVE FOR ENSURING THE ACADEMIC SUCCESS OF DIVERSE STUDENT POPULATIONS</w:t>
      </w:r>
      <w:r>
        <w:t>”, 17.3, 24-28</w:t>
      </w:r>
    </w:p>
    <w:p w:rsidR="004426AB" w:rsidRDefault="004426AB" w:rsidP="004426AB"/>
    <w:p w:rsidR="004426AB" w:rsidRDefault="004426AB" w:rsidP="004426AB">
      <w:r w:rsidRPr="00AB006E">
        <w:rPr>
          <w:rStyle w:val="StyleUnderline"/>
        </w:rPr>
        <w:t>Although many TEPs have been redesigned</w:t>
      </w:r>
      <w:r>
        <w:t xml:space="preserve"> in an effort </w:t>
      </w:r>
      <w:r w:rsidRPr="00AB006E">
        <w:rPr>
          <w:rStyle w:val="StyleUnderline"/>
        </w:rPr>
        <w:t>to address</w:t>
      </w:r>
      <w:r>
        <w:t xml:space="preserve"> the </w:t>
      </w:r>
      <w:r w:rsidRPr="00AB006E">
        <w:rPr>
          <w:rStyle w:val="StyleUnderline"/>
        </w:rPr>
        <w:t>challenges facing educators today, such efforts are</w:t>
      </w:r>
      <w:r>
        <w:t xml:space="preserve"> </w:t>
      </w:r>
      <w:r w:rsidRPr="00AB006E">
        <w:rPr>
          <w:rStyle w:val="Emphasis"/>
        </w:rPr>
        <w:t>hampered by</w:t>
      </w:r>
      <w:r>
        <w:t xml:space="preserve"> the </w:t>
      </w:r>
      <w:r w:rsidRPr="00AB006E">
        <w:rPr>
          <w:rStyle w:val="Emphasis"/>
        </w:rPr>
        <w:t>persistence of practices</w:t>
      </w:r>
      <w:r>
        <w:t xml:space="preserve"> that are </w:t>
      </w:r>
      <w:r w:rsidRPr="00AB006E">
        <w:rPr>
          <w:rStyle w:val="Emphasis"/>
        </w:rPr>
        <w:t>counter to</w:t>
      </w:r>
      <w:r>
        <w:t xml:space="preserve"> the concept of </w:t>
      </w:r>
      <w:r w:rsidRPr="00AB006E">
        <w:rPr>
          <w:rStyle w:val="Emphasis"/>
        </w:rPr>
        <w:t>a culturally responsive pedagogy</w:t>
      </w:r>
      <w:r>
        <w:t xml:space="preserve">. For example, </w:t>
      </w:r>
      <w:r w:rsidRPr="00AB006E">
        <w:rPr>
          <w:rStyle w:val="StyleUnderline"/>
        </w:rPr>
        <w:t>many teacher educators promote the importance of constructivist and student-centered teaching practices while basing their own pedagogy on the traditional teacher-centered transmission models</w:t>
      </w:r>
      <w:r>
        <w:t xml:space="preserve"> of teaching and learning, </w:t>
      </w:r>
      <w:r w:rsidRPr="00AB006E">
        <w:rPr>
          <w:rStyle w:val="StyleUnderline"/>
        </w:rPr>
        <w:t>thereby negating the preservice teachers' potential to serve as a change agent</w:t>
      </w:r>
      <w:r>
        <w:t xml:space="preserve"> when they move into a K-12 classroom.</w:t>
      </w:r>
    </w:p>
    <w:p w:rsidR="004426AB" w:rsidRDefault="004426AB" w:rsidP="004426AB">
      <w:r w:rsidRPr="003A2EE1">
        <w:rPr>
          <w:rStyle w:val="StyleUnderline"/>
        </w:rPr>
        <w:t>In addition</w:t>
      </w:r>
      <w:r>
        <w:t xml:space="preserve">, in an effort </w:t>
      </w:r>
      <w:r w:rsidRPr="003A2EE1">
        <w:rPr>
          <w:rStyle w:val="StyleUnderline"/>
        </w:rPr>
        <w:t>to promote awareness about student diversity, many teacher educators will identify "typical" cultural features of different ethnic groups</w:t>
      </w:r>
      <w:r>
        <w:t xml:space="preserve">, </w:t>
      </w:r>
      <w:r w:rsidRPr="003A2EE1">
        <w:rPr>
          <w:rStyle w:val="Emphasis"/>
        </w:rPr>
        <w:t>thereby implying a monolithic and harmonious view of culture</w:t>
      </w:r>
      <w:r>
        <w:t xml:space="preserve">. </w:t>
      </w:r>
      <w:r w:rsidRPr="003A2EE1">
        <w:rPr>
          <w:rStyle w:val="StyleUnderline"/>
        </w:rPr>
        <w:t>This emphasis on single group studies</w:t>
      </w:r>
      <w:r>
        <w:t xml:space="preserve"> </w:t>
      </w:r>
      <w:r w:rsidRPr="003A2EE1">
        <w:rPr>
          <w:rStyle w:val="Emphasis"/>
        </w:rPr>
        <w:t>does not lead to meaningful treatment of cultural diversity</w:t>
      </w:r>
      <w:r>
        <w:t xml:space="preserve"> </w:t>
      </w:r>
      <w:r w:rsidRPr="003A2EE1">
        <w:rPr>
          <w:rStyle w:val="StyleUnderline"/>
        </w:rPr>
        <w:t>when teacher education students begin teaching, as they will opt instead for the "tourist approach,"</w:t>
      </w:r>
      <w:r w:rsidRPr="003A2EE1">
        <w:t xml:space="preserve"> </w:t>
      </w:r>
      <w:r w:rsidRPr="003A2EE1">
        <w:rPr>
          <w:rStyle w:val="Emphasis"/>
        </w:rPr>
        <w:t>focusing</w:t>
      </w:r>
      <w:r>
        <w:t xml:space="preserve"> mainly </w:t>
      </w:r>
      <w:r w:rsidRPr="003A2EE1">
        <w:rPr>
          <w:rStyle w:val="Emphasis"/>
        </w:rPr>
        <w:t>on superficial features of</w:t>
      </w:r>
      <w:r>
        <w:t xml:space="preserve"> a </w:t>
      </w:r>
      <w:r w:rsidRPr="003A2EE1">
        <w:rPr>
          <w:rStyle w:val="Emphasis"/>
        </w:rPr>
        <w:t>culture</w:t>
      </w:r>
      <w:r>
        <w:t xml:space="preserve"> (e.g., music, food, and celebrations).</w:t>
      </w:r>
    </w:p>
    <w:p w:rsidR="004426AB" w:rsidRDefault="004426AB" w:rsidP="004426AB">
      <w:r>
        <w:t xml:space="preserve">Most of what is written about special education focuses on individualized instruction and student ability levels. Therefore special education tends to deal with cultural diversity in the same way. Furthermore, </w:t>
      </w:r>
      <w:r w:rsidRPr="00DB7B62">
        <w:rPr>
          <w:rStyle w:val="StyleUnderline"/>
        </w:rPr>
        <w:t>when preservice and novice teachers, who are mostly from White middle-class backgrounds, work in urban schools where the racial makeup is mostly comprised of poor students from diverse backgrounds</w:t>
      </w:r>
      <w:r>
        <w:t xml:space="preserve">, </w:t>
      </w:r>
      <w:r w:rsidRPr="00DB7B62">
        <w:rPr>
          <w:rStyle w:val="Emphasis"/>
        </w:rPr>
        <w:t>the result is</w:t>
      </w:r>
      <w:r>
        <w:t xml:space="preserve"> an </w:t>
      </w:r>
      <w:r w:rsidRPr="00DB7B62">
        <w:rPr>
          <w:rStyle w:val="Emphasis"/>
        </w:rPr>
        <w:t>exacerbation of the problem as</w:t>
      </w:r>
      <w:r>
        <w:t xml:space="preserve"> the </w:t>
      </w:r>
      <w:r w:rsidRPr="00DB7B62">
        <w:rPr>
          <w:rStyle w:val="Emphasis"/>
        </w:rPr>
        <w:t>experience serves to confirm</w:t>
      </w:r>
      <w:r>
        <w:t xml:space="preserve"> their </w:t>
      </w:r>
      <w:r w:rsidRPr="00DB7B62">
        <w:rPr>
          <w:rStyle w:val="Emphasis"/>
        </w:rPr>
        <w:t>erroneous preconceived notions and beliefs about these students</w:t>
      </w:r>
      <w:r>
        <w:t xml:space="preserve">. It is interesting to note that </w:t>
      </w:r>
      <w:r w:rsidRPr="00DB7B62">
        <w:rPr>
          <w:rStyle w:val="StyleUnderline"/>
        </w:rPr>
        <w:t>multicultural TEPs have reported a</w:t>
      </w:r>
      <w:r>
        <w:t xml:space="preserve"> </w:t>
      </w:r>
      <w:r w:rsidRPr="00DB7B62">
        <w:rPr>
          <w:rStyle w:val="Emphasis"/>
        </w:rPr>
        <w:t>resistance</w:t>
      </w:r>
      <w:r>
        <w:t xml:space="preserve"> </w:t>
      </w:r>
      <w:r w:rsidRPr="00DB7B62">
        <w:rPr>
          <w:rStyle w:val="StyleUnderline"/>
        </w:rPr>
        <w:t>ranging from passive-aggressiveness to</w:t>
      </w:r>
      <w:r>
        <w:t xml:space="preserve"> </w:t>
      </w:r>
      <w:r w:rsidRPr="00DB7B62">
        <w:rPr>
          <w:rStyle w:val="Emphasis"/>
        </w:rPr>
        <w:t>open defiance and blatant racism from preservice teachers</w:t>
      </w:r>
      <w:r>
        <w:t xml:space="preserve"> </w:t>
      </w:r>
      <w:r w:rsidRPr="00DB7B62">
        <w:rPr>
          <w:rStyle w:val="StyleUnderline"/>
        </w:rPr>
        <w:t>exposed to culturally responsive pedagogical methodologies.</w:t>
      </w:r>
    </w:p>
    <w:p w:rsidR="004426AB" w:rsidRDefault="004426AB" w:rsidP="004426AB"/>
    <w:p w:rsidR="00AF074F" w:rsidRDefault="00AF074F" w:rsidP="00AF074F">
      <w:pPr>
        <w:pStyle w:val="Heading4"/>
      </w:pPr>
      <w:r>
        <w:t>Cultural training results in essentialism</w:t>
      </w:r>
    </w:p>
    <w:p w:rsidR="00AF074F" w:rsidRPr="00A73DDA" w:rsidRDefault="00AF074F" w:rsidP="00AF074F">
      <w:pPr>
        <w:rPr>
          <w:rStyle w:val="Style13ptBold"/>
        </w:rPr>
      </w:pPr>
      <w:r w:rsidRPr="00A73DDA">
        <w:rPr>
          <w:rStyle w:val="Style13ptBold"/>
        </w:rPr>
        <w:t>Sleeter 11</w:t>
      </w:r>
    </w:p>
    <w:p w:rsidR="00AF074F" w:rsidRDefault="00AF074F" w:rsidP="00AF074F">
      <w:r w:rsidRPr="00A13BF4">
        <w:t>Christine E. Sleeter is Professor and Planning Faculty Member at California State University-Monterey Bay</w:t>
      </w:r>
      <w:r>
        <w:t xml:space="preserve">, </w:t>
      </w:r>
      <w:r w:rsidRPr="00A73DDA">
        <w:t>English Teaching: Practice and Critique</w:t>
      </w:r>
      <w:r>
        <w:t>, July</w:t>
      </w:r>
      <w:r w:rsidRPr="00A73DDA">
        <w:t xml:space="preserve"> 2011, </w:t>
      </w:r>
      <w:r>
        <w:t>“</w:t>
      </w:r>
      <w:r w:rsidRPr="00FE3F57">
        <w:t>An agenda to strengthen culturally responsive pedagogy”</w:t>
      </w:r>
      <w:r>
        <w:t xml:space="preserve">, </w:t>
      </w:r>
      <w:r w:rsidRPr="00A73DDA">
        <w:t>Volume 10, Number 2</w:t>
      </w:r>
      <w:r>
        <w:t>, p. 7-23</w:t>
      </w:r>
    </w:p>
    <w:p w:rsidR="00AF074F" w:rsidRDefault="00AF074F" w:rsidP="00AF074F"/>
    <w:p w:rsidR="00AF074F" w:rsidRDefault="00AF074F" w:rsidP="00AF074F">
      <w:r w:rsidRPr="00EA70D1">
        <w:rPr>
          <w:rStyle w:val="StyleUnderline"/>
        </w:rPr>
        <w:t>Essentialising culture means assuming a</w:t>
      </w:r>
      <w:r>
        <w:t xml:space="preserve"> fairly </w:t>
      </w:r>
      <w:r w:rsidRPr="00EA70D1">
        <w:rPr>
          <w:rStyle w:val="StyleUnderline"/>
        </w:rPr>
        <w:t>fixed and homogeneous conception of the culture of a minoritised group, with an assumption</w:t>
      </w:r>
      <w:r>
        <w:t xml:space="preserve"> that </w:t>
      </w:r>
      <w:r w:rsidRPr="00EA70D1">
        <w:rPr>
          <w:rStyle w:val="StyleUnderline"/>
        </w:rPr>
        <w:t>students who are members of that group identify with that conception of who they are</w:t>
      </w:r>
      <w:r>
        <w:t>. As May and Sleeter (2010) put it, “</w:t>
      </w:r>
      <w:r w:rsidRPr="00EA70D1">
        <w:rPr>
          <w:rStyle w:val="StyleUnderline"/>
        </w:rPr>
        <w:t>Culture, often equated</w:t>
      </w:r>
      <w:r>
        <w:t xml:space="preserve"> or elided </w:t>
      </w:r>
      <w:r w:rsidRPr="00EA70D1">
        <w:rPr>
          <w:rStyle w:val="StyleUnderline"/>
        </w:rPr>
        <w:t>with ethnicity, is seen as a characteristic of individuals</w:t>
      </w:r>
      <w:r>
        <w:t>, and as a set of stable practices that can be described and taught” (p. 4). In New Zealand this might take the form of teachers (who may be Maori themselves) assuming that their own understanding of te ao Maori applies to all Maori, and that it gives them an understanding of their students that does not require input from the students themselves.</w:t>
      </w:r>
    </w:p>
    <w:p w:rsidR="00AF074F" w:rsidRDefault="00AF074F" w:rsidP="00AF074F">
      <w:r>
        <w:t xml:space="preserve">For example, </w:t>
      </w:r>
      <w:r w:rsidRPr="005B3D42">
        <w:rPr>
          <w:rStyle w:val="StyleUnderline"/>
        </w:rPr>
        <w:t>Ginwright</w:t>
      </w:r>
      <w:r>
        <w:t xml:space="preserve"> (2004) </w:t>
      </w:r>
      <w:r w:rsidRPr="005B3D42">
        <w:rPr>
          <w:rStyle w:val="StyleUnderline"/>
        </w:rPr>
        <w:t xml:space="preserve">documented an initiative in Oakland, California to transform an urban secondary school that served mainly Black youth from low income families. The African American educators leading the initiative wanted to improve students’ academic performance, prepare them for university, and make school district policies more equitable. To formulate a plan, they consulted with several prominent African American scholars who work with Afrocentric curriculum and pedagogy. The scholars persuaded the local educators to base reform in “African precepts, axioms, philosophy” </w:t>
      </w:r>
      <w:r>
        <w:t xml:space="preserve">(p. 80), </w:t>
      </w:r>
      <w:r w:rsidRPr="005B3D42">
        <w:rPr>
          <w:rStyle w:val="StyleUnderline"/>
        </w:rPr>
        <w:t>and to structure the curriculum around themes in African knowledge</w:t>
      </w:r>
      <w:r>
        <w:t xml:space="preserve"> in order to develop the students’ identity by connecting them with cultural and intellectual roots in Africa. </w:t>
      </w:r>
      <w:r w:rsidRPr="005B3D42">
        <w:rPr>
          <w:rStyle w:val="StyleUnderline"/>
        </w:rPr>
        <w:t>But as the reform was implemented</w:t>
      </w:r>
      <w:r>
        <w:t xml:space="preserve">, </w:t>
      </w:r>
      <w:r w:rsidRPr="005B3D42">
        <w:rPr>
          <w:rStyle w:val="Emphasis"/>
        </w:rPr>
        <w:t>the Black students rejected it because it ignored their needs and identity</w:t>
      </w:r>
      <w:r>
        <w:t xml:space="preserve">. Ginwright argues that </w:t>
      </w:r>
      <w:r w:rsidRPr="00A34DE9">
        <w:rPr>
          <w:rStyle w:val="StyleUnderline"/>
        </w:rPr>
        <w:t>the reform initiative</w:t>
      </w:r>
      <w:r>
        <w:t xml:space="preserve"> </w:t>
      </w:r>
      <w:r w:rsidRPr="00A34DE9">
        <w:rPr>
          <w:rStyle w:val="Emphasis"/>
        </w:rPr>
        <w:t>pitted two conceptions of Blackness against each other</w:t>
      </w:r>
      <w:r>
        <w:t xml:space="preserve">: </w:t>
      </w:r>
      <w:r w:rsidRPr="00A34DE9">
        <w:rPr>
          <w:rStyle w:val="StyleUnderline"/>
        </w:rPr>
        <w:t>that of middle class Black reformers who connected African and African American knowledge systems with origins in Egypt, and that of low-income urban Black youth whose central concerns revolved around practical needs such as housing and employment, and whose identity was formed through urban youth cultural forms and local experiences with racism and poverty.</w:t>
      </w:r>
    </w:p>
    <w:p w:rsidR="00AF074F" w:rsidRDefault="00AF074F" w:rsidP="00AF074F"/>
    <w:p w:rsidR="00AF074F" w:rsidRDefault="00AF074F" w:rsidP="00AF074F">
      <w:pPr>
        <w:pStyle w:val="Heading4"/>
      </w:pPr>
      <w:r>
        <w:t>Results in backlash</w:t>
      </w:r>
    </w:p>
    <w:p w:rsidR="00AF074F" w:rsidRPr="00A73DDA" w:rsidRDefault="00AF074F" w:rsidP="00AF074F">
      <w:pPr>
        <w:rPr>
          <w:rStyle w:val="Style13ptBold"/>
        </w:rPr>
      </w:pPr>
      <w:r w:rsidRPr="00A73DDA">
        <w:rPr>
          <w:rStyle w:val="Style13ptBold"/>
        </w:rPr>
        <w:t>Sleeter 11</w:t>
      </w:r>
    </w:p>
    <w:p w:rsidR="00AF074F" w:rsidRDefault="00AF074F" w:rsidP="00AF074F">
      <w:r w:rsidRPr="00A13BF4">
        <w:t>Christine E. Sleeter is Professor and Planning Faculty Member at California State University-Monterey Bay</w:t>
      </w:r>
      <w:r>
        <w:t xml:space="preserve">, </w:t>
      </w:r>
      <w:r w:rsidRPr="00A73DDA">
        <w:t>English Teaching: Practice and Critique</w:t>
      </w:r>
      <w:r>
        <w:t>, July</w:t>
      </w:r>
      <w:r w:rsidRPr="00A73DDA">
        <w:t xml:space="preserve"> 2011, </w:t>
      </w:r>
      <w:r>
        <w:t>“</w:t>
      </w:r>
      <w:r w:rsidRPr="00FE3F57">
        <w:t>An agenda to strengthen culturally responsive pedagogy”</w:t>
      </w:r>
      <w:r>
        <w:t xml:space="preserve">, </w:t>
      </w:r>
      <w:r w:rsidRPr="00A73DDA">
        <w:t>Volume 10, Number 2</w:t>
      </w:r>
      <w:r>
        <w:t>, p. 7-23</w:t>
      </w:r>
    </w:p>
    <w:p w:rsidR="00AF074F" w:rsidRDefault="00AF074F" w:rsidP="00AF074F"/>
    <w:p w:rsidR="00AF074F" w:rsidRDefault="00AF074F" w:rsidP="00AF074F">
      <w:r w:rsidRPr="00A34DE9">
        <w:rPr>
          <w:rStyle w:val="StyleUnderline"/>
        </w:rPr>
        <w:t>Culturally responsive pedagogy is not only</w:t>
      </w:r>
      <w:r>
        <w:t xml:space="preserve"> about </w:t>
      </w:r>
      <w:r w:rsidRPr="00A34DE9">
        <w:rPr>
          <w:rStyle w:val="StyleUnderline"/>
        </w:rPr>
        <w:t>teaching, but is</w:t>
      </w:r>
      <w:r>
        <w:t xml:space="preserve"> also </w:t>
      </w:r>
      <w:r w:rsidRPr="00A34DE9">
        <w:rPr>
          <w:rStyle w:val="StyleUnderline"/>
        </w:rPr>
        <w:t>a political endeavour directed toward equity and justice. Neoliberalism and its reforms based on standardisation and decontextualisation frame education as both a commodity for individual economic advancement and a tool to shape workers for the global economy</w:t>
      </w:r>
      <w:r>
        <w:t xml:space="preserve">. Although globally there is considerable variation in the extent to which school practice is being shaped around neoliberalism, neoliberal reforms are increasingly pervasive. Not only are they antithetical to culturally responsive pedagogy, but neoliberalism itself can be understood as a backlash movement against political gains of poor and minoritised peoples (see Harvey, 2005). Describing </w:t>
      </w:r>
      <w:r w:rsidRPr="00A34DE9">
        <w:rPr>
          <w:rStyle w:val="StyleUnderline"/>
        </w:rPr>
        <w:t>neoliberal reforms</w:t>
      </w:r>
      <w:r>
        <w:t xml:space="preserve"> as “backlash pedagogy”, Gutiérrez and colleagues (2002) note that they </w:t>
      </w:r>
      <w:r w:rsidRPr="00A34DE9">
        <w:rPr>
          <w:rStyle w:val="StyleUnderline"/>
        </w:rPr>
        <w:t>make it</w:t>
      </w:r>
      <w:r w:rsidRPr="00111F3E">
        <w:t xml:space="preserve"> “</w:t>
      </w:r>
      <w:r w:rsidRPr="000E7B39">
        <w:rPr>
          <w:rStyle w:val="Emphasis"/>
        </w:rPr>
        <w:t>professionally and</w:t>
      </w:r>
      <w:r w:rsidRPr="000E7B39">
        <w:t>, in some cases</w:t>
      </w:r>
      <w:r w:rsidRPr="00111F3E">
        <w:t xml:space="preserve"> </w:t>
      </w:r>
      <w:r w:rsidRPr="000E7B39">
        <w:rPr>
          <w:rStyle w:val="Emphasis"/>
        </w:rPr>
        <w:t>legally, risky</w:t>
      </w:r>
      <w:r>
        <w:t xml:space="preserve">” </w:t>
      </w:r>
      <w:r w:rsidRPr="000E7B39">
        <w:rPr>
          <w:rStyle w:val="StyleUnderline"/>
        </w:rPr>
        <w:t>to use culturally responsive practices that conflict with mandated “sameness” masquerading as equality for all</w:t>
      </w:r>
      <w:r>
        <w:t xml:space="preserve"> (p. 345). </w:t>
      </w:r>
      <w:r w:rsidRPr="000E7B39">
        <w:rPr>
          <w:rStyle w:val="StyleUnderline"/>
        </w:rPr>
        <w:t>As the work of teachers becomes increasingly prescribed</w:t>
      </w:r>
      <w:r>
        <w:t xml:space="preserve">, </w:t>
      </w:r>
      <w:r w:rsidRPr="000E7B39">
        <w:rPr>
          <w:rStyle w:val="Emphasis"/>
        </w:rPr>
        <w:t>attempts to work with culturally responsive pedagogy are increasingly difficult</w:t>
      </w:r>
      <w:r>
        <w:t xml:space="preserve">. </w:t>
      </w:r>
      <w:r w:rsidRPr="000E7B39">
        <w:rPr>
          <w:rStyle w:val="StyleUnderline"/>
        </w:rPr>
        <w:t>Teachers have less time to research and develop curriculum that students can relate to, non-tested curriculum disappears under pressure to raise test scores, and teachers are increasingly patrolled to make sure they are teaching the required curriculum</w:t>
      </w:r>
      <w:r>
        <w:t xml:space="preserve"> (Achinstein &amp; Ogawa, 2006; Comber &amp; Nixon, 2009; Flores, 2007; Gillborn &amp; Youdell, 2000; Sleeter &amp; Stillman, 2007).</w:t>
      </w:r>
    </w:p>
    <w:p w:rsidR="00AF074F" w:rsidRDefault="00AF074F" w:rsidP="00AF074F">
      <w:r>
        <w:t xml:space="preserve">Specifically, </w:t>
      </w:r>
      <w:r w:rsidRPr="009F5495">
        <w:rPr>
          <w:rStyle w:val="StyleUnderline"/>
        </w:rPr>
        <w:t>culturally responsive pedagogy may prompt descendents of colonisers to</w:t>
      </w:r>
      <w:r>
        <w:t xml:space="preserve"> </w:t>
      </w:r>
      <w:r w:rsidRPr="009F5495">
        <w:rPr>
          <w:rStyle w:val="Emphasis"/>
        </w:rPr>
        <w:t>enact backlash</w:t>
      </w:r>
      <w:r>
        <w:t xml:space="preserve"> toward indigenous peoples regarding who has legitimate claim to the land. Based on an example in Canada, Marker (2006) suggests that, because of the history of colonisation and theft of land, contemporary descendents of white invaders are deeply insecure “when confronted by the indigenous Other” (p. 485), and particularly expressions of “ancient and sustained relationships to land” (p. 486). Further, the Western conceptualisation of knowledge as rooted in science, objectivity, and progress, and of schooling as “assimilation into global technocratic norms” that are disconnected from any particular place (p. 502) clashes with traditional indigenous knowledge that is connected with place. </w:t>
      </w:r>
      <w:r w:rsidRPr="004E1574">
        <w:rPr>
          <w:rStyle w:val="StyleUnderline"/>
        </w:rPr>
        <w:t>A clash of worldviews about the purpose of schooling and nature of knowledge “has left nonnative educators in a haze of confusion about how to be culturally responsive to the indigenous community while conforming to the pressures and presumptions of cultural neutrality in mainstream schools”</w:t>
      </w:r>
      <w:r>
        <w:t xml:space="preserve"> (p. 502). </w:t>
      </w:r>
      <w:r w:rsidRPr="004E1574">
        <w:rPr>
          <w:rStyle w:val="StyleUnderline"/>
        </w:rPr>
        <w:t>Not only does the fundamental structure of indigenous knowledge conflict with that of Western knowledge, but the expectation that colonisers take seriously indigenous peoples’ relationship with land can</w:t>
      </w:r>
      <w:r>
        <w:t xml:space="preserve"> </w:t>
      </w:r>
      <w:r w:rsidRPr="004E1574">
        <w:rPr>
          <w:rStyle w:val="Emphasis"/>
        </w:rPr>
        <w:t>prompt backlash</w:t>
      </w:r>
      <w:r>
        <w:t>.</w:t>
      </w:r>
    </w:p>
    <w:p w:rsidR="004426AB" w:rsidRDefault="004426AB" w:rsidP="004426AB"/>
    <w:p w:rsidR="00E96178" w:rsidRDefault="00E96178" w:rsidP="004426AB"/>
    <w:p w:rsidR="00971741" w:rsidRDefault="00971741" w:rsidP="00971741">
      <w:pPr>
        <w:pStyle w:val="Heading3"/>
      </w:pPr>
    </w:p>
    <w:p w:rsidR="00971741" w:rsidRDefault="00971741" w:rsidP="00971741">
      <w:pPr>
        <w:pStyle w:val="Heading2"/>
      </w:pPr>
      <w:r>
        <w:t>advantage</w:t>
      </w:r>
    </w:p>
    <w:p w:rsidR="00971741" w:rsidRPr="00F77CD8" w:rsidRDefault="00971741" w:rsidP="00971741">
      <w:pPr>
        <w:pStyle w:val="Heading3"/>
      </w:pPr>
      <w:r w:rsidRPr="00F77CD8">
        <w:t>Struct-Viol Ans: Bad Theory—1NC</w:t>
      </w:r>
    </w:p>
    <w:p w:rsidR="00971741" w:rsidRPr="00F77CD8" w:rsidRDefault="00971741" w:rsidP="00971741"/>
    <w:p w:rsidR="00971741" w:rsidRPr="00F77CD8" w:rsidRDefault="00971741" w:rsidP="00971741">
      <w:pPr>
        <w:pStyle w:val="Heading4"/>
      </w:pPr>
      <w:r w:rsidRPr="00F77CD8">
        <w:t>Structural violence theory wrong, doesn’t turn our impact</w:t>
      </w:r>
    </w:p>
    <w:p w:rsidR="00971741" w:rsidRPr="00F77CD8" w:rsidRDefault="00971741" w:rsidP="00971741">
      <w:r w:rsidRPr="00F77CD8">
        <w:t xml:space="preserve">Kenneth </w:t>
      </w:r>
      <w:r w:rsidRPr="00F77CD8">
        <w:rPr>
          <w:rStyle w:val="Style13ptBold"/>
        </w:rPr>
        <w:t>Boulding</w:t>
      </w:r>
      <w:r w:rsidRPr="00F77CD8">
        <w:t>, Professor, Economics, University of Michigan, “Twelve Friendly Quarrels with Johan Galtung,” JOURNAL OF PEACE RESEARCH v. 14 n. 1, 19</w:t>
      </w:r>
      <w:r w:rsidRPr="00F77CD8">
        <w:rPr>
          <w:rStyle w:val="Style13ptBold"/>
        </w:rPr>
        <w:t>77</w:t>
      </w:r>
      <w:r w:rsidRPr="00F77CD8">
        <w:t>, pp. 75-86.</w:t>
      </w:r>
    </w:p>
    <w:p w:rsidR="00971741" w:rsidRPr="00F77CD8" w:rsidRDefault="00971741" w:rsidP="00971741"/>
    <w:p w:rsidR="00971741" w:rsidRPr="009E77BD" w:rsidRDefault="00971741" w:rsidP="00971741">
      <w:pPr>
        <w:rPr>
          <w:sz w:val="14"/>
          <w:szCs w:val="20"/>
        </w:rPr>
      </w:pPr>
      <w:r w:rsidRPr="009E77BD">
        <w:rPr>
          <w:sz w:val="14"/>
        </w:rPr>
        <w:t>Finally, we come to the great Galtung metaphors of</w:t>
      </w:r>
      <w:r w:rsidRPr="009E77BD">
        <w:rPr>
          <w:sz w:val="14"/>
          <w:szCs w:val="20"/>
        </w:rPr>
        <w:t xml:space="preserve"> </w:t>
      </w:r>
      <w:r w:rsidRPr="00F77CD8">
        <w:rPr>
          <w:rStyle w:val="StyleUnderline"/>
          <w:highlight w:val="green"/>
        </w:rPr>
        <w:t>’structural violence’</w:t>
      </w:r>
      <w:r w:rsidRPr="009E77BD">
        <w:rPr>
          <w:sz w:val="14"/>
        </w:rPr>
        <w:t xml:space="preserve"> and ’positive peace’. They </w:t>
      </w:r>
      <w:r w:rsidRPr="00F77CD8">
        <w:rPr>
          <w:rStyle w:val="StyleUnderline"/>
          <w:highlight w:val="green"/>
        </w:rPr>
        <w:t>are metaphors rather than models, and for that very reason are suspect.</w:t>
      </w:r>
      <w:r w:rsidRPr="00F77CD8">
        <w:rPr>
          <w:rFonts w:ascii="Georgia" w:hAnsi="Georgia"/>
          <w:color w:val="000000"/>
          <w:szCs w:val="20"/>
          <w:u w:val="single"/>
        </w:rPr>
        <w:t xml:space="preserve"> </w:t>
      </w:r>
      <w:r w:rsidRPr="009E77BD">
        <w:rPr>
          <w:sz w:val="14"/>
        </w:rPr>
        <w:t>Metaphors always imply models and metaphors have much more persuasive power than models do, for models tend to be the preserve of the specialist. But</w:t>
      </w:r>
      <w:r w:rsidRPr="00F77CD8">
        <w:rPr>
          <w:rFonts w:ascii="Georgia" w:hAnsi="Georgia"/>
          <w:color w:val="000000"/>
          <w:szCs w:val="20"/>
          <w:u w:val="single"/>
        </w:rPr>
        <w:t xml:space="preserve"> </w:t>
      </w:r>
      <w:r w:rsidRPr="00F77CD8">
        <w:rPr>
          <w:rStyle w:val="StyleUnderline"/>
          <w:highlight w:val="green"/>
        </w:rPr>
        <w:t>when a metaphor implies a bad model it can be very dangerous, for it is both persuasive and wrong</w:t>
      </w:r>
      <w:r w:rsidRPr="00F77CD8">
        <w:rPr>
          <w:rFonts w:ascii="Georgia" w:hAnsi="Georgia"/>
          <w:color w:val="000000"/>
          <w:szCs w:val="20"/>
          <w:u w:val="single"/>
        </w:rPr>
        <w:t>.</w:t>
      </w:r>
      <w:r w:rsidRPr="009E77BD">
        <w:rPr>
          <w:sz w:val="14"/>
          <w:szCs w:val="20"/>
        </w:rPr>
        <w:t xml:space="preserve"> </w:t>
      </w:r>
      <w:r w:rsidRPr="009E77BD">
        <w:rPr>
          <w:sz w:val="14"/>
        </w:rPr>
        <w:t>The metaphor of structural violence I would argue falls right into this category. The metaphor is that poverty, deprivation, ill health, low expectations of life, a condition in which more than half the human race lives, is ’like’ a thug beating up the victim and taking his money away from him in the street, -or it is ’like’ a conqueror stealing the land of the people and reducing them to slavery. The implication is that poverty and its associated ills are the fault of the thug or the conqueror and the solution is to do away with thugs and conquerors. While there is some truth in the metaphor, in the modem world at least there is not very much.</w:t>
      </w:r>
      <w:r w:rsidRPr="009E77BD">
        <w:rPr>
          <w:sz w:val="14"/>
          <w:szCs w:val="20"/>
        </w:rPr>
        <w:t xml:space="preserve"> </w:t>
      </w:r>
      <w:r w:rsidRPr="00F77CD8">
        <w:rPr>
          <w:rStyle w:val="StyleUnderline"/>
          <w:highlight w:val="green"/>
        </w:rPr>
        <w:t>Violence,</w:t>
      </w:r>
      <w:r w:rsidRPr="009E77BD">
        <w:rPr>
          <w:sz w:val="14"/>
          <w:szCs w:val="20"/>
        </w:rPr>
        <w:t xml:space="preserve"> </w:t>
      </w:r>
      <w:r w:rsidRPr="009E77BD">
        <w:rPr>
          <w:sz w:val="14"/>
        </w:rPr>
        <w:t>whether of the streets and the home, or of the guerilla, of the police, or of the armed forces</w:t>
      </w:r>
      <w:r w:rsidRPr="00F77CD8">
        <w:rPr>
          <w:rStyle w:val="StyleUnderline"/>
          <w:highlight w:val="green"/>
        </w:rPr>
        <w:t>, is</w:t>
      </w:r>
      <w:r w:rsidRPr="00F77CD8">
        <w:rPr>
          <w:rFonts w:ascii="Georgia" w:hAnsi="Georgia"/>
          <w:color w:val="000000"/>
          <w:szCs w:val="20"/>
          <w:u w:val="single"/>
        </w:rPr>
        <w:t xml:space="preserve"> </w:t>
      </w:r>
      <w:r w:rsidRPr="009E77BD">
        <w:rPr>
          <w:sz w:val="14"/>
        </w:rPr>
        <w:t xml:space="preserve">a </w:t>
      </w:r>
      <w:r w:rsidRPr="00F77CD8">
        <w:rPr>
          <w:rStyle w:val="StyleUnderline"/>
          <w:highlight w:val="green"/>
        </w:rPr>
        <w:t>very different</w:t>
      </w:r>
      <w:r w:rsidRPr="00F77CD8">
        <w:rPr>
          <w:rFonts w:ascii="Georgia" w:hAnsi="Georgia"/>
          <w:color w:val="000000"/>
          <w:szCs w:val="20"/>
          <w:u w:val="single"/>
        </w:rPr>
        <w:t xml:space="preserve"> </w:t>
      </w:r>
      <w:r w:rsidRPr="009E77BD">
        <w:rPr>
          <w:sz w:val="14"/>
        </w:rPr>
        <w:t xml:space="preserve">phenomenon </w:t>
      </w:r>
      <w:r w:rsidRPr="009E77BD">
        <w:rPr>
          <w:sz w:val="14"/>
          <w:highlight w:val="green"/>
        </w:rPr>
        <w:t>f</w:t>
      </w:r>
      <w:r w:rsidRPr="00F77CD8">
        <w:rPr>
          <w:rStyle w:val="StyleUnderline"/>
          <w:highlight w:val="green"/>
        </w:rPr>
        <w:t>rom poverty</w:t>
      </w:r>
      <w:r w:rsidRPr="009E77BD">
        <w:rPr>
          <w:sz w:val="14"/>
          <w:szCs w:val="20"/>
        </w:rPr>
        <w:t xml:space="preserve">. </w:t>
      </w:r>
      <w:r w:rsidRPr="00F77CD8">
        <w:rPr>
          <w:rStyle w:val="StyleUnderline"/>
          <w:highlight w:val="green"/>
        </w:rPr>
        <w:t>The processes which</w:t>
      </w:r>
      <w:r w:rsidRPr="00F77CD8">
        <w:rPr>
          <w:rFonts w:ascii="Georgia" w:hAnsi="Georgia"/>
          <w:color w:val="000000"/>
          <w:szCs w:val="20"/>
          <w:u w:val="single"/>
        </w:rPr>
        <w:t xml:space="preserve"> </w:t>
      </w:r>
      <w:r w:rsidRPr="009E77BD">
        <w:rPr>
          <w:sz w:val="14"/>
        </w:rPr>
        <w:t>create and</w:t>
      </w:r>
      <w:r w:rsidRPr="00F77CD8">
        <w:rPr>
          <w:rFonts w:ascii="Georgia" w:hAnsi="Georgia"/>
          <w:color w:val="000000"/>
          <w:szCs w:val="20"/>
          <w:u w:val="single"/>
        </w:rPr>
        <w:t xml:space="preserve"> </w:t>
      </w:r>
      <w:r w:rsidRPr="00F77CD8">
        <w:rPr>
          <w:rStyle w:val="StyleUnderline"/>
          <w:highlight w:val="green"/>
        </w:rPr>
        <w:t>sustain poverty are not</w:t>
      </w:r>
      <w:r w:rsidRPr="00F77CD8">
        <w:rPr>
          <w:rFonts w:ascii="Georgia" w:hAnsi="Georgia"/>
          <w:color w:val="000000"/>
          <w:szCs w:val="20"/>
          <w:u w:val="single"/>
        </w:rPr>
        <w:t xml:space="preserve"> </w:t>
      </w:r>
      <w:r w:rsidRPr="009E77BD">
        <w:rPr>
          <w:sz w:val="14"/>
        </w:rPr>
        <w:t>at all</w:t>
      </w:r>
      <w:r w:rsidRPr="00F77CD8">
        <w:rPr>
          <w:rFonts w:ascii="Georgia" w:hAnsi="Georgia"/>
          <w:color w:val="000000"/>
          <w:szCs w:val="20"/>
          <w:u w:val="single"/>
        </w:rPr>
        <w:t xml:space="preserve"> </w:t>
      </w:r>
      <w:r w:rsidRPr="00F77CD8">
        <w:rPr>
          <w:rStyle w:val="StyleUnderline"/>
          <w:highlight w:val="green"/>
        </w:rPr>
        <w:t>like the processes which</w:t>
      </w:r>
      <w:r w:rsidRPr="00F77CD8">
        <w:rPr>
          <w:rFonts w:ascii="Georgia" w:hAnsi="Georgia"/>
          <w:color w:val="000000"/>
          <w:szCs w:val="20"/>
          <w:u w:val="single"/>
        </w:rPr>
        <w:t xml:space="preserve"> </w:t>
      </w:r>
      <w:r w:rsidRPr="009E77BD">
        <w:rPr>
          <w:sz w:val="14"/>
        </w:rPr>
        <w:t>create and</w:t>
      </w:r>
      <w:r w:rsidRPr="00F77CD8">
        <w:rPr>
          <w:rFonts w:ascii="Georgia" w:hAnsi="Georgia"/>
          <w:color w:val="000000"/>
          <w:szCs w:val="20"/>
          <w:u w:val="single"/>
        </w:rPr>
        <w:t xml:space="preserve"> </w:t>
      </w:r>
      <w:r w:rsidRPr="00F77CD8">
        <w:rPr>
          <w:rStyle w:val="StyleUnderline"/>
          <w:highlight w:val="green"/>
        </w:rPr>
        <w:t>sustain violence</w:t>
      </w:r>
      <w:r w:rsidRPr="00F77CD8">
        <w:rPr>
          <w:rFonts w:ascii="Georgia" w:hAnsi="Georgia"/>
          <w:color w:val="000000"/>
          <w:szCs w:val="20"/>
          <w:u w:val="single"/>
        </w:rPr>
        <w:t>,</w:t>
      </w:r>
      <w:r w:rsidRPr="009E77BD">
        <w:rPr>
          <w:sz w:val="14"/>
          <w:szCs w:val="20"/>
        </w:rPr>
        <w:t xml:space="preserve"> </w:t>
      </w:r>
      <w:r w:rsidRPr="009E77BD">
        <w:rPr>
          <w:sz w:val="14"/>
        </w:rPr>
        <w:t xml:space="preserve">although like everything else in the world, everything is somewhat related to everything else. There is a very real problem of the structures which lead to violence, but unfortunately Galtung’s </w:t>
      </w:r>
      <w:r w:rsidRPr="00F77CD8">
        <w:rPr>
          <w:rStyle w:val="StyleUnderline"/>
          <w:highlight w:val="green"/>
        </w:rPr>
        <w:t>metaphor of structural violence</w:t>
      </w:r>
      <w:r w:rsidRPr="00F77CD8">
        <w:rPr>
          <w:rFonts w:ascii="Georgia" w:hAnsi="Georgia"/>
          <w:color w:val="000000"/>
          <w:szCs w:val="20"/>
          <w:u w:val="single"/>
        </w:rPr>
        <w:t xml:space="preserve"> </w:t>
      </w:r>
      <w:r w:rsidRPr="009E77BD">
        <w:rPr>
          <w:sz w:val="14"/>
        </w:rPr>
        <w:t>as he has used it</w:t>
      </w:r>
      <w:r w:rsidRPr="00F77CD8">
        <w:rPr>
          <w:rFonts w:ascii="Georgia" w:hAnsi="Georgia"/>
          <w:color w:val="000000"/>
          <w:szCs w:val="20"/>
          <w:u w:val="single"/>
        </w:rPr>
        <w:t xml:space="preserve"> </w:t>
      </w:r>
      <w:r w:rsidRPr="00F77CD8">
        <w:rPr>
          <w:rStyle w:val="StyleUnderline"/>
          <w:highlight w:val="green"/>
        </w:rPr>
        <w:t>has diverted attention from this problem</w:t>
      </w:r>
      <w:r w:rsidRPr="00F77CD8">
        <w:rPr>
          <w:b/>
          <w:iCs/>
          <w:color w:val="000000"/>
          <w:szCs w:val="20"/>
          <w:u w:val="single"/>
        </w:rPr>
        <w:t>.</w:t>
      </w:r>
      <w:r w:rsidRPr="009E77BD">
        <w:rPr>
          <w:sz w:val="14"/>
          <w:szCs w:val="20"/>
        </w:rPr>
        <w:t xml:space="preserve"> </w:t>
      </w:r>
      <w:r w:rsidRPr="00F77CD8">
        <w:rPr>
          <w:rStyle w:val="StyleUnderline"/>
          <w:highlight w:val="green"/>
        </w:rPr>
        <w:t>Violence</w:t>
      </w:r>
      <w:r w:rsidRPr="00F77CD8">
        <w:rPr>
          <w:rFonts w:ascii="Georgia" w:hAnsi="Georgia"/>
          <w:color w:val="000000"/>
          <w:szCs w:val="20"/>
          <w:u w:val="single"/>
        </w:rPr>
        <w:t xml:space="preserve"> </w:t>
      </w:r>
      <w:r w:rsidRPr="009E77BD">
        <w:rPr>
          <w:sz w:val="14"/>
        </w:rPr>
        <w:t>in the behavioral sense, that is, somebody actually doing damage to somebody else and trying to make them worse off,</w:t>
      </w:r>
      <w:r w:rsidRPr="009E77BD">
        <w:rPr>
          <w:sz w:val="14"/>
          <w:szCs w:val="20"/>
        </w:rPr>
        <w:t xml:space="preserve"> </w:t>
      </w:r>
      <w:r w:rsidRPr="00F77CD8">
        <w:rPr>
          <w:rStyle w:val="StyleUnderline"/>
          <w:highlight w:val="green"/>
        </w:rPr>
        <w:t>is a ’threshold’ phenomenon</w:t>
      </w:r>
      <w:r w:rsidRPr="009E77BD">
        <w:rPr>
          <w:sz w:val="14"/>
          <w:szCs w:val="20"/>
        </w:rPr>
        <w:t xml:space="preserve">, </w:t>
      </w:r>
      <w:r w:rsidRPr="009E77BD">
        <w:rPr>
          <w:sz w:val="14"/>
        </w:rPr>
        <w:t>rather like the boiling over of a pot. The temperature under a pot can rise for a long time without its boiling over, but at some threshold boiling over will take place. The study of the structures which underlie violence are a very important and much neglected part of peace research and indeed of social science in general. Threshold phenomena like violence are difficult to study because they represent ’breaks’ in the system rather than uniformities. Violence, whether between persons or organizations, occurs when the ’strain’ on a system is too great for its ‘~s~trength’. The metaphor here is that violence is like what happens when we break a piece of chalk. Strength and strain, however, especially in social systems, are so interwoven historically that it is very difficult to separate them. The diminution of violence involves two possible strategies, or a mixture of the two; one is the increase in the strength of the system, ~the other is the diminution of the strain. The strength of systems involves habit, culture, taboos, and sanctions, all these things, which enable a system to stand Increasing strain without breaking down into violence. The strains on the system are largely dynamic in character, such as arms races, mutually stimulated hostility, changes in relative economic position or political power, which are often hard to identify. Conflict of interest are only part of the strain on a system, and not always the most important part. It is very hard for people to know their interests, and misperceptions of interests take place mainly through the dynamic processes, not through the structural ones. It is only perceptions of interest which affect people’s behavior, not the ’real’ interests, whatever these may be, and the gap between perception and reality can be very large and resistant to change. However, what Galitung calls structural violence (which has been defined by one unkind commentator as anything that Galltung doesn’~t like) was originally defined as any unnecessarily low expectation of life, an that assumption that anybody who dies before the allotted span has been killed, however unintentionally and unknowingly, by somebody else. The concept has been expanded to include all the problems off poverty, destitution, deprivation, and misery. These are enormously real and are a very high priority for research and action, but they</w:t>
      </w:r>
      <w:r w:rsidRPr="00F77CD8">
        <w:rPr>
          <w:rFonts w:ascii="Georgia" w:hAnsi="Georgia"/>
          <w:color w:val="000000"/>
          <w:szCs w:val="20"/>
          <w:u w:val="single"/>
        </w:rPr>
        <w:t xml:space="preserve"> </w:t>
      </w:r>
      <w:r w:rsidRPr="00F77CD8">
        <w:rPr>
          <w:rStyle w:val="StyleUnderline"/>
          <w:highlight w:val="green"/>
        </w:rPr>
        <w:t>belong to systems which are only peripherally related to the structures which, produce violence</w:t>
      </w:r>
      <w:r w:rsidRPr="009E77BD">
        <w:rPr>
          <w:sz w:val="14"/>
          <w:szCs w:val="20"/>
        </w:rPr>
        <w:t xml:space="preserve">. </w:t>
      </w:r>
      <w:r w:rsidRPr="009E77BD">
        <w:rPr>
          <w:sz w:val="14"/>
        </w:rPr>
        <w:t>This is not to say  that the cultures of violence and the cultures of poverty are not sometimes related, though not all poverty cultures are culture of violence, and certainly not all cultures of violence are poverty cultures. But</w:t>
      </w:r>
      <w:r w:rsidRPr="00F77CD8">
        <w:rPr>
          <w:rFonts w:ascii="Georgia" w:hAnsi="Georgia"/>
          <w:color w:val="000000"/>
          <w:szCs w:val="20"/>
          <w:u w:val="single"/>
        </w:rPr>
        <w:t xml:space="preserve"> </w:t>
      </w:r>
      <w:r w:rsidRPr="00F77CD8">
        <w:rPr>
          <w:rStyle w:val="StyleUnderline"/>
          <w:highlight w:val="green"/>
        </w:rPr>
        <w:t>the dynamics of poverty and the success or failure to rise out off ’it are of a complexity far beyond anything which the metaphor of structural violence can offer</w:t>
      </w:r>
      <w:r w:rsidRPr="009E77BD">
        <w:rPr>
          <w:sz w:val="14"/>
        </w:rPr>
        <w:t>. While</w:t>
      </w:r>
      <w:r w:rsidRPr="00F77CD8">
        <w:rPr>
          <w:rFonts w:ascii="Georgia" w:hAnsi="Georgia"/>
          <w:color w:val="000000"/>
          <w:szCs w:val="20"/>
          <w:u w:val="single"/>
        </w:rPr>
        <w:t xml:space="preserve"> </w:t>
      </w:r>
      <w:r w:rsidRPr="00F77CD8">
        <w:rPr>
          <w:rStyle w:val="StyleUnderline"/>
          <w:highlight w:val="green"/>
        </w:rPr>
        <w:t>the metaphor of structural violence</w:t>
      </w:r>
      <w:r w:rsidRPr="00F77CD8">
        <w:rPr>
          <w:rFonts w:ascii="Georgia" w:hAnsi="Georgia"/>
          <w:color w:val="000000"/>
          <w:szCs w:val="20"/>
          <w:u w:val="single"/>
        </w:rPr>
        <w:t xml:space="preserve"> </w:t>
      </w:r>
      <w:r w:rsidRPr="009E77BD">
        <w:rPr>
          <w:sz w:val="14"/>
        </w:rPr>
        <w:t xml:space="preserve">performed a ’service in calling attention to a problem, it </w:t>
      </w:r>
      <w:r w:rsidRPr="00F77CD8">
        <w:rPr>
          <w:rStyle w:val="StyleUnderline"/>
          <w:highlight w:val="green"/>
        </w:rPr>
        <w:t>may have</w:t>
      </w:r>
      <w:r w:rsidRPr="00F77CD8">
        <w:rPr>
          <w:rFonts w:ascii="Georgia" w:hAnsi="Georgia"/>
          <w:color w:val="000000"/>
          <w:szCs w:val="20"/>
          <w:highlight w:val="green"/>
          <w:u w:val="single"/>
        </w:rPr>
        <w:t xml:space="preserve"> </w:t>
      </w:r>
      <w:r w:rsidRPr="00F77CD8">
        <w:rPr>
          <w:rStyle w:val="StyleUnderline"/>
          <w:highlight w:val="green"/>
        </w:rPr>
        <w:t>done a disservice in preventing us from finding the answer.</w:t>
      </w:r>
    </w:p>
    <w:p w:rsidR="00971741" w:rsidRPr="00F77CD8" w:rsidRDefault="00971741" w:rsidP="00971741"/>
    <w:p w:rsidR="00971741" w:rsidRPr="00F77CD8" w:rsidRDefault="00971741" w:rsidP="00971741"/>
    <w:p w:rsidR="00971741" w:rsidRPr="00F77CD8" w:rsidRDefault="00971741" w:rsidP="00971741">
      <w:pPr>
        <w:pStyle w:val="Heading3"/>
      </w:pPr>
      <w:r w:rsidRPr="00F77CD8">
        <w:t>Struct-Viol Ans: Bad Theory—2NC</w:t>
      </w:r>
    </w:p>
    <w:p w:rsidR="00971741" w:rsidRPr="00F77CD8" w:rsidRDefault="00971741" w:rsidP="00971741"/>
    <w:p w:rsidR="00971741" w:rsidRPr="00F77CD8" w:rsidRDefault="00971741" w:rsidP="00971741">
      <w:pPr>
        <w:pStyle w:val="Heading4"/>
      </w:pPr>
      <w:r w:rsidRPr="00F77CD8">
        <w:t>War is different—we cannot prevent it if we conflate it with “structural violence”</w:t>
      </w:r>
    </w:p>
    <w:p w:rsidR="00971741" w:rsidRPr="00F77CD8" w:rsidRDefault="00971741" w:rsidP="00971741">
      <w:r w:rsidRPr="00F77CD8">
        <w:t xml:space="preserve">Tarak </w:t>
      </w:r>
      <w:r w:rsidRPr="00F77CD8">
        <w:rPr>
          <w:rStyle w:val="Style13ptBold"/>
        </w:rPr>
        <w:t>Barkawi</w:t>
      </w:r>
      <w:r w:rsidRPr="00F77CD8">
        <w:t>, Associate Professor, Politics, New School for Social Research, “Of Camps and Critiques: A Reply to ‘Security, War, Violence’,” MILLENNIUM v. 41 n. 1, 20</w:t>
      </w:r>
      <w:r w:rsidRPr="00F77CD8">
        <w:rPr>
          <w:rStyle w:val="Style13ptBold"/>
        </w:rPr>
        <w:t>12</w:t>
      </w:r>
      <w:r w:rsidRPr="00F77CD8">
        <w:t>, p. 129-130.</w:t>
      </w:r>
    </w:p>
    <w:p w:rsidR="00971741" w:rsidRPr="00F77CD8" w:rsidRDefault="00971741" w:rsidP="00971741"/>
    <w:p w:rsidR="00971741" w:rsidRPr="00F77CD8" w:rsidRDefault="00971741" w:rsidP="00971741">
      <w:r w:rsidRPr="00F77CD8">
        <w:t xml:space="preserve">A final totalising move in ‘Security, War, Violence’ is the idea that the study of war should be subsumed under the category of ‘violence’. The reasons offered for this are: violence does not entail a hierarchy in which war is privileged; a focus on violence encourages us to see war in relational terms and makes visible other kinds of violence besides that of war; and that the analysis of violence somehow enables the disentangling of politics from war and a proper critique of liberal violence.22 I have no particular objection to </w:t>
      </w:r>
      <w:r w:rsidRPr="00F77CD8">
        <w:rPr>
          <w:rStyle w:val="StyleUnderline"/>
          <w:highlight w:val="green"/>
        </w:rPr>
        <w:t>the study of violence</w:t>
      </w:r>
      <w:r w:rsidRPr="00F77CD8">
        <w:t xml:space="preserve">, and I certainly think there should be more of it in the social sciences. </w:t>
      </w:r>
      <w:r w:rsidRPr="00F77CD8">
        <w:rPr>
          <w:rStyle w:val="StyleUnderline"/>
          <w:highlight w:val="green"/>
        </w:rPr>
        <w:t>However, why and how this obviates or subsumes the study of war is obscure</w:t>
      </w:r>
      <w:r w:rsidRPr="00F77CD8">
        <w:t xml:space="preserve"> to me. Is war not historically significant enough to justify inquiry into it? </w:t>
      </w:r>
      <w:r w:rsidRPr="00F77CD8">
        <w:rPr>
          <w:rStyle w:val="StyleUnderline"/>
          <w:highlight w:val="green"/>
        </w:rPr>
        <w:t xml:space="preserve">War is a more specific category relative to violence </w:t>
      </w:r>
      <w:r w:rsidRPr="00F77CD8">
        <w:t>in general,</w:t>
      </w:r>
      <w:r w:rsidRPr="00F77CD8">
        <w:rPr>
          <w:highlight w:val="green"/>
        </w:rPr>
        <w:t xml:space="preserve"> </w:t>
      </w:r>
      <w:r w:rsidRPr="00F77CD8">
        <w:t>referring to</w:t>
      </w:r>
      <w:r w:rsidRPr="00F77CD8">
        <w:rPr>
          <w:highlight w:val="green"/>
        </w:rPr>
        <w:t xml:space="preserve"> </w:t>
      </w:r>
      <w:r w:rsidRPr="00F77CD8">
        <w:rPr>
          <w:rStyle w:val="StyleUnderline"/>
          <w:highlight w:val="green"/>
        </w:rPr>
        <w:t>reciprocal organised violence between political entities</w:t>
      </w:r>
      <w:r w:rsidRPr="00F77CD8">
        <w:t xml:space="preserve">. I make no claims that the study of war should be privileged over that of other forms of violence. Both </w:t>
      </w:r>
      <w:r w:rsidRPr="00F77CD8">
        <w:rPr>
          <w:highlight w:val="green"/>
        </w:rPr>
        <w:t>t</w:t>
      </w:r>
      <w:r w:rsidRPr="00F77CD8">
        <w:rPr>
          <w:rStyle w:val="StyleUnderline"/>
          <w:highlight w:val="green"/>
        </w:rPr>
        <w:t>he violence of war, and</w:t>
      </w:r>
      <w:r w:rsidRPr="00F77CD8">
        <w:rPr>
          <w:rStyle w:val="StyleUnderline"/>
        </w:rPr>
        <w:t xml:space="preserve"> </w:t>
      </w:r>
      <w:r w:rsidRPr="00F77CD8">
        <w:t>that of, say,</w:t>
      </w:r>
      <w:r w:rsidRPr="00F77CD8">
        <w:rPr>
          <w:rStyle w:val="StyleUnderline"/>
        </w:rPr>
        <w:t xml:space="preserve"> </w:t>
      </w:r>
      <w:r w:rsidRPr="00F77CD8">
        <w:rPr>
          <w:rStyle w:val="StyleUnderline"/>
          <w:highlight w:val="green"/>
        </w:rPr>
        <w:t>patriarchy,</w:t>
      </w:r>
      <w:r w:rsidRPr="00F77CD8">
        <w:rPr>
          <w:rStyle w:val="StyleUnderline"/>
        </w:rPr>
        <w:t xml:space="preserve"> </w:t>
      </w:r>
      <w:r w:rsidRPr="00F77CD8">
        <w:t>demand scholarly attention, but they</w:t>
      </w:r>
      <w:r w:rsidRPr="00F77CD8">
        <w:rPr>
          <w:rStyle w:val="StyleUnderline"/>
          <w:highlight w:val="green"/>
        </w:rPr>
        <w:t xml:space="preserve"> are also </w:t>
      </w:r>
      <w:r w:rsidRPr="00F77CD8">
        <w:t>distinct if related</w:t>
      </w:r>
      <w:r w:rsidRPr="00F77CD8">
        <w:rPr>
          <w:rStyle w:val="StyleUnderline"/>
          <w:highlight w:val="green"/>
        </w:rPr>
        <w:t xml:space="preserve"> topics requiring different forms of theorisation and inquiry</w:t>
      </w:r>
      <w:r w:rsidRPr="00F77CD8">
        <w:t xml:space="preserve">. As for relationality, </w:t>
      </w:r>
      <w:r w:rsidRPr="00F77CD8">
        <w:rPr>
          <w:rStyle w:val="StyleUnderline"/>
        </w:rPr>
        <w:t xml:space="preserve">the category of </w:t>
      </w:r>
      <w:r w:rsidRPr="00F77CD8">
        <w:rPr>
          <w:rStyle w:val="StyleUnderline"/>
          <w:highlight w:val="green"/>
        </w:rPr>
        <w:t>war is already inherently relational</w:t>
      </w:r>
      <w:r w:rsidRPr="00F77CD8">
        <w:t xml:space="preserve">; one does not need the concept of violence in general to see this. What precisely distinguishes war from many other kinds of violence, such as genocide or massacre, is that war is a relational form of violence in which the other side shoots back. This is ultimately the source of war’s generative social powers, for it is amidst the clash of arms that the truths which define social and political orders are brought into question. </w:t>
      </w:r>
      <w:r w:rsidRPr="00F77CD8">
        <w:rPr>
          <w:rStyle w:val="StyleUnderline"/>
          <w:highlight w:val="green"/>
        </w:rPr>
        <w:t>A broader focus on violence</w:t>
      </w:r>
      <w:r w:rsidRPr="00F77CD8">
        <w:rPr>
          <w:rStyle w:val="StyleUnderline"/>
        </w:rPr>
        <w:t xml:space="preserve"> </w:t>
      </w:r>
      <w:r w:rsidRPr="00F77CD8">
        <w:t>in general</w:t>
      </w:r>
      <w:r w:rsidRPr="00F77CD8">
        <w:rPr>
          <w:rStyle w:val="StyleUnderline"/>
        </w:rPr>
        <w:t xml:space="preserve"> </w:t>
      </w:r>
      <w:r w:rsidRPr="00F77CD8">
        <w:rPr>
          <w:rStyle w:val="StyleUnderline"/>
          <w:highlight w:val="green"/>
        </w:rPr>
        <w:t>risks losing this central, distinctive character of the violence of war</w:t>
      </w:r>
      <w:r w:rsidRPr="00F77CD8">
        <w:rPr>
          <w:rStyle w:val="StyleUnderline"/>
        </w:rPr>
        <w:t>.</w:t>
      </w:r>
      <w:r w:rsidRPr="00F77CD8">
        <w:t xml:space="preserve"> Is it really more theoretically or politically adequate to start referring to the Second World War as an instance of ‘violence’? Equally, </w:t>
      </w:r>
      <w:r w:rsidRPr="00F77CD8">
        <w:rPr>
          <w:rStyle w:val="StyleUnderline"/>
          <w:highlight w:val="green"/>
        </w:rPr>
        <w:t>while I am all for the analysis of</w:t>
      </w:r>
      <w:r w:rsidRPr="00F77CD8">
        <w:t xml:space="preserve"> liberal violence, another broad category which would include issues of </w:t>
      </w:r>
      <w:r w:rsidRPr="00F77CD8">
        <w:rPr>
          <w:rStyle w:val="StyleUnderline"/>
          <w:highlight w:val="green"/>
        </w:rPr>
        <w:t>‘structural violence’, I also think we have far from exhausted the subject of</w:t>
      </w:r>
      <w:r w:rsidRPr="00F77CD8">
        <w:t xml:space="preserve"> liberalism and </w:t>
      </w:r>
      <w:r w:rsidRPr="00F77CD8">
        <w:rPr>
          <w:rStyle w:val="StyleUnderline"/>
          <w:highlight w:val="green"/>
        </w:rPr>
        <w:t>war</w:t>
      </w:r>
      <w:r w:rsidRPr="00F77CD8">
        <w:t>, an important area of inquiry now dominated by the mostly self-serving nostrums of the liberal peace debates.</w:t>
      </w:r>
    </w:p>
    <w:p w:rsidR="00971741" w:rsidRPr="00F77CD8" w:rsidRDefault="00971741" w:rsidP="00971741"/>
    <w:p w:rsidR="00971741" w:rsidRPr="00F77CD8" w:rsidRDefault="00971741" w:rsidP="00971741">
      <w:pPr>
        <w:pStyle w:val="Heading4"/>
      </w:pPr>
      <w:r w:rsidRPr="00F77CD8">
        <w:t>Intentional violence matters—reducing all to “structural” causes misunderstands IR</w:t>
      </w:r>
    </w:p>
    <w:p w:rsidR="00971741" w:rsidRPr="00F77CD8" w:rsidRDefault="00971741" w:rsidP="00971741">
      <w:r w:rsidRPr="00F77CD8">
        <w:t xml:space="preserve">Claire </w:t>
      </w:r>
      <w:r w:rsidRPr="00F77CD8">
        <w:rPr>
          <w:rStyle w:val="Style13ptBold"/>
        </w:rPr>
        <w:t>Thomas</w:t>
      </w:r>
      <w:r w:rsidRPr="00F77CD8">
        <w:t>, International Politics, Sheffield University, “Why Don’t We Talk About ‘Violence’ in International Relations,” REVIEW OF INTERNATIONAL STUDIES v. 7, 20</w:t>
      </w:r>
      <w:r w:rsidRPr="00F77CD8">
        <w:rPr>
          <w:rStyle w:val="Style13ptBold"/>
        </w:rPr>
        <w:t>11</w:t>
      </w:r>
      <w:r w:rsidRPr="00F77CD8">
        <w:t>, p. 1832.</w:t>
      </w:r>
    </w:p>
    <w:p w:rsidR="00971741" w:rsidRPr="00F77CD8" w:rsidRDefault="00971741" w:rsidP="00971741"/>
    <w:p w:rsidR="00971741" w:rsidRPr="00F77CD8" w:rsidRDefault="00971741" w:rsidP="00971741">
      <w:r w:rsidRPr="00F77CD8">
        <w:rPr>
          <w:rStyle w:val="StyleUnderline"/>
          <w:highlight w:val="green"/>
        </w:rPr>
        <w:t xml:space="preserve">Structural </w:t>
      </w:r>
      <w:r w:rsidRPr="00F77CD8">
        <w:t>or systemic violence</w:t>
      </w:r>
      <w:r w:rsidRPr="00F77CD8">
        <w:rPr>
          <w:rStyle w:val="StyleUnderline"/>
        </w:rPr>
        <w:t xml:space="preserve"> </w:t>
      </w:r>
      <w:r w:rsidRPr="00F77CD8">
        <w:rPr>
          <w:rStyle w:val="StyleUnderline"/>
          <w:highlight w:val="green"/>
        </w:rPr>
        <w:t xml:space="preserve">focuses </w:t>
      </w:r>
      <w:r w:rsidRPr="00F77CD8">
        <w:t>almost completely</w:t>
      </w:r>
      <w:r w:rsidRPr="00F77CD8">
        <w:rPr>
          <w:rStyle w:val="StyleUnderline"/>
          <w:highlight w:val="green"/>
        </w:rPr>
        <w:t xml:space="preserve"> on the result of violence</w:t>
      </w:r>
      <w:r w:rsidRPr="00F77CD8">
        <w:t xml:space="preserve">, and does not include a requirement of intention or the instrumental nature of violence. Therefore it ends up including a broad range of acts or occurrences that lead to physical or mental harm. </w:t>
      </w:r>
      <w:r w:rsidRPr="00F77CD8">
        <w:rPr>
          <w:rStyle w:val="StyleUnderline"/>
          <w:highlight w:val="green"/>
        </w:rPr>
        <w:t xml:space="preserve">This is not useful for the study of </w:t>
      </w:r>
      <w:r w:rsidRPr="00F77CD8">
        <w:rPr>
          <w:rStyle w:val="StyleUnderline"/>
        </w:rPr>
        <w:t>international</w:t>
      </w:r>
      <w:r w:rsidRPr="00F77CD8">
        <w:rPr>
          <w:rStyle w:val="StyleUnderline"/>
          <w:highlight w:val="green"/>
        </w:rPr>
        <w:t xml:space="preserve"> politics</w:t>
      </w:r>
      <w:r w:rsidRPr="00F77CD8">
        <w:t xml:space="preserve">. As Keane puts it, </w:t>
      </w:r>
      <w:r w:rsidRPr="00F77CD8">
        <w:rPr>
          <w:rStyle w:val="StyleUnderline"/>
          <w:highlight w:val="green"/>
        </w:rPr>
        <w:t>this ‘makes violence indistinguishable from experiences like “harm”, “misery</w:t>
      </w:r>
      <w:r w:rsidRPr="00F77CD8">
        <w:t>”, “unhappiness”, “alienation”, “cultural discrimination” and “repression”’.73 This does not completely negate the insight the concept of structural violence can bring into the structural cause of injustice and so on. These insights have been important in bringing social injustice into the foreground. The study of IR needs to be careful not to prioritise the study of direct violence over other forms of suffering like poverty. However in conceptual terms</w:t>
      </w:r>
      <w:r w:rsidRPr="00F77CD8">
        <w:rPr>
          <w:rStyle w:val="StyleUnderline"/>
        </w:rPr>
        <w:t xml:space="preserve"> </w:t>
      </w:r>
      <w:r w:rsidRPr="00F77CD8">
        <w:rPr>
          <w:rStyle w:val="StyleUnderline"/>
          <w:highlight w:val="green"/>
        </w:rPr>
        <w:t>structural violence needs to be seen as different to violence</w:t>
      </w:r>
      <w:r w:rsidRPr="00F77CD8">
        <w:rPr>
          <w:rStyle w:val="StyleUnderline"/>
        </w:rPr>
        <w:t>.</w:t>
      </w:r>
      <w:r w:rsidRPr="00F77CD8">
        <w:t xml:space="preserve"> In fact, as Derriennic points out, Galtung’s concept of </w:t>
      </w:r>
      <w:r w:rsidRPr="00F77CD8">
        <w:rPr>
          <w:rStyle w:val="StyleUnderline"/>
          <w:highlight w:val="green"/>
        </w:rPr>
        <w:t>structural violence makes much of what is usually seen as nonviolence</w:t>
      </w:r>
      <w:r w:rsidRPr="00F77CD8">
        <w:rPr>
          <w:rStyle w:val="StyleUnderline"/>
        </w:rPr>
        <w:t xml:space="preserve"> (</w:t>
      </w:r>
      <w:r w:rsidRPr="00F77CD8">
        <w:rPr>
          <w:rStyle w:val="StyleUnderline"/>
          <w:highlight w:val="green"/>
        </w:rPr>
        <w:t>for example,</w:t>
      </w:r>
      <w:r w:rsidRPr="00F77CD8">
        <w:rPr>
          <w:rStyle w:val="StyleUnderline"/>
        </w:rPr>
        <w:t xml:space="preserve"> </w:t>
      </w:r>
      <w:r w:rsidRPr="00F77CD8">
        <w:t>passive resistance, strike,</w:t>
      </w:r>
      <w:r w:rsidRPr="00F77CD8">
        <w:rPr>
          <w:rStyle w:val="StyleUnderline"/>
        </w:rPr>
        <w:t xml:space="preserve"> </w:t>
      </w:r>
      <w:r w:rsidRPr="00F77CD8">
        <w:rPr>
          <w:rStyle w:val="StyleUnderline"/>
          <w:highlight w:val="green"/>
        </w:rPr>
        <w:t>civil disobedience) a violent act</w:t>
      </w:r>
      <w:r w:rsidRPr="00F77CD8">
        <w:t xml:space="preserve">. Derriennic does not see this as a problem, as non-violence in this context refers to a particular tactic, and could easily be referred to as a less-violent action.74 However, this point does bring into question a definition of violence which cannot distinguish between violence and non-violence. We do not need to refer to all social ills as violence in order to recognise that they bring human suffering and need to be eradicated. Nor do we need to refer to structural forces as violence in order to recognise the role they play in instigating acts of violence. </w:t>
      </w:r>
      <w:r w:rsidRPr="00F77CD8">
        <w:rPr>
          <w:rStyle w:val="StyleUnderline"/>
          <w:highlight w:val="green"/>
        </w:rPr>
        <w:t>What we do need is an understanding of the complex nature of structure and agency regarding violence.</w:t>
      </w:r>
      <w:r w:rsidRPr="00F77CD8">
        <w:rPr>
          <w:rStyle w:val="StyleUnderline"/>
        </w:rPr>
        <w:t xml:space="preserve"> </w:t>
      </w:r>
      <w:r w:rsidRPr="00F77CD8">
        <w:rPr>
          <w:rStyle w:val="StyleUnderline"/>
          <w:highlight w:val="green"/>
        </w:rPr>
        <w:t>Calling everything violence does not contribute to this understanding</w:t>
      </w:r>
      <w:r w:rsidRPr="00F77CD8">
        <w:rPr>
          <w:rStyle w:val="StyleUnderline"/>
        </w:rPr>
        <w:t>.</w:t>
      </w:r>
      <w:r w:rsidRPr="00F77CD8">
        <w:t xml:space="preserve"> The choice to use violence is conscious, but the choice is made from a series of socially acceptable choices, and structure plays an important role in defining what those choices are.75 </w:t>
      </w:r>
      <w:r w:rsidRPr="00F77CD8">
        <w:rPr>
          <w:rStyle w:val="StyleUnderline"/>
          <w:highlight w:val="green"/>
        </w:rPr>
        <w:t>Although the structural aspect of violence is an important issue, it moves too far away from the central meaning</w:t>
      </w:r>
      <w:r w:rsidRPr="00F77CD8">
        <w:t xml:space="preserve"> of the word. Galtung says ‘[i]n order not to overwork the word violence we shall sometimes refer to the condition of structural violence as social injustice’.76 Social injustice is not the same as violence. It may be a bad thing, but the aim is not to give the label violence to everything that one disagrees with.</w:t>
      </w:r>
    </w:p>
    <w:p w:rsidR="00971741" w:rsidRPr="00F77CD8" w:rsidRDefault="00971741" w:rsidP="00971741"/>
    <w:p w:rsidR="00971741" w:rsidRPr="00F77CD8" w:rsidRDefault="00971741" w:rsidP="00971741"/>
    <w:p w:rsidR="00971741" w:rsidRPr="00F77CD8" w:rsidRDefault="00971741" w:rsidP="00971741">
      <w:pPr>
        <w:pStyle w:val="Heading3"/>
      </w:pPr>
      <w:r w:rsidRPr="00F77CD8">
        <w:t>Struct-Viol Ans: War Outweighs—1NC</w:t>
      </w:r>
    </w:p>
    <w:p w:rsidR="00971741" w:rsidRPr="00F77CD8" w:rsidRDefault="00971741" w:rsidP="00971741"/>
    <w:p w:rsidR="00971741" w:rsidRPr="00F77CD8" w:rsidRDefault="00971741" w:rsidP="00971741">
      <w:pPr>
        <w:pStyle w:val="Heading4"/>
      </w:pPr>
      <w:r w:rsidRPr="00F77CD8">
        <w:t>No root causes and war turns their impacts</w:t>
      </w:r>
    </w:p>
    <w:p w:rsidR="00971741" w:rsidRPr="00F77CD8" w:rsidRDefault="00971741" w:rsidP="00971741">
      <w:r w:rsidRPr="00F77CD8">
        <w:t xml:space="preserve">Joshua </w:t>
      </w:r>
      <w:r w:rsidRPr="00F77CD8">
        <w:rPr>
          <w:rStyle w:val="Style13ptBold"/>
        </w:rPr>
        <w:t>Goldstein</w:t>
      </w:r>
      <w:r w:rsidRPr="00F77CD8">
        <w:t>, Professor, International Relations, American University, WAR AND GENDER: HOW GENDER SHAPES THE WAR SYSTEM AND VICE VERSA, 20</w:t>
      </w:r>
      <w:r w:rsidRPr="00F77CD8">
        <w:rPr>
          <w:rStyle w:val="Style13ptBold"/>
        </w:rPr>
        <w:t>03</w:t>
      </w:r>
      <w:r w:rsidRPr="00F77CD8">
        <w:t>, p. 412.</w:t>
      </w:r>
    </w:p>
    <w:p w:rsidR="00971741" w:rsidRPr="00F77CD8" w:rsidRDefault="00971741" w:rsidP="00971741"/>
    <w:p w:rsidR="00971741" w:rsidRPr="00F77CD8" w:rsidRDefault="00971741" w:rsidP="00971741">
      <w:pPr>
        <w:rPr>
          <w:b/>
          <w:bCs/>
          <w:u w:val="single"/>
        </w:rPr>
      </w:pPr>
      <w:r w:rsidRPr="00F77CD8">
        <w:t xml:space="preserve">First, peace activists face a dilemma in thinking about causes of war and working for peace . </w:t>
      </w:r>
      <w:r w:rsidRPr="00F77CD8">
        <w:rPr>
          <w:rStyle w:val="StyleUnderline"/>
          <w:highlight w:val="green"/>
        </w:rPr>
        <w:t>Many</w:t>
      </w:r>
      <w:r w:rsidRPr="00F77CD8">
        <w:rPr>
          <w:rStyle w:val="StyleUnderline"/>
        </w:rPr>
        <w:t xml:space="preserve"> </w:t>
      </w:r>
      <w:r w:rsidRPr="00F77CD8">
        <w:t xml:space="preserve">peace </w:t>
      </w:r>
      <w:r w:rsidRPr="00F77CD8">
        <w:rPr>
          <w:rStyle w:val="StyleUnderline"/>
          <w:highlight w:val="green"/>
        </w:rPr>
        <w:t>scholars and activists support the approach, "if you want peace, work for justice</w:t>
      </w:r>
      <w:r w:rsidRPr="00F77CD8">
        <w:t xml:space="preserve">." Then, if one believes that sexism contributes to war, one can work for gender justice specifically (perhaps among others) in order to pursue peace . </w:t>
      </w:r>
      <w:r w:rsidRPr="00F77CD8">
        <w:rPr>
          <w:rStyle w:val="StyleUnderline"/>
          <w:highlight w:val="green"/>
        </w:rPr>
        <w:t>This approach</w:t>
      </w:r>
      <w:r w:rsidRPr="00F77CD8">
        <w:t xml:space="preserve"> brings strategic allies to the peace movement (women, labor, minorities), but </w:t>
      </w:r>
      <w:r w:rsidRPr="00F77CD8">
        <w:rPr>
          <w:rStyle w:val="StyleUnderline"/>
          <w:highlight w:val="green"/>
        </w:rPr>
        <w:t>rests on the assumption that injustices cause war . The evidence</w:t>
      </w:r>
      <w:r w:rsidRPr="00F77CD8">
        <w:t xml:space="preserve"> in this book </w:t>
      </w:r>
      <w:r w:rsidRPr="00F77CD8">
        <w:rPr>
          <w:rStyle w:val="StyleUnderline"/>
          <w:highlight w:val="green"/>
        </w:rPr>
        <w:t>suggests that causality runs at least as strongly the other way. War is not a product of capitalism, imperialism, gender, innate aggression, or any other single cause</w:t>
      </w:r>
      <w:r w:rsidRPr="00F77CD8">
        <w:t>, although all of these influence wars' outbreaks and outcomes. Rather,</w:t>
      </w:r>
      <w:r w:rsidRPr="00F77CD8">
        <w:rPr>
          <w:b/>
          <w:bCs/>
          <w:u w:val="single"/>
        </w:rPr>
        <w:t xml:space="preserve"> </w:t>
      </w:r>
      <w:r w:rsidRPr="00F77CD8">
        <w:rPr>
          <w:rStyle w:val="StyleUnderline"/>
          <w:highlight w:val="green"/>
        </w:rPr>
        <w:t>war has in part fueled and sustained these and other injustices</w:t>
      </w:r>
      <w:r w:rsidRPr="00F77CD8">
        <w:rPr>
          <w:b/>
          <w:bCs/>
          <w:u w:val="single"/>
        </w:rPr>
        <w:t>.</w:t>
      </w:r>
      <w:r w:rsidRPr="00F77CD8">
        <w:rPr>
          <w:sz w:val="12"/>
        </w:rPr>
        <w:t xml:space="preserve">  </w:t>
      </w:r>
      <w:r w:rsidRPr="00F77CD8">
        <w:t>So, "If you want peace, work for peace ." Indeed</w:t>
      </w:r>
      <w:r w:rsidRPr="00F77CD8">
        <w:rPr>
          <w:b/>
          <w:bCs/>
          <w:u w:val="single"/>
        </w:rPr>
        <w:t xml:space="preserve">, </w:t>
      </w:r>
      <w:r w:rsidRPr="00F77CD8">
        <w:rPr>
          <w:rStyle w:val="StyleUnderline"/>
          <w:highlight w:val="green"/>
        </w:rPr>
        <w:t>if you want justice (gender and others), work for peace</w:t>
      </w:r>
      <w:r w:rsidRPr="00F77CD8">
        <w:t xml:space="preserve">. Causality does not run just upward through the levels of analysis, from types of individuals, societies, and governments up to war. It runs downward too. Enloe suggests that changes in attitudes towards war and the military may be the most important way to "reverse women's oppression ." The dilemma is that peace work focused on justice brings to the peace movement energy, allies, and moral grounding, yet in light of this book's evidence, </w:t>
      </w:r>
      <w:r w:rsidRPr="00F77CD8">
        <w:rPr>
          <w:rStyle w:val="StyleUnderline"/>
          <w:highlight w:val="green"/>
        </w:rPr>
        <w:t>the emphasis on injustice as the main cause of war seems to be empirically inadequate</w:t>
      </w:r>
      <w:r w:rsidRPr="00F77CD8">
        <w:rPr>
          <w:b/>
          <w:bCs/>
          <w:highlight w:val="green"/>
          <w:u w:val="single"/>
        </w:rPr>
        <w:t>.</w:t>
      </w:r>
      <w:r w:rsidRPr="00F77CD8">
        <w:rPr>
          <w:b/>
          <w:bCs/>
          <w:u w:val="single"/>
        </w:rPr>
        <w:t xml:space="preserve"> </w:t>
      </w:r>
    </w:p>
    <w:p w:rsidR="00971741" w:rsidRPr="00F77CD8" w:rsidRDefault="00971741" w:rsidP="00971741"/>
    <w:p w:rsidR="00971741" w:rsidRPr="00F77CD8" w:rsidRDefault="00971741" w:rsidP="00971741">
      <w:pPr>
        <w:pStyle w:val="Heading4"/>
      </w:pPr>
      <w:r w:rsidRPr="00F77CD8">
        <w:t>Nuclear war outweighs</w:t>
      </w:r>
    </w:p>
    <w:p w:rsidR="00971741" w:rsidRPr="00F77CD8" w:rsidRDefault="00971741" w:rsidP="00971741">
      <w:r w:rsidRPr="00F77CD8">
        <w:t xml:space="preserve">Ken </w:t>
      </w:r>
      <w:r w:rsidRPr="00F77CD8">
        <w:rPr>
          <w:rStyle w:val="Style13ptBold"/>
        </w:rPr>
        <w:t>Boulding</w:t>
      </w:r>
      <w:r w:rsidRPr="00F77CD8">
        <w:t>, Professor, Economics, University of Michigan, “Future Directions in Conflict and Peace Studies,” JOURNAL OF CONFLICT RESOLUTION v. 22 n. 2, 6—</w:t>
      </w:r>
      <w:r w:rsidRPr="00F77CD8">
        <w:rPr>
          <w:rStyle w:val="Style13ptBold"/>
        </w:rPr>
        <w:t>78</w:t>
      </w:r>
      <w:r w:rsidRPr="00F77CD8">
        <w:t>, pp. 342-354.</w:t>
      </w:r>
    </w:p>
    <w:p w:rsidR="00971741" w:rsidRPr="00F77CD8" w:rsidRDefault="00971741" w:rsidP="00971741"/>
    <w:p w:rsidR="00971741" w:rsidRPr="00F77CD8" w:rsidRDefault="00971741" w:rsidP="00971741">
      <w:pPr>
        <w:rPr>
          <w:sz w:val="12"/>
          <w:szCs w:val="12"/>
        </w:rPr>
      </w:pPr>
      <w:r w:rsidRPr="00F77CD8">
        <w:rPr>
          <w:rStyle w:val="StyleUnderline"/>
          <w:highlight w:val="green"/>
        </w:rPr>
        <w:t>Galtung is</w:t>
      </w:r>
      <w:r w:rsidRPr="00F77CD8">
        <w:t xml:space="preserve"> </w:t>
      </w:r>
      <w:r w:rsidRPr="00F77CD8">
        <w:rPr>
          <w:sz w:val="12"/>
          <w:szCs w:val="12"/>
        </w:rPr>
        <w:t xml:space="preserve">very legitimately </w:t>
      </w:r>
      <w:r w:rsidRPr="00F77CD8">
        <w:rPr>
          <w:rStyle w:val="StyleUnderline"/>
          <w:highlight w:val="green"/>
        </w:rPr>
        <w:t>interested in</w:t>
      </w:r>
      <w:r w:rsidRPr="00F77CD8">
        <w:t xml:space="preserve"> </w:t>
      </w:r>
      <w:r w:rsidRPr="00F77CD8">
        <w:rPr>
          <w:sz w:val="12"/>
          <w:szCs w:val="12"/>
        </w:rPr>
        <w:t>problems of world poverty and the failure of development of the really poor. He tried to amalga- mate this interest with the peace research interest in the more narrow sense. Unfortunately, he did this by downgrading the study of inter- national peace, labeling it "negative peace" (it should really have been labeled "negative war") and then developing the concept of "</w:t>
      </w:r>
      <w:r w:rsidRPr="00F77CD8">
        <w:rPr>
          <w:rStyle w:val="StyleUnderline"/>
          <w:highlight w:val="green"/>
        </w:rPr>
        <w:t>structural violence</w:t>
      </w:r>
      <w:r w:rsidRPr="00F77CD8">
        <w:t xml:space="preserve">," </w:t>
      </w:r>
      <w:r w:rsidRPr="00F77CD8">
        <w:rPr>
          <w:sz w:val="12"/>
          <w:szCs w:val="12"/>
        </w:rPr>
        <w:t>which initially meant all those social structures and histories which produced an expectation of life less than that of the richest and longest-lived societies. He argued by analogy that if people died before the age, say, of 70 from avoidable causes, that this was a death in "war"' which could only be remedied by something called "positive peace." Unfortunately, the concept of structural violence was broadened, in the word of one slightly unfriendly critic, to include anything that Galtung did not like.</w:t>
      </w:r>
      <w:r w:rsidRPr="00F77CD8">
        <w:t xml:space="preserve"> </w:t>
      </w:r>
      <w:r w:rsidRPr="00F77CD8">
        <w:rPr>
          <w:rStyle w:val="StyleUnderline"/>
          <w:highlight w:val="green"/>
        </w:rPr>
        <w:t>A</w:t>
      </w:r>
      <w:r w:rsidRPr="00F77CD8">
        <w:rPr>
          <w:sz w:val="12"/>
          <w:szCs w:val="12"/>
        </w:rPr>
        <w:t xml:space="preserve">nother </w:t>
      </w:r>
      <w:r w:rsidRPr="00F77CD8">
        <w:rPr>
          <w:rStyle w:val="StyleUnderline"/>
          <w:highlight w:val="green"/>
        </w:rPr>
        <w:t>factor</w:t>
      </w:r>
      <w:r w:rsidRPr="00F77CD8">
        <w:t xml:space="preserve"> </w:t>
      </w:r>
      <w:r w:rsidRPr="00F77CD8">
        <w:rPr>
          <w:sz w:val="12"/>
          <w:szCs w:val="12"/>
        </w:rPr>
        <w:t>in this situation</w:t>
      </w:r>
      <w:r w:rsidRPr="00F77CD8">
        <w:t xml:space="preserve"> </w:t>
      </w:r>
      <w:r w:rsidRPr="00F77CD8">
        <w:rPr>
          <w:rStyle w:val="StyleUnderline"/>
          <w:highlight w:val="green"/>
        </w:rPr>
        <w:t>was</w:t>
      </w:r>
      <w:r w:rsidRPr="00F77CD8">
        <w:rPr>
          <w:highlight w:val="green"/>
        </w:rPr>
        <w:t xml:space="preserve"> </w:t>
      </w:r>
      <w:r w:rsidRPr="00F77CD8">
        <w:rPr>
          <w:rStyle w:val="StyleUnderline"/>
          <w:highlight w:val="green"/>
        </w:rPr>
        <w:t>the</w:t>
      </w:r>
      <w:r w:rsidRPr="00F77CD8">
        <w:rPr>
          <w:rStyle w:val="StyleUnderline"/>
        </w:rPr>
        <w:t xml:space="preserve"> </w:t>
      </w:r>
      <w:r w:rsidRPr="00F77CD8">
        <w:rPr>
          <w:rStyle w:val="StyleUnderline"/>
          <w:highlight w:val="green"/>
        </w:rPr>
        <w:t>feeling</w:t>
      </w:r>
      <w:r w:rsidRPr="00F77CD8">
        <w:t xml:space="preserve">, </w:t>
      </w:r>
      <w:r w:rsidRPr="00F77CD8">
        <w:rPr>
          <w:sz w:val="12"/>
          <w:szCs w:val="12"/>
        </w:rPr>
        <w:t>certainly in the 1960s and early 1970s, that nuclear deterrence was actually succeeding as deterrence and</w:t>
      </w:r>
      <w:r w:rsidRPr="00F77CD8">
        <w:t xml:space="preserve"> </w:t>
      </w:r>
      <w:r w:rsidRPr="00F77CD8">
        <w:rPr>
          <w:rStyle w:val="StyleUnderline"/>
          <w:highlight w:val="green"/>
        </w:rPr>
        <w:t>that</w:t>
      </w:r>
      <w:r w:rsidRPr="00F77CD8">
        <w:rPr>
          <w:highlight w:val="green"/>
        </w:rPr>
        <w:t xml:space="preserve"> </w:t>
      </w:r>
      <w:r w:rsidRPr="00F77CD8">
        <w:rPr>
          <w:rStyle w:val="StyleUnderline"/>
          <w:highlight w:val="green"/>
        </w:rPr>
        <w:t>the problem of nuclear war had receded</w:t>
      </w:r>
      <w:r w:rsidRPr="00F77CD8">
        <w:t xml:space="preserve"> </w:t>
      </w:r>
      <w:r w:rsidRPr="00F77CD8">
        <w:rPr>
          <w:sz w:val="12"/>
          <w:szCs w:val="12"/>
        </w:rPr>
        <w:t>into the background.</w:t>
      </w:r>
      <w:r w:rsidRPr="00F77CD8">
        <w:t xml:space="preserve"> </w:t>
      </w:r>
      <w:r w:rsidRPr="00F77CD8">
        <w:rPr>
          <w:rStyle w:val="StyleUnderline"/>
          <w:highlight w:val="green"/>
        </w:rPr>
        <w:t>This</w:t>
      </w:r>
      <w:r w:rsidRPr="00F77CD8">
        <w:t xml:space="preserve"> </w:t>
      </w:r>
      <w:r w:rsidRPr="00F77CD8">
        <w:rPr>
          <w:sz w:val="12"/>
          <w:szCs w:val="12"/>
        </w:rPr>
        <w:t>it seems to me is a most dangerous illusion and</w:t>
      </w:r>
      <w:r w:rsidRPr="00F77CD8">
        <w:rPr>
          <w:rStyle w:val="StyleUnderline"/>
        </w:rPr>
        <w:t xml:space="preserve"> </w:t>
      </w:r>
      <w:r w:rsidRPr="00F77CD8">
        <w:rPr>
          <w:rStyle w:val="StyleUnderline"/>
          <w:highlight w:val="green"/>
        </w:rPr>
        <w:t>diverted</w:t>
      </w:r>
      <w:r w:rsidRPr="00F77CD8">
        <w:t xml:space="preserve"> </w:t>
      </w:r>
      <w:r w:rsidRPr="00F77CD8">
        <w:rPr>
          <w:sz w:val="12"/>
          <w:szCs w:val="12"/>
        </w:rPr>
        <w:t xml:space="preserve">conflict and peace </w:t>
      </w:r>
      <w:r w:rsidRPr="00F77CD8">
        <w:rPr>
          <w:rStyle w:val="StyleUnderline"/>
          <w:highlight w:val="green"/>
        </w:rPr>
        <w:t>research</w:t>
      </w:r>
      <w:r w:rsidRPr="00F77CD8">
        <w:t xml:space="preserve"> </w:t>
      </w:r>
      <w:r w:rsidRPr="00F77CD8">
        <w:rPr>
          <w:sz w:val="12"/>
          <w:szCs w:val="12"/>
        </w:rPr>
        <w:t>for ten years or more</w:t>
      </w:r>
      <w:r w:rsidRPr="00F77CD8">
        <w:t xml:space="preserve"> </w:t>
      </w:r>
      <w:r w:rsidRPr="00F77CD8">
        <w:rPr>
          <w:rStyle w:val="StyleUnderline"/>
          <w:highlight w:val="green"/>
        </w:rPr>
        <w:t>away from problems of</w:t>
      </w:r>
      <w:r w:rsidRPr="00F77CD8">
        <w:t xml:space="preserve"> </w:t>
      </w:r>
      <w:r w:rsidRPr="00F77CD8">
        <w:rPr>
          <w:sz w:val="12"/>
          <w:szCs w:val="12"/>
        </w:rPr>
        <w:t>disarmament and</w:t>
      </w:r>
      <w:r w:rsidRPr="00F77CD8">
        <w:t xml:space="preserve"> </w:t>
      </w:r>
      <w:r w:rsidRPr="00F77CD8">
        <w:rPr>
          <w:rStyle w:val="StyleUnderline"/>
          <w:highlight w:val="green"/>
        </w:rPr>
        <w:t>stable peace toward a</w:t>
      </w:r>
      <w:r w:rsidRPr="00F77CD8">
        <w:rPr>
          <w:rStyle w:val="StyleUnderline"/>
        </w:rPr>
        <w:t xml:space="preserve"> </w:t>
      </w:r>
      <w:r w:rsidRPr="00F77CD8">
        <w:rPr>
          <w:sz w:val="12"/>
          <w:szCs w:val="12"/>
        </w:rPr>
        <w:t>grand,</w:t>
      </w:r>
      <w:r w:rsidRPr="00F77CD8">
        <w:rPr>
          <w:rStyle w:val="StyleUnderline"/>
        </w:rPr>
        <w:t xml:space="preserve"> </w:t>
      </w:r>
      <w:r w:rsidRPr="00F77CD8">
        <w:rPr>
          <w:rStyle w:val="StyleUnderline"/>
          <w:highlight w:val="green"/>
        </w:rPr>
        <w:t>vague study</w:t>
      </w:r>
      <w:r w:rsidRPr="00F77CD8">
        <w:rPr>
          <w:rStyle w:val="StyleUnderline"/>
        </w:rPr>
        <w:t xml:space="preserve"> </w:t>
      </w:r>
      <w:r w:rsidRPr="00F77CD8">
        <w:rPr>
          <w:sz w:val="12"/>
          <w:szCs w:val="12"/>
        </w:rPr>
        <w:t>of world developments,</w:t>
      </w:r>
      <w:r w:rsidRPr="00F77CD8">
        <w:t xml:space="preserve"> </w:t>
      </w:r>
      <w:r w:rsidRPr="00F77CD8">
        <w:rPr>
          <w:rStyle w:val="StyleUnderline"/>
          <w:highlight w:val="green"/>
        </w:rPr>
        <w:t>for which</w:t>
      </w:r>
      <w:r w:rsidRPr="00F77CD8">
        <w:rPr>
          <w:rStyle w:val="StyleUnderline"/>
        </w:rPr>
        <w:t xml:space="preserve"> </w:t>
      </w:r>
      <w:r w:rsidRPr="00F77CD8">
        <w:t>most of the peace</w:t>
      </w:r>
      <w:r w:rsidRPr="00F77CD8">
        <w:rPr>
          <w:rStyle w:val="StyleUnderline"/>
        </w:rPr>
        <w:t xml:space="preserve"> </w:t>
      </w:r>
      <w:r w:rsidRPr="00F77CD8">
        <w:rPr>
          <w:rStyle w:val="StyleUnderline"/>
          <w:highlight w:val="green"/>
        </w:rPr>
        <w:t>researchers are not</w:t>
      </w:r>
      <w:r w:rsidRPr="00F77CD8">
        <w:rPr>
          <w:rStyle w:val="StyleUnderline"/>
        </w:rPr>
        <w:t xml:space="preserve"> </w:t>
      </w:r>
      <w:r w:rsidRPr="00F77CD8">
        <w:rPr>
          <w:sz w:val="12"/>
          <w:szCs w:val="12"/>
        </w:rPr>
        <w:t>particularly well</w:t>
      </w:r>
      <w:r w:rsidRPr="00F77CD8">
        <w:rPr>
          <w:rStyle w:val="StyleUnderline"/>
        </w:rPr>
        <w:t xml:space="preserve"> </w:t>
      </w:r>
      <w:r w:rsidRPr="00F77CD8">
        <w:rPr>
          <w:rStyle w:val="StyleUnderline"/>
          <w:highlight w:val="green"/>
        </w:rPr>
        <w:t>qualified</w:t>
      </w:r>
      <w:r w:rsidRPr="00F77CD8">
        <w:t xml:space="preserve">. </w:t>
      </w:r>
      <w:r w:rsidRPr="00F77CD8">
        <w:rPr>
          <w:sz w:val="12"/>
          <w:szCs w:val="12"/>
        </w:rPr>
        <w:t>To my mind, at least, the quality of the research has suffered severely as a result.' The complex nature of the split within the peace research community is reflected in two international peace research organizations. The official one, the International Peace Research Association (IPRA), tends to be dominated by Europeans somewhat to the political left, is rather, hostile to the United States and to the multinational cor- porations, sympathetic to the New International Economic Order and thinks of itself as being interested in justice rather than in peace. The Peace Science Society (International), which used to be called the Peace Research Society (International), is mainly the creation of Walter Isard of the University of Pennsylvania. It conducts meetings all around the world and represents a more peace-oriented, quantitative, science- based enterprise, without much interest in ideology. COPRED, while officially the North American representative of IPRA, has very little active connection with it and contains within itself the same ideological split which, divides the peace research community in general. It has, however, been able to hold together and at least promote a certain amount of interaction between the two points of view. Again representing the "scientific" rather than the "ideological" point of view, we have SIPRI, the Stockholm International Peace Research Institute, very generously (by the usual peace research stand- ards) financed by the Swedish government, which has performed an enormously useful service in the collection and publishing of data on such things as the war industry, technological developments, arma- ments, and the arms trade. The Institute is very largely the creation of Alva Myrdal. In spite of the remarkable work which it has done, how- ever, her last book on disarmament (1976) is almost a cry of despair over the folly and hypocrisy of international policies, the overwhelming power of the military, and the inability of mere information, however good, go change the course of events as we head toward ultimate ca- tastrophe. I do not wholly share her pessimism, but it is hard not to be a little disappointed with the results of this first generation of the peace research movement. Myrdal called attention very dramatically to the appalling danger in which Europe stands, as the major battleground between Europe, the United States, and the Soviet Union if war ever should break out. It may perhaps be a subconscious recognition-and psychological denial-of the sword of Damocles hanging over Europe that has made the European peace research movement retreat from the realities of the international system into what I must unkindly describe as fantasies of justice. But the American peace research community, likewise, has retreated into a somewhat niggling scientism, with sophisticated meth- odologies and not very many new ideas. I must confess that when I first became involved with the peace research enterprise 25 years ago I had hopes that it might produce some- thing like the Keynesian revolution in economics, which was the result of some rather simple ideas that had never really been thought out clearly before (though they had been anticipated by Malthus and others), coupled with a substantial improvement in the information system with the development of national income statistics which rein- forced this new theoretical framework. As a result, we have had in a single generation a very massive change in what might be called the "conventional wisdom" of economic policy, and even though this conventional wisdom is not wholly wise, there is a world of difference between Herbert Hoover and his total failure to deal with the Great Depression, simply because of everybody's ignorance, and the moder- ately skillful handling of the depression which followed the change in oil prices in 1-974, which, compared with the period 1929 to 1932, was little more than a bad cold compared with a galloping pneumonia. In the international system, however, there has been only glacial change in the conventional wisdom. There has been some improvement. Kissinger was an improvement on John Foster Dulles. We have had the beginnings of detente, and at least the possibility on the horizon of stable peace between the United States and the Soviet Union, indeed in the whole temperate zone-even though the tropics still remain uneasy and beset with arms races, wars, and revolutions which we cannot really afford. Nor can we pretend that peace around the temper- ate zone is stable enough so that we do not have to worry about it. The qualitative arms race goes on and could easily take us over the cliff. The record of peace research in the last generation, therefore, is one of very partial success. It has created a discipline and that is something of long-run consequence, most certainly for the good. It has made very little dent on the conventional wisdom of the policy makers anywhere in the world. It has not been able to prevent an arms race, any more, I suppose we might say, than the Keynesian economics has been able to prevent inflation. But whereas inflation is an inconvenience, the arms race may well be another catastrophe. Where, then, do we go from here? Can we see new horizons for peace and conflict research to get it out of the doldrums in which it has been now for almost ten years? The challenge is surely great enough. It still remains true that</w:t>
      </w:r>
      <w:r w:rsidRPr="00F77CD8">
        <w:t xml:space="preserve"> </w:t>
      </w:r>
      <w:r w:rsidRPr="00F77CD8">
        <w:rPr>
          <w:rStyle w:val="StyleUnderline"/>
          <w:highlight w:val="green"/>
        </w:rPr>
        <w:t>war</w:t>
      </w:r>
      <w:r w:rsidRPr="00F77CD8">
        <w:t xml:space="preserve">, </w:t>
      </w:r>
      <w:r w:rsidRPr="00F77CD8">
        <w:rPr>
          <w:sz w:val="12"/>
          <w:szCs w:val="12"/>
        </w:rPr>
        <w:t>the breakdown of Galtung's "negative peace,"</w:t>
      </w:r>
      <w:r w:rsidRPr="00F77CD8">
        <w:rPr>
          <w:rStyle w:val="StyleUnderline"/>
        </w:rPr>
        <w:t xml:space="preserve"> </w:t>
      </w:r>
      <w:r w:rsidRPr="00F77CD8">
        <w:rPr>
          <w:rStyle w:val="StyleUnderline"/>
          <w:highlight w:val="green"/>
        </w:rPr>
        <w:t>remains the greatest</w:t>
      </w:r>
      <w:r w:rsidRPr="00F77CD8">
        <w:rPr>
          <w:rStyle w:val="StyleUnderline"/>
        </w:rPr>
        <w:t xml:space="preserve"> </w:t>
      </w:r>
      <w:r w:rsidRPr="00F77CD8">
        <w:rPr>
          <w:sz w:val="12"/>
          <w:szCs w:val="12"/>
        </w:rPr>
        <w:t>clear and present</w:t>
      </w:r>
      <w:r w:rsidRPr="00F77CD8">
        <w:rPr>
          <w:rStyle w:val="StyleUnderline"/>
        </w:rPr>
        <w:t xml:space="preserve"> </w:t>
      </w:r>
      <w:r w:rsidRPr="00F77CD8">
        <w:rPr>
          <w:rStyle w:val="StyleUnderline"/>
          <w:highlight w:val="green"/>
        </w:rPr>
        <w:t>danger</w:t>
      </w:r>
      <w:r w:rsidRPr="00F77CD8">
        <w:rPr>
          <w:rStyle w:val="StyleUnderline"/>
        </w:rPr>
        <w:t xml:space="preserve"> </w:t>
      </w:r>
      <w:r w:rsidRPr="00F77CD8">
        <w:rPr>
          <w:sz w:val="12"/>
          <w:szCs w:val="12"/>
        </w:rPr>
        <w:t>to the human race,</w:t>
      </w:r>
      <w:r w:rsidRPr="00F77CD8">
        <w:rPr>
          <w:rStyle w:val="StyleUnderline"/>
        </w:rPr>
        <w:t xml:space="preserve"> </w:t>
      </w:r>
      <w:r w:rsidRPr="00F77CD8">
        <w:rPr>
          <w:rStyle w:val="StyleUnderline"/>
          <w:highlight w:val="green"/>
        </w:rPr>
        <w:t>a danger to</w:t>
      </w:r>
      <w:r w:rsidRPr="00F77CD8">
        <w:t xml:space="preserve"> </w:t>
      </w:r>
      <w:r w:rsidRPr="00F77CD8">
        <w:rPr>
          <w:sz w:val="12"/>
          <w:szCs w:val="12"/>
        </w:rPr>
        <w:t xml:space="preserve">human </w:t>
      </w:r>
      <w:r w:rsidRPr="00F77CD8">
        <w:rPr>
          <w:rStyle w:val="StyleUnderline"/>
          <w:highlight w:val="green"/>
        </w:rPr>
        <w:t>survival far greater than poverty</w:t>
      </w:r>
      <w:r w:rsidRPr="00F77CD8">
        <w:rPr>
          <w:rStyle w:val="StyleUnderline"/>
        </w:rPr>
        <w:t xml:space="preserve">, </w:t>
      </w:r>
      <w:r w:rsidRPr="00F77CD8">
        <w:rPr>
          <w:sz w:val="12"/>
          <w:szCs w:val="12"/>
        </w:rPr>
        <w:t>or injustice, or oppression,</w:t>
      </w:r>
      <w:r w:rsidRPr="00F77CD8">
        <w:rPr>
          <w:rStyle w:val="StyleUnderline"/>
        </w:rPr>
        <w:t xml:space="preserve"> </w:t>
      </w:r>
      <w:r w:rsidRPr="00F77CD8">
        <w:rPr>
          <w:rStyle w:val="StyleUnderline"/>
          <w:highlight w:val="green"/>
        </w:rPr>
        <w:t>desirable</w:t>
      </w:r>
      <w:r w:rsidRPr="00F77CD8">
        <w:rPr>
          <w:rStyle w:val="StyleUnderline"/>
        </w:rPr>
        <w:t xml:space="preserve"> </w:t>
      </w:r>
      <w:r w:rsidRPr="00F77CD8">
        <w:rPr>
          <w:sz w:val="12"/>
          <w:szCs w:val="12"/>
        </w:rPr>
        <w:t>and necessary</w:t>
      </w:r>
      <w:r w:rsidRPr="00F77CD8">
        <w:rPr>
          <w:rStyle w:val="StyleUnderline"/>
        </w:rPr>
        <w:t xml:space="preserve"> </w:t>
      </w:r>
      <w:r w:rsidRPr="00F77CD8">
        <w:rPr>
          <w:rStyle w:val="StyleUnderline"/>
          <w:highlight w:val="green"/>
        </w:rPr>
        <w:t>as it is to</w:t>
      </w:r>
      <w:r w:rsidRPr="00F77CD8">
        <w:rPr>
          <w:highlight w:val="green"/>
        </w:rPr>
        <w:t xml:space="preserve"> </w:t>
      </w:r>
      <w:r w:rsidRPr="00F77CD8">
        <w:rPr>
          <w:rStyle w:val="StyleUnderline"/>
          <w:highlight w:val="green"/>
        </w:rPr>
        <w:t>eliminate these things</w:t>
      </w:r>
      <w:r w:rsidRPr="00F77CD8">
        <w:t xml:space="preserve">. </w:t>
      </w:r>
      <w:r w:rsidRPr="00F77CD8">
        <w:rPr>
          <w:sz w:val="12"/>
          <w:szCs w:val="12"/>
        </w:rPr>
        <w:t>Up to the present generation, war has been a cost and an inconven- ience to the human race, but it has rarely been fatal to the process of evolutionary development as a whole. It has probably not absorbed more than 5% of human time, effort, and resources. Even in the twenti- eth century, with its two world wars and innumerable smaller ones, it has probably not acounted for more than 5% of deaths, though of course a larger proportion of premature deaths. Now, however, advancing technology is creating a situation where in the first place we are developing a single world system that does not have the redundancy of the many isolated systems of the past and in which therefore if any- thing goes wrong everything goes wrong. The Mayan civilization could collapse in 900 A.D., and collapse almost irretrievably without Europe or China even being aware of the fact. When we had a number of iso- lated systems, the catastrophe in one was ultimately recoverable by migration from the surviving systems.</w:t>
      </w:r>
      <w:r w:rsidRPr="00F77CD8">
        <w:t xml:space="preserve"> </w:t>
      </w:r>
      <w:r w:rsidRPr="00F77CD8">
        <w:rPr>
          <w:rStyle w:val="StyleUnderline"/>
          <w:highlight w:val="green"/>
        </w:rPr>
        <w:t>The</w:t>
      </w:r>
      <w:r w:rsidRPr="00F77CD8">
        <w:t xml:space="preserve"> </w:t>
      </w:r>
      <w:r w:rsidRPr="00F77CD8">
        <w:rPr>
          <w:sz w:val="12"/>
          <w:szCs w:val="12"/>
        </w:rPr>
        <w:t>one-world</w:t>
      </w:r>
      <w:r w:rsidRPr="00F77CD8">
        <w:t xml:space="preserve"> </w:t>
      </w:r>
      <w:r w:rsidRPr="00F77CD8">
        <w:rPr>
          <w:rStyle w:val="StyleUnderline"/>
          <w:highlight w:val="green"/>
        </w:rPr>
        <w:t>system</w:t>
      </w:r>
      <w:r w:rsidRPr="00F77CD8">
        <w:t xml:space="preserve">, </w:t>
      </w:r>
      <w:r w:rsidRPr="00F77CD8">
        <w:rPr>
          <w:sz w:val="12"/>
          <w:szCs w:val="12"/>
        </w:rPr>
        <w:t>therefore, which science, transportation, and communication are rapidly giving us,</w:t>
      </w:r>
      <w:r w:rsidRPr="00F77CD8">
        <w:t xml:space="preserve"> </w:t>
      </w:r>
      <w:r w:rsidRPr="00F77CD8">
        <w:rPr>
          <w:rStyle w:val="StyleUnderline"/>
          <w:highlight w:val="green"/>
        </w:rPr>
        <w:t>is</w:t>
      </w:r>
      <w:r w:rsidRPr="00F77CD8">
        <w:rPr>
          <w:rStyle w:val="StyleUnderline"/>
        </w:rPr>
        <w:t xml:space="preserve"> </w:t>
      </w:r>
      <w:r w:rsidRPr="00F77CD8">
        <w:rPr>
          <w:rStyle w:val="StyleUnderline"/>
          <w:sz w:val="12"/>
          <w:szCs w:val="12"/>
        </w:rPr>
        <w:t>i</w:t>
      </w:r>
      <w:r w:rsidRPr="00F77CD8">
        <w:rPr>
          <w:sz w:val="12"/>
          <w:szCs w:val="12"/>
        </w:rPr>
        <w:t>nherently</w:t>
      </w:r>
      <w:r w:rsidRPr="00F77CD8">
        <w:t xml:space="preserve"> </w:t>
      </w:r>
      <w:r w:rsidRPr="00F77CD8">
        <w:rPr>
          <w:rStyle w:val="StyleUnderline"/>
          <w:highlight w:val="green"/>
        </w:rPr>
        <w:t>more precarious than the</w:t>
      </w:r>
      <w:r w:rsidRPr="00F77CD8">
        <w:t xml:space="preserve"> </w:t>
      </w:r>
      <w:r w:rsidRPr="00F77CD8">
        <w:rPr>
          <w:sz w:val="12"/>
          <w:szCs w:val="12"/>
        </w:rPr>
        <w:t>many-world system of the</w:t>
      </w:r>
      <w:r w:rsidRPr="00F77CD8">
        <w:t xml:space="preserve"> </w:t>
      </w:r>
      <w:r w:rsidRPr="00F77CD8">
        <w:rPr>
          <w:rStyle w:val="StyleUnderline"/>
          <w:highlight w:val="green"/>
        </w:rPr>
        <w:t>past</w:t>
      </w:r>
      <w:r w:rsidRPr="00F77CD8">
        <w:t xml:space="preserve">. </w:t>
      </w:r>
      <w:r w:rsidRPr="00F77CD8">
        <w:rPr>
          <w:sz w:val="12"/>
          <w:szCs w:val="12"/>
        </w:rPr>
        <w:t>It is all the more important, therefore, to make it internally robust and capable only of recoverable catastrophes. The necessity for stable peace, therefore, increases with every improvement in technology, either of war or of peace.</w:t>
      </w:r>
    </w:p>
    <w:p w:rsidR="00971741" w:rsidRPr="00F77CD8" w:rsidRDefault="00971741" w:rsidP="00971741"/>
    <w:p w:rsidR="00971741" w:rsidRPr="00F77CD8" w:rsidRDefault="00971741" w:rsidP="00971741">
      <w:pPr>
        <w:pStyle w:val="Heading3"/>
      </w:pPr>
      <w:r w:rsidRPr="00F77CD8">
        <w:t>Struct-Viol Ans: War Outweighs—2NC</w:t>
      </w:r>
    </w:p>
    <w:p w:rsidR="00971741" w:rsidRPr="00F77CD8" w:rsidRDefault="00971741" w:rsidP="00971741"/>
    <w:p w:rsidR="00971741" w:rsidRPr="00F77CD8" w:rsidRDefault="00971741" w:rsidP="00971741">
      <w:pPr>
        <w:pStyle w:val="Heading4"/>
      </w:pPr>
      <w:r w:rsidRPr="00F77CD8">
        <w:t>‘Structural violence’ are the frameworks that prevent annihilation and tyranny</w:t>
      </w:r>
    </w:p>
    <w:p w:rsidR="00971741" w:rsidRPr="00F77CD8" w:rsidRDefault="00971741" w:rsidP="00971741">
      <w:r w:rsidRPr="00F77CD8">
        <w:t xml:space="preserve">Marian </w:t>
      </w:r>
      <w:r w:rsidRPr="00F77CD8">
        <w:rPr>
          <w:rStyle w:val="Style13ptBold"/>
        </w:rPr>
        <w:t>Mushkat</w:t>
      </w:r>
      <w:r w:rsidRPr="00F77CD8">
        <w:t>, fellow, World Academy of Art and Science, “Peace Research in the Cold War Era,” INTERNATIONAL PROBLEMS v. 33 n. 12, 19</w:t>
      </w:r>
      <w:r w:rsidRPr="00F77CD8">
        <w:rPr>
          <w:rStyle w:val="Style13ptBold"/>
        </w:rPr>
        <w:t>94</w:t>
      </w:r>
      <w:r w:rsidRPr="00F77CD8">
        <w:t>, p. 42-43.</w:t>
      </w:r>
    </w:p>
    <w:p w:rsidR="00971741" w:rsidRPr="00F77CD8" w:rsidRDefault="00971741" w:rsidP="00971741"/>
    <w:p w:rsidR="00971741" w:rsidRPr="00F77CD8" w:rsidRDefault="00971741" w:rsidP="00971741">
      <w:r w:rsidRPr="00F77CD8">
        <w:t xml:space="preserve">Many claim that </w:t>
      </w:r>
      <w:r w:rsidRPr="00F77CD8">
        <w:rPr>
          <w:u w:val="single"/>
        </w:rPr>
        <w:t xml:space="preserve">the use of </w:t>
      </w:r>
      <w:r w:rsidRPr="00F77CD8">
        <w:rPr>
          <w:rStyle w:val="StyleUnderline"/>
          <w:highlight w:val="green"/>
        </w:rPr>
        <w:t>the term "structural violence</w:t>
      </w:r>
      <w:r w:rsidRPr="00F77CD8">
        <w:rPr>
          <w:u w:val="single"/>
        </w:rPr>
        <w:t>"</w:t>
      </w:r>
      <w:r w:rsidRPr="00F77CD8">
        <w:t xml:space="preserve"> rather than class, party, elite dominance, mass exploitation, political subjection by sociologists, political scientists, lawyers, liberal marxists and adherents of other trends, </w:t>
      </w:r>
      <w:r w:rsidRPr="00F77CD8">
        <w:rPr>
          <w:rStyle w:val="StyleUnderline"/>
          <w:highlight w:val="green"/>
        </w:rPr>
        <w:t>is</w:t>
      </w:r>
      <w:r w:rsidRPr="00F77CD8">
        <w:rPr>
          <w:rStyle w:val="StyleUnderline"/>
        </w:rPr>
        <w:t xml:space="preserve"> </w:t>
      </w:r>
      <w:r w:rsidRPr="00F77CD8">
        <w:t>an additional</w:t>
      </w:r>
      <w:r w:rsidRPr="00F77CD8">
        <w:rPr>
          <w:u w:val="single"/>
        </w:rPr>
        <w:t xml:space="preserve"> </w:t>
      </w:r>
      <w:r w:rsidRPr="00F77CD8">
        <w:rPr>
          <w:rStyle w:val="StyleUnderline"/>
          <w:highlight w:val="green"/>
        </w:rPr>
        <w:t>evidence of imprecision and ambiguity</w:t>
      </w:r>
      <w:r w:rsidRPr="00F77CD8">
        <w:t>.  At the moment, there are no ideal social structures which do not require vigilance and coercive measures to combat crime</w:t>
      </w:r>
      <w:r w:rsidRPr="00F77CD8">
        <w:rPr>
          <w:highlight w:val="green"/>
        </w:rPr>
        <w:t>.</w:t>
      </w:r>
      <w:r w:rsidRPr="00F77CD8">
        <w:rPr>
          <w:highlight w:val="green"/>
          <w:u w:val="single"/>
        </w:rPr>
        <w:t xml:space="preserve">  </w:t>
      </w:r>
      <w:r w:rsidRPr="00F77CD8">
        <w:rPr>
          <w:rStyle w:val="StyleUnderline"/>
          <w:highlight w:val="green"/>
        </w:rPr>
        <w:t>Structural violence</w:t>
      </w:r>
      <w:r w:rsidRPr="00F77CD8">
        <w:rPr>
          <w:u w:val="single"/>
        </w:rPr>
        <w:t xml:space="preserve">, </w:t>
      </w:r>
      <w:r w:rsidRPr="00F77CD8">
        <w:t>which uses such</w:t>
      </w:r>
      <w:r w:rsidRPr="00F77CD8">
        <w:rPr>
          <w:highlight w:val="green"/>
          <w:u w:val="single"/>
        </w:rPr>
        <w:t xml:space="preserve"> </w:t>
      </w:r>
      <w:r w:rsidRPr="00F77CD8">
        <w:rPr>
          <w:rStyle w:val="StyleUnderline"/>
          <w:highlight w:val="green"/>
        </w:rPr>
        <w:t>means to uphold law and order, established in a democratic way, is therefore a social necessity</w:t>
      </w:r>
      <w:r w:rsidRPr="00F77CD8">
        <w:rPr>
          <w:highlight w:val="green"/>
        </w:rPr>
        <w:t>.</w:t>
      </w:r>
      <w:r w:rsidRPr="00F77CD8">
        <w:t xml:space="preserve">24  If this view is interpreted </w:t>
      </w:r>
      <w:r w:rsidRPr="00F77CD8">
        <w:rPr>
          <w:rStyle w:val="StyleUnderline"/>
          <w:highlight w:val="green"/>
        </w:rPr>
        <w:t>to justify opposition to regimes that are despotic, totalitarian, illegitimate or deadly, like those of Hitler,</w:t>
      </w:r>
      <w:r w:rsidRPr="00F77CD8">
        <w:rPr>
          <w:highlight w:val="green"/>
          <w:u w:val="single"/>
        </w:rPr>
        <w:t xml:space="preserve"> </w:t>
      </w:r>
      <w:r w:rsidRPr="00F77CD8">
        <w:t>Stalin or Amin Dada, then the classification of their evils in the same dimension as mass' extermination wars may be understandable. However, some peace researchers prefer</w:t>
      </w:r>
      <w:r w:rsidRPr="00F77CD8">
        <w:rPr>
          <w:u w:val="single"/>
        </w:rPr>
        <w:t xml:space="preserve"> </w:t>
      </w:r>
      <w:r w:rsidRPr="00F77CD8">
        <w:rPr>
          <w:rStyle w:val="StyleUnderline"/>
          <w:highlight w:val="green"/>
        </w:rPr>
        <w:t>to generalise against</w:t>
      </w:r>
      <w:r w:rsidRPr="00F77CD8">
        <w:rPr>
          <w:u w:val="single"/>
        </w:rPr>
        <w:t xml:space="preserve"> the use of </w:t>
      </w:r>
      <w:r w:rsidRPr="00F77CD8">
        <w:rPr>
          <w:rStyle w:val="StyleUnderline"/>
          <w:highlight w:val="green"/>
        </w:rPr>
        <w:t>force for any purpose</w:t>
      </w:r>
      <w:r w:rsidRPr="00F77CD8">
        <w:rPr>
          <w:u w:val="single"/>
        </w:rPr>
        <w:t xml:space="preserve">. </w:t>
      </w:r>
      <w:r w:rsidRPr="00F77CD8">
        <w:t>This</w:t>
      </w:r>
      <w:r w:rsidRPr="00F77CD8">
        <w:rPr>
          <w:u w:val="single"/>
        </w:rPr>
        <w:t xml:space="preserve"> </w:t>
      </w:r>
      <w:r w:rsidRPr="00F77CD8">
        <w:rPr>
          <w:rStyle w:val="StyleUnderline"/>
          <w:highlight w:val="green"/>
        </w:rPr>
        <w:t>leads to negation of the</w:t>
      </w:r>
      <w:r w:rsidRPr="00F77CD8">
        <w:rPr>
          <w:u w:val="single"/>
        </w:rPr>
        <w:t xml:space="preserve"> </w:t>
      </w:r>
      <w:r w:rsidRPr="00F77CD8">
        <w:t xml:space="preserve">use of force even to protect justice and democracy, and the right </w:t>
      </w:r>
      <w:r w:rsidRPr="00F77CD8">
        <w:rPr>
          <w:rStyle w:val="StyleUnderline"/>
          <w:highlight w:val="green"/>
        </w:rPr>
        <w:t>of nations to defend themselves against tyranny, subjugation and annihilation</w:t>
      </w:r>
      <w:r w:rsidRPr="00F77CD8">
        <w:t>.25  In the transitional post "cold war" era, and in consideration of the rebirth of Nazi and fascist tendencies in post-totalitarian regimes - modern peace research seems to act thoughtfully, drawing from the classical sources of the humanitarian doctrines and principles and the national liberation movements as wel1.26</w:t>
      </w:r>
    </w:p>
    <w:p w:rsidR="00971741" w:rsidRPr="00F77CD8" w:rsidRDefault="00971741" w:rsidP="00971741"/>
    <w:p w:rsidR="00971741" w:rsidRPr="00F77CD8" w:rsidRDefault="00971741" w:rsidP="00971741">
      <w:pPr>
        <w:pStyle w:val="Heading4"/>
      </w:pPr>
      <w:r w:rsidRPr="00F77CD8">
        <w:t>Ignoring triggers causes war—WW I &amp; II prove</w:t>
      </w:r>
    </w:p>
    <w:p w:rsidR="00971741" w:rsidRPr="00F77CD8" w:rsidRDefault="00971741" w:rsidP="00971741">
      <w:r w:rsidRPr="00F77CD8">
        <w:t xml:space="preserve">Aaron </w:t>
      </w:r>
      <w:r w:rsidRPr="00F77CD8">
        <w:rPr>
          <w:rStyle w:val="Style13ptBold"/>
        </w:rPr>
        <w:t>Friedberg</w:t>
      </w:r>
      <w:r w:rsidRPr="00F77CD8">
        <w:t xml:space="preserve">, Professor, Politics and International Affairs, Princeton University, “Will Europe’s Past Be Asia’s Future?” SURVIVAL v. 42 n. 3, </w:t>
      </w:r>
      <w:r w:rsidRPr="00F77CD8">
        <w:rPr>
          <w:rStyle w:val="Style13ptBold"/>
        </w:rPr>
        <w:t>2K</w:t>
      </w:r>
      <w:r w:rsidRPr="00F77CD8">
        <w:t>.</w:t>
      </w:r>
    </w:p>
    <w:p w:rsidR="00971741" w:rsidRPr="00F77CD8" w:rsidRDefault="00971741" w:rsidP="00971741"/>
    <w:p w:rsidR="00971741" w:rsidRPr="00F77CD8" w:rsidRDefault="00971741" w:rsidP="00971741">
      <w:pPr>
        <w:rPr>
          <w:u w:val="single"/>
        </w:rPr>
      </w:pPr>
      <w:r w:rsidRPr="00F77CD8">
        <w:t xml:space="preserve">But there are reasons too to be wary of placing too much faith in the collective human capacity for learning, still less common sense. </w:t>
      </w:r>
      <w:r w:rsidRPr="00F77CD8">
        <w:rPr>
          <w:rStyle w:val="StyleUnderline"/>
          <w:highlight w:val="green"/>
        </w:rPr>
        <w:t>At the turn of this century</w:t>
      </w:r>
      <w:r w:rsidRPr="00F77CD8">
        <w:t xml:space="preserve">, many sensible </w:t>
      </w:r>
      <w:r w:rsidRPr="00F77CD8">
        <w:rPr>
          <w:rStyle w:val="StyleUnderline"/>
          <w:highlight w:val="green"/>
        </w:rPr>
        <w:t>Europeans believed that war was</w:t>
      </w:r>
      <w:r w:rsidRPr="00F77CD8">
        <w:t xml:space="preserve"> idiotic, outmoded, even </w:t>
      </w:r>
      <w:r w:rsidRPr="00F77CD8">
        <w:rPr>
          <w:rStyle w:val="StyleUnderline"/>
          <w:highlight w:val="green"/>
        </w:rPr>
        <w:t>obsolete</w:t>
      </w:r>
      <w:r w:rsidRPr="00F77CD8">
        <w:t xml:space="preserve">, and they were optimistic about the enormous benefits to be gained from permanent peace. </w:t>
      </w:r>
      <w:r w:rsidRPr="00F77CD8">
        <w:rPr>
          <w:rStyle w:val="StyleUnderline"/>
          <w:highlight w:val="green"/>
        </w:rPr>
        <w:t>Their good sense</w:t>
      </w:r>
      <w:r w:rsidRPr="00F77CD8">
        <w:rPr>
          <w:rStyle w:val="StyleUnderline"/>
        </w:rPr>
        <w:t xml:space="preserve"> </w:t>
      </w:r>
      <w:r w:rsidRPr="00F77CD8">
        <w:t xml:space="preserve">and sound judgment on this question </w:t>
      </w:r>
      <w:r w:rsidRPr="00F77CD8">
        <w:rPr>
          <w:rStyle w:val="StyleUnderline"/>
          <w:highlight w:val="green"/>
        </w:rPr>
        <w:t>was not enough to stamp out</w:t>
      </w:r>
      <w:r w:rsidRPr="00F77CD8">
        <w:t xml:space="preserve"> the anxieties, jealousies and hatreds that resulted eventually in the tragedy of </w:t>
      </w:r>
      <w:r w:rsidRPr="00F77CD8">
        <w:rPr>
          <w:rStyle w:val="StyleUnderline"/>
          <w:highlight w:val="green"/>
        </w:rPr>
        <w:t>World War I</w:t>
      </w:r>
      <w:r w:rsidRPr="00F77CD8">
        <w:t xml:space="preserve">. Twenty-five </w:t>
      </w:r>
      <w:r w:rsidRPr="00F77CD8">
        <w:rPr>
          <w:rStyle w:val="StyleUnderline"/>
          <w:highlight w:val="green"/>
        </w:rPr>
        <w:t>years later,</w:t>
      </w:r>
      <w:r w:rsidRPr="00F77CD8">
        <w:rPr>
          <w:highlight w:val="green"/>
        </w:rPr>
        <w:t xml:space="preserve"> </w:t>
      </w:r>
      <w:r w:rsidRPr="00F77CD8">
        <w:t xml:space="preserve">with the evidence of war's folly still fresh before them, the European powers were unable to prevent another catastrophe. Indeed, looking back, it seems clear that it was </w:t>
      </w:r>
      <w:r w:rsidRPr="00F77CD8">
        <w:rPr>
          <w:rStyle w:val="StyleUnderline"/>
          <w:highlight w:val="green"/>
        </w:rPr>
        <w:t>the very eagerness</w:t>
      </w:r>
      <w:r w:rsidRPr="00F77CD8">
        <w:t xml:space="preserve"> of the liberal democratic powers to learn the lessons and </w:t>
      </w:r>
      <w:r w:rsidRPr="00F77CD8">
        <w:rPr>
          <w:rStyle w:val="StyleUnderline"/>
          <w:highlight w:val="green"/>
        </w:rPr>
        <w:t>to avoid the mistakes of the past</w:t>
      </w:r>
      <w:r w:rsidRPr="00F77CD8">
        <w:rPr>
          <w:highlight w:val="green"/>
        </w:rPr>
        <w:t xml:space="preserve"> </w:t>
      </w:r>
      <w:r w:rsidRPr="00F77CD8">
        <w:t xml:space="preserve">that </w:t>
      </w:r>
      <w:r w:rsidRPr="00F77CD8">
        <w:rPr>
          <w:rStyle w:val="StyleUnderline"/>
          <w:highlight w:val="green"/>
        </w:rPr>
        <w:t>caused them to stumble again into war. Had they been more attentive to the realities of power,</w:t>
      </w:r>
      <w:r w:rsidRPr="00F77CD8">
        <w:t xml:space="preserve"> more alert to the dangers of </w:t>
      </w:r>
      <w:r w:rsidRPr="00F77CD8">
        <w:rPr>
          <w:rStyle w:val="StyleUnderline"/>
          <w:highlight w:val="green"/>
        </w:rPr>
        <w:t>aggression by ambitious states</w:t>
      </w:r>
      <w:r w:rsidRPr="00F77CD8">
        <w:t xml:space="preserve">, and less convinced of the pacifying effects of trade, institutions and conciliatory diplomacy, </w:t>
      </w:r>
      <w:r w:rsidRPr="00F77CD8">
        <w:rPr>
          <w:rStyle w:val="StyleUnderline"/>
          <w:highlight w:val="green"/>
        </w:rPr>
        <w:t>they might have done better</w:t>
      </w:r>
      <w:r w:rsidRPr="00F77CD8">
        <w:rPr>
          <w:u w:val="single"/>
        </w:rPr>
        <w:t xml:space="preserve"> </w:t>
      </w:r>
      <w:r w:rsidRPr="00F77CD8">
        <w:t xml:space="preserve">at securing their interests and preserving the peace. </w:t>
      </w:r>
    </w:p>
    <w:p w:rsidR="00971741" w:rsidRPr="00F77CD8" w:rsidRDefault="00971741" w:rsidP="00971741"/>
    <w:p w:rsidR="00971741" w:rsidRPr="00F77CD8" w:rsidRDefault="00971741" w:rsidP="00971741"/>
    <w:p w:rsidR="00971741" w:rsidRPr="00F77CD8" w:rsidRDefault="00971741" w:rsidP="00971741"/>
    <w:p w:rsidR="00971741" w:rsidRPr="00F77CD8" w:rsidRDefault="00971741" w:rsidP="00971741"/>
    <w:p w:rsidR="00971741" w:rsidRPr="00F77CD8" w:rsidRDefault="00971741" w:rsidP="00971741">
      <w:pPr>
        <w:pStyle w:val="Heading4"/>
      </w:pPr>
      <w:r w:rsidRPr="00F77CD8">
        <w:t xml:space="preserve">War </w:t>
      </w:r>
      <w:r w:rsidRPr="00F77CD8">
        <w:rPr>
          <w:u w:val="single"/>
        </w:rPr>
        <w:t>outweighs</w:t>
      </w:r>
      <w:r w:rsidRPr="00F77CD8">
        <w:t xml:space="preserve"> and they </w:t>
      </w:r>
      <w:r w:rsidRPr="00F77CD8">
        <w:rPr>
          <w:u w:val="single"/>
        </w:rPr>
        <w:t>can’t change</w:t>
      </w:r>
      <w:r w:rsidRPr="00F77CD8">
        <w:t xml:space="preserve"> the international system</w:t>
      </w:r>
    </w:p>
    <w:p w:rsidR="00971741" w:rsidRPr="00F77CD8" w:rsidRDefault="00971741" w:rsidP="00971741">
      <w:r w:rsidRPr="00F77CD8">
        <w:t xml:space="preserve">Kenneth </w:t>
      </w:r>
      <w:r w:rsidRPr="00F77CD8">
        <w:rPr>
          <w:rStyle w:val="Style13ptBold"/>
        </w:rPr>
        <w:t>Boulding</w:t>
      </w:r>
      <w:r w:rsidRPr="00F77CD8">
        <w:t>, Professor, University of Colorado, CONFLCIT: READINGS IN MANAGEMENT AND RESOLUTION ed. J.Burton, 19</w:t>
      </w:r>
      <w:r w:rsidRPr="00F77CD8">
        <w:rPr>
          <w:rStyle w:val="Style13ptBold"/>
        </w:rPr>
        <w:t>90</w:t>
      </w:r>
      <w:r w:rsidRPr="00F77CD8">
        <w:t>, p. 40-41.</w:t>
      </w:r>
    </w:p>
    <w:p w:rsidR="00971741" w:rsidRPr="00F77CD8" w:rsidRDefault="00971741" w:rsidP="00971741"/>
    <w:p w:rsidR="00971741" w:rsidRPr="009E77BD" w:rsidRDefault="00971741" w:rsidP="00971741">
      <w:pPr>
        <w:rPr>
          <w:sz w:val="14"/>
        </w:rPr>
      </w:pPr>
      <w:r w:rsidRPr="009E77BD">
        <w:rPr>
          <w:sz w:val="14"/>
        </w:rPr>
        <w:t xml:space="preserve">I must confess that when I first became involved with the peace research enterprise 25 years ago I had hopes that it might produce something like the Keynesian revolution in economics, which was the result of some rather simple ideas that had never really been thought out clearly before (though they had been anticipated by Malthus and others), coupled with a substantial improvement in the information system with the development of national income statistics which reinforced this new theoretical framework. As a result, we have had in a single generation a very massive change in what might be called the "conventional wisdom" of economic policy, and even though this conventional wisdom is not wholly wise, there is a world of difference between Herbert Hoover and his total failure to deal with the Great Depression, simply because of everybody's ignorance, and the moderately skillful handling of the depression which followed the change in oil prices in 1-974, which, compared with the period 1929 to 1932, was little more than a bad cold compared with a galloping pneumonia. In </w:t>
      </w:r>
      <w:r w:rsidRPr="00F77CD8">
        <w:rPr>
          <w:rStyle w:val="StyleUnderline"/>
          <w:highlight w:val="green"/>
        </w:rPr>
        <w:t>the international system</w:t>
      </w:r>
      <w:r w:rsidRPr="009E77BD">
        <w:rPr>
          <w:sz w:val="14"/>
        </w:rPr>
        <w:t>, however, there</w:t>
      </w:r>
      <w:r w:rsidRPr="00F77CD8">
        <w:rPr>
          <w:bCs/>
          <w:highlight w:val="green"/>
          <w:u w:val="single"/>
        </w:rPr>
        <w:t xml:space="preserve"> </w:t>
      </w:r>
      <w:r w:rsidRPr="00F77CD8">
        <w:rPr>
          <w:rStyle w:val="StyleUnderline"/>
          <w:highlight w:val="green"/>
        </w:rPr>
        <w:t>has been only glacial change in the conventional wisdom</w:t>
      </w:r>
      <w:r w:rsidRPr="009E77BD">
        <w:rPr>
          <w:sz w:val="14"/>
        </w:rPr>
        <w:t>. There has been some improvement.  Kissinger was an improvement on John Foster Dulles. We have had the beginnings of detente, and at least the possibility on the horizon of stable peace between the United States and the Soviet Union, indeed in the whole temperate zone-even though the tropics still remain uneasy and beset with arms races, wars, and revolutions which we cannot really afford. Nor can we pretend that peace around the temperate zone is stable enough so that we do not have to worry about it. The qualitative arms race goes on and could easily take us over the cliff.</w:t>
      </w:r>
      <w:r w:rsidRPr="009E77BD">
        <w:rPr>
          <w:sz w:val="14"/>
          <w:highlight w:val="green"/>
        </w:rPr>
        <w:t xml:space="preserve"> </w:t>
      </w:r>
      <w:r w:rsidRPr="00F77CD8">
        <w:rPr>
          <w:rStyle w:val="StyleUnderline"/>
          <w:highlight w:val="green"/>
        </w:rPr>
        <w:t>The record of peace research in the last generation</w:t>
      </w:r>
      <w:r w:rsidRPr="00F77CD8">
        <w:rPr>
          <w:bCs/>
          <w:highlight w:val="green"/>
          <w:u w:val="single"/>
        </w:rPr>
        <w:t>,</w:t>
      </w:r>
      <w:r w:rsidRPr="009E77BD">
        <w:rPr>
          <w:sz w:val="14"/>
        </w:rPr>
        <w:t xml:space="preserve"> therefore, </w:t>
      </w:r>
      <w:r w:rsidRPr="00F77CD8">
        <w:rPr>
          <w:rStyle w:val="StyleUnderline"/>
          <w:highlight w:val="green"/>
        </w:rPr>
        <w:t>is one of very partial succe</w:t>
      </w:r>
      <w:r w:rsidRPr="00F77CD8">
        <w:rPr>
          <w:bCs/>
          <w:highlight w:val="green"/>
          <w:u w:val="single"/>
        </w:rPr>
        <w:t>ss</w:t>
      </w:r>
      <w:r w:rsidRPr="009E77BD">
        <w:rPr>
          <w:sz w:val="14"/>
        </w:rPr>
        <w:t xml:space="preserve">. It has created a discipline and that is something of long-run consequence, most certainly for the good. </w:t>
      </w:r>
      <w:r w:rsidRPr="00F77CD8">
        <w:rPr>
          <w:rStyle w:val="StyleUnderline"/>
          <w:highlight w:val="green"/>
        </w:rPr>
        <w:t>It has made very little dent on the conventional wisdom of the policy makers anywhere</w:t>
      </w:r>
      <w:r w:rsidRPr="009E77BD">
        <w:rPr>
          <w:sz w:val="14"/>
        </w:rPr>
        <w:t xml:space="preserve"> in the world. It has not been able to prevent an arms race, any more, I suppose we might say, than the Keynesian economics has been able to prevent inflation. But whereas inflation is an inconvenience, the arms race may well be another catastrophe. Where, then, do we go from here? Can we see new horizons for peace and conflict research to get it out of the doldrums in which it has been now for almost ten years? The challenge is surely great enough. </w:t>
      </w:r>
      <w:r w:rsidRPr="00F77CD8">
        <w:rPr>
          <w:rStyle w:val="StyleUnderline"/>
          <w:highlight w:val="green"/>
        </w:rPr>
        <w:t>It still remains true that war, the breakdown of</w:t>
      </w:r>
      <w:r w:rsidRPr="009E77BD">
        <w:rPr>
          <w:sz w:val="14"/>
        </w:rPr>
        <w:t xml:space="preserve"> Galtung's "</w:t>
      </w:r>
      <w:r w:rsidRPr="00F77CD8">
        <w:rPr>
          <w:rStyle w:val="StyleUnderline"/>
          <w:highlight w:val="green"/>
        </w:rPr>
        <w:t>negative peace," remains the greatest clear and present danger to the human race, a danger to human survival far greater than poverty, or injustice, or oppression, desirable and necessary as it is to eliminate these things</w:t>
      </w:r>
      <w:r w:rsidRPr="009E77BD">
        <w:rPr>
          <w:sz w:val="14"/>
        </w:rPr>
        <w:t>. (347-8)</w:t>
      </w:r>
    </w:p>
    <w:p w:rsidR="00971741" w:rsidRPr="00F77CD8" w:rsidRDefault="00971741" w:rsidP="00971741">
      <w:pPr>
        <w:rPr>
          <w:rFonts w:eastAsiaTheme="majorEastAsia"/>
        </w:rPr>
      </w:pPr>
    </w:p>
    <w:p w:rsidR="00971741" w:rsidRPr="00F77CD8" w:rsidRDefault="00971741" w:rsidP="00971741">
      <w:pPr>
        <w:pStyle w:val="Heading3"/>
      </w:pPr>
      <w:r w:rsidRPr="00F77CD8">
        <w:t>Struct-Viol Ans: A2 “Positive Peace”—1NC</w:t>
      </w:r>
    </w:p>
    <w:p w:rsidR="00971741" w:rsidRPr="00F77CD8" w:rsidRDefault="00971741" w:rsidP="00971741"/>
    <w:p w:rsidR="00971741" w:rsidRPr="00F77CD8" w:rsidRDefault="00971741" w:rsidP="00971741">
      <w:pPr>
        <w:pStyle w:val="Heading4"/>
      </w:pPr>
      <w:r w:rsidRPr="00F77CD8">
        <w:t>Nuclear war outweighs</w:t>
      </w:r>
    </w:p>
    <w:p w:rsidR="00971741" w:rsidRPr="00F77CD8" w:rsidRDefault="00971741" w:rsidP="00971741">
      <w:pPr>
        <w:rPr>
          <w:sz w:val="12"/>
          <w:szCs w:val="12"/>
        </w:rPr>
      </w:pPr>
      <w:r w:rsidRPr="00F77CD8">
        <w:rPr>
          <w:rStyle w:val="Style13ptBold"/>
        </w:rPr>
        <w:t>Folk 78</w:t>
      </w:r>
      <w:r w:rsidRPr="00F77CD8">
        <w:rPr>
          <w:sz w:val="12"/>
        </w:rPr>
        <w:t xml:space="preserve"> – Peace Studies Professor, Bethany College </w:t>
      </w:r>
      <w:r w:rsidRPr="00F77CD8">
        <w:rPr>
          <w:sz w:val="12"/>
          <w:szCs w:val="12"/>
        </w:rPr>
        <w:t>(Jerry, Peace Education-Peace Studies Programs, Peace Change 5.1)</w:t>
      </w:r>
    </w:p>
    <w:p w:rsidR="00971741" w:rsidRPr="00F77CD8" w:rsidRDefault="00971741" w:rsidP="00971741"/>
    <w:p w:rsidR="00971741" w:rsidRPr="00F77CD8" w:rsidRDefault="00971741" w:rsidP="00971741">
      <w:pPr>
        <w:rPr>
          <w:rStyle w:val="CardtextChar"/>
          <w:sz w:val="12"/>
        </w:rPr>
      </w:pPr>
      <w:r w:rsidRPr="00F77CD8">
        <w:t xml:space="preserve">Those proponents of the positive peace approach who reject out of hand the work of researchers and educators coming to the field from the perspective of negative peace too easily forget that </w:t>
      </w:r>
      <w:r w:rsidRPr="00F77CD8">
        <w:rPr>
          <w:rStyle w:val="StyleUnderline"/>
          <w:highlight w:val="green"/>
        </w:rPr>
        <w:t>the prevention of</w:t>
      </w:r>
      <w:r w:rsidRPr="00F77CD8">
        <w:t xml:space="preserve"> a </w:t>
      </w:r>
      <w:r w:rsidRPr="00F77CD8">
        <w:rPr>
          <w:rStyle w:val="StyleUnderline"/>
          <w:highlight w:val="green"/>
        </w:rPr>
        <w:t>nuclear confrontation</w:t>
      </w:r>
      <w:r w:rsidRPr="00F77CD8">
        <w:t xml:space="preserve"> of global </w:t>
      </w:r>
      <w:r w:rsidRPr="00F77CD8">
        <w:rPr>
          <w:rStyle w:val="StyleUnderline"/>
          <w:highlight w:val="green"/>
        </w:rPr>
        <w:t>dimensions is the prerequisite for all other peace</w:t>
      </w:r>
      <w:r w:rsidRPr="00F77CD8">
        <w:t xml:space="preserve"> research, education, and action.</w:t>
      </w:r>
      <w:r w:rsidRPr="00F77CD8">
        <w:rPr>
          <w:u w:val="single"/>
        </w:rPr>
        <w:t xml:space="preserve"> </w:t>
      </w:r>
      <w:r w:rsidRPr="00F77CD8">
        <w:rPr>
          <w:rStyle w:val="StyleUnderline"/>
          <w:highlight w:val="green"/>
        </w:rPr>
        <w:t>Unless</w:t>
      </w:r>
      <w:r w:rsidRPr="00F77CD8">
        <w:t xml:space="preserve"> such a </w:t>
      </w:r>
      <w:r w:rsidRPr="00F77CD8">
        <w:rPr>
          <w:rStyle w:val="StyleUnderline"/>
          <w:highlight w:val="green"/>
        </w:rPr>
        <w:t>confrontation can be avoided there will be no world left</w:t>
      </w:r>
      <w:r w:rsidRPr="00F77CD8">
        <w:t xml:space="preserve"> in which </w:t>
      </w:r>
      <w:r w:rsidRPr="00F77CD8">
        <w:rPr>
          <w:rStyle w:val="StyleUnderline"/>
          <w:highlight w:val="green"/>
        </w:rPr>
        <w:t>to build positive peace</w:t>
      </w:r>
      <w:r w:rsidRPr="00F77CD8">
        <w:rPr>
          <w:u w:val="single"/>
        </w:rPr>
        <w:t>.</w:t>
      </w:r>
      <w:r w:rsidRPr="00F77CD8">
        <w:t xml:space="preserve"> Moreover, the blanket condemnation of all such negative peace oriented research, education or action as a reactionary attempt to support and reinforce the status quo is doctrinaire. Conflict theory and resolution, disarmament studies, studies of the international system and of international organizations, and integration studies are in themselves neutral. They do not intrinsically support either the status quo or revolutionary efforts to change or overthrow it. Rather they offer a body of knowledge which can be used for either purpose or for some purpose in between. </w:t>
      </w:r>
      <w:r w:rsidRPr="00F77CD8">
        <w:rPr>
          <w:rStyle w:val="StyleUnderline"/>
          <w:highlight w:val="green"/>
        </w:rPr>
        <w:t>It is</w:t>
      </w:r>
      <w:r w:rsidRPr="00F77CD8">
        <w:t xml:space="preserve"> much more </w:t>
      </w:r>
      <w:r w:rsidRPr="00F77CD8">
        <w:rPr>
          <w:rStyle w:val="StyleUnderline"/>
          <w:highlight w:val="green"/>
        </w:rPr>
        <w:t>logical for those who understand</w:t>
      </w:r>
      <w:r w:rsidRPr="00F77CD8">
        <w:t xml:space="preserve"> peace as </w:t>
      </w:r>
      <w:r w:rsidRPr="00F77CD8">
        <w:rPr>
          <w:rStyle w:val="StyleUnderline"/>
          <w:highlight w:val="green"/>
        </w:rPr>
        <w:t>positive peace to integrate this knowledge into their own framework</w:t>
      </w:r>
      <w:r w:rsidRPr="00F77CD8">
        <w:t xml:space="preserve"> and to utilize it in achieving their own purposes. A balanced peace studies program should therefore offer the student exposure to the questions and concerns which occupy those who view the field essentially from the point of view of negative peace.</w:t>
      </w:r>
    </w:p>
    <w:p w:rsidR="00971741" w:rsidRPr="00F77CD8" w:rsidRDefault="00971741" w:rsidP="00971741">
      <w:pPr>
        <w:pStyle w:val="Tag2"/>
      </w:pPr>
    </w:p>
    <w:p w:rsidR="00971741" w:rsidRPr="00F77CD8" w:rsidRDefault="00971741" w:rsidP="00971741">
      <w:pPr>
        <w:pStyle w:val="Heading4"/>
      </w:pPr>
      <w:r w:rsidRPr="00F77CD8">
        <w:t>Negative peace comes first—pre-req</w:t>
      </w:r>
    </w:p>
    <w:p w:rsidR="00971741" w:rsidRPr="00F77CD8" w:rsidRDefault="00971741" w:rsidP="00971741">
      <w:r w:rsidRPr="00F77CD8">
        <w:rPr>
          <w:rStyle w:val="Style13ptBold"/>
        </w:rPr>
        <w:t>Sandole 96</w:t>
      </w:r>
      <w:r w:rsidRPr="00F77CD8">
        <w:t>, Professor of Conflict Resolution and International Relations at George Mason University [Dennis J. D., “Conflict Resolution,” usinfo.state.gov/journals/itps/1296/ijpe/ pj19sand.htm, USIA Electronic Journals, Vol. 1, No. 19, Dec.]</w:t>
      </w:r>
    </w:p>
    <w:p w:rsidR="00971741" w:rsidRPr="00F77CD8" w:rsidRDefault="00971741" w:rsidP="00971741"/>
    <w:p w:rsidR="00971741" w:rsidRPr="009E77BD" w:rsidRDefault="00971741" w:rsidP="00971741">
      <w:pPr>
        <w:rPr>
          <w:sz w:val="14"/>
        </w:rPr>
      </w:pPr>
      <w:r w:rsidRPr="00F77CD8">
        <w:rPr>
          <w:rStyle w:val="StyleUnderline"/>
          <w:highlight w:val="green"/>
        </w:rPr>
        <w:t>Negative peace</w:t>
      </w:r>
      <w:r w:rsidRPr="009E77BD">
        <w:rPr>
          <w:sz w:val="14"/>
        </w:rPr>
        <w:t xml:space="preserve">, however, does not go far enough; it </w:t>
      </w:r>
      <w:r w:rsidRPr="00F77CD8">
        <w:rPr>
          <w:rStyle w:val="StyleUnderline"/>
          <w:highlight w:val="green"/>
        </w:rPr>
        <w:t>is</w:t>
      </w:r>
      <w:r w:rsidRPr="00F77CD8">
        <w:rPr>
          <w:rStyle w:val="IntenseEmphasis"/>
        </w:rPr>
        <w:t xml:space="preserve"> </w:t>
      </w:r>
      <w:r w:rsidRPr="009E77BD">
        <w:rPr>
          <w:sz w:val="14"/>
        </w:rPr>
        <w:t>one part -- albeit, often</w:t>
      </w:r>
      <w:r w:rsidRPr="00F77CD8">
        <w:rPr>
          <w:rStyle w:val="IntenseEmphasis"/>
        </w:rPr>
        <w:t xml:space="preserve"> </w:t>
      </w:r>
      <w:r w:rsidRPr="00F77CD8">
        <w:rPr>
          <w:rStyle w:val="StyleUnderline"/>
          <w:highlight w:val="green"/>
        </w:rPr>
        <w:t>an essential part -- of</w:t>
      </w:r>
      <w:r w:rsidRPr="009E77BD">
        <w:rPr>
          <w:sz w:val="14"/>
        </w:rPr>
        <w:t xml:space="preserve"> a larger process that is rarely attempted -- and if attempted, rarely achieved -- by traditional diplomacy. The remaining part consists of "</w:t>
      </w:r>
      <w:r w:rsidRPr="00F77CD8">
        <w:rPr>
          <w:rStyle w:val="StyleUnderline"/>
          <w:highlight w:val="green"/>
        </w:rPr>
        <w:t>positive peace</w:t>
      </w:r>
      <w:r w:rsidRPr="009E77BD">
        <w:rPr>
          <w:sz w:val="14"/>
        </w:rPr>
        <w:t xml:space="preserve">": the elimination of the underlying structural causes and conditions that have given rise to the violent conflict which negative peace processes seek to contain. To put it simply, </w:t>
      </w:r>
      <w:r w:rsidRPr="00F77CD8">
        <w:rPr>
          <w:rStyle w:val="StyleUnderline"/>
          <w:highlight w:val="green"/>
        </w:rPr>
        <w:t>negative peace deals with</w:t>
      </w:r>
      <w:r w:rsidRPr="00F77CD8">
        <w:rPr>
          <w:rStyle w:val="IntenseEmphasis"/>
        </w:rPr>
        <w:t xml:space="preserve"> </w:t>
      </w:r>
      <w:r w:rsidRPr="009E77BD">
        <w:rPr>
          <w:sz w:val="14"/>
        </w:rPr>
        <w:t>symptoms of underlying problems --</w:t>
      </w:r>
      <w:r w:rsidRPr="00F77CD8">
        <w:rPr>
          <w:rStyle w:val="IntenseEmphasis"/>
        </w:rPr>
        <w:t xml:space="preserve"> "</w:t>
      </w:r>
      <w:r w:rsidRPr="00F77CD8">
        <w:rPr>
          <w:rStyle w:val="StyleUnderline"/>
          <w:highlight w:val="green"/>
        </w:rPr>
        <w:t>putting out fires</w:t>
      </w:r>
      <w:r w:rsidRPr="009E77BD">
        <w:rPr>
          <w:sz w:val="14"/>
        </w:rPr>
        <w:t xml:space="preserve">" -- while positive peace deals with the underlying, "combustible" problems themselves.  Why doesn't traditional diplomacy deal with positive peace? One reason is that diplomats are trained in dispute settlement -- reaching agreements about how to establish negative peace -- without, good intentions to the contrary, necessarily addressing the underlying problems that gave rise to the disputes that are being settled. Hence, negotiations to end wars or to control or reduce armaments, resulting in treaties or other agreements, are efforts to halt or manage actual or threatened violence resulting from conflicts without necessarily dealing with their underlying, deep-rooted causes and conditions.  [CONTINUES…] The stage has been set for this: NATO, under U.S. leadership, established the North Atlantic Cooperation Council in 1991 and the Partnership for Peace in 1994, to reach out to, and collaborate with, its former Warsaw Pact adversaries. These developments are a powerful sign that the Cold War is over and therefore, by implication, that </w:t>
      </w:r>
      <w:r w:rsidRPr="00F77CD8">
        <w:rPr>
          <w:rStyle w:val="StyleUnderline"/>
          <w:highlight w:val="green"/>
        </w:rPr>
        <w:t>nations are undergoing a shift</w:t>
      </w:r>
      <w:r w:rsidRPr="00F77CD8">
        <w:rPr>
          <w:rStyle w:val="StyleUnderline"/>
        </w:rPr>
        <w:t xml:space="preserve"> </w:t>
      </w:r>
      <w:r w:rsidRPr="009E77BD">
        <w:rPr>
          <w:sz w:val="14"/>
        </w:rPr>
        <w:t>from a narrow world view based on national security</w:t>
      </w:r>
      <w:r w:rsidRPr="00F77CD8">
        <w:rPr>
          <w:rStyle w:val="IntenseEmphasis"/>
        </w:rPr>
        <w:t xml:space="preserve"> </w:t>
      </w:r>
      <w:r w:rsidRPr="00F77CD8">
        <w:rPr>
          <w:rStyle w:val="StyleUnderline"/>
          <w:highlight w:val="green"/>
        </w:rPr>
        <w:t>to</w:t>
      </w:r>
      <w:r w:rsidRPr="00F77CD8">
        <w:rPr>
          <w:rStyle w:val="IntenseEmphasis"/>
        </w:rPr>
        <w:t xml:space="preserve"> </w:t>
      </w:r>
      <w:r w:rsidRPr="009E77BD">
        <w:rPr>
          <w:sz w:val="14"/>
        </w:rPr>
        <w:t>a comprehensive one based on</w:t>
      </w:r>
      <w:r w:rsidRPr="00F77CD8">
        <w:rPr>
          <w:rStyle w:val="IntenseEmphasis"/>
        </w:rPr>
        <w:t xml:space="preserve"> </w:t>
      </w:r>
      <w:r w:rsidRPr="00F77CD8">
        <w:rPr>
          <w:rStyle w:val="StyleUnderline"/>
          <w:highlight w:val="green"/>
        </w:rPr>
        <w:t>common security</w:t>
      </w:r>
      <w:r w:rsidRPr="00F77CD8">
        <w:rPr>
          <w:rStyle w:val="IntenseEmphasis"/>
        </w:rPr>
        <w:t xml:space="preserve">.  </w:t>
      </w:r>
      <w:r w:rsidRPr="009E77BD">
        <w:rPr>
          <w:sz w:val="14"/>
        </w:rPr>
        <w:t>Hence, the United States and its security partners are conceptually able to move beyond negative into positive peace. What this will entail in Bosnia is for the United States and its NATO and other partners to remain there long enough to ensure that negative peace holds. At the same time, they should work with international governmental and nongovernmental (including conflict resolution) organizations, and with the conflicting parties, to pursue, achieve, and maintain positive peace.  With secure negative peace as a point of departure, positive peace in Bosnia begins with the reconstruction of the country. But lest the United States and its partners repeat the failure of the European Union to achieve positive peace in the Bosnian city of Mostar through substantial investments in rebuilding Mostar's infrastructure, this reconstruction must reflect a comprehensive peacebuilding strategy -- reconciliative as well as physical -- over a period of time.  Some frameworks that could be useful in guiding U.S.-led activities in this regard are:  —the "contingency model" of Ron Fisher and Loraleigh Keashly, which matches an intervention with the intensity of a given conflict, and then follows up with other interventions designed to move the parties toward positive peace;  —the "multi-track framework" of IMTD's Ambassador John McDonald and Louise Diamond, which combines the resources of nongovernmental conflict resolution practitioners with those of the business and religious communities, media, funders, and others as well as governmental actors, in the pursuit of positive peace; and  —my own design for a "new European peace and security system" which combines elements of these and other frameworks within the context of the OSCE.  There is a working hypothesis implicit in all this: by expanding their options to include cooperative processes geared to positive peace as well as competitive processes associated with negative peace, the United States and its partners will enhance their prospects for success in dealing with the deep-rooted intrastate ethnic and other conflicts that seem to be the dominant form of warfare in the post-Cold War world.  Intervening in such conflicts may mean "taking casualties," particularly in cases where one party is attempting to impose a genocidal "final solution" on another, as in Rwanda or Bosnia. In such situations, the</w:t>
      </w:r>
      <w:r w:rsidRPr="00F77CD8">
        <w:rPr>
          <w:rStyle w:val="IntenseEmphasis"/>
        </w:rPr>
        <w:t xml:space="preserve"> </w:t>
      </w:r>
      <w:r w:rsidRPr="00F77CD8">
        <w:rPr>
          <w:rStyle w:val="StyleUnderline"/>
          <w:highlight w:val="green"/>
        </w:rPr>
        <w:t>use o</w:t>
      </w:r>
      <w:r w:rsidRPr="00F77CD8">
        <w:rPr>
          <w:rStyle w:val="IntenseEmphasis"/>
          <w:highlight w:val="green"/>
        </w:rPr>
        <w:t>f</w:t>
      </w:r>
      <w:r w:rsidRPr="00F77CD8">
        <w:rPr>
          <w:rStyle w:val="IntenseEmphasis"/>
        </w:rPr>
        <w:t xml:space="preserve"> </w:t>
      </w:r>
      <w:r w:rsidRPr="009E77BD">
        <w:rPr>
          <w:sz w:val="14"/>
        </w:rPr>
        <w:t>an appropriate amount of</w:t>
      </w:r>
      <w:r w:rsidRPr="00F77CD8">
        <w:rPr>
          <w:rStyle w:val="IntenseEmphasis"/>
        </w:rPr>
        <w:t xml:space="preserve"> </w:t>
      </w:r>
      <w:r w:rsidRPr="00F77CD8">
        <w:rPr>
          <w:rStyle w:val="StyleUnderline"/>
          <w:highlight w:val="green"/>
        </w:rPr>
        <w:t>force to achieve negative peace may be</w:t>
      </w:r>
      <w:r w:rsidRPr="00F77CD8">
        <w:rPr>
          <w:rStyle w:val="IntenseEmphasis"/>
          <w:highlight w:val="green"/>
        </w:rPr>
        <w:t xml:space="preserve"> </w:t>
      </w:r>
      <w:r w:rsidRPr="009E77BD">
        <w:rPr>
          <w:sz w:val="14"/>
        </w:rPr>
        <w:t xml:space="preserve">a </w:t>
      </w:r>
      <w:r w:rsidRPr="00F77CD8">
        <w:rPr>
          <w:rStyle w:val="StyleUnderline"/>
          <w:highlight w:val="green"/>
        </w:rPr>
        <w:t>necessary</w:t>
      </w:r>
      <w:r w:rsidRPr="009E77BD">
        <w:rPr>
          <w:sz w:val="14"/>
        </w:rPr>
        <w:t xml:space="preserve"> (but not sufficient) </w:t>
      </w:r>
      <w:r w:rsidRPr="00F77CD8">
        <w:rPr>
          <w:rStyle w:val="StyleUnderline"/>
          <w:highlight w:val="green"/>
        </w:rPr>
        <w:t>condition of positive peace</w:t>
      </w:r>
      <w:r w:rsidRPr="009E77BD">
        <w:rPr>
          <w:sz w:val="14"/>
        </w:rPr>
        <w:t>. We should not, in such cases, allow the U.S. experience in Somalia to prevent us from acting. Genocide in Rwanda or Bosnia does, sooner or later, affect the interests of the United States and others. The use of such extreme violence to "resolve" conflicts anywhere in the world is not only morally reprehensible, but constitutes a model for others to emulate, perhaps increasing the costs of dealing with it later on.  The implicit emphasis here on early warning and early action is part of the gist of conflict resolution: being proactive instead of reactive. A proactive approach to problem solving worldwide is in the U.S. national interest. This means, among other things, pursuing a bipartisan U.S. foreign policy to avoid the necessity of having to issue unrealistic timelines in any future deployment of forces, plus paying the massive U.S. debt to the United Nations so that the United States can more credibly and effectively lead in the debate over U.N. reform as well as in efforts to craft effective international responses to problems worldwide.  Effective international responses imply working synergistically with other regional international organizations -- including the Organization of African Unity, the Organization of American States, and the Association of Southeast Asian Nations -- to facilitate dealing with local problems, as well as working with the OSCE, NATO, the European Union (EU) and NGOs engaged in conflict resolution, in dealing with Bosnia and other conflicts in Europe.  The United States -- where conflict resolution is most advanced as an applied field -- cannot afford not to lead on this one: the "political will" of others and our common security depend on it.</w:t>
      </w:r>
    </w:p>
    <w:p w:rsidR="00971741" w:rsidRPr="00F77CD8" w:rsidRDefault="00971741" w:rsidP="00971741">
      <w:pPr>
        <w:pStyle w:val="Heading3"/>
      </w:pPr>
      <w:r w:rsidRPr="00F77CD8">
        <w:t>Struct-Viol Ans: A2 “Positive Peace”—2NC</w:t>
      </w:r>
    </w:p>
    <w:p w:rsidR="00971741" w:rsidRPr="00F77CD8" w:rsidRDefault="00971741" w:rsidP="00971741">
      <w:pPr>
        <w:pStyle w:val="Heading4"/>
        <w:rPr>
          <w:rFonts w:eastAsia="Calibri"/>
        </w:rPr>
      </w:pPr>
      <w:r w:rsidRPr="00F77CD8">
        <w:rPr>
          <w:rFonts w:eastAsia="Calibri"/>
        </w:rPr>
        <w:t>Limited warfare vital to positive peace</w:t>
      </w:r>
    </w:p>
    <w:p w:rsidR="00971741" w:rsidRPr="00F77CD8" w:rsidRDefault="00971741" w:rsidP="00971741">
      <w:pPr>
        <w:rPr>
          <w:rFonts w:eastAsia="Calibri"/>
        </w:rPr>
      </w:pPr>
      <w:r w:rsidRPr="00F77CD8">
        <w:rPr>
          <w:rFonts w:eastAsia="Calibri"/>
        </w:rPr>
        <w:t xml:space="preserve">Jean Bethke </w:t>
      </w:r>
      <w:r w:rsidRPr="00F77CD8">
        <w:rPr>
          <w:rFonts w:eastAsia="Calibri"/>
          <w:b/>
          <w:bCs/>
        </w:rPr>
        <w:t>Elshtain</w:t>
      </w:r>
      <w:r w:rsidRPr="00F77CD8">
        <w:rPr>
          <w:rFonts w:eastAsia="Calibri"/>
        </w:rPr>
        <w:t>, Laura Spelman Rockefeller Professor of Social and Political Ethics, Divinity School, The University of Chicago, with appointments in Political Science and the Committee on International Relations, 200</w:t>
      </w:r>
      <w:r w:rsidRPr="00F77CD8">
        <w:rPr>
          <w:rFonts w:eastAsia="Calibri"/>
          <w:b/>
          <w:bCs/>
        </w:rPr>
        <w:t>8</w:t>
      </w:r>
      <w:r w:rsidRPr="00F77CD8">
        <w:rPr>
          <w:rFonts w:eastAsia="Calibri"/>
        </w:rPr>
        <w:t>, Peace, Order, Justice: Competing Understandings, Millennium - Journal of International Studies, 36: 413</w:t>
      </w:r>
    </w:p>
    <w:p w:rsidR="00971741" w:rsidRPr="00F77CD8" w:rsidRDefault="00971741" w:rsidP="00971741">
      <w:pPr>
        <w:rPr>
          <w:rFonts w:eastAsia="Calibri"/>
        </w:rPr>
      </w:pPr>
    </w:p>
    <w:p w:rsidR="00971741" w:rsidRPr="009E77BD" w:rsidRDefault="00971741" w:rsidP="00971741">
      <w:pPr>
        <w:rPr>
          <w:rFonts w:eastAsia="Calibri"/>
          <w:sz w:val="14"/>
        </w:rPr>
      </w:pPr>
      <w:r w:rsidRPr="009E77BD">
        <w:rPr>
          <w:rFonts w:eastAsia="Calibri"/>
          <w:sz w:val="14"/>
        </w:rPr>
        <w:t xml:space="preserve">We arrive, finally at model III. Let’s call this hard-headed peace. This is a peace that is mindful at </w:t>
      </w:r>
      <w:r w:rsidRPr="00F77CD8">
        <w:rPr>
          <w:rFonts w:eastAsia="Calibri"/>
          <w:bCs/>
          <w:u w:val="single"/>
        </w:rPr>
        <w:t xml:space="preserve">every point of </w:t>
      </w:r>
      <w:r w:rsidRPr="00F77CD8">
        <w:rPr>
          <w:rStyle w:val="StyleUnderline"/>
          <w:highlight w:val="green"/>
        </w:rPr>
        <w:t>justice claims</w:t>
      </w:r>
      <w:r w:rsidRPr="009E77BD">
        <w:rPr>
          <w:rFonts w:eastAsia="Calibri"/>
          <w:sz w:val="14"/>
        </w:rPr>
        <w:t xml:space="preserve"> and</w:t>
      </w:r>
      <w:r w:rsidRPr="00F77CD8">
        <w:rPr>
          <w:rStyle w:val="StyleUnderline"/>
        </w:rPr>
        <w:t xml:space="preserve"> </w:t>
      </w:r>
      <w:r w:rsidRPr="00F77CD8">
        <w:rPr>
          <w:rStyle w:val="StyleUnderline"/>
          <w:highlight w:val="green"/>
        </w:rPr>
        <w:t>the</w:t>
      </w:r>
      <w:r w:rsidRPr="00F77CD8">
        <w:rPr>
          <w:rFonts w:eastAsia="Calibri"/>
          <w:bCs/>
          <w:u w:val="single"/>
        </w:rPr>
        <w:t xml:space="preserve"> </w:t>
      </w:r>
      <w:r w:rsidRPr="009E77BD">
        <w:rPr>
          <w:sz w:val="14"/>
        </w:rPr>
        <w:t xml:space="preserve">overriding </w:t>
      </w:r>
      <w:r w:rsidRPr="00F77CD8">
        <w:rPr>
          <w:rStyle w:val="StyleUnderline"/>
          <w:highlight w:val="green"/>
        </w:rPr>
        <w:t>need for</w:t>
      </w:r>
      <w:r w:rsidRPr="009E77BD">
        <w:rPr>
          <w:rFonts w:eastAsia="Calibri"/>
          <w:sz w:val="14"/>
        </w:rPr>
        <w:t xml:space="preserve"> at </w:t>
      </w:r>
      <w:r w:rsidRPr="009E77BD">
        <w:rPr>
          <w:sz w:val="14"/>
        </w:rPr>
        <w:t>least a modicum of</w:t>
      </w:r>
      <w:r w:rsidRPr="00F77CD8">
        <w:rPr>
          <w:rFonts w:eastAsia="Calibri"/>
          <w:bCs/>
          <w:u w:val="single"/>
        </w:rPr>
        <w:t xml:space="preserve"> </w:t>
      </w:r>
      <w:r w:rsidRPr="00F77CD8">
        <w:rPr>
          <w:rStyle w:val="StyleUnderline"/>
          <w:highlight w:val="green"/>
        </w:rPr>
        <w:t>civil order</w:t>
      </w:r>
      <w:r w:rsidRPr="009E77BD">
        <w:rPr>
          <w:rFonts w:eastAsia="Calibri"/>
          <w:sz w:val="14"/>
        </w:rPr>
        <w:t xml:space="preserve"> </w:t>
      </w:r>
      <w:r w:rsidRPr="009E77BD">
        <w:rPr>
          <w:sz w:val="14"/>
        </w:rPr>
        <w:t>and tranquility if other worthy goals, including justice claims, are to be heard and worked towards at all. Within hard-headed peace, various dichotomies – not only realism/ idealism but peace/war – as absolutes, break down. We recognise, with Hedley Bull and others, that war plays a central role in the maintenance of international law and the preservation of the balance of power, thereby effecting changes that are just. Of course</w:t>
      </w:r>
      <w:r w:rsidRPr="009E77BD">
        <w:rPr>
          <w:rFonts w:eastAsia="Calibri"/>
          <w:sz w:val="14"/>
        </w:rPr>
        <w:t xml:space="preserve">, </w:t>
      </w:r>
      <w:r w:rsidRPr="00F77CD8">
        <w:rPr>
          <w:rStyle w:val="StyleUnderline"/>
          <w:highlight w:val="green"/>
        </w:rPr>
        <w:t>war can</w:t>
      </w:r>
      <w:r w:rsidRPr="00F77CD8">
        <w:rPr>
          <w:rFonts w:eastAsia="Calibri"/>
          <w:bCs/>
          <w:u w:val="single"/>
        </w:rPr>
        <w:t xml:space="preserve"> also </w:t>
      </w:r>
      <w:r w:rsidRPr="00F77CD8">
        <w:rPr>
          <w:rStyle w:val="StyleUnderline"/>
          <w:highlight w:val="green"/>
        </w:rPr>
        <w:t>be a</w:t>
      </w:r>
      <w:r w:rsidRPr="00F77CD8">
        <w:rPr>
          <w:rFonts w:eastAsia="Calibri"/>
          <w:bCs/>
          <w:u w:val="single"/>
        </w:rPr>
        <w:t xml:space="preserve"> </w:t>
      </w:r>
      <w:r w:rsidRPr="009E77BD">
        <w:rPr>
          <w:sz w:val="14"/>
        </w:rPr>
        <w:t xml:space="preserve">destroyer of order and a </w:t>
      </w:r>
      <w:r w:rsidRPr="00F77CD8">
        <w:rPr>
          <w:rStyle w:val="StyleUnderline"/>
          <w:highlight w:val="green"/>
        </w:rPr>
        <w:t>force for injustice</w:t>
      </w:r>
      <w:r w:rsidRPr="009E77BD">
        <w:rPr>
          <w:rFonts w:eastAsia="Calibri"/>
          <w:sz w:val="14"/>
        </w:rPr>
        <w:t xml:space="preserve"> – </w:t>
      </w:r>
      <w:r w:rsidRPr="009E77BD">
        <w:rPr>
          <w:sz w:val="14"/>
        </w:rPr>
        <w:t>but we cannot pace, the peace advocates I have criticised - condemn every war in advance as necessarily a paragon of the latter rather than the former. As with every human endeavour this limited – neither absolute nor perpetual – peace is a precious, fragile human achievement. Its advocates recognise that we often need disturbers of the peace should a ‘peace’ be unjust even as</w:t>
      </w:r>
      <w:r w:rsidRPr="009E77BD">
        <w:rPr>
          <w:rFonts w:eastAsia="Calibri"/>
          <w:sz w:val="14"/>
        </w:rPr>
        <w:t xml:space="preserve"> </w:t>
      </w:r>
      <w:r w:rsidRPr="00F77CD8">
        <w:rPr>
          <w:rStyle w:val="StyleUnderline"/>
          <w:highlight w:val="green"/>
        </w:rPr>
        <w:t>we require defenders of the peace against those who would overturn it</w:t>
      </w:r>
      <w:r w:rsidRPr="00F77CD8">
        <w:rPr>
          <w:rFonts w:eastAsia="Calibri"/>
          <w:bCs/>
          <w:highlight w:val="green"/>
          <w:u w:val="single"/>
        </w:rPr>
        <w:t xml:space="preserve"> </w:t>
      </w:r>
      <w:r w:rsidRPr="00F77CD8">
        <w:rPr>
          <w:rFonts w:eastAsia="Calibri"/>
          <w:bCs/>
          <w:u w:val="single"/>
        </w:rPr>
        <w:t>i</w:t>
      </w:r>
      <w:r w:rsidRPr="009E77BD">
        <w:rPr>
          <w:sz w:val="14"/>
        </w:rPr>
        <w:t>n the name of some dangerously eschatological political ideology – the triumph of the Aryan race, the triumph of the universal class – with their death camps and gulags to deal with those who stand in the way of the absolutist projects. I recall being haunted by a story I read – an ancient Chinese parable – of the necessary precondition for perpetual peace, namely, that one should be so far removed from any other ‘city’ that, in the dead calm of night, the echoes of a dog barking could not carry – not alert some other city that aliens, strangers, were within striking distance. Your only options, if you heard that dog bark, were to go kill the inhabitants of the other city and destroy it or to incorporate them – to make them as ‘one’ with yourself – for the mere existence of this alien entity marred ‘peace’. Extreme, yes. But instructive, for it alerts us to the often ontologically suspicious features or absolute or perpetual peace – the presence of the alien suffices to mar it. As much as I loved the late John Lennon and remain an unreconstructed Beatlesmaniac – his song ‘Imagine’ is the stringing together of empty banalities: no states, no religion, nothing to kill or die for, and the world will be as one. Fat chance.</w:t>
      </w:r>
      <w:r w:rsidRPr="00F77CD8">
        <w:rPr>
          <w:rFonts w:eastAsia="Calibri"/>
          <w:bCs/>
          <w:u w:val="single"/>
        </w:rPr>
        <w:t xml:space="preserve"> </w:t>
      </w:r>
      <w:r w:rsidRPr="00F77CD8">
        <w:rPr>
          <w:rStyle w:val="StyleUnderline"/>
          <w:highlight w:val="green"/>
        </w:rPr>
        <w:t>I don’t know how one gets from</w:t>
      </w:r>
      <w:r w:rsidRPr="009E77BD">
        <w:rPr>
          <w:rFonts w:eastAsia="Calibri"/>
          <w:sz w:val="14"/>
        </w:rPr>
        <w:t xml:space="preserve"> the song’s </w:t>
      </w:r>
      <w:r w:rsidRPr="00F77CD8">
        <w:rPr>
          <w:rStyle w:val="StyleUnderline"/>
          <w:highlight w:val="green"/>
        </w:rPr>
        <w:t>subjectivist anarchy to perpetual peace</w:t>
      </w:r>
      <w:r w:rsidRPr="009E77BD">
        <w:rPr>
          <w:rFonts w:eastAsia="Calibri"/>
          <w:sz w:val="14"/>
        </w:rPr>
        <w:t xml:space="preserve"> but we confront the high hill of moral upmanship yet again in popular, simplistic form. </w:t>
      </w:r>
      <w:r w:rsidRPr="009E77BD">
        <w:rPr>
          <w:rFonts w:eastAsia="Calibri"/>
          <w:sz w:val="14"/>
          <w:szCs w:val="16"/>
        </w:rPr>
        <w:t xml:space="preserve">If, however, you find the moral problems of international politics ‘infinitely complex, bewildering and perplexing’, in Martin Wight’s words, it makes you a ‘natural Grotian’.15 I’m going to have to reflect on his claim a bit more but this much is clear to me: </w:t>
      </w:r>
      <w:r w:rsidRPr="00F77CD8">
        <w:rPr>
          <w:rStyle w:val="StyleUnderline"/>
          <w:highlight w:val="green"/>
        </w:rPr>
        <w:t>War will never be abolished, so we must limit it</w:t>
      </w:r>
      <w:r w:rsidRPr="009E77BD">
        <w:rPr>
          <w:rFonts w:eastAsia="Calibri"/>
          <w:sz w:val="14"/>
        </w:rPr>
        <w:t xml:space="preserve"> ethically and politically </w:t>
      </w:r>
      <w:r w:rsidRPr="009E77BD">
        <w:rPr>
          <w:sz w:val="14"/>
        </w:rPr>
        <w:t>in the manner of</w:t>
      </w:r>
      <w:r w:rsidRPr="00F77CD8">
        <w:rPr>
          <w:rFonts w:eastAsia="Calibri"/>
          <w:bCs/>
          <w:u w:val="single"/>
        </w:rPr>
        <w:t xml:space="preserve"> </w:t>
      </w:r>
      <w:r w:rsidRPr="00F77CD8">
        <w:rPr>
          <w:rStyle w:val="StyleUnderline"/>
          <w:highlight w:val="green"/>
        </w:rPr>
        <w:t>just war</w:t>
      </w:r>
      <w:r w:rsidRPr="009E77BD">
        <w:rPr>
          <w:rFonts w:eastAsia="Calibri"/>
          <w:sz w:val="14"/>
        </w:rPr>
        <w:t xml:space="preserve"> teaching and here debates will turn on how hick’ the restraints must be; Human nature – yes, I said it – politically incorrect as it is – is a complex admixture of good and evil, nastiness and niceness, good Harry Potter with a bit of evil Voldemortian temptation thrown in and this is unavoidable That means we should be appropriately humble about even our best intentions, for on this earth there is neither absolute good nor absolute evil as a characteristic of either persons or states;</w:t>
      </w:r>
    </w:p>
    <w:p w:rsidR="00971741" w:rsidRPr="00F77CD8" w:rsidRDefault="00971741" w:rsidP="00971741">
      <w:pPr>
        <w:rPr>
          <w:rFonts w:eastAsia="Calibri"/>
        </w:rPr>
      </w:pPr>
    </w:p>
    <w:p w:rsidR="00971741" w:rsidRPr="00F77CD8" w:rsidRDefault="00971741" w:rsidP="00971741">
      <w:pPr>
        <w:pStyle w:val="Heading4"/>
      </w:pPr>
      <w:r w:rsidRPr="00F77CD8">
        <w:t>Negative peace is a pre-req to human security</w:t>
      </w:r>
    </w:p>
    <w:p w:rsidR="00971741" w:rsidRPr="00F77CD8" w:rsidRDefault="00971741" w:rsidP="00971741">
      <w:r w:rsidRPr="00F77CD8">
        <w:t xml:space="preserve">Edward C. </w:t>
      </w:r>
      <w:r w:rsidRPr="00F77CD8">
        <w:rPr>
          <w:rStyle w:val="Style13ptBold"/>
          <w:rFonts w:eastAsia="SimSun"/>
          <w:lang w:val="x-none" w:eastAsia="x-none"/>
        </w:rPr>
        <w:t>Luck</w:t>
      </w:r>
      <w:r w:rsidRPr="00F77CD8">
        <w:rPr>
          <w:b/>
          <w:sz w:val="24"/>
        </w:rPr>
        <w:t>,</w:t>
      </w:r>
      <w:r w:rsidRPr="00F77CD8">
        <w:t xml:space="preserve"> director of a new center on international organization of the School of International and Public Affairs at Columbia University, January </w:t>
      </w:r>
      <w:r w:rsidRPr="00F77CD8">
        <w:rPr>
          <w:rStyle w:val="Style13ptBold"/>
          <w:rFonts w:eastAsia="SimSun"/>
          <w:lang w:val="x-none" w:eastAsia="x-none"/>
        </w:rPr>
        <w:t>2002</w:t>
      </w:r>
      <w:r w:rsidRPr="00F77CD8">
        <w:t>, Global Governance</w:t>
      </w:r>
    </w:p>
    <w:p w:rsidR="00971741" w:rsidRPr="00F77CD8" w:rsidRDefault="00971741" w:rsidP="00971741"/>
    <w:p w:rsidR="00971741" w:rsidRPr="009E77BD" w:rsidRDefault="00971741" w:rsidP="00971741">
      <w:pPr>
        <w:rPr>
          <w:sz w:val="14"/>
        </w:rPr>
      </w:pPr>
      <w:r w:rsidRPr="009E77BD">
        <w:rPr>
          <w:sz w:val="14"/>
        </w:rPr>
        <w:t>In this respect, it should be recognized that the recent</w:t>
      </w:r>
      <w:r w:rsidRPr="00F77CD8">
        <w:rPr>
          <w:rStyle w:val="StyleUnderline"/>
        </w:rPr>
        <w:t xml:space="preserve"> </w:t>
      </w:r>
      <w:r w:rsidRPr="00F77CD8">
        <w:rPr>
          <w:rStyle w:val="StyleUnderline"/>
          <w:highlight w:val="green"/>
        </w:rPr>
        <w:t>emphasis on human security</w:t>
      </w:r>
      <w:r w:rsidRPr="009E77BD">
        <w:rPr>
          <w:sz w:val="14"/>
        </w:rPr>
        <w:t xml:space="preserve">, though welcome, </w:t>
      </w:r>
      <w:r w:rsidRPr="00F77CD8">
        <w:rPr>
          <w:rStyle w:val="StyleUnderline"/>
          <w:highlight w:val="green"/>
        </w:rPr>
        <w:t>cannot be</w:t>
      </w:r>
      <w:r w:rsidRPr="00F77CD8">
        <w:rPr>
          <w:rStyle w:val="StyleUnderline"/>
        </w:rPr>
        <w:t xml:space="preserve"> </w:t>
      </w:r>
      <w:r w:rsidRPr="009E77BD">
        <w:rPr>
          <w:sz w:val="14"/>
        </w:rPr>
        <w:t xml:space="preserve">conceptually or operationally </w:t>
      </w:r>
      <w:r w:rsidRPr="00F77CD8">
        <w:rPr>
          <w:rStyle w:val="StyleUnderline"/>
          <w:highlight w:val="green"/>
        </w:rPr>
        <w:t>divorced from</w:t>
      </w:r>
      <w:r w:rsidRPr="00F77CD8">
        <w:rPr>
          <w:rStyle w:val="StyleUnderline"/>
        </w:rPr>
        <w:t xml:space="preserve"> </w:t>
      </w:r>
      <w:r w:rsidRPr="009E77BD">
        <w:rPr>
          <w:sz w:val="14"/>
        </w:rPr>
        <w:t>the parallel pursuit of</w:t>
      </w:r>
      <w:r w:rsidRPr="00F77CD8">
        <w:rPr>
          <w:rStyle w:val="StyleUnderline"/>
        </w:rPr>
        <w:t xml:space="preserve"> </w:t>
      </w:r>
      <w:r w:rsidRPr="00F77CD8">
        <w:rPr>
          <w:rStyle w:val="StyleUnderline"/>
          <w:highlight w:val="green"/>
        </w:rPr>
        <w:t xml:space="preserve">national security. The latter </w:t>
      </w:r>
      <w:r w:rsidRPr="009E77BD">
        <w:rPr>
          <w:sz w:val="14"/>
        </w:rPr>
        <w:t xml:space="preserve">may not be a sufficient condition </w:t>
      </w:r>
      <w:r w:rsidRPr="00F77CD8">
        <w:rPr>
          <w:rStyle w:val="StyleUnderline"/>
          <w:highlight w:val="green"/>
        </w:rPr>
        <w:t>to ensure the former</w:t>
      </w:r>
      <w:r w:rsidRPr="00F77CD8">
        <w:rPr>
          <w:rStyle w:val="StyleUnderline"/>
        </w:rPr>
        <w:t xml:space="preserve">, </w:t>
      </w:r>
      <w:r w:rsidRPr="009E77BD">
        <w:rPr>
          <w:sz w:val="14"/>
        </w:rPr>
        <w:t>but it</w:t>
      </w:r>
      <w:r w:rsidRPr="00F77CD8">
        <w:rPr>
          <w:rStyle w:val="StyleUnderline"/>
        </w:rPr>
        <w:t xml:space="preserve"> </w:t>
      </w:r>
      <w:r w:rsidRPr="00F77CD8">
        <w:rPr>
          <w:rStyle w:val="StyleUnderline"/>
          <w:highlight w:val="green"/>
        </w:rPr>
        <w:t>tends to be</w:t>
      </w:r>
      <w:r w:rsidRPr="009E77BD">
        <w:rPr>
          <w:sz w:val="14"/>
        </w:rPr>
        <w:t xml:space="preserve"> a </w:t>
      </w:r>
      <w:r w:rsidRPr="00F77CD8">
        <w:rPr>
          <w:rStyle w:val="StyleUnderline"/>
          <w:highlight w:val="green"/>
        </w:rPr>
        <w:t>necessary</w:t>
      </w:r>
      <w:r w:rsidRPr="009E77BD">
        <w:rPr>
          <w:sz w:val="14"/>
        </w:rPr>
        <w:t xml:space="preserve"> one. </w:t>
      </w:r>
      <w:r w:rsidRPr="00F77CD8">
        <w:rPr>
          <w:rStyle w:val="StyleUnderline"/>
          <w:highlight w:val="green"/>
        </w:rPr>
        <w:t>Secure states</w:t>
      </w:r>
      <w:r w:rsidRPr="009E77BD">
        <w:rPr>
          <w:sz w:val="14"/>
        </w:rPr>
        <w:t xml:space="preserve">, it appears, </w:t>
      </w:r>
      <w:r w:rsidRPr="00F77CD8">
        <w:rPr>
          <w:rStyle w:val="StyleUnderline"/>
          <w:highlight w:val="green"/>
        </w:rPr>
        <w:t>are less likely to abuse their citizens</w:t>
      </w:r>
      <w:r w:rsidRPr="009E77BD">
        <w:rPr>
          <w:sz w:val="14"/>
        </w:rPr>
        <w:t xml:space="preserve"> or to permit others to do so than are insecure ones. In an age of intrastate and transnational conflicts in which civilian casualties are abhorrently high, </w:t>
      </w:r>
      <w:r w:rsidRPr="00F77CD8">
        <w:rPr>
          <w:rStyle w:val="StyleUnderline"/>
          <w:highlight w:val="green"/>
        </w:rPr>
        <w:t>it is</w:t>
      </w:r>
      <w:r w:rsidRPr="009E77BD">
        <w:rPr>
          <w:sz w:val="14"/>
        </w:rPr>
        <w:t xml:space="preserve"> generally </w:t>
      </w:r>
      <w:r w:rsidRPr="00F77CD8">
        <w:rPr>
          <w:rStyle w:val="StyleUnderline"/>
          <w:highlight w:val="green"/>
        </w:rPr>
        <w:t>where states are weakest that human security is most gravely threatened</w:t>
      </w:r>
      <w:r w:rsidRPr="009E77BD">
        <w:rPr>
          <w:sz w:val="14"/>
        </w:rPr>
        <w:t xml:space="preserve">. In most cases, </w:t>
      </w:r>
      <w:r w:rsidRPr="00F77CD8">
        <w:rPr>
          <w:rStyle w:val="StyleUnderline"/>
          <w:highlight w:val="green"/>
        </w:rPr>
        <w:t>the first steps toward</w:t>
      </w:r>
      <w:r w:rsidRPr="00F77CD8">
        <w:rPr>
          <w:rStyle w:val="StyleUnderline"/>
        </w:rPr>
        <w:t xml:space="preserve"> </w:t>
      </w:r>
      <w:r w:rsidRPr="009E77BD">
        <w:rPr>
          <w:sz w:val="14"/>
        </w:rPr>
        <w:t>restoring</w:t>
      </w:r>
      <w:r w:rsidRPr="00F77CD8">
        <w:rPr>
          <w:rStyle w:val="StyleUnderline"/>
        </w:rPr>
        <w:t xml:space="preserve"> </w:t>
      </w:r>
      <w:r w:rsidRPr="00F77CD8">
        <w:rPr>
          <w:rStyle w:val="StyleUnderline"/>
          <w:highlight w:val="green"/>
        </w:rPr>
        <w:t>human security will involvere building</w:t>
      </w:r>
      <w:r w:rsidRPr="009E77BD">
        <w:rPr>
          <w:sz w:val="14"/>
        </w:rPr>
        <w:t xml:space="preserve"> or reshaping </w:t>
      </w:r>
      <w:r w:rsidRPr="00F77CD8">
        <w:rPr>
          <w:rStyle w:val="StyleUnderline"/>
          <w:highlight w:val="green"/>
        </w:rPr>
        <w:t>national institutions</w:t>
      </w:r>
      <w:r w:rsidRPr="009E77BD">
        <w:rPr>
          <w:sz w:val="14"/>
        </w:rPr>
        <w:t xml:space="preserve"> so that they are more capable, democratic, inclusive, responsive, transparent, and tolerant. Both international institutions and transnational civil society can play important supporting parts in these efforts--but again as supplements, not substitutes, for the state. For one thing, they can begin by acknowledging the need for stronger, not weaker, states. An underappreciation of the centrality of the state has also encouraged exaggerated rhetoric about the capacities and purposes of international organization and of civil society, as well as about the nature of their relationship. Most serious students of international organization, myself included, are also its advocates. As such, we need to take care not to confuse what we are seeking with what we are assessing. In our fascination with what is new in the world, we must not neglect the enduring importance of what is not. Nonstate actors matter, for example, largely because of the ways they influence the priorities and behavior of states. Likewise, international institutions play a critical role in many fields today precisely because we are still in the midst of the nation-state era. In a time of weapons of mass destruction and of economic globalization, the capacity of states for good or ill is such that the moderating influences of transnational civil society, global norms, and international organization ca n sometimes make a critical difference. But they cannot substitute for the state or for the domestic political processes that ultimately determine its policy choices. The powers of nonstate actors are derivative, their operational capacities limited, and their legitimacy compromised by their lack of accountability, sovereignty, and democratic structures.</w:t>
      </w:r>
    </w:p>
    <w:p w:rsidR="00971741" w:rsidRPr="00F77CD8" w:rsidRDefault="00971741" w:rsidP="00971741"/>
    <w:p w:rsidR="00971741" w:rsidRPr="00F77CD8" w:rsidRDefault="00971741" w:rsidP="00971741">
      <w:pPr>
        <w:pStyle w:val="Heading3"/>
      </w:pPr>
      <w:r w:rsidRPr="00F77CD8">
        <w:t>Struct-Viol Ans: A2 “Positive Peace”—Cuomo Ans</w:t>
      </w:r>
    </w:p>
    <w:p w:rsidR="00971741" w:rsidRPr="00F77CD8" w:rsidRDefault="00971741" w:rsidP="00971741"/>
    <w:p w:rsidR="00971741" w:rsidRPr="00F77CD8" w:rsidRDefault="00971741" w:rsidP="00971741">
      <w:pPr>
        <w:pStyle w:val="Heading4"/>
      </w:pPr>
      <w:r w:rsidRPr="00F77CD8">
        <w:t>Cuomo votes for us</w:t>
      </w:r>
    </w:p>
    <w:p w:rsidR="00971741" w:rsidRPr="00F77CD8" w:rsidRDefault="00971741" w:rsidP="00971741">
      <w:r w:rsidRPr="00F77CD8">
        <w:t xml:space="preserve">Chris J. </w:t>
      </w:r>
      <w:r w:rsidRPr="00F77CD8">
        <w:rPr>
          <w:rStyle w:val="Style13ptBold"/>
          <w:rFonts w:eastAsia="SimSun"/>
          <w:lang w:val="x-none" w:eastAsia="x-none"/>
        </w:rPr>
        <w:t>Cuomo</w:t>
      </w:r>
      <w:r w:rsidRPr="00F77CD8">
        <w:t>, assistant professor of philosophy and women’s studies at the university of Cincinnati, Hypatia Special Issues: Women and Violence Volume 11 Number 4, 19</w:t>
      </w:r>
      <w:r w:rsidRPr="00F77CD8">
        <w:rPr>
          <w:rStyle w:val="Style13ptBold"/>
          <w:rFonts w:eastAsia="SimSun"/>
          <w:lang w:val="x-none" w:eastAsia="x-none"/>
        </w:rPr>
        <w:t>96</w:t>
      </w:r>
      <w:r w:rsidRPr="00F77CD8">
        <w:t>, Esco</w:t>
      </w:r>
    </w:p>
    <w:p w:rsidR="00971741" w:rsidRPr="00F77CD8" w:rsidRDefault="00971741" w:rsidP="00971741"/>
    <w:p w:rsidR="00971741" w:rsidRPr="009E77BD" w:rsidRDefault="00971741" w:rsidP="00971741">
      <w:pPr>
        <w:rPr>
          <w:sz w:val="14"/>
        </w:rPr>
      </w:pPr>
      <w:r w:rsidRPr="009E77BD">
        <w:rPr>
          <w:sz w:val="14"/>
        </w:rPr>
        <w:t xml:space="preserve">I propose that the constancy of militarism and its effects on social reality be reintroduced as a crucial locus of contemporary feminist attentions, and that feminists emphasize how wars are eruptions and manifestations of omnipresent militarism that is a product and tool of multiply oppressive, corporate, technocratic states.(2) Feminists should be particularly interested in making this shift because it better allows consideration of the effects of war and militarism on women, subjugated peoples, and environments. </w:t>
      </w:r>
      <w:r w:rsidRPr="00F77CD8">
        <w:rPr>
          <w:rStyle w:val="StyleUnderline"/>
          <w:highlight w:val="green"/>
        </w:rPr>
        <w:t xml:space="preserve">While giving attention to the constancy of militarism in contemporary life we need not neglect the importance of addressing </w:t>
      </w:r>
      <w:r w:rsidRPr="00F77CD8">
        <w:rPr>
          <w:rStyle w:val="StyleUnderline"/>
        </w:rPr>
        <w:t xml:space="preserve">the </w:t>
      </w:r>
      <w:r w:rsidRPr="009E77BD">
        <w:rPr>
          <w:sz w:val="14"/>
        </w:rPr>
        <w:t>specific qualities of</w:t>
      </w:r>
      <w:r w:rsidRPr="00F77CD8">
        <w:rPr>
          <w:rStyle w:val="StyleUnderline"/>
        </w:rPr>
        <w:t xml:space="preserve"> </w:t>
      </w:r>
      <w:r w:rsidRPr="00F77CD8">
        <w:rPr>
          <w:rStyle w:val="StyleUnderline"/>
          <w:highlight w:val="green"/>
        </w:rPr>
        <w:t>direct, large-scale, declared military conflicts</w:t>
      </w:r>
      <w:r w:rsidRPr="009E77BD">
        <w:rPr>
          <w:sz w:val="14"/>
        </w:rPr>
        <w:t>. But the dramatic nature of declared, large-scale conflicts should not obfuscate the ways in which military violence pervades most societies in increasingly technologically sophisticated ways and the significance of military institutions and everyday practices in shaping reality. Philosophical discussions that focus only on the ethics of declaring and fighting wars miss these connections, and also miss the ways in which even declared military conflicts are often experienced as omnipresent horrors. These approaches also leave unquestioned tendencies to suspend or distort moral judgement in the face of what appears to be the inevitability of war and militarism.</w:t>
      </w:r>
    </w:p>
    <w:p w:rsidR="00971741" w:rsidRPr="00F77CD8" w:rsidRDefault="00971741" w:rsidP="00971741"/>
    <w:p w:rsidR="00971741" w:rsidRPr="00F77CD8" w:rsidRDefault="00971741" w:rsidP="00971741">
      <w:pPr>
        <w:pStyle w:val="Heading4"/>
      </w:pPr>
      <w:r w:rsidRPr="00F77CD8">
        <w:t>Their fields lead author agrees that our impacts matter</w:t>
      </w:r>
    </w:p>
    <w:p w:rsidR="00971741" w:rsidRPr="00F77CD8" w:rsidRDefault="00971741" w:rsidP="00971741">
      <w:r w:rsidRPr="00F77CD8">
        <w:t xml:space="preserve">Johan </w:t>
      </w:r>
      <w:r w:rsidRPr="00F77CD8">
        <w:rPr>
          <w:rStyle w:val="Style13ptBold"/>
          <w:rFonts w:eastAsia="SimSun"/>
          <w:lang w:val="x-none" w:eastAsia="x-none"/>
        </w:rPr>
        <w:t>Galtung</w:t>
      </w:r>
      <w:r w:rsidRPr="00F77CD8">
        <w:t>, Peace Researcher and Originator of “Positive and Negative Peace,” 19</w:t>
      </w:r>
      <w:r w:rsidRPr="00F77CD8">
        <w:rPr>
          <w:rStyle w:val="Style13ptBold"/>
          <w:rFonts w:eastAsia="SimSun"/>
          <w:lang w:val="x-none" w:eastAsia="x-none"/>
        </w:rPr>
        <w:t>85</w:t>
      </w:r>
      <w:r w:rsidRPr="00F77CD8">
        <w:t>, Journal of Peace Research, v. 22, n. 2</w:t>
      </w:r>
    </w:p>
    <w:p w:rsidR="00971741" w:rsidRPr="00F77CD8" w:rsidRDefault="00971741" w:rsidP="00971741"/>
    <w:p w:rsidR="00971741" w:rsidRPr="009E77BD" w:rsidRDefault="00971741" w:rsidP="00971741">
      <w:pPr>
        <w:rPr>
          <w:sz w:val="14"/>
        </w:rPr>
      </w:pPr>
      <w:r w:rsidRPr="009E77BD">
        <w:rPr>
          <w:sz w:val="14"/>
        </w:rPr>
        <w:t xml:space="preserve">That peace has something to do with ‘absence of violence’ is so widespread as an idea that any concept of peace research would have to accommodate this notion. However, from the very beginning this was seen as too negative. In a sense the inspiration was taken from medical science where health can be seen as the absence of disease (meaning absence of symptoms of disease), but also as something more positive: as the building of a healthy body capable of resisting diseases, relying on its own health forces or health sources. Correspondingly </w:t>
      </w:r>
      <w:r w:rsidRPr="00F77CD8">
        <w:rPr>
          <w:rStyle w:val="StyleUnderline"/>
          <w:highlight w:val="green"/>
        </w:rPr>
        <w:t>a concept of ‘positive peace’ emerged</w:t>
      </w:r>
      <w:r w:rsidRPr="009E77BD">
        <w:rPr>
          <w:sz w:val="14"/>
        </w:rPr>
        <w:t xml:space="preserve">, build around such ideas as ‘harmony’, ‘cooperation’ and ‘integration5 </w:t>
      </w:r>
      <w:r w:rsidRPr="00F77CD8">
        <w:rPr>
          <w:rStyle w:val="StyleUnderline"/>
          <w:highlight w:val="green"/>
        </w:rPr>
        <w:t>The role of peace research was to consider both the negative and positive aspects of peace</w:t>
      </w:r>
      <w:r w:rsidRPr="00F77CD8">
        <w:rPr>
          <w:rStyle w:val="StyleUnderline"/>
        </w:rPr>
        <w:t xml:space="preserve">, </w:t>
      </w:r>
      <w:r w:rsidRPr="009E77BD">
        <w:rPr>
          <w:sz w:val="14"/>
        </w:rPr>
        <w:t xml:space="preserve">both the conditions for absence of violence in general and war in particular, and the conditions for peace building — perhaps referring to the action needed for negative peace as peace-keeping; peace-making could then be used to cover both (Galtung 1967). Again, </w:t>
      </w:r>
      <w:r w:rsidRPr="00F77CD8">
        <w:rPr>
          <w:rStyle w:val="StyleUnderline"/>
          <w:highlight w:val="green"/>
        </w:rPr>
        <w:t>exactly what is put into the twin ideas of negative and positive peace is not so important as the broad agreement that peace studies should cover both,</w:t>
      </w:r>
      <w:r w:rsidRPr="00F77CD8">
        <w:rPr>
          <w:rStyle w:val="StyleUnderline"/>
        </w:rPr>
        <w:t xml:space="preserve"> </w:t>
      </w:r>
      <w:r w:rsidRPr="009E77BD">
        <w:rPr>
          <w:sz w:val="14"/>
        </w:rPr>
        <w:t>thereby expanding the field of study from prevention and control of war to the study of peaceful relations in general. In a sense constructive (as opposed to critical) development studies take care of the latter.</w:t>
      </w:r>
    </w:p>
    <w:p w:rsidR="00971741" w:rsidRPr="00F77CD8" w:rsidRDefault="00971741" w:rsidP="00971741">
      <w:pPr>
        <w:pStyle w:val="Heading3"/>
      </w:pPr>
      <w:r w:rsidRPr="00F77CD8">
        <w:t>Struct-Viol Ans: A2 “Root Cause”—1NC</w:t>
      </w:r>
    </w:p>
    <w:p w:rsidR="00971741" w:rsidRPr="00F77CD8" w:rsidRDefault="00971741" w:rsidP="00971741"/>
    <w:p w:rsidR="00971741" w:rsidRPr="00F77CD8" w:rsidRDefault="00971741" w:rsidP="00971741">
      <w:pPr>
        <w:pStyle w:val="Heading4"/>
      </w:pPr>
      <w:r w:rsidRPr="00F77CD8">
        <w:t>No one root cause</w:t>
      </w:r>
    </w:p>
    <w:p w:rsidR="00971741" w:rsidRPr="00F77CD8" w:rsidRDefault="00971741" w:rsidP="00971741">
      <w:r w:rsidRPr="00F77CD8">
        <w:t xml:space="preserve">Diego </w:t>
      </w:r>
      <w:r w:rsidRPr="00F77CD8">
        <w:rPr>
          <w:rStyle w:val="Style13ptBold"/>
        </w:rPr>
        <w:t>Muro-Ruiz</w:t>
      </w:r>
      <w:r w:rsidRPr="00F77CD8">
        <w:t>, London School of Economics, “The Logic of Violence,” POLITICS v. 22 n. 2, 20</w:t>
      </w:r>
      <w:r w:rsidRPr="00F77CD8">
        <w:rPr>
          <w:rStyle w:val="Style13ptBold"/>
        </w:rPr>
        <w:t>02</w:t>
      </w:r>
      <w:r w:rsidRPr="00F77CD8">
        <w:t>, p. 116.</w:t>
      </w:r>
    </w:p>
    <w:p w:rsidR="00971741" w:rsidRPr="00F77CD8" w:rsidRDefault="00971741" w:rsidP="00971741"/>
    <w:p w:rsidR="00971741" w:rsidRPr="00F77CD8" w:rsidRDefault="00971741" w:rsidP="00971741">
      <w:r w:rsidRPr="00F77CD8">
        <w:t xml:space="preserve">Violence is, most of the time, a wilful choice, especially if it is made by an organisation. Individuals present the scholar with a more difficult case to argue for. </w:t>
      </w:r>
      <w:r w:rsidRPr="00F77CD8">
        <w:rPr>
          <w:rStyle w:val="StyleUnderline"/>
          <w:highlight w:val="green"/>
        </w:rPr>
        <w:t>Scholars of violence have</w:t>
      </w:r>
      <w:r w:rsidRPr="00F77CD8">
        <w:rPr>
          <w:rStyle w:val="StyleUnderline"/>
        </w:rPr>
        <w:t xml:space="preserve"> </w:t>
      </w:r>
      <w:r w:rsidRPr="00F77CD8">
        <w:t>now a</w:t>
      </w:r>
      <w:r w:rsidRPr="00F77CD8">
        <w:rPr>
          <w:rStyle w:val="StyleUnderline"/>
        </w:rPr>
        <w:t xml:space="preserve"> </w:t>
      </w:r>
      <w:r w:rsidRPr="00F77CD8">
        <w:rPr>
          <w:rStyle w:val="StyleUnderline"/>
          <w:highlight w:val="green"/>
        </w:rPr>
        <w:t>wide variety of perspectives</w:t>
      </w:r>
      <w:r w:rsidRPr="00F77CD8">
        <w:rPr>
          <w:rStyle w:val="StyleUnderline"/>
        </w:rPr>
        <w:t xml:space="preserve"> </w:t>
      </w:r>
      <w:r w:rsidRPr="00F77CD8">
        <w:t>they can use –</w:t>
      </w:r>
      <w:r w:rsidRPr="00F77CD8">
        <w:rPr>
          <w:rStyle w:val="StyleUnderline"/>
        </w:rPr>
        <w:t xml:space="preserve"> </w:t>
      </w:r>
      <w:r w:rsidRPr="00F77CD8">
        <w:rPr>
          <w:rStyle w:val="StyleUnderline"/>
          <w:highlight w:val="green"/>
        </w:rPr>
        <w:t xml:space="preserve">from sociology </w:t>
      </w:r>
      <w:r w:rsidRPr="00F77CD8">
        <w:t xml:space="preserve">and </w:t>
      </w:r>
      <w:r w:rsidRPr="00F77CD8">
        <w:rPr>
          <w:rStyle w:val="StyleUnderline"/>
          <w:highlight w:val="green"/>
        </w:rPr>
        <w:t>political science, to psychology</w:t>
      </w:r>
      <w:r w:rsidRPr="00F77CD8">
        <w:rPr>
          <w:rStyle w:val="StyleUnderline"/>
        </w:rPr>
        <w:t xml:space="preserve">, </w:t>
      </w:r>
      <w:r w:rsidRPr="00F77CD8">
        <w:t xml:space="preserve">psychiatry </w:t>
      </w:r>
      <w:r w:rsidRPr="00F77CD8">
        <w:rPr>
          <w:rStyle w:val="StyleUnderline"/>
          <w:highlight w:val="green"/>
        </w:rPr>
        <w:t>and even biology</w:t>
      </w:r>
      <w:r w:rsidRPr="00F77CD8">
        <w:rPr>
          <w:rStyle w:val="StyleUnderline"/>
        </w:rPr>
        <w:t xml:space="preserve"> </w:t>
      </w:r>
      <w:r w:rsidRPr="00F77CD8">
        <w:t xml:space="preserve">– and should escape easy judgements. However, </w:t>
      </w:r>
      <w:r w:rsidRPr="00F77CD8">
        <w:rPr>
          <w:rStyle w:val="StyleUnderline"/>
          <w:highlight w:val="green"/>
        </w:rPr>
        <w:t>the fundamental difficulty</w:t>
      </w:r>
      <w:r w:rsidRPr="00F77CD8">
        <w:rPr>
          <w:rStyle w:val="StyleUnderline"/>
        </w:rPr>
        <w:t xml:space="preserve"> </w:t>
      </w:r>
      <w:r w:rsidRPr="00F77CD8">
        <w:t>for all of us</w:t>
      </w:r>
      <w:r w:rsidRPr="00F77CD8">
        <w:rPr>
          <w:rStyle w:val="StyleUnderline"/>
        </w:rPr>
        <w:t xml:space="preserve"> </w:t>
      </w:r>
      <w:r w:rsidRPr="00F77CD8">
        <w:rPr>
          <w:rStyle w:val="StyleUnderline"/>
          <w:highlight w:val="green"/>
        </w:rPr>
        <w:t>is the absence of a</w:t>
      </w:r>
      <w:r w:rsidRPr="00F77CD8">
        <w:t xml:space="preserve"> synthetic, general</w:t>
      </w:r>
      <w:r w:rsidRPr="00F77CD8">
        <w:rPr>
          <w:rStyle w:val="StyleUnderline"/>
        </w:rPr>
        <w:t xml:space="preserve"> </w:t>
      </w:r>
      <w:r w:rsidRPr="00F77CD8">
        <w:rPr>
          <w:rStyle w:val="StyleUnderline"/>
          <w:highlight w:val="green"/>
        </w:rPr>
        <w:t>theory able of integrating</w:t>
      </w:r>
      <w:r w:rsidRPr="00F77CD8">
        <w:t xml:space="preserve"> less complete </w:t>
      </w:r>
      <w:r w:rsidRPr="00F77CD8">
        <w:rPr>
          <w:rStyle w:val="StyleUnderline"/>
          <w:highlight w:val="green"/>
        </w:rPr>
        <w:t>theories</w:t>
      </w:r>
      <w:r w:rsidRPr="00F77CD8">
        <w:rPr>
          <w:rStyle w:val="StyleUnderline"/>
        </w:rPr>
        <w:t xml:space="preserve"> </w:t>
      </w:r>
      <w:r w:rsidRPr="00F77CD8">
        <w:t>of violent</w:t>
      </w:r>
      <w:r w:rsidRPr="00F77CD8">
        <w:rPr>
          <w:rStyle w:val="StyleUnderline"/>
        </w:rPr>
        <w:t xml:space="preserve"> </w:t>
      </w:r>
      <w:r w:rsidRPr="00F77CD8">
        <w:t xml:space="preserve">behaviour. In the absence of such a general theory, researchers should bear in mind that </w:t>
      </w:r>
      <w:r w:rsidRPr="00F77CD8">
        <w:rPr>
          <w:rStyle w:val="StyleUnderline"/>
          <w:highlight w:val="green"/>
        </w:rPr>
        <w:t>violence is a</w:t>
      </w:r>
      <w:r w:rsidRPr="00F77CD8">
        <w:rPr>
          <w:rStyle w:val="StyleUnderline"/>
        </w:rPr>
        <w:t xml:space="preserve"> </w:t>
      </w:r>
      <w:r w:rsidRPr="00F77CD8">
        <w:t>complex and multifaceted</w:t>
      </w:r>
      <w:r w:rsidRPr="00F77CD8">
        <w:rPr>
          <w:rStyle w:val="StyleUnderline"/>
        </w:rPr>
        <w:t xml:space="preserve"> </w:t>
      </w:r>
      <w:r w:rsidRPr="00F77CD8">
        <w:rPr>
          <w:rStyle w:val="StyleUnderline"/>
          <w:highlight w:val="green"/>
        </w:rPr>
        <w:t>phenomenon that</w:t>
      </w:r>
      <w:r w:rsidRPr="00F77CD8">
        <w:rPr>
          <w:highlight w:val="green"/>
        </w:rPr>
        <w:t xml:space="preserve"> </w:t>
      </w:r>
      <w:r w:rsidRPr="00F77CD8">
        <w:rPr>
          <w:rStyle w:val="Emphasis"/>
          <w:highlight w:val="green"/>
        </w:rPr>
        <w:t>resists mono-causal explanations</w:t>
      </w:r>
      <w:r w:rsidRPr="00F77CD8">
        <w:t xml:space="preserve">. Future research on violence will have to take in account the variety of approaches, since they each offer some understanding of the logic of violence. </w:t>
      </w:r>
    </w:p>
    <w:p w:rsidR="00971741" w:rsidRPr="00F77CD8" w:rsidRDefault="00971741" w:rsidP="00971741"/>
    <w:p w:rsidR="00971741" w:rsidRPr="00F77CD8" w:rsidRDefault="00971741" w:rsidP="00971741">
      <w:pPr>
        <w:pStyle w:val="Heading4"/>
      </w:pPr>
      <w:r w:rsidRPr="00F77CD8">
        <w:t xml:space="preserve"> ‘Root cause’ explanations </w:t>
      </w:r>
      <w:r w:rsidRPr="00F77CD8">
        <w:rPr>
          <w:u w:val="single"/>
        </w:rPr>
        <w:t>fail</w:t>
      </w:r>
      <w:r w:rsidRPr="00F77CD8">
        <w:t xml:space="preserve">—ignore </w:t>
      </w:r>
      <w:r w:rsidRPr="00F77CD8">
        <w:rPr>
          <w:u w:val="single"/>
        </w:rPr>
        <w:t>catalysts</w:t>
      </w:r>
      <w:r w:rsidRPr="00F77CD8">
        <w:t xml:space="preserve"> that trigger conflict</w:t>
      </w:r>
    </w:p>
    <w:p w:rsidR="00971741" w:rsidRPr="00F77CD8" w:rsidRDefault="00971741" w:rsidP="00971741">
      <w:r w:rsidRPr="00F77CD8">
        <w:t xml:space="preserve">William </w:t>
      </w:r>
      <w:r w:rsidRPr="00F77CD8">
        <w:rPr>
          <w:rStyle w:val="Style13ptBold"/>
        </w:rPr>
        <w:t>Thompson</w:t>
      </w:r>
      <w:r w:rsidRPr="00F77CD8">
        <w:t>, Professor, Political Science, Indiana University, “A Streetcar Named Sarajevo: Catalysts, Multiple Causation Chains, and Rivalry Structures,” INTERNATIONAL STUDIES QUARTERLY .v. 47 n. 3, 20</w:t>
      </w:r>
      <w:r w:rsidRPr="00F77CD8">
        <w:rPr>
          <w:rStyle w:val="Style13ptBold"/>
        </w:rPr>
        <w:t>03</w:t>
      </w:r>
      <w:r w:rsidRPr="00F77CD8">
        <w:t>.</w:t>
      </w:r>
    </w:p>
    <w:p w:rsidR="00971741" w:rsidRPr="00F77CD8" w:rsidRDefault="00971741" w:rsidP="00971741"/>
    <w:p w:rsidR="00971741" w:rsidRPr="009E77BD" w:rsidRDefault="00971741" w:rsidP="00971741">
      <w:pPr>
        <w:rPr>
          <w:sz w:val="14"/>
        </w:rPr>
      </w:pPr>
      <w:r w:rsidRPr="009E77BD">
        <w:rPr>
          <w:sz w:val="14"/>
        </w:rPr>
        <w:t xml:space="preserve">Richard Ned Lebow (2000–2001) has recently invoked what might be called a streetcar interpretation of systemic war and change. According to him, all our </w:t>
      </w:r>
      <w:r w:rsidRPr="00F77CD8">
        <w:rPr>
          <w:rStyle w:val="StyleUnderline"/>
          <w:highlight w:val="green"/>
        </w:rPr>
        <w:t>structural theories</w:t>
      </w:r>
      <w:r w:rsidRPr="009E77BD">
        <w:rPr>
          <w:sz w:val="14"/>
        </w:rPr>
        <w:t xml:space="preserve"> in world politics both</w:t>
      </w:r>
      <w:r w:rsidRPr="00F77CD8">
        <w:rPr>
          <w:rStyle w:val="StyleUnderline"/>
        </w:rPr>
        <w:t xml:space="preserve"> </w:t>
      </w:r>
      <w:r w:rsidRPr="00F77CD8">
        <w:rPr>
          <w:rStyle w:val="StyleUnderline"/>
          <w:highlight w:val="green"/>
        </w:rPr>
        <w:t>over determine and underdetermine</w:t>
      </w:r>
      <w:r w:rsidRPr="009E77BD">
        <w:rPr>
          <w:sz w:val="14"/>
        </w:rPr>
        <w:t xml:space="preserve"> the explanation of</w:t>
      </w:r>
      <w:r w:rsidRPr="00F77CD8">
        <w:rPr>
          <w:rStyle w:val="StyleUnderline"/>
        </w:rPr>
        <w:t xml:space="preserve"> </w:t>
      </w:r>
      <w:r w:rsidRPr="00F77CD8">
        <w:rPr>
          <w:rStyle w:val="StyleUnderline"/>
          <w:highlight w:val="green"/>
        </w:rPr>
        <w:t>the most important events</w:t>
      </w:r>
      <w:r w:rsidRPr="00F77CD8">
        <w:rPr>
          <w:rStyle w:val="StyleUnderline"/>
        </w:rPr>
        <w:t xml:space="preserve"> </w:t>
      </w:r>
      <w:r w:rsidRPr="009E77BD">
        <w:rPr>
          <w:sz w:val="14"/>
        </w:rPr>
        <w:t xml:space="preserve">such as World War I, World War II, or the end of the Cold War. Not only do </w:t>
      </w:r>
      <w:r w:rsidRPr="00F77CD8">
        <w:rPr>
          <w:rStyle w:val="StyleUnderline"/>
          <w:highlight w:val="green"/>
        </w:rPr>
        <w:t>structural theories</w:t>
      </w:r>
      <w:r w:rsidRPr="00F77CD8">
        <w:rPr>
          <w:rStyle w:val="StyleUnderline"/>
        </w:rPr>
        <w:t xml:space="preserve"> </w:t>
      </w:r>
      <w:r w:rsidRPr="009E77BD">
        <w:rPr>
          <w:sz w:val="14"/>
        </w:rPr>
        <w:t>tend to</w:t>
      </w:r>
      <w:r w:rsidRPr="00F77CD8">
        <w:rPr>
          <w:rStyle w:val="StyleUnderline"/>
        </w:rPr>
        <w:t xml:space="preserve"> </w:t>
      </w:r>
      <w:r w:rsidRPr="00F77CD8">
        <w:rPr>
          <w:rStyle w:val="StyleUnderline"/>
          <w:highlight w:val="green"/>
        </w:rPr>
        <w:t>fixate on one cause</w:t>
      </w:r>
      <w:r w:rsidRPr="009E77BD">
        <w:rPr>
          <w:sz w:val="14"/>
        </w:rPr>
        <w:t xml:space="preserve"> or stream of causation, </w:t>
      </w:r>
      <w:r w:rsidRPr="00F77CD8">
        <w:rPr>
          <w:rStyle w:val="StyleUnderline"/>
          <w:highlight w:val="green"/>
        </w:rPr>
        <w:t>they are inherently incomplete because the influence of structural causes cannot be known without also identifying</w:t>
      </w:r>
      <w:r w:rsidRPr="009E77BD">
        <w:rPr>
          <w:sz w:val="14"/>
        </w:rPr>
        <w:t xml:space="preserve"> the necessary role of </w:t>
      </w:r>
      <w:r w:rsidRPr="00F77CD8">
        <w:rPr>
          <w:rStyle w:val="StyleUnderline"/>
          <w:highlight w:val="green"/>
        </w:rPr>
        <w:t>catalysts. As long as we ignore the precipitants</w:t>
      </w:r>
      <w:r w:rsidRPr="00F77CD8">
        <w:rPr>
          <w:rStyle w:val="StyleUnderline"/>
        </w:rPr>
        <w:t xml:space="preserve"> </w:t>
      </w:r>
      <w:r w:rsidRPr="009E77BD">
        <w:rPr>
          <w:sz w:val="14"/>
        </w:rPr>
        <w:t>that actually encourage actors to act,</w:t>
      </w:r>
      <w:r w:rsidRPr="00F77CD8">
        <w:rPr>
          <w:rStyle w:val="StyleUnderline"/>
        </w:rPr>
        <w:t xml:space="preserve"> </w:t>
      </w:r>
      <w:r w:rsidRPr="00F77CD8">
        <w:rPr>
          <w:rStyle w:val="StyleUnderline"/>
          <w:highlight w:val="green"/>
        </w:rPr>
        <w:t>we cannot make accurate generalizations about</w:t>
      </w:r>
      <w:r w:rsidRPr="009E77BD">
        <w:rPr>
          <w:sz w:val="14"/>
        </w:rPr>
        <w:t xml:space="preserve"> the relationships between more remote </w:t>
      </w:r>
      <w:r w:rsidRPr="00F77CD8">
        <w:rPr>
          <w:rStyle w:val="StyleUnderline"/>
          <w:highlight w:val="green"/>
        </w:rPr>
        <w:t>causation and</w:t>
      </w:r>
      <w:r w:rsidRPr="00F77CD8">
        <w:rPr>
          <w:rStyle w:val="StyleUnderline"/>
        </w:rPr>
        <w:t xml:space="preserve"> </w:t>
      </w:r>
      <w:r w:rsidRPr="009E77BD">
        <w:rPr>
          <w:sz w:val="14"/>
        </w:rPr>
        <w:t xml:space="preserve">the </w:t>
      </w:r>
      <w:r w:rsidRPr="00F77CD8">
        <w:rPr>
          <w:rStyle w:val="StyleUnderline"/>
          <w:highlight w:val="green"/>
        </w:rPr>
        <w:t>outcomes</w:t>
      </w:r>
      <w:r w:rsidRPr="00F77CD8">
        <w:rPr>
          <w:rStyle w:val="StyleUnderline"/>
        </w:rPr>
        <w:t xml:space="preserve"> </w:t>
      </w:r>
      <w:r w:rsidRPr="009E77BD">
        <w:rPr>
          <w:sz w:val="14"/>
        </w:rPr>
        <w:t xml:space="preserve">that we are trying to explain. Nor can we test the accuracy of such generalizations without accompanying data on the presence or absence of catalysts. </w:t>
      </w:r>
      <w:r w:rsidRPr="00F77CD8">
        <w:rPr>
          <w:rStyle w:val="StyleUnderline"/>
          <w:highlight w:val="green"/>
        </w:rPr>
        <w:t>In the absence of a</w:t>
      </w:r>
      <w:r w:rsidRPr="009E77BD">
        <w:rPr>
          <w:sz w:val="14"/>
        </w:rPr>
        <w:t xml:space="preserve">n appropriate </w:t>
      </w:r>
      <w:r w:rsidRPr="00F77CD8">
        <w:rPr>
          <w:rStyle w:val="StyleUnderline"/>
          <w:highlight w:val="green"/>
        </w:rPr>
        <w:t>catalyst</w:t>
      </w:r>
      <w:r w:rsidRPr="009E77BD">
        <w:rPr>
          <w:sz w:val="14"/>
        </w:rPr>
        <w:t xml:space="preserve"> (or a ‘‘streetcar’’ that failed to arrive), </w:t>
      </w:r>
      <w:r w:rsidRPr="00F77CD8">
        <w:rPr>
          <w:rStyle w:val="StyleUnderline"/>
          <w:highlight w:val="green"/>
        </w:rPr>
        <w:t>wars might never</w:t>
      </w:r>
      <w:r w:rsidRPr="00F77CD8">
        <w:rPr>
          <w:rStyle w:val="StyleUnderline"/>
        </w:rPr>
        <w:t xml:space="preserve"> </w:t>
      </w:r>
      <w:r w:rsidRPr="009E77BD">
        <w:rPr>
          <w:sz w:val="14"/>
        </w:rPr>
        <w:t>have</w:t>
      </w:r>
      <w:r w:rsidRPr="00F77CD8">
        <w:rPr>
          <w:rStyle w:val="StyleUnderline"/>
        </w:rPr>
        <w:t xml:space="preserve"> </w:t>
      </w:r>
      <w:r w:rsidRPr="00F77CD8">
        <w:rPr>
          <w:rStyle w:val="StyleUnderline"/>
          <w:highlight w:val="green"/>
        </w:rPr>
        <w:t>happen</w:t>
      </w:r>
      <w:r w:rsidRPr="009E77BD">
        <w:rPr>
          <w:sz w:val="14"/>
        </w:rPr>
        <w:t>ed. Concrete information on their presence (‘‘streetcars’’ that did arrive) might alter our understanding of the explanatory significance of other variables. But since catalysts and contingencies are so difficult to handle theoretically and empirically, perhaps we should focus instead on probing the theoretical role of contingencies via the development of ‘‘what if ’’ scenarios.</w:t>
      </w:r>
    </w:p>
    <w:p w:rsidR="00971741" w:rsidRPr="00F77CD8" w:rsidRDefault="00971741" w:rsidP="00971741"/>
    <w:p w:rsidR="00971741" w:rsidRPr="00F77CD8" w:rsidRDefault="00971741" w:rsidP="00971741">
      <w:pPr>
        <w:pStyle w:val="Heading4"/>
        <w:rPr>
          <w:u w:val="single"/>
        </w:rPr>
      </w:pPr>
      <w:r w:rsidRPr="00F77CD8">
        <w:t xml:space="preserve">Prefer </w:t>
      </w:r>
      <w:r w:rsidRPr="00F77CD8">
        <w:rPr>
          <w:u w:val="single"/>
        </w:rPr>
        <w:t>particular</w:t>
      </w:r>
      <w:r w:rsidRPr="00F77CD8">
        <w:t xml:space="preserve"> claims over sweeping </w:t>
      </w:r>
      <w:r w:rsidRPr="00F77CD8">
        <w:rPr>
          <w:u w:val="single"/>
        </w:rPr>
        <w:t>generalizations</w:t>
      </w:r>
    </w:p>
    <w:p w:rsidR="00971741" w:rsidRPr="00F77CD8" w:rsidRDefault="00971741" w:rsidP="00971741">
      <w:r w:rsidRPr="00F77CD8">
        <w:t xml:space="preserve">Richard </w:t>
      </w:r>
      <w:r w:rsidRPr="00F77CD8">
        <w:rPr>
          <w:rStyle w:val="Style13ptBold"/>
        </w:rPr>
        <w:t>Price</w:t>
      </w:r>
      <w:r w:rsidRPr="00F77CD8">
        <w:t>, University of Minnesota, and Christian Reus-Smit, Monash University, “Dangerous Liaisons? Critical International</w:t>
      </w:r>
    </w:p>
    <w:p w:rsidR="00971741" w:rsidRPr="00F77CD8" w:rsidRDefault="00971741" w:rsidP="00971741">
      <w:r w:rsidRPr="00F77CD8">
        <w:t>Theory and Constructivism” EUROPEAN JOURNAL OF INTERNATIONAL RELATIONS v. 4 n. 3, 19</w:t>
      </w:r>
      <w:r w:rsidRPr="00F77CD8">
        <w:rPr>
          <w:rStyle w:val="Style13ptBold"/>
        </w:rPr>
        <w:t>98</w:t>
      </w:r>
      <w:r w:rsidRPr="00F77CD8">
        <w:t>, pp. 259-294.</w:t>
      </w:r>
    </w:p>
    <w:p w:rsidR="00971741" w:rsidRPr="00F77CD8" w:rsidRDefault="00971741" w:rsidP="00971741">
      <w:pPr>
        <w:rPr>
          <w:szCs w:val="16"/>
        </w:rPr>
      </w:pPr>
    </w:p>
    <w:p w:rsidR="00971741" w:rsidRPr="009E77BD" w:rsidRDefault="00971741" w:rsidP="00971741">
      <w:pPr>
        <w:rPr>
          <w:sz w:val="14"/>
        </w:rPr>
      </w:pPr>
      <w:r w:rsidRPr="009E77BD">
        <w:rPr>
          <w:sz w:val="14"/>
        </w:rPr>
        <w:t xml:space="preserve">One of the central departures of critical international theory from positivism is the view that we cannot escape the interpretive moment. As George (1994: 24) argues, ‘the world is always an interpreted “thing”, and it is always interpreted in conditions of disagreement and conflict, to one degree or another’. For this reason, ‘there can be no common body of observational or tested data that we can turn to for a neutral, objective knowledge of the world. There can be no ultimate knowledge, for example, that actually corresponds to reality per se.’ </w:t>
      </w:r>
      <w:r w:rsidRPr="00F77CD8">
        <w:rPr>
          <w:rStyle w:val="StyleUnderline"/>
          <w:highlight w:val="green"/>
        </w:rPr>
        <w:t xml:space="preserve">This </w:t>
      </w:r>
      <w:r w:rsidRPr="009E77BD">
        <w:rPr>
          <w:sz w:val="14"/>
        </w:rPr>
        <w:t xml:space="preserve">proposition </w:t>
      </w:r>
      <w:r w:rsidRPr="00F77CD8">
        <w:rPr>
          <w:rStyle w:val="StyleUnderline"/>
          <w:highlight w:val="green"/>
        </w:rPr>
        <w:t>has been endorsed</w:t>
      </w:r>
      <w:r w:rsidRPr="009E77BD">
        <w:rPr>
          <w:sz w:val="14"/>
        </w:rPr>
        <w:t xml:space="preserve"> wholeheartedly by constructivists, who are at pains </w:t>
      </w:r>
      <w:r w:rsidRPr="00F77CD8">
        <w:rPr>
          <w:rStyle w:val="StyleUnderline"/>
          <w:highlight w:val="green"/>
        </w:rPr>
        <w:t>to deny</w:t>
      </w:r>
      <w:r w:rsidRPr="009E77BD">
        <w:rPr>
          <w:sz w:val="14"/>
        </w:rPr>
        <w:t xml:space="preserve"> the possibility of making ‘</w:t>
      </w:r>
      <w:r w:rsidRPr="00F77CD8">
        <w:rPr>
          <w:rStyle w:val="StyleUnderline"/>
          <w:highlight w:val="green"/>
        </w:rPr>
        <w:t>Big-T’ Truth claims</w:t>
      </w:r>
      <w:r w:rsidRPr="009E77BD">
        <w:rPr>
          <w:sz w:val="14"/>
        </w:rPr>
        <w:t xml:space="preserve"> about the world and studiously avoid attributing such status to their findings. </w:t>
      </w:r>
      <w:r w:rsidRPr="00F77CD8">
        <w:rPr>
          <w:rStyle w:val="StyleUnderline"/>
          <w:highlight w:val="green"/>
        </w:rPr>
        <w:t>This</w:t>
      </w:r>
      <w:r w:rsidRPr="00F77CD8">
        <w:rPr>
          <w:rStyle w:val="StyleUnderline"/>
        </w:rPr>
        <w:t xml:space="preserve"> </w:t>
      </w:r>
      <w:r w:rsidRPr="009E77BD">
        <w:rPr>
          <w:sz w:val="14"/>
        </w:rPr>
        <w:t xml:space="preserve">having been </w:t>
      </w:r>
      <w:r w:rsidRPr="00F77CD8">
        <w:rPr>
          <w:rStyle w:val="StyleUnderline"/>
          <w:highlight w:val="green"/>
        </w:rPr>
        <w:t>said,</w:t>
      </w:r>
      <w:r w:rsidRPr="009E77BD">
        <w:rPr>
          <w:sz w:val="14"/>
        </w:rPr>
        <w:t xml:space="preserve"> after undertaking sustained empirical analyses of aspects of world politics constructivists do make ‘</w:t>
      </w:r>
      <w:r w:rsidRPr="00F77CD8">
        <w:rPr>
          <w:rStyle w:val="StyleUnderline"/>
          <w:highlight w:val="green"/>
        </w:rPr>
        <w:t>small-t’ truth claims</w:t>
      </w:r>
      <w:r w:rsidRPr="00F77CD8">
        <w:rPr>
          <w:rStyle w:val="StyleUnderline"/>
        </w:rPr>
        <w:t xml:space="preserve"> </w:t>
      </w:r>
      <w:r w:rsidRPr="009E77BD">
        <w:rPr>
          <w:sz w:val="14"/>
        </w:rPr>
        <w:t xml:space="preserve">about the subjects they have investigated. That is, they claim to have </w:t>
      </w:r>
      <w:r w:rsidRPr="00F77CD8">
        <w:rPr>
          <w:rStyle w:val="StyleUnderline"/>
          <w:highlight w:val="green"/>
        </w:rPr>
        <w:t>arrive</w:t>
      </w:r>
      <w:r w:rsidRPr="009E77BD">
        <w:rPr>
          <w:sz w:val="14"/>
        </w:rPr>
        <w:t xml:space="preserve">d </w:t>
      </w:r>
      <w:r w:rsidRPr="00F77CD8">
        <w:rPr>
          <w:rStyle w:val="StyleUnderline"/>
          <w:highlight w:val="green"/>
        </w:rPr>
        <w:t xml:space="preserve">at </w:t>
      </w:r>
      <w:r w:rsidRPr="009E77BD">
        <w:rPr>
          <w:sz w:val="14"/>
        </w:rPr>
        <w:t>logical and empirically</w:t>
      </w:r>
      <w:r w:rsidRPr="00F77CD8">
        <w:rPr>
          <w:rStyle w:val="StyleUnderline"/>
          <w:highlight w:val="green"/>
        </w:rPr>
        <w:t xml:space="preserve"> plausible interpretations of actions, events or processes</w:t>
      </w:r>
      <w:r w:rsidRPr="009E77BD">
        <w:rPr>
          <w:b/>
          <w:bCs/>
          <w:sz w:val="14"/>
        </w:rPr>
        <w:t>,</w:t>
      </w:r>
      <w:r w:rsidRPr="009E77BD">
        <w:rPr>
          <w:sz w:val="14"/>
        </w:rPr>
        <w:t xml:space="preserve"> and they appeal to the weight of evidence to sustain such claims. </w:t>
      </w:r>
      <w:r w:rsidRPr="00F77CD8">
        <w:rPr>
          <w:rStyle w:val="StyleUnderline"/>
          <w:highlight w:val="green"/>
        </w:rPr>
        <w:t>While admitting</w:t>
      </w:r>
      <w:r w:rsidRPr="009E77BD">
        <w:rPr>
          <w:sz w:val="14"/>
        </w:rPr>
        <w:t xml:space="preserve"> that their </w:t>
      </w:r>
      <w:r w:rsidRPr="00F77CD8">
        <w:rPr>
          <w:rStyle w:val="StyleUnderline"/>
          <w:highlight w:val="green"/>
        </w:rPr>
        <w:t xml:space="preserve">claims are always contingent </w:t>
      </w:r>
      <w:r w:rsidRPr="009E77BD">
        <w:rPr>
          <w:sz w:val="14"/>
        </w:rPr>
        <w:t xml:space="preserve">and partial interpretations of a complex world, </w:t>
      </w:r>
      <w:r w:rsidRPr="00F77CD8">
        <w:rPr>
          <w:rStyle w:val="StyleUnderline"/>
          <w:highlight w:val="green"/>
        </w:rPr>
        <w:t>Price</w:t>
      </w:r>
      <w:r w:rsidRPr="00F77CD8">
        <w:rPr>
          <w:rStyle w:val="StyleUnderline"/>
        </w:rPr>
        <w:t xml:space="preserve"> </w:t>
      </w:r>
      <w:r w:rsidRPr="009E77BD">
        <w:rPr>
          <w:sz w:val="14"/>
        </w:rPr>
        <w:t xml:space="preserve">(1995, 1997) </w:t>
      </w:r>
      <w:r w:rsidRPr="00F77CD8">
        <w:rPr>
          <w:rStyle w:val="StyleUnderline"/>
          <w:highlight w:val="green"/>
        </w:rPr>
        <w:t>claims</w:t>
      </w:r>
      <w:r w:rsidRPr="009E77BD">
        <w:rPr>
          <w:sz w:val="14"/>
        </w:rPr>
        <w:t xml:space="preserve"> that </w:t>
      </w:r>
      <w:r w:rsidRPr="00F77CD8">
        <w:rPr>
          <w:rStyle w:val="StyleUnderline"/>
          <w:highlight w:val="green"/>
        </w:rPr>
        <w:t>his</w:t>
      </w:r>
      <w:r w:rsidRPr="00F77CD8">
        <w:rPr>
          <w:rStyle w:val="StyleUnderline"/>
        </w:rPr>
        <w:t xml:space="preserve"> </w:t>
      </w:r>
      <w:r w:rsidRPr="009E77BD">
        <w:rPr>
          <w:sz w:val="14"/>
        </w:rPr>
        <w:t xml:space="preserve">genealogy </w:t>
      </w:r>
      <w:r w:rsidRPr="00F77CD8">
        <w:rPr>
          <w:rStyle w:val="StyleUnderline"/>
          <w:highlight w:val="green"/>
        </w:rPr>
        <w:t>provides the best account</w:t>
      </w:r>
      <w:r w:rsidRPr="009E77BD">
        <w:rPr>
          <w:sz w:val="14"/>
        </w:rPr>
        <w:t xml:space="preserve"> to date </w:t>
      </w:r>
      <w:r w:rsidRPr="00F77CD8">
        <w:rPr>
          <w:rStyle w:val="StyleUnderline"/>
          <w:highlight w:val="green"/>
        </w:rPr>
        <w:t>to make sense of</w:t>
      </w:r>
      <w:r w:rsidRPr="009E77BD">
        <w:rPr>
          <w:sz w:val="14"/>
        </w:rPr>
        <w:t xml:space="preserve"> anomalies surrounding the use of chemical </w:t>
      </w:r>
      <w:r w:rsidRPr="00F77CD8">
        <w:rPr>
          <w:rStyle w:val="StyleUnderline"/>
          <w:highlight w:val="green"/>
        </w:rPr>
        <w:t>weapons,</w:t>
      </w:r>
      <w:r w:rsidRPr="009E77BD">
        <w:rPr>
          <w:sz w:val="14"/>
        </w:rPr>
        <w:t xml:space="preserve"> and Reus-Smit (1997) claims that a culturalist perspective offers the best explanation of institutional differences between historical societies of states. </w:t>
      </w:r>
      <w:r w:rsidRPr="00F77CD8">
        <w:rPr>
          <w:rStyle w:val="StyleUnderline"/>
          <w:highlight w:val="green"/>
        </w:rPr>
        <w:t>Do such claims contradict</w:t>
      </w:r>
      <w:r w:rsidRPr="009E77BD">
        <w:rPr>
          <w:sz w:val="14"/>
        </w:rPr>
        <w:t xml:space="preserve"> the interpretive ethos of </w:t>
      </w:r>
      <w:r w:rsidRPr="00F77CD8">
        <w:rPr>
          <w:rStyle w:val="StyleUnderline"/>
          <w:highlight w:val="green"/>
        </w:rPr>
        <w:t>critical</w:t>
      </w:r>
      <w:r w:rsidRPr="009E77BD">
        <w:rPr>
          <w:sz w:val="14"/>
        </w:rPr>
        <w:t xml:space="preserve"> international </w:t>
      </w:r>
      <w:r w:rsidRPr="00F77CD8">
        <w:rPr>
          <w:rStyle w:val="StyleUnderline"/>
          <w:highlight w:val="green"/>
        </w:rPr>
        <w:t>theory?</w:t>
      </w:r>
      <w:r w:rsidRPr="009E77BD">
        <w:rPr>
          <w:sz w:val="14"/>
        </w:rPr>
        <w:t xml:space="preserve"> For two reasons, we argue that </w:t>
      </w:r>
      <w:r w:rsidRPr="00F77CD8">
        <w:rPr>
          <w:rStyle w:val="StyleUnderline"/>
          <w:highlight w:val="green"/>
        </w:rPr>
        <w:t>they do not</w:t>
      </w:r>
      <w:r w:rsidRPr="009E77BD">
        <w:rPr>
          <w:sz w:val="14"/>
        </w:rPr>
        <w:t xml:space="preserve">. First, the interpretive ethos of critical international theory is driven, in large measure, by a normative rejection of totalizing discourses, of general theoretical frameworks that privilege certain perspectives over others. One searches constructivist scholarship in vain, though, for such discourses. With the possible exception of Wendt’s problematic flirtation with general systemic theory and professed commitment to ‘science’, constructivist </w:t>
      </w:r>
      <w:r w:rsidRPr="00F77CD8">
        <w:rPr>
          <w:rStyle w:val="StyleUnderline"/>
          <w:highlight w:val="green"/>
        </w:rPr>
        <w:t>research is at its best</w:t>
      </w:r>
      <w:r w:rsidRPr="00F77CD8">
        <w:rPr>
          <w:rStyle w:val="StyleUnderline"/>
        </w:rPr>
        <w:t xml:space="preserve"> </w:t>
      </w:r>
      <w:r w:rsidRPr="009E77BD">
        <w:rPr>
          <w:sz w:val="14"/>
        </w:rPr>
        <w:t>when and because it is question driven,</w:t>
      </w:r>
      <w:r w:rsidRPr="00F77CD8">
        <w:rPr>
          <w:rStyle w:val="StyleUnderline"/>
          <w:highlight w:val="green"/>
        </w:rPr>
        <w:t xml:space="preserve"> with </w:t>
      </w:r>
      <w:r w:rsidRPr="009E77BD">
        <w:rPr>
          <w:sz w:val="14"/>
        </w:rPr>
        <w:t xml:space="preserve">self-consciously </w:t>
      </w:r>
      <w:r w:rsidRPr="00F77CD8">
        <w:rPr>
          <w:rStyle w:val="StyleUnderline"/>
          <w:highlight w:val="green"/>
        </w:rPr>
        <w:t>contingent claims made specifically in relation to particular phenomena, at a particular time, based on particular evidence</w:t>
      </w:r>
      <w:r w:rsidRPr="009E77BD">
        <w:rPr>
          <w:sz w:val="14"/>
        </w:rPr>
        <w:t xml:space="preserve">, and always open to alternative interpretations. Second, the </w:t>
      </w:r>
      <w:r w:rsidRPr="00F77CD8">
        <w:rPr>
          <w:rStyle w:val="StyleUnderline"/>
          <w:highlight w:val="green"/>
        </w:rPr>
        <w:t>rejection of totalizing</w:t>
      </w:r>
      <w:r w:rsidRPr="009E77BD">
        <w:rPr>
          <w:sz w:val="14"/>
        </w:rPr>
        <w:t xml:space="preserve"> discourses based on ‘</w:t>
      </w:r>
      <w:r w:rsidRPr="00F77CD8">
        <w:rPr>
          <w:rStyle w:val="StyleUnderline"/>
          <w:highlight w:val="green"/>
        </w:rPr>
        <w:t xml:space="preserve">big-T’ </w:t>
      </w:r>
      <w:r w:rsidRPr="009E77BD">
        <w:rPr>
          <w:sz w:val="14"/>
        </w:rPr>
        <w:t>Truth</w:t>
      </w:r>
      <w:r w:rsidRPr="009E77BD">
        <w:rPr>
          <w:sz w:val="14"/>
          <w:highlight w:val="green"/>
        </w:rPr>
        <w:t xml:space="preserve"> </w:t>
      </w:r>
      <w:r w:rsidRPr="00F77CD8">
        <w:rPr>
          <w:rStyle w:val="StyleUnderline"/>
          <w:highlight w:val="green"/>
        </w:rPr>
        <w:t>claims does not foreclose</w:t>
      </w:r>
      <w:r w:rsidRPr="00F77CD8">
        <w:rPr>
          <w:rStyle w:val="StyleUnderline"/>
        </w:rPr>
        <w:t xml:space="preserve"> </w:t>
      </w:r>
      <w:r w:rsidRPr="009E77BD">
        <w:rPr>
          <w:sz w:val="14"/>
        </w:rPr>
        <w:t>the possibility, or even the inevitability, of making</w:t>
      </w:r>
      <w:r w:rsidRPr="00F77CD8">
        <w:rPr>
          <w:rStyle w:val="StyleUnderline"/>
        </w:rPr>
        <w:t xml:space="preserve"> </w:t>
      </w:r>
      <w:r w:rsidRPr="00F77CD8">
        <w:rPr>
          <w:rStyle w:val="StyleUnderline"/>
          <w:highlight w:val="green"/>
        </w:rPr>
        <w:t xml:space="preserve">‘small-t’ </w:t>
      </w:r>
      <w:r w:rsidRPr="009E77BD">
        <w:rPr>
          <w:sz w:val="14"/>
        </w:rPr>
        <w:t>truth</w:t>
      </w:r>
      <w:r w:rsidRPr="00F77CD8">
        <w:rPr>
          <w:rStyle w:val="StyleUnderline"/>
          <w:highlight w:val="green"/>
        </w:rPr>
        <w:t xml:space="preserve"> claims.</w:t>
      </w:r>
      <w:r w:rsidRPr="00F77CD8">
        <w:rPr>
          <w:rStyle w:val="StyleUnderline"/>
        </w:rPr>
        <w:t xml:space="preserve"> </w:t>
      </w:r>
      <w:r w:rsidRPr="009E77BD">
        <w:rPr>
          <w:sz w:val="14"/>
        </w:rPr>
        <w:t>In fact, we would argue that as soon as one observes and interacts in the world such claims are unavoidable, either as a person engaged in everyday life or as a scholar. As Nietzsche pointed out long ago, we cannot help putting forth truth claims about the world. The individual who does not cannot act, and the genuinely unhypocritical relativist who cannot struggles for something to say and write. In short, if constructivists are not advancing totalizing discourses, and if making ‘small-t’ truth claims is inevitable if one is to talk about how the world works, then it is no more likely that constructivism per se violates the interpretive ethos of critical international theory than does critical theory itself.</w:t>
      </w:r>
    </w:p>
    <w:p w:rsidR="00971741" w:rsidRPr="00F77CD8" w:rsidRDefault="00971741" w:rsidP="00971741"/>
    <w:p w:rsidR="00971741" w:rsidRPr="00F77CD8" w:rsidRDefault="00971741" w:rsidP="00971741">
      <w:pPr>
        <w:pStyle w:val="Heading3"/>
      </w:pPr>
      <w:r w:rsidRPr="00F77CD8">
        <w:t>Struct-Viol Ans: A2 “Root Cause”—2NC</w:t>
      </w:r>
    </w:p>
    <w:p w:rsidR="00971741" w:rsidRPr="00F77CD8" w:rsidRDefault="00971741" w:rsidP="00971741"/>
    <w:p w:rsidR="00971741" w:rsidRPr="00F77CD8" w:rsidRDefault="00971741" w:rsidP="00971741">
      <w:pPr>
        <w:pStyle w:val="Heading4"/>
      </w:pPr>
      <w:r w:rsidRPr="00F77CD8">
        <w:rPr>
          <w:u w:val="single"/>
        </w:rPr>
        <w:t>Proximate causes</w:t>
      </w:r>
      <w:r w:rsidRPr="00F77CD8">
        <w:t xml:space="preserve"> are critical—society is </w:t>
      </w:r>
      <w:r w:rsidRPr="00F77CD8">
        <w:rPr>
          <w:u w:val="single"/>
        </w:rPr>
        <w:t>too complicated</w:t>
      </w:r>
      <w:r w:rsidRPr="00F77CD8">
        <w:t xml:space="preserve"> to identify one root</w:t>
      </w:r>
    </w:p>
    <w:p w:rsidR="00971741" w:rsidRPr="00F77CD8" w:rsidRDefault="00971741" w:rsidP="00971741">
      <w:r w:rsidRPr="00F77CD8">
        <w:t xml:space="preserve">Fred </w:t>
      </w:r>
      <w:r w:rsidRPr="00F77CD8">
        <w:rPr>
          <w:rStyle w:val="Style13ptBold"/>
        </w:rPr>
        <w:t>Hutchison</w:t>
      </w:r>
      <w:r w:rsidRPr="00F77CD8">
        <w:t>, CPA and MBA, “American Innovation and the Culture War: A Golden Age fo American Innovation,” RENEW AMERICA, 3—22—</w:t>
      </w:r>
      <w:r w:rsidRPr="00F77CD8">
        <w:rPr>
          <w:rStyle w:val="Style13ptBold"/>
        </w:rPr>
        <w:t>04</w:t>
      </w:r>
      <w:r w:rsidRPr="00F77CD8">
        <w:t xml:space="preserve">, </w:t>
      </w:r>
      <w:hyperlink r:id="rId388" w:history="1">
        <w:r w:rsidRPr="00F77CD8">
          <w:rPr>
            <w:rStyle w:val="Hyperlink"/>
          </w:rPr>
          <w:t>www.renewamerica.us/columns/hutchison/040322</w:t>
        </w:r>
      </w:hyperlink>
    </w:p>
    <w:p w:rsidR="00971741" w:rsidRPr="00F77CD8" w:rsidRDefault="00971741" w:rsidP="00971741"/>
    <w:p w:rsidR="00971741" w:rsidRPr="00F77CD8" w:rsidRDefault="00971741" w:rsidP="00971741">
      <w:pPr>
        <w:rPr>
          <w:rStyle w:val="StyleUnderline"/>
        </w:rPr>
      </w:pPr>
      <w:r w:rsidRPr="009E77BD">
        <w:rPr>
          <w:sz w:val="14"/>
        </w:rPr>
        <w:t xml:space="preserve">Reductionist ideas reduce (hu)man(s) to a simplistic caricature. When man looks in the mirror and sees something less than what is there, it has a depressing effect on his spirit and his mind. Deterministic ideas are the most powerfully compressing of the reductionist ideas. When man believes he is but a cog in a great machine, he feels crushed in a brutal and inhuman wine press. The most pitiless and repressive states are based on deterministic ideas — such as the Soviet regime under Stalin. When man is told that he is not created according to a design but was haphazardly evolved he is reduced to a subhuman status — an animal of no designed species but a beast-monstrosity of accidental origins. In some ways this is worse than being a cog in a machine. At least a cog has a design and an understandable purpose as an integral part of the great machine. </w:t>
      </w:r>
      <w:r w:rsidRPr="00F77CD8">
        <w:rPr>
          <w:rStyle w:val="StyleUnderline"/>
          <w:highlight w:val="green"/>
        </w:rPr>
        <w:t>Determinism is based upon the inflation of the principle of causation. Causation can be</w:t>
      </w:r>
      <w:r w:rsidRPr="00F77CD8">
        <w:rPr>
          <w:rStyle w:val="StyleUnderline"/>
        </w:rPr>
        <w:t xml:space="preserve"> </w:t>
      </w:r>
      <w:r w:rsidRPr="009E77BD">
        <w:rPr>
          <w:sz w:val="14"/>
        </w:rPr>
        <w:t xml:space="preserve">decisively </w:t>
      </w:r>
      <w:r w:rsidRPr="00F77CD8">
        <w:rPr>
          <w:rStyle w:val="StyleUnderline"/>
          <w:highlight w:val="green"/>
        </w:rPr>
        <w:t>established only for extremely simplified situations</w:t>
      </w:r>
      <w:r w:rsidRPr="009E77BD">
        <w:rPr>
          <w:sz w:val="14"/>
        </w:rPr>
        <w:t xml:space="preserve">. In modern science, an experiment must be reduced to its simplest essentials before proof of causation is possible. But </w:t>
      </w:r>
      <w:r w:rsidRPr="00F77CD8">
        <w:rPr>
          <w:rStyle w:val="StyleUnderline"/>
          <w:highlight w:val="green"/>
        </w:rPr>
        <w:t>human nature and society is exceedingly complicated</w:t>
      </w:r>
      <w:r w:rsidRPr="00F77CD8">
        <w:rPr>
          <w:rStyle w:val="StyleUnderline"/>
        </w:rPr>
        <w:t xml:space="preserve"> </w:t>
      </w:r>
      <w:r w:rsidRPr="009E77BD">
        <w:rPr>
          <w:sz w:val="14"/>
        </w:rPr>
        <w:t>and contradictory. Reductionism in the pursuit of proof of causation is illusive because human nature is irreducibly complex. This goes through my mind whenever I hear a liberal speak of "root causes</w:t>
      </w:r>
      <w:r w:rsidRPr="00F77CD8">
        <w:rPr>
          <w:rStyle w:val="StyleUnderline"/>
          <w:highlight w:val="green"/>
        </w:rPr>
        <w:t>." The illusion</w:t>
      </w:r>
      <w:r w:rsidRPr="009E77BD">
        <w:rPr>
          <w:sz w:val="14"/>
        </w:rPr>
        <w:t xml:space="preserve"> that </w:t>
      </w:r>
      <w:r w:rsidRPr="00F77CD8">
        <w:rPr>
          <w:rStyle w:val="StyleUnderline"/>
          <w:highlight w:val="green"/>
        </w:rPr>
        <w:t>we can ferret out</w:t>
      </w:r>
      <w:r w:rsidRPr="009E77BD">
        <w:rPr>
          <w:sz w:val="14"/>
        </w:rPr>
        <w:t xml:space="preserve"> the </w:t>
      </w:r>
      <w:r w:rsidRPr="00F77CD8">
        <w:rPr>
          <w:rStyle w:val="StyleUnderline"/>
          <w:highlight w:val="green"/>
        </w:rPr>
        <w:t>root causes indicates a liberal who</w:t>
      </w:r>
      <w:r w:rsidRPr="009E77BD">
        <w:rPr>
          <w:sz w:val="14"/>
        </w:rPr>
        <w:t xml:space="preserve"> has never read the classics — and </w:t>
      </w:r>
      <w:r w:rsidRPr="00F77CD8">
        <w:rPr>
          <w:rStyle w:val="StyleUnderline"/>
          <w:highlight w:val="green"/>
        </w:rPr>
        <w:t>is profoundly ignorant about human nature. Our history of trying to manipulate root causes</w:t>
      </w:r>
      <w:r w:rsidRPr="009E77BD">
        <w:rPr>
          <w:sz w:val="14"/>
        </w:rPr>
        <w:t xml:space="preserve"> through social programs </w:t>
      </w:r>
      <w:r w:rsidRPr="00F77CD8">
        <w:rPr>
          <w:rStyle w:val="StyleUnderline"/>
          <w:highlight w:val="green"/>
        </w:rPr>
        <w:t>is</w:t>
      </w:r>
      <w:r w:rsidRPr="009E77BD">
        <w:rPr>
          <w:sz w:val="14"/>
        </w:rPr>
        <w:t xml:space="preserve"> a </w:t>
      </w:r>
      <w:r w:rsidRPr="00F77CD8">
        <w:rPr>
          <w:rStyle w:val="StyleUnderline"/>
          <w:highlight w:val="green"/>
        </w:rPr>
        <w:t>discouraging</w:t>
      </w:r>
      <w:r w:rsidRPr="009E77BD">
        <w:rPr>
          <w:sz w:val="14"/>
        </w:rPr>
        <w:t xml:space="preserve"> one — </w:t>
      </w:r>
      <w:r w:rsidRPr="00F77CD8">
        <w:rPr>
          <w:rStyle w:val="StyleUnderline"/>
          <w:highlight w:val="green"/>
        </w:rPr>
        <w:t>filled with</w:t>
      </w:r>
      <w:r w:rsidRPr="00F77CD8">
        <w:rPr>
          <w:rStyle w:val="StyleUnderline"/>
        </w:rPr>
        <w:t xml:space="preserve"> </w:t>
      </w:r>
      <w:r w:rsidRPr="009E77BD">
        <w:rPr>
          <w:sz w:val="14"/>
        </w:rPr>
        <w:t>the surprises of</w:t>
      </w:r>
      <w:r w:rsidRPr="00F77CD8">
        <w:rPr>
          <w:rStyle w:val="StyleUnderline"/>
        </w:rPr>
        <w:t xml:space="preserve"> </w:t>
      </w:r>
      <w:r w:rsidRPr="00F77CD8">
        <w:rPr>
          <w:rStyle w:val="StyleUnderline"/>
          <w:highlight w:val="green"/>
        </w:rPr>
        <w:t>unintended consequences</w:t>
      </w:r>
      <w:r w:rsidRPr="00F77CD8">
        <w:rPr>
          <w:rStyle w:val="StyleUnderline"/>
        </w:rPr>
        <w:t xml:space="preserve">. </w:t>
      </w:r>
      <w:r w:rsidRPr="009E77BD">
        <w:rPr>
          <w:sz w:val="14"/>
        </w:rPr>
        <w:t xml:space="preserve">Three Fatal Determinisms The three fatal determinisms of our age are economic determinism, cultural determinism, and biological determinism. Economic determinism is the belief that what we are and what we do is shaped by economic forces. This is an extremely radical reductionism if ever there was one. All the incredibly complicated things that combine in mysterious synergies to make up human nature are all to be explained by one single cause — economics. If ever their was a myth grounded in false confidence and the radical ignorance of tunnel vision — this is it. When liberals speak of the "root causes" of social problems, they typically are borrowing ideas from economic determinism. </w:t>
      </w:r>
      <w:r w:rsidRPr="00F77CD8">
        <w:rPr>
          <w:rStyle w:val="StyleUnderline"/>
          <w:highlight w:val="green"/>
        </w:rPr>
        <w:t>Root cause arguments obscure rather than enlighten</w:t>
      </w:r>
      <w:r w:rsidRPr="009E77BD">
        <w:rPr>
          <w:sz w:val="14"/>
        </w:rPr>
        <w:t>. The poor are not responsible for their poverty because of root causes — we are told. Criminals are not responsible for crime because of root causes. Terrorists are not responsible for murder because of root causes. Such thinking rules out the idea of human conscience, and moral responsibility. When the belief in root causes relieves us of responsibility for our actions it also weakens the belief in the existence of free will. Nothing will destroy a golden age of innovation faster than a paralysis of the will. If we doubt we have a will because of a belief in the myth of root causes, the will becomes either paralyzed or undisciplined. We become ether zombies or maniacs — and return to adolescence.</w:t>
      </w:r>
    </w:p>
    <w:p w:rsidR="00971741" w:rsidRPr="00F77CD8" w:rsidRDefault="00971741" w:rsidP="00971741"/>
    <w:p w:rsidR="00971741" w:rsidRPr="00F77CD8" w:rsidRDefault="00971741" w:rsidP="00971741">
      <w:pPr>
        <w:pStyle w:val="Heading4"/>
      </w:pPr>
      <w:r w:rsidRPr="00F77CD8">
        <w:t xml:space="preserve">Conflicts are caused by </w:t>
      </w:r>
      <w:r w:rsidRPr="00F77CD8">
        <w:rPr>
          <w:u w:val="single"/>
        </w:rPr>
        <w:t>specific</w:t>
      </w:r>
      <w:r w:rsidRPr="00F77CD8">
        <w:t xml:space="preserve"> events</w:t>
      </w:r>
    </w:p>
    <w:p w:rsidR="00971741" w:rsidRPr="00F77CD8" w:rsidRDefault="00971741" w:rsidP="00971741">
      <w:r w:rsidRPr="00F77CD8">
        <w:t xml:space="preserve">Scott D. </w:t>
      </w:r>
      <w:r w:rsidRPr="00F77CD8">
        <w:rPr>
          <w:rStyle w:val="Style13ptBold"/>
        </w:rPr>
        <w:t>Sagan</w:t>
      </w:r>
      <w:r w:rsidRPr="00F77CD8">
        <w:t xml:space="preserve">, Political Science, Stanford University, “Accidental War in Theory and Practice,” </w:t>
      </w:r>
      <w:r w:rsidRPr="00F77CD8">
        <w:rPr>
          <w:rStyle w:val="Style13ptBold"/>
        </w:rPr>
        <w:t>2K</w:t>
      </w:r>
      <w:r w:rsidRPr="00F77CD8">
        <w:t>, www.sscnet.ucla.edu/polisci/faculty/trachtenberg/cv/sagan.doc</w:t>
      </w:r>
    </w:p>
    <w:p w:rsidR="00971741" w:rsidRPr="00F77CD8" w:rsidRDefault="00971741" w:rsidP="00971741"/>
    <w:p w:rsidR="00971741" w:rsidRPr="00F77CD8" w:rsidRDefault="00971741" w:rsidP="00971741">
      <w:pPr>
        <w:rPr>
          <w:b/>
          <w:bCs/>
          <w:caps/>
          <w:sz w:val="32"/>
          <w:szCs w:val="26"/>
          <w:u w:val="single"/>
        </w:rPr>
      </w:pPr>
      <w:r w:rsidRPr="009E77BD">
        <w:rPr>
          <w:sz w:val="14"/>
        </w:rPr>
        <w:t xml:space="preserve">To make reasonable judgements in such matters it is essential, in my view, to avoid the common "fallacy of overdetermination."  Looking backwards at historical events, </w:t>
      </w:r>
      <w:r w:rsidRPr="00F77CD8">
        <w:rPr>
          <w:rStyle w:val="StyleUnderline"/>
          <w:highlight w:val="green"/>
        </w:rPr>
        <w:t>it is</w:t>
      </w:r>
      <w:r w:rsidRPr="00F77CD8">
        <w:rPr>
          <w:rStyle w:val="StyleUnderline"/>
        </w:rPr>
        <w:t xml:space="preserve"> </w:t>
      </w:r>
      <w:r w:rsidRPr="009E77BD">
        <w:rPr>
          <w:sz w:val="14"/>
        </w:rPr>
        <w:t xml:space="preserve">always </w:t>
      </w:r>
      <w:r w:rsidRPr="00F77CD8">
        <w:rPr>
          <w:rStyle w:val="StyleUnderline"/>
          <w:highlight w:val="green"/>
        </w:rPr>
        <w:t xml:space="preserve">tempting to underestimate the </w:t>
      </w:r>
      <w:r w:rsidRPr="009E77BD">
        <w:rPr>
          <w:sz w:val="14"/>
        </w:rPr>
        <w:t xml:space="preserve">importance of </w:t>
      </w:r>
      <w:r w:rsidRPr="00F77CD8">
        <w:rPr>
          <w:rStyle w:val="StyleUnderline"/>
          <w:highlight w:val="green"/>
        </w:rPr>
        <w:t>the immediate causes of a war and argue</w:t>
      </w:r>
      <w:r w:rsidRPr="00F77CD8">
        <w:rPr>
          <w:rStyle w:val="StyleUnderline"/>
        </w:rPr>
        <w:t xml:space="preserve"> </w:t>
      </w:r>
      <w:r w:rsidRPr="009E77BD">
        <w:rPr>
          <w:sz w:val="14"/>
        </w:rPr>
        <w:t xml:space="preserve">that </w:t>
      </w:r>
      <w:r w:rsidRPr="00F77CD8">
        <w:rPr>
          <w:rStyle w:val="StyleUnderline"/>
          <w:highlight w:val="green"/>
        </w:rPr>
        <w:t>the</w:t>
      </w:r>
      <w:r w:rsidRPr="009E77BD">
        <w:rPr>
          <w:sz w:val="14"/>
        </w:rPr>
        <w:t xml:space="preserve"> likelihood of conflict was so high that the </w:t>
      </w:r>
      <w:r w:rsidRPr="00F77CD8">
        <w:rPr>
          <w:rStyle w:val="StyleUnderline"/>
          <w:highlight w:val="green"/>
        </w:rPr>
        <w:t xml:space="preserve">war would have broken out sooner or later </w:t>
      </w:r>
      <w:r w:rsidRPr="009E77BD">
        <w:rPr>
          <w:sz w:val="14"/>
        </w:rPr>
        <w:t xml:space="preserve">even without the specific incident that set it off.  If taken too far, however, </w:t>
      </w:r>
      <w:r w:rsidRPr="00F77CD8">
        <w:rPr>
          <w:rStyle w:val="StyleUnderline"/>
          <w:highlight w:val="green"/>
        </w:rPr>
        <w:t>this</w:t>
      </w:r>
      <w:r w:rsidRPr="00F77CD8">
        <w:rPr>
          <w:rStyle w:val="StyleUnderline"/>
        </w:rPr>
        <w:t xml:space="preserve"> </w:t>
      </w:r>
      <w:r w:rsidRPr="009E77BD">
        <w:rPr>
          <w:sz w:val="14"/>
        </w:rPr>
        <w:t xml:space="preserve">tendency </w:t>
      </w:r>
      <w:r w:rsidRPr="00F77CD8">
        <w:rPr>
          <w:rStyle w:val="StyleUnderline"/>
          <w:highlight w:val="green"/>
        </w:rPr>
        <w:t>eliminates the role of contingency</w:t>
      </w:r>
      <w:r w:rsidRPr="009E77BD">
        <w:rPr>
          <w:sz w:val="14"/>
        </w:rPr>
        <w:t xml:space="preserve"> in history </w:t>
      </w:r>
      <w:r w:rsidRPr="00F77CD8">
        <w:rPr>
          <w:rStyle w:val="StyleUnderline"/>
          <w:highlight w:val="green"/>
        </w:rPr>
        <w:t>and diminishes our ability to perceive</w:t>
      </w:r>
      <w:r w:rsidRPr="00F77CD8">
        <w:rPr>
          <w:rStyle w:val="StyleUnderline"/>
        </w:rPr>
        <w:t xml:space="preserve"> </w:t>
      </w:r>
      <w:r w:rsidRPr="009E77BD">
        <w:rPr>
          <w:sz w:val="14"/>
        </w:rPr>
        <w:t xml:space="preserve">the </w:t>
      </w:r>
      <w:r w:rsidRPr="00F77CD8">
        <w:rPr>
          <w:rStyle w:val="StyleUnderline"/>
          <w:highlight w:val="green"/>
        </w:rPr>
        <w:t>alternative pathways</w:t>
      </w:r>
      <w:r w:rsidRPr="009E77BD">
        <w:rPr>
          <w:sz w:val="14"/>
        </w:rPr>
        <w:t xml:space="preserve"> that were present to historical actors.  The point is perhaps best made through a counterfactual about the Cold War.  During the 1962 Cuban Missile Crisis, a bizarre false warning incident in the U.S. radar systems facing Cuba led officers at the North American Air Defense Command to believe that the U.S. was under attack and that a nuclear weapon was about to go off in Florida.   Now imagine the counterfactual event that this false warning was reported and believed by U.S. leaders and resulted in a U.S. nuclear "retaliation" against the Russians.  How would future historians have seen the causes of World War III? One can easily imagine arguments stressing that the war between the U.S. and the USSR was inevitable.  War was overdetermined: given the deep political hostility of the two superpowers, the conflicting ideology, the escalating arms race, nuclear war would have occurred eventually.  If not during that specific crisis over Cuba, then over the next one in Berlin, or the Middle East, or Korea.  From that perspective, focusing on this particular accidental event as a cause of war would be seen as misleading.  Yet</w:t>
      </w:r>
      <w:r w:rsidRPr="00F77CD8">
        <w:rPr>
          <w:rStyle w:val="StyleUnderline"/>
        </w:rPr>
        <w:t xml:space="preserve">, </w:t>
      </w:r>
      <w:r w:rsidRPr="00F77CD8">
        <w:rPr>
          <w:rStyle w:val="StyleUnderline"/>
          <w:highlight w:val="green"/>
        </w:rPr>
        <w:t>we all now</w:t>
      </w:r>
      <w:r w:rsidRPr="00F77CD8">
        <w:rPr>
          <w:rStyle w:val="StyleUnderline"/>
        </w:rPr>
        <w:t xml:space="preserve"> </w:t>
      </w:r>
      <w:r w:rsidRPr="009E77BD">
        <w:rPr>
          <w:sz w:val="14"/>
        </w:rPr>
        <w:t xml:space="preserve">know, of course that a </w:t>
      </w:r>
      <w:r w:rsidRPr="00F77CD8">
        <w:rPr>
          <w:rStyle w:val="StyleUnderline"/>
          <w:highlight w:val="green"/>
        </w:rPr>
        <w:t>nuclear war was neither inevitable nor overdetermined during the Cold War</w:t>
      </w:r>
      <w:r w:rsidRPr="00F77CD8">
        <w:rPr>
          <w:rStyle w:val="StyleUnderline"/>
        </w:rPr>
        <w:t xml:space="preserve">. </w:t>
      </w:r>
    </w:p>
    <w:p w:rsidR="00971741" w:rsidRPr="00F77CD8" w:rsidRDefault="00971741" w:rsidP="00971741">
      <w:pPr>
        <w:spacing w:after="200" w:line="276" w:lineRule="auto"/>
      </w:pPr>
    </w:p>
    <w:p w:rsidR="00971741" w:rsidRPr="00F77CD8" w:rsidRDefault="00971741" w:rsidP="00971741"/>
    <w:p w:rsidR="00971741" w:rsidRPr="00F77CD8" w:rsidRDefault="00971741" w:rsidP="00971741"/>
    <w:p w:rsidR="00971741" w:rsidRPr="00F77CD8" w:rsidRDefault="00971741" w:rsidP="00971741"/>
    <w:p w:rsidR="00971741" w:rsidRPr="00F77CD8" w:rsidRDefault="00971741" w:rsidP="00971741">
      <w:pPr>
        <w:pStyle w:val="Heading3"/>
      </w:pPr>
      <w:r w:rsidRPr="00F77CD8">
        <w:t>Struct-Viol Ans: A2 “Structures Key”</w:t>
      </w:r>
    </w:p>
    <w:p w:rsidR="00971741" w:rsidRPr="00F77CD8" w:rsidRDefault="00971741" w:rsidP="00971741"/>
    <w:p w:rsidR="00971741" w:rsidRPr="00F77CD8" w:rsidRDefault="00971741" w:rsidP="00971741">
      <w:pPr>
        <w:pStyle w:val="Heading4"/>
      </w:pPr>
      <w:r w:rsidRPr="00F77CD8">
        <w:rPr>
          <w:u w:val="single"/>
        </w:rPr>
        <w:t>Even if</w:t>
      </w:r>
      <w:r w:rsidRPr="00F77CD8">
        <w:t xml:space="preserve"> structures contribute to violence, particular acts of violence arise from </w:t>
      </w:r>
      <w:r w:rsidRPr="00F77CD8">
        <w:rPr>
          <w:u w:val="single"/>
        </w:rPr>
        <w:t>individual</w:t>
      </w:r>
      <w:r w:rsidRPr="00F77CD8">
        <w:t xml:space="preserve"> decisions/circumstances</w:t>
      </w:r>
    </w:p>
    <w:p w:rsidR="00971741" w:rsidRPr="00F77CD8" w:rsidRDefault="00971741" w:rsidP="00971741">
      <w:r w:rsidRPr="00F77CD8">
        <w:t xml:space="preserve">Claire </w:t>
      </w:r>
      <w:r w:rsidRPr="00F77CD8">
        <w:rPr>
          <w:rStyle w:val="Style13ptBold"/>
        </w:rPr>
        <w:t>Thomas</w:t>
      </w:r>
      <w:r w:rsidRPr="00F77CD8">
        <w:t>, International Politics, Sheffield University, “Why Don’t We Talk About ‘Violence’ in International Relations,” REVIEW OF INTERNATIONAL STUDIES v. 7, 20</w:t>
      </w:r>
      <w:r w:rsidRPr="00F77CD8">
        <w:rPr>
          <w:rStyle w:val="Style13ptBold"/>
        </w:rPr>
        <w:t>11</w:t>
      </w:r>
      <w:r w:rsidRPr="00F77CD8">
        <w:t>, p. 1827-1829.</w:t>
      </w:r>
    </w:p>
    <w:p w:rsidR="00971741" w:rsidRPr="00F77CD8" w:rsidRDefault="00971741" w:rsidP="00971741"/>
    <w:p w:rsidR="00971741" w:rsidRPr="009E77BD" w:rsidRDefault="00971741" w:rsidP="00971741">
      <w:pPr>
        <w:rPr>
          <w:sz w:val="14"/>
        </w:rPr>
      </w:pPr>
      <w:r w:rsidRPr="009E77BD">
        <w:rPr>
          <w:sz w:val="14"/>
        </w:rPr>
        <w:t>One of the most common discussions about violence centres on means and ends. A good social end is sometimes said to justify the means of violence. An example was the argument that the US and UK governments should go to war with Iraq in 2003 in order to stop Saddam Hussein’s atrocities. Gandhi on the other hand stated that the means must be consistent with the ends, as the means will affect the ends. This is a key argument for non-violence. It is important that violence is seen as a means and not an end. The use of violence is not the end position, but an instrument in order to achieve a certain aim.55 The aim is not to artificially rule out of debate an aspect that should or could be considered, or to artificially simplify the concept. Rather, it is to recognise that violence as an instrument is the core meaning of the concept, and stretching it to incorporate a state of violence brings in a vague concept unnecessarily. As I argued earlier, the concept of violence as a state of nature often refers to many acts of direct violence. Where it does not, it usually refers to a state that the author does not like, for example disorder. It could be argued that a state of violence exists when there is a culture of using violence, or many acts of violence make violence ubiquitous. In this case the state of violence is no different to the instrumental meaning, in that the state of violence is referring to an aspect of instrumental violence – its frequent occurrence and so on. In the same way, one could argue that violence is part of human nature, and therefore we can talk about the state of violence within humankind. I would argue that it is true that violence can be a learned pattern of action, or a culture within society. But the act of violence still is perpetrated by an actor, who at some level has a choice about whether to engage in violence, and why. It remains important to restrict the concept of violence to mean an instrument. It is an instrument that can be used to gain many things, from the oppression of another person, to a general state of world disorder, but violence is always a means aimed at achieving a certain aim. Violence is by nature instrumental; like all means, it always stands in need of guidance and justification through the end it pursues. And what needs justification by something else cannot be the essence of anything. The end of war [. . .] is peace or victory; but to the question And what is the end of peace? There is no answer.56 Frazer and Hutchings argue that it is not possible to separate ‘violent doing from violent being’ and that doing so ‘underestimates the levels of ideological and material investment needed to sustain violence as a repertoire for political action’ and overestimates the ability of actors to transcend the use of violence.57 This view should not be discounted</w:t>
      </w:r>
      <w:r w:rsidRPr="009E77BD">
        <w:rPr>
          <w:sz w:val="14"/>
          <w:highlight w:val="green"/>
        </w:rPr>
        <w:t xml:space="preserve">. </w:t>
      </w:r>
      <w:r w:rsidRPr="00F77CD8">
        <w:rPr>
          <w:rStyle w:val="StyleUnderline"/>
          <w:highlight w:val="green"/>
        </w:rPr>
        <w:t>It is</w:t>
      </w:r>
      <w:r w:rsidRPr="009E77BD">
        <w:rPr>
          <w:sz w:val="14"/>
          <w:highlight w:val="green"/>
        </w:rPr>
        <w:t xml:space="preserve"> </w:t>
      </w:r>
      <w:r w:rsidRPr="00F77CD8">
        <w:rPr>
          <w:rStyle w:val="StyleUnderline"/>
          <w:highlight w:val="green"/>
        </w:rPr>
        <w:t>certainly important to recognise the structures</w:t>
      </w:r>
      <w:r w:rsidRPr="00F77CD8">
        <w:rPr>
          <w:rStyle w:val="StyleUnderline"/>
        </w:rPr>
        <w:t xml:space="preserve"> </w:t>
      </w:r>
      <w:r w:rsidRPr="009E77BD">
        <w:rPr>
          <w:sz w:val="14"/>
        </w:rPr>
        <w:t>and beliefs that allow the use of</w:t>
      </w:r>
      <w:r w:rsidRPr="00F77CD8">
        <w:rPr>
          <w:rStyle w:val="StyleUnderline"/>
        </w:rPr>
        <w:t xml:space="preserve"> </w:t>
      </w:r>
      <w:r w:rsidRPr="00F77CD8">
        <w:rPr>
          <w:rStyle w:val="StyleUnderline"/>
          <w:highlight w:val="green"/>
        </w:rPr>
        <w:t>violence</w:t>
      </w:r>
      <w:r w:rsidRPr="009E77BD">
        <w:rPr>
          <w:sz w:val="14"/>
        </w:rPr>
        <w:t xml:space="preserve"> to continue so easily. </w:t>
      </w:r>
      <w:r w:rsidRPr="00F77CD8">
        <w:rPr>
          <w:rStyle w:val="StyleUnderline"/>
          <w:highlight w:val="green"/>
        </w:rPr>
        <w:t>However</w:t>
      </w:r>
      <w:r w:rsidRPr="009E77BD">
        <w:rPr>
          <w:sz w:val="14"/>
        </w:rPr>
        <w:t>, this does not need to mean that violence is other than instrumental</w:t>
      </w:r>
      <w:r w:rsidRPr="00F77CD8">
        <w:rPr>
          <w:rStyle w:val="StyleUnderline"/>
        </w:rPr>
        <w:t xml:space="preserve">. </w:t>
      </w:r>
      <w:r w:rsidRPr="00F77CD8">
        <w:rPr>
          <w:rStyle w:val="StyleUnderline"/>
          <w:highlight w:val="green"/>
        </w:rPr>
        <w:t>Recognising</w:t>
      </w:r>
      <w:r w:rsidRPr="00F77CD8">
        <w:rPr>
          <w:rStyle w:val="StyleUnderline"/>
        </w:rPr>
        <w:t xml:space="preserve"> </w:t>
      </w:r>
      <w:r w:rsidRPr="009E77BD">
        <w:rPr>
          <w:sz w:val="14"/>
        </w:rPr>
        <w:t xml:space="preserve">the </w:t>
      </w:r>
      <w:r w:rsidRPr="00F77CD8">
        <w:rPr>
          <w:rStyle w:val="StyleUnderline"/>
          <w:highlight w:val="green"/>
        </w:rPr>
        <w:t>structures</w:t>
      </w:r>
      <w:r w:rsidRPr="009E77BD">
        <w:rPr>
          <w:sz w:val="14"/>
        </w:rPr>
        <w:t xml:space="preserve">, institutions and beliefs that perpetuate violence </w:t>
      </w:r>
      <w:r w:rsidRPr="00F77CD8">
        <w:rPr>
          <w:rStyle w:val="StyleUnderline"/>
          <w:highlight w:val="green"/>
        </w:rPr>
        <w:t>can be done at the same time as recognising that violence is an act that is carried out by an actor</w:t>
      </w:r>
      <w:r w:rsidRPr="009E77BD">
        <w:rPr>
          <w:sz w:val="14"/>
        </w:rPr>
        <w:t xml:space="preserve">. Although it should also be recognised that </w:t>
      </w:r>
      <w:r w:rsidRPr="00F77CD8">
        <w:rPr>
          <w:rStyle w:val="StyleUnderline"/>
          <w:highlight w:val="green"/>
        </w:rPr>
        <w:t>in the real world</w:t>
      </w:r>
      <w:r w:rsidRPr="00F77CD8">
        <w:rPr>
          <w:rStyle w:val="StyleUnderline"/>
        </w:rPr>
        <w:t xml:space="preserve"> </w:t>
      </w:r>
      <w:r w:rsidRPr="009E77BD">
        <w:rPr>
          <w:sz w:val="14"/>
        </w:rPr>
        <w:t xml:space="preserve">these links will be complex and the borderlines of violence may be fuzzy. </w:t>
      </w:r>
      <w:r w:rsidRPr="00F77CD8">
        <w:rPr>
          <w:rStyle w:val="StyleUnderline"/>
          <w:highlight w:val="green"/>
        </w:rPr>
        <w:t xml:space="preserve">Violence cannot be compared to world peace, or social justice, as they are completely </w:t>
      </w:r>
      <w:r w:rsidRPr="009E77BD">
        <w:rPr>
          <w:sz w:val="14"/>
        </w:rPr>
        <w:t>different – they are the end state towards which one may choose to aim. The study of violence in international politics should treat the concept as an instrument. The instrument of violence is always used in order to achieve another aim. This may be positive or negative, and include an aim about other people’s use of violence, for example to create disorder, or to prevent another actor being able to use violence. But the use of violence is a tool nevertheless. Therefore the next question this article will look at is what kind of instrument it is, and what it includes. Aspects of violence A key debate in the definition of violence is whether it includes only acts of commission, or acts of omission also. Honderich illustrates this by asking if the following two scenarios are equally violent: I send a poisoned food parcel to India, and the people who receive it die; I do not give money to Oxfam, and people who could have been helped die. In the first example, the deaths are a direct result of my act. The only way for another person to stop those deaths would be to intervene to stop my act. If I had not been born the act would not have happened. In the second example, the deaths are a result of omissions by many people. Any one of them can act to stop the deaths. If I had not been born the deaths would still occur. Honderich concludes that the difference is intention. Honderich does not classify acts of unintentional or partly unintentional omission as violent.58 By accepting that all violence is intentional, it means that to call an event in international politics violent, we must be able to see some element of choice from the actor involved. This does not mean that structural forces are irrelevant to the subject of violence in international politics. There are clearly strong structural forces at work within the international system, and within relationships at all levels that affect international politics. However,</w:t>
      </w:r>
      <w:r w:rsidRPr="00F77CD8">
        <w:rPr>
          <w:rStyle w:val="StyleUnderline"/>
        </w:rPr>
        <w:t xml:space="preserve"> </w:t>
      </w:r>
      <w:r w:rsidRPr="00F77CD8">
        <w:rPr>
          <w:rStyle w:val="StyleUnderline"/>
          <w:highlight w:val="green"/>
        </w:rPr>
        <w:t>although violence may happen as a result of the structures in society</w:t>
      </w:r>
      <w:r w:rsidRPr="00F77CD8">
        <w:rPr>
          <w:rStyle w:val="StyleUnderline"/>
        </w:rPr>
        <w:t xml:space="preserve">, </w:t>
      </w:r>
      <w:r w:rsidRPr="00F77CD8">
        <w:rPr>
          <w:rStyle w:val="StyleUnderline"/>
          <w:highlight w:val="green"/>
        </w:rPr>
        <w:t>the actual act of violence itself is intentional,</w:t>
      </w:r>
      <w:r w:rsidRPr="009E77BD">
        <w:rPr>
          <w:sz w:val="14"/>
        </w:rPr>
        <w:t xml:space="preserve"> in that it has a conscious actor, it is the result of a decision by the person perpetrating the act. This decision may well be made because the actor thinks he or she has no other option given the circumstances they find themselves in, but it is still an intentional act. Structural violence takes the opposite point of view, and is designed to incorporate into the definition of violence structural aspects which do not have an actor.</w:t>
      </w:r>
    </w:p>
    <w:p w:rsidR="00971741" w:rsidRPr="00F77CD8" w:rsidRDefault="00971741" w:rsidP="00971741"/>
    <w:p w:rsidR="00971741" w:rsidRPr="00F77CD8" w:rsidRDefault="00971741" w:rsidP="00971741">
      <w:pPr>
        <w:pStyle w:val="Heading3"/>
      </w:pPr>
      <w:r w:rsidRPr="00F77CD8">
        <w:t>A2: Util/Consequences =Racist</w:t>
      </w:r>
    </w:p>
    <w:p w:rsidR="00971741" w:rsidRPr="00F77CD8" w:rsidRDefault="00971741" w:rsidP="00971741">
      <w:pPr>
        <w:pStyle w:val="Heading4"/>
      </w:pPr>
      <w:r w:rsidRPr="00F77CD8">
        <w:t>It is racist not to consider consequences – the only moral stance is to consider link turns and long-term effects.</w:t>
      </w:r>
    </w:p>
    <w:p w:rsidR="00971741" w:rsidRPr="00F77CD8" w:rsidRDefault="00971741" w:rsidP="00971741">
      <w:r w:rsidRPr="00F77CD8">
        <w:t xml:space="preserve">Marc </w:t>
      </w:r>
      <w:r w:rsidRPr="00F77CD8">
        <w:rPr>
          <w:rStyle w:val="Style13ptBold"/>
        </w:rPr>
        <w:t>Trachtenberg</w:t>
      </w:r>
      <w:r w:rsidRPr="00F77CD8">
        <w:rPr>
          <w:b/>
        </w:rPr>
        <w:t xml:space="preserve"> </w:t>
      </w:r>
      <w:r w:rsidRPr="00F77CD8">
        <w:t>is professor in the department of history at the University of Pennsylvania. He also teaches political science courses. Source: Ethics, Vol. 95, No. 3, Special Issue: Symposium on Ethics and Nuclear Deterrence (Apr., 19</w:t>
      </w:r>
      <w:r w:rsidRPr="00F77CD8">
        <w:rPr>
          <w:rStyle w:val="Style13ptBold"/>
        </w:rPr>
        <w:t>85</w:t>
      </w:r>
      <w:r w:rsidRPr="00F77CD8">
        <w:t xml:space="preserve">), pp. 728-739 Stable URL: http://www.jstor.org/stable/2381047 </w:t>
      </w:r>
    </w:p>
    <w:p w:rsidR="00971741" w:rsidRPr="00F77CD8" w:rsidRDefault="00971741" w:rsidP="00971741">
      <w:r w:rsidRPr="00F77CD8">
        <w:rPr>
          <w:rStyle w:val="StyleUnderline"/>
        </w:rPr>
        <w:t>No one today would defend slavery</w:t>
      </w:r>
      <w:r w:rsidRPr="00F77CD8">
        <w:rPr>
          <w:sz w:val="16"/>
        </w:rPr>
        <w:t xml:space="preserve">, of course; </w:t>
      </w:r>
      <w:r w:rsidRPr="00F77CD8">
        <w:rPr>
          <w:rStyle w:val="underline"/>
        </w:rPr>
        <w:t xml:space="preserve">but the more I thought about it, the clearer it seemed that </w:t>
      </w:r>
      <w:r w:rsidRPr="00F77CD8">
        <w:rPr>
          <w:rStyle w:val="underline"/>
          <w:highlight w:val="green"/>
        </w:rPr>
        <w:t>before the Civil War one should have indeed tried to balance all the relevant considerations: that the institution of slavery was not so absolute an evil that it was morally imperative to do whatever was necessary to eradicate it immediately, without regard to any other consideration</w:t>
      </w:r>
      <w:r w:rsidRPr="00F77CD8">
        <w:rPr>
          <w:rStyle w:val="underline"/>
        </w:rPr>
        <w:t xml:space="preserve">. </w:t>
      </w:r>
      <w:r w:rsidRPr="00F77CD8">
        <w:rPr>
          <w:sz w:val="16"/>
        </w:rPr>
        <w:t xml:space="preserve">In fact, </w:t>
      </w:r>
      <w:r w:rsidRPr="00F77CD8">
        <w:rPr>
          <w:rStyle w:val="underline"/>
          <w:highlight w:val="green"/>
        </w:rPr>
        <w:t>if it was obvious that it would take a war</w:t>
      </w:r>
      <w:r w:rsidRPr="00F77CD8">
        <w:rPr>
          <w:sz w:val="16"/>
        </w:rPr>
        <w:t>-as it turned out, a long and gruesome war-</w:t>
      </w:r>
      <w:r w:rsidRPr="00F77CD8">
        <w:rPr>
          <w:rStyle w:val="underline"/>
          <w:highlight w:val="green"/>
        </w:rPr>
        <w:t>to abolish slavery,</w:t>
      </w:r>
      <w:r w:rsidRPr="00F77CD8">
        <w:rPr>
          <w:rStyle w:val="underline"/>
        </w:rPr>
        <w:t xml:space="preserve"> the </w:t>
      </w:r>
      <w:r w:rsidRPr="00F77CD8">
        <w:rPr>
          <w:rStyle w:val="underline"/>
          <w:highlight w:val="green"/>
        </w:rPr>
        <w:t>suffering and anguish that</w:t>
      </w:r>
      <w:r w:rsidRPr="00F77CD8">
        <w:rPr>
          <w:rStyle w:val="underline"/>
        </w:rPr>
        <w:t xml:space="preserve"> that </w:t>
      </w:r>
      <w:r w:rsidRPr="00F77CD8">
        <w:rPr>
          <w:rStyle w:val="underline"/>
          <w:highlight w:val="green"/>
        </w:rPr>
        <w:t>war would produce should certainly have been taken into account</w:t>
      </w:r>
      <w:r w:rsidRPr="00F77CD8">
        <w:rPr>
          <w:sz w:val="16"/>
        </w:rPr>
        <w:t xml:space="preserve">. </w:t>
      </w:r>
      <w:r w:rsidRPr="00F77CD8">
        <w:rPr>
          <w:rStyle w:val="underline"/>
        </w:rPr>
        <w:t xml:space="preserve">And </w:t>
      </w:r>
      <w:r w:rsidRPr="00F77CD8">
        <w:rPr>
          <w:rStyle w:val="underline"/>
          <w:highlight w:val="green"/>
        </w:rPr>
        <w:t>one should have given some thought to what would happen to the ex-slaves, even in the event that the North were to win: if one could predict that there was a good chance that slavery would be replaced by another brutal and repressive system-by in fact the kind of system that took root in the South after Reconstruction- then this too should have been entered into the balance</w:t>
      </w:r>
      <w:r w:rsidRPr="00F77CD8">
        <w:rPr>
          <w:sz w:val="16"/>
        </w:rPr>
        <w:t xml:space="preserve">. And it also would have made sense to look at just how brutal the slave system was: there are different degrees of loathsomeness, and this could have made a difference in one's assessments. (Questions of degree are of course crucial if we are interested in striking a balance.) Finally, arguments about peaceful alternatives -the bidding up of the price of slaves by the federal government, for instance, to make the institution economically irrational in comparison with free labor-would certainly have had a place; historical experience-an analysis of the peaceful way slavery had in fact been ended in the British Empire is the most obvious case-might also have played a central role. </w:t>
      </w:r>
      <w:r w:rsidRPr="00F77CD8">
        <w:rPr>
          <w:rStyle w:val="underline"/>
          <w:highlight w:val="green"/>
        </w:rPr>
        <w:t>Why shouldn't these things all be taken into account?</w:t>
      </w:r>
      <w:r w:rsidRPr="00F77CD8">
        <w:rPr>
          <w:rStyle w:val="underline"/>
        </w:rPr>
        <w:t xml:space="preserve"> </w:t>
      </w:r>
      <w:r w:rsidRPr="00F77CD8">
        <w:rPr>
          <w:sz w:val="16"/>
        </w:rPr>
        <w:t xml:space="preserve">Are we so convinced of the rightness of our personal moral values that we can turn a blind eye to the kinds of considerations that might moderate the force of our commitment? </w:t>
      </w:r>
      <w:r w:rsidRPr="00F77CD8">
        <w:rPr>
          <w:rStyle w:val="underline"/>
          <w:highlight w:val="green"/>
        </w:rPr>
        <w:t>One wonders even whether it can ever be truly moral to simply refuse to weigh these sorts of factors seriously.</w:t>
      </w:r>
      <w:r w:rsidRPr="00F77CD8">
        <w:rPr>
          <w:rStyle w:val="underline"/>
        </w:rPr>
        <w:t xml:space="preserve"> </w:t>
      </w:r>
      <w:r w:rsidRPr="00F77CD8">
        <w:rPr>
          <w:sz w:val="16"/>
        </w:rPr>
        <w:t xml:space="preserve">One can take the argument a step further by means of a hypothetical example. </w:t>
      </w:r>
      <w:r w:rsidRPr="00F77CD8">
        <w:rPr>
          <w:rStyle w:val="underline"/>
          <w:highlight w:val="green"/>
        </w:rPr>
        <w:t>Suppose</w:t>
      </w:r>
      <w:r w:rsidRPr="00F77CD8">
        <w:rPr>
          <w:rStyle w:val="underline"/>
        </w:rPr>
        <w:t xml:space="preserve">, </w:t>
      </w:r>
      <w:r w:rsidRPr="00F77CD8">
        <w:rPr>
          <w:sz w:val="16"/>
        </w:rPr>
        <w:t xml:space="preserve">in this case, that </w:t>
      </w:r>
      <w:r w:rsidRPr="00F77CD8">
        <w:rPr>
          <w:rStyle w:val="underline"/>
          <w:highlight w:val="green"/>
        </w:rPr>
        <w:t>the Southerners had told the abo- litionists that, if the North did come down to free the slaves, before they arrived the slaves would all be killed</w:t>
      </w:r>
      <w:r w:rsidRPr="00F77CD8">
        <w:rPr>
          <w:rStyle w:val="underline"/>
        </w:rPr>
        <w:t xml:space="preserve">. </w:t>
      </w:r>
      <w:r w:rsidRPr="00F77CD8">
        <w:rPr>
          <w:sz w:val="16"/>
        </w:rPr>
        <w:t>Certainly at this point considerations other than the moral impermissibility of slavery would have to be taken into account</w:t>
      </w:r>
      <w:r w:rsidRPr="00F77CD8">
        <w:rPr>
          <w:sz w:val="16"/>
          <w:highlight w:val="green"/>
        </w:rPr>
        <w:t xml:space="preserve">. </w:t>
      </w:r>
      <w:r w:rsidRPr="00F77CD8">
        <w:rPr>
          <w:rStyle w:val="underline"/>
          <w:highlight w:val="green"/>
        </w:rPr>
        <w:t>In such a case, an absolutist position-that the institution of slavery was so great an evil that it had to be rooted out without regard to consequence-reveals itself as inhuman and, indeed, as morally pre- posterous. There has to be some point where issues of balance become morally salient</w:t>
      </w:r>
      <w:r w:rsidRPr="00F77CD8">
        <w:rPr>
          <w:sz w:val="16"/>
          <w:highlight w:val="green"/>
        </w:rPr>
        <w:t xml:space="preserve">; </w:t>
      </w:r>
      <w:r w:rsidRPr="00F77CD8">
        <w:rPr>
          <w:rStyle w:val="underline"/>
          <w:highlight w:val="green"/>
        </w:rPr>
        <w:t>and</w:t>
      </w:r>
      <w:r w:rsidRPr="00F77CD8">
        <w:rPr>
          <w:rStyle w:val="underline"/>
        </w:rPr>
        <w:t xml:space="preserve"> </w:t>
      </w:r>
      <w:r w:rsidRPr="00F77CD8">
        <w:rPr>
          <w:sz w:val="16"/>
        </w:rPr>
        <w:t xml:space="preserve">thus in general </w:t>
      </w:r>
      <w:r w:rsidRPr="00F77CD8">
        <w:rPr>
          <w:rStyle w:val="underline"/>
          <w:highlight w:val="green"/>
        </w:rPr>
        <w:t>these basic moral issues have to be approached in nonabsolutist</w:t>
      </w:r>
      <w:r w:rsidRPr="00F77CD8">
        <w:rPr>
          <w:sz w:val="16"/>
        </w:rPr>
        <w:t xml:space="preserve">-and by that I mean more than just </w:t>
      </w:r>
      <w:r w:rsidRPr="00F77CD8">
        <w:rPr>
          <w:rStyle w:val="underline"/>
          <w:highlight w:val="green"/>
        </w:rPr>
        <w:t>non- deontological-terms</w:t>
      </w:r>
      <w:r w:rsidRPr="00F77CD8">
        <w:rPr>
          <w:rStyle w:val="underline"/>
        </w:rPr>
        <w:t xml:space="preserve">.  </w:t>
      </w:r>
    </w:p>
    <w:p w:rsidR="00971741" w:rsidRPr="00CC593C" w:rsidRDefault="00971741" w:rsidP="00971741"/>
    <w:p w:rsidR="00E96178" w:rsidRDefault="00E96178" w:rsidP="00AC001C"/>
    <w:p w:rsidR="00AC001C" w:rsidRDefault="00AC001C" w:rsidP="00AC001C"/>
    <w:p w:rsidR="00AC001C" w:rsidRDefault="00AC001C" w:rsidP="00AC001C">
      <w:pPr>
        <w:pStyle w:val="Heading2"/>
      </w:pPr>
    </w:p>
    <w:p w:rsidR="00AC001C" w:rsidRDefault="00AC001C" w:rsidP="00AC001C">
      <w:pPr>
        <w:pStyle w:val="Heading1"/>
      </w:pPr>
      <w:r>
        <w:t>aff</w:t>
      </w:r>
    </w:p>
    <w:p w:rsidR="00AC001C" w:rsidRDefault="00AC001C" w:rsidP="00AC001C">
      <w:pPr>
        <w:pStyle w:val="Heading2"/>
      </w:pPr>
      <w:r>
        <w:t>at: cap k</w:t>
      </w:r>
    </w:p>
    <w:p w:rsidR="00AC001C" w:rsidRDefault="00AC001C" w:rsidP="00AC001C">
      <w:pPr>
        <w:pStyle w:val="Heading3"/>
      </w:pPr>
      <w:r>
        <w:t>at: cap – link</w:t>
      </w:r>
    </w:p>
    <w:p w:rsidR="00AC001C" w:rsidRDefault="00AC001C" w:rsidP="00AC001C"/>
    <w:p w:rsidR="00AC001C" w:rsidRDefault="00AC001C" w:rsidP="007D124A">
      <w:pPr>
        <w:pStyle w:val="Heading4"/>
      </w:pPr>
      <w:r>
        <w:t>The aff rejects neoliberal education pressures by injecting a focus on cultural competence into teacher training</w:t>
      </w:r>
    </w:p>
    <w:p w:rsidR="00AC001C" w:rsidRPr="00761CD2" w:rsidRDefault="00761CD2" w:rsidP="00AC001C">
      <w:pPr>
        <w:rPr>
          <w:rStyle w:val="Style13ptBold"/>
        </w:rPr>
      </w:pPr>
      <w:r w:rsidRPr="00761CD2">
        <w:rPr>
          <w:rStyle w:val="Style13ptBold"/>
        </w:rPr>
        <w:t>Sleeter 09</w:t>
      </w:r>
    </w:p>
    <w:p w:rsidR="00AC001C" w:rsidRDefault="007D124A" w:rsidP="00AC001C">
      <w:r w:rsidRPr="007D124A">
        <w:t>Christine E. Sleeter is Professor and Planning Faculty Member at California State University-Monterey Bay,</w:t>
      </w:r>
      <w:r w:rsidR="00761CD2">
        <w:t xml:space="preserve"> “Teacher Education, Neoliberalism, and Social Justice”, </w:t>
      </w:r>
      <w:r w:rsidR="00761CD2" w:rsidRPr="00761CD2">
        <w:t xml:space="preserve">In W. Ayers, T. Quinn, &amp; D. Stovall (Eds). The Handbook </w:t>
      </w:r>
      <w:r w:rsidR="00761CD2">
        <w:t>of Social Justice in Education, 2009, pp. 611-624</w:t>
      </w:r>
    </w:p>
    <w:p w:rsidR="00761CD2" w:rsidRDefault="00761CD2" w:rsidP="00AC001C"/>
    <w:p w:rsidR="00AC001C" w:rsidRDefault="007D124A" w:rsidP="00AC001C">
      <w:r>
        <w:t xml:space="preserve">Neoliberals have joined with conservatives to restructure the global order and increase </w:t>
      </w:r>
      <w:r w:rsidR="00AC001C">
        <w:t>their power over it. As Hursh (2005) explains, "infl</w:t>
      </w:r>
      <w:r>
        <w:t xml:space="preserve">uential conservative and </w:t>
      </w:r>
      <w:r w:rsidRPr="00761CD2">
        <w:rPr>
          <w:rStyle w:val="StyleUnderline"/>
        </w:rPr>
        <w:t>neolib</w:t>
      </w:r>
      <w:r w:rsidR="00AC001C" w:rsidRPr="00761CD2">
        <w:rPr>
          <w:rStyle w:val="StyleUnderline"/>
        </w:rPr>
        <w:t>eral foundations and think tanks aim to radically transform education through market</w:t>
      </w:r>
      <w:r w:rsidRPr="00761CD2">
        <w:rPr>
          <w:rStyle w:val="StyleUnderline"/>
        </w:rPr>
        <w:t xml:space="preserve"> </w:t>
      </w:r>
      <w:r w:rsidR="00AC001C" w:rsidRPr="00761CD2">
        <w:rPr>
          <w:rStyle w:val="StyleUnderline"/>
        </w:rPr>
        <w:t>competition</w:t>
      </w:r>
      <w:r w:rsidR="00AC001C">
        <w:t xml:space="preserve">, choice </w:t>
      </w:r>
      <w:r w:rsidR="00AC001C" w:rsidRPr="00761CD2">
        <w:rPr>
          <w:rStyle w:val="StyleUnderline"/>
        </w:rPr>
        <w:t>and privatization</w:t>
      </w:r>
      <w:r w:rsidR="00AC001C">
        <w:t xml:space="preserve">" (p. 617). </w:t>
      </w:r>
      <w:r w:rsidR="00AC001C" w:rsidRPr="00761CD2">
        <w:rPr>
          <w:rStyle w:val="StyleUnderline"/>
        </w:rPr>
        <w:t>These foundations are pressing teacher</w:t>
      </w:r>
      <w:r w:rsidRPr="00761CD2">
        <w:rPr>
          <w:rStyle w:val="StyleUnderline"/>
        </w:rPr>
        <w:t xml:space="preserve"> </w:t>
      </w:r>
      <w:r w:rsidR="00AC001C" w:rsidRPr="00761CD2">
        <w:rPr>
          <w:rStyle w:val="StyleUnderline"/>
        </w:rPr>
        <w:t>education</w:t>
      </w:r>
      <w:r w:rsidR="00AC001C">
        <w:t xml:space="preserve"> in the following ways: (1) </w:t>
      </w:r>
      <w:r w:rsidR="00AC001C" w:rsidRPr="00761CD2">
        <w:rPr>
          <w:rStyle w:val="Emphasis"/>
        </w:rPr>
        <w:t>away from social justice teacher preparation</w:t>
      </w:r>
      <w:r w:rsidR="00AC001C">
        <w:t xml:space="preserve"> </w:t>
      </w:r>
      <w:r w:rsidR="00AC001C" w:rsidRPr="00761CD2">
        <w:rPr>
          <w:rStyle w:val="StyleUnderline"/>
        </w:rPr>
        <w:t>and</w:t>
      </w:r>
      <w:r w:rsidRPr="00761CD2">
        <w:rPr>
          <w:rStyle w:val="StyleUnderline"/>
        </w:rPr>
        <w:t xml:space="preserve"> </w:t>
      </w:r>
      <w:r w:rsidR="00AC001C" w:rsidRPr="00761CD2">
        <w:rPr>
          <w:rStyle w:val="StyleUnderline"/>
        </w:rPr>
        <w:t>toward preparing teachers as technicians to raise student test scores</w:t>
      </w:r>
      <w:r w:rsidR="00AC001C">
        <w:t>; (2) away from being</w:t>
      </w:r>
      <w:r>
        <w:t xml:space="preserve"> </w:t>
      </w:r>
      <w:r w:rsidR="00AC001C">
        <w:t>linked with teacher professional knowledge and teacher quality; and (3) toward becoming</w:t>
      </w:r>
      <w:r>
        <w:t xml:space="preserve"> </w:t>
      </w:r>
      <w:r w:rsidR="00AC001C">
        <w:t xml:space="preserve">shorter or by-passed altogether. </w:t>
      </w:r>
    </w:p>
    <w:p w:rsidR="00AC001C" w:rsidRDefault="00AC001C" w:rsidP="00AC001C">
      <w:r>
        <w:t xml:space="preserve">Teacher Education as Preparation of Technicians </w:t>
      </w:r>
    </w:p>
    <w:p w:rsidR="00AC001C" w:rsidRPr="00761CD2" w:rsidRDefault="00AC001C" w:rsidP="00AC001C">
      <w:pPr>
        <w:rPr>
          <w:rStyle w:val="StyleUnderline"/>
        </w:rPr>
      </w:pPr>
      <w:r>
        <w:t>Teacher education should be directly linked to K—12 school</w:t>
      </w:r>
      <w:r w:rsidR="007D124A">
        <w:t xml:space="preserve">ing. </w:t>
      </w:r>
      <w:r w:rsidR="007D124A" w:rsidRPr="00761CD2">
        <w:rPr>
          <w:rStyle w:val="StyleUnderline"/>
        </w:rPr>
        <w:t>At their best, teacher edu</w:t>
      </w:r>
      <w:r w:rsidRPr="00761CD2">
        <w:rPr>
          <w:rStyle w:val="StyleUnderline"/>
        </w:rPr>
        <w:t>cation programs and schools collaborate to develop high quality teaching and strengthen</w:t>
      </w:r>
      <w:r w:rsidR="007D124A" w:rsidRPr="00761CD2">
        <w:rPr>
          <w:rStyle w:val="StyleUnderline"/>
        </w:rPr>
        <w:t xml:space="preserve"> </w:t>
      </w:r>
      <w:r w:rsidRPr="00761CD2">
        <w:rPr>
          <w:rStyle w:val="StyleUnderline"/>
        </w:rPr>
        <w:t>democratic participation</w:t>
      </w:r>
      <w:r>
        <w:t xml:space="preserve"> (Darling-Hammond, 2006). But </w:t>
      </w:r>
      <w:r w:rsidRPr="00761CD2">
        <w:rPr>
          <w:rStyle w:val="StyleUnderline"/>
        </w:rPr>
        <w:t>pressures originating in global</w:t>
      </w:r>
      <w:r w:rsidR="007D124A" w:rsidRPr="00761CD2">
        <w:rPr>
          <w:rStyle w:val="StyleUnderline"/>
        </w:rPr>
        <w:t xml:space="preserve"> </w:t>
      </w:r>
      <w:r w:rsidRPr="00761CD2">
        <w:rPr>
          <w:rStyle w:val="StyleUnderline"/>
        </w:rPr>
        <w:t>capitalism are pushing schools away from democratic participation and even away from</w:t>
      </w:r>
      <w:r w:rsidR="007D124A" w:rsidRPr="00761CD2">
        <w:rPr>
          <w:rStyle w:val="StyleUnderline"/>
        </w:rPr>
        <w:t xml:space="preserve"> </w:t>
      </w:r>
      <w:r w:rsidRPr="00761CD2">
        <w:rPr>
          <w:rStyle w:val="StyleUnderline"/>
        </w:rPr>
        <w:t>rich conceptions of teaching. In the process, they are pushing teacher education away as</w:t>
      </w:r>
      <w:r w:rsidR="007D124A" w:rsidRPr="00761CD2">
        <w:rPr>
          <w:rStyle w:val="StyleUnderline"/>
        </w:rPr>
        <w:t xml:space="preserve"> </w:t>
      </w:r>
      <w:r w:rsidRPr="00761CD2">
        <w:rPr>
          <w:rStyle w:val="StyleUnderline"/>
        </w:rPr>
        <w:t>well. In response to high-stakes testing, school districts</w:t>
      </w:r>
      <w:r w:rsidR="007D124A">
        <w:t xml:space="preserve"> across the United States, </w:t>
      </w:r>
      <w:r w:rsidR="007D124A" w:rsidRPr="00761CD2">
        <w:rPr>
          <w:rStyle w:val="StyleUnderline"/>
        </w:rPr>
        <w:t>espe</w:t>
      </w:r>
      <w:r w:rsidRPr="00761CD2">
        <w:rPr>
          <w:rStyle w:val="StyleUnderline"/>
        </w:rPr>
        <w:t>cially those serving low-income or culturally diverse students, have adopted increasingly</w:t>
      </w:r>
      <w:r w:rsidR="007D124A" w:rsidRPr="00761CD2">
        <w:rPr>
          <w:rStyle w:val="StyleUnderline"/>
        </w:rPr>
        <w:t xml:space="preserve"> </w:t>
      </w:r>
      <w:r w:rsidRPr="00761CD2">
        <w:rPr>
          <w:rStyle w:val="StyleUnderline"/>
        </w:rPr>
        <w:t>prescribed curricula that are aligned with state standards and tests.</w:t>
      </w:r>
      <w:r>
        <w:t xml:space="preserve"> Much prescribed</w:t>
      </w:r>
      <w:r w:rsidR="007D124A">
        <w:t xml:space="preserve"> </w:t>
      </w:r>
      <w:r>
        <w:t>curriculum emphasizes memorization much more than critical thinking. Increasingly,</w:t>
      </w:r>
      <w:r w:rsidR="007D124A">
        <w:t xml:space="preserve"> </w:t>
      </w:r>
      <w:r>
        <w:t>in schools that serve historically underserved commun</w:t>
      </w:r>
      <w:r w:rsidR="007D124A">
        <w:t>ities, teaching means implement</w:t>
      </w:r>
      <w:r>
        <w:t>ing prescribed curriculum packages "with fidelity" rather than responding to students,</w:t>
      </w:r>
      <w:r w:rsidR="007D124A">
        <w:t xml:space="preserve"> </w:t>
      </w:r>
      <w:r>
        <w:t>let alone developing teacher-made curricula (Achinstein, Ogawa, Speiglman, 2004).</w:t>
      </w:r>
      <w:r w:rsidR="007D124A">
        <w:t xml:space="preserve"> </w:t>
      </w:r>
      <w:r>
        <w:t xml:space="preserve">In this context, </w:t>
      </w:r>
      <w:r w:rsidRPr="00761CD2">
        <w:rPr>
          <w:rStyle w:val="StyleUnderline"/>
        </w:rPr>
        <w:t>teacher education programs are being compelled to reduce or eliminate</w:t>
      </w:r>
      <w:r w:rsidR="007D124A" w:rsidRPr="00761CD2">
        <w:rPr>
          <w:rStyle w:val="StyleUnderline"/>
        </w:rPr>
        <w:t xml:space="preserve"> </w:t>
      </w:r>
      <w:r w:rsidRPr="00761CD2">
        <w:rPr>
          <w:rStyle w:val="StyleUnderline"/>
        </w:rPr>
        <w:t>not only explicit social justice teacher preparation, but also learner-centered teaching in</w:t>
      </w:r>
      <w:r w:rsidR="007D124A" w:rsidRPr="00761CD2">
        <w:rPr>
          <w:rStyle w:val="StyleUnderline"/>
        </w:rPr>
        <w:t xml:space="preserve"> </w:t>
      </w:r>
      <w:r w:rsidRPr="00761CD2">
        <w:rPr>
          <w:rStyle w:val="StyleUnderline"/>
        </w:rPr>
        <w:t xml:space="preserve">general. </w:t>
      </w:r>
    </w:p>
    <w:p w:rsidR="007D124A" w:rsidRDefault="00AC001C" w:rsidP="007D124A">
      <w:r w:rsidRPr="00761CD2">
        <w:rPr>
          <w:rStyle w:val="StyleUnderline"/>
        </w:rPr>
        <w:t>Standards for teacher preparation are under pressure to reduce or eliminate reference to</w:t>
      </w:r>
      <w:r w:rsidR="007D124A" w:rsidRPr="00761CD2">
        <w:rPr>
          <w:rStyle w:val="StyleUnderline"/>
        </w:rPr>
        <w:t xml:space="preserve"> </w:t>
      </w:r>
      <w:r w:rsidRPr="00761CD2">
        <w:rPr>
          <w:rStyle w:val="StyleUnderline"/>
        </w:rPr>
        <w:t>social justice, multicultural education, or bilingual education</w:t>
      </w:r>
      <w:r>
        <w:t>. For example, in 2002 Iowa</w:t>
      </w:r>
      <w:r w:rsidR="007D124A">
        <w:t xml:space="preserve"> </w:t>
      </w:r>
      <w:r>
        <w:t>replaced the requirement of a multicultural education course with more reading methods</w:t>
      </w:r>
      <w:r w:rsidR="007D124A">
        <w:t xml:space="preserve"> </w:t>
      </w:r>
      <w:r>
        <w:t>coursework. California used to offer certification for g</w:t>
      </w:r>
      <w:r w:rsidR="007D124A">
        <w:t>eneral education teachers empha</w:t>
      </w:r>
      <w:r>
        <w:t>sizing Culture, Language and Academic Development (CLAD) and Bilingual Education</w:t>
      </w:r>
      <w:r w:rsidR="007D124A">
        <w:t xml:space="preserve"> </w:t>
      </w:r>
      <w:r>
        <w:t>(BCLAD). California's revised standards, however, "make clear repeatedly that the role</w:t>
      </w:r>
      <w:r w:rsidR="007D124A">
        <w:t xml:space="preserve"> f teacher education is to prepare teachers to teach the state-adopted content standards using state adopted materials" (Sleeter, 2003, p. 20). The phrase "state-adopted academic content standards" appears throughout the teacher preparation standards documents, but terms such as culture, bilingual, and culturally relevant do not. To investigate the impact of this change on teacher education programs, Montano and colleagues (2005) surveyed faculty members in 16 California teacher education programs, finding that con- tent addressing culture and language, formerly taught in designated courses, had now been "infused" or reduced. In 2006, National Council for the Accreditation of Teacher Education (NCATE), following a complaint by the National Association of Scholars and other conservative organizations, withdrew the term social justice as a possible desirable teacher disposition. While NCATE does not explicitly discourage member institutions from incorporating social justice into teacher education programs, this move undercuts a source of support that many teacher educators had used on their own campuses. </w:t>
      </w:r>
    </w:p>
    <w:p w:rsidR="007D124A" w:rsidRDefault="007D124A" w:rsidP="007D124A">
      <w:r>
        <w:t>School districts are also pressuring teacher education programs. For example, Selwyn (2005—2006), a teacher educator at Antioch College, commented that it is increasingly difficult to find classroom field placements serving low-income students that model any- thing except scripted teaching. Recently a colleague who has long been active in social justice teacher education told me that school principals now insist that they need teachers trained to use the highly scripted elementary reading package Open Court rather than multicultural social justice education. New teachers who re</w:t>
      </w:r>
      <w:r w:rsidR="00761CD2">
        <w:t>sist routinized, scripted teach</w:t>
      </w:r>
      <w:r>
        <w:t xml:space="preserve">ing in order to teach in student-centered ways are subject to being pushed out, even when their students score very well on tests (Achinstein &amp; Ogawa, 2006). </w:t>
      </w:r>
    </w:p>
    <w:p w:rsidR="007D124A" w:rsidRPr="00761CD2" w:rsidRDefault="007D124A" w:rsidP="007D124A">
      <w:pPr>
        <w:rPr>
          <w:rStyle w:val="StyleUnderline"/>
        </w:rPr>
      </w:pPr>
      <w:r w:rsidRPr="00761CD2">
        <w:rPr>
          <w:rStyle w:val="Emphasis"/>
        </w:rPr>
        <w:t>The shift away from support for critical, multicultural, and social justice perspectives</w:t>
      </w:r>
      <w:r>
        <w:t xml:space="preserve"> </w:t>
      </w:r>
      <w:r w:rsidRPr="00761CD2">
        <w:rPr>
          <w:rStyle w:val="StyleUnderline"/>
        </w:rPr>
        <w:t>and toward technical training</w:t>
      </w:r>
      <w:r>
        <w:t xml:space="preserve"> </w:t>
      </w:r>
      <w:r w:rsidRPr="00761CD2">
        <w:rPr>
          <w:rStyle w:val="Emphasis"/>
        </w:rPr>
        <w:t xml:space="preserve">reinforces an ideological shift away from education </w:t>
      </w:r>
      <w:r w:rsidR="00761CD2" w:rsidRPr="00761CD2">
        <w:rPr>
          <w:rStyle w:val="Emphasis"/>
        </w:rPr>
        <w:t>a</w:t>
      </w:r>
      <w:r w:rsidRPr="00761CD2">
        <w:rPr>
          <w:rStyle w:val="Emphasis"/>
        </w:rPr>
        <w:t>s preparation for democratic participation, toward education as work preparation and nothing else</w:t>
      </w:r>
      <w:r>
        <w:t xml:space="preserve">. It </w:t>
      </w:r>
      <w:r w:rsidRPr="00761CD2">
        <w:rPr>
          <w:rStyle w:val="StyleUnderline"/>
        </w:rPr>
        <w:t>also reflects a narrowing of how equity is to be understood, away from addressing high poverty communities' chronic lack of b</w:t>
      </w:r>
      <w:r w:rsidR="00761CD2">
        <w:rPr>
          <w:rStyle w:val="StyleUnderline"/>
        </w:rPr>
        <w:t>asic resources, including educa</w:t>
      </w:r>
      <w:r w:rsidRPr="00761CD2">
        <w:rPr>
          <w:rStyle w:val="StyleUnderline"/>
        </w:rPr>
        <w:t>tion resources</w:t>
      </w:r>
      <w:r>
        <w:t xml:space="preserve"> (e.g., Anyon, 2005; Berliner, 2005; Gåndara, Rumberger, Maxwell-Jolly, &amp; Callahan, 2003), </w:t>
      </w:r>
      <w:r w:rsidRPr="00761CD2">
        <w:rPr>
          <w:rStyle w:val="StyleUnderline"/>
        </w:rPr>
        <w:t xml:space="preserve">and toward focusing on test scores </w:t>
      </w:r>
      <w:r w:rsidR="00761CD2">
        <w:rPr>
          <w:rStyle w:val="StyleUnderline"/>
        </w:rPr>
        <w:t>only. Programs that build aware</w:t>
      </w:r>
      <w:r w:rsidRPr="00761CD2">
        <w:rPr>
          <w:rStyle w:val="StyleUnderline"/>
        </w:rPr>
        <w:t>ness of a larger view of equity disrupt attempts to directly address a much narrower, test- score driven conception of it.</w:t>
      </w:r>
    </w:p>
    <w:p w:rsidR="00761CD2" w:rsidRDefault="00761CD2" w:rsidP="007D124A"/>
    <w:p w:rsidR="00761CD2" w:rsidRPr="00AC001C" w:rsidRDefault="00761CD2" w:rsidP="007D124A"/>
    <w:sectPr w:rsidR="00761CD2" w:rsidRPr="00AC00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Lucida Grande">
    <w:altName w:val="Segoe UI"/>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78E71316"/>
    <w:multiLevelType w:val="multilevel"/>
    <w:tmpl w:val="C756A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4"/>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5B4EDB"/>
    <w:rsid w:val="00012671"/>
    <w:rsid w:val="000139A3"/>
    <w:rsid w:val="00023316"/>
    <w:rsid w:val="00097650"/>
    <w:rsid w:val="000B4196"/>
    <w:rsid w:val="00100833"/>
    <w:rsid w:val="00104529"/>
    <w:rsid w:val="00105942"/>
    <w:rsid w:val="00107396"/>
    <w:rsid w:val="00143892"/>
    <w:rsid w:val="00144A4C"/>
    <w:rsid w:val="00176AB0"/>
    <w:rsid w:val="00177B7D"/>
    <w:rsid w:val="0018322D"/>
    <w:rsid w:val="001B34FA"/>
    <w:rsid w:val="001B5776"/>
    <w:rsid w:val="001D6D78"/>
    <w:rsid w:val="001E527A"/>
    <w:rsid w:val="001F58C6"/>
    <w:rsid w:val="001F78CE"/>
    <w:rsid w:val="00251FC7"/>
    <w:rsid w:val="0025414D"/>
    <w:rsid w:val="002855A7"/>
    <w:rsid w:val="002B01B8"/>
    <w:rsid w:val="002B146A"/>
    <w:rsid w:val="002B5E17"/>
    <w:rsid w:val="00315690"/>
    <w:rsid w:val="00316B75"/>
    <w:rsid w:val="00325646"/>
    <w:rsid w:val="00343441"/>
    <w:rsid w:val="003460F2"/>
    <w:rsid w:val="0038158C"/>
    <w:rsid w:val="003902BA"/>
    <w:rsid w:val="003A09E2"/>
    <w:rsid w:val="003B0A5C"/>
    <w:rsid w:val="003D1253"/>
    <w:rsid w:val="003E4253"/>
    <w:rsid w:val="00407037"/>
    <w:rsid w:val="0043785D"/>
    <w:rsid w:val="004426AB"/>
    <w:rsid w:val="004605D6"/>
    <w:rsid w:val="004735E9"/>
    <w:rsid w:val="004B04F0"/>
    <w:rsid w:val="004B70BE"/>
    <w:rsid w:val="004C60E8"/>
    <w:rsid w:val="004D2894"/>
    <w:rsid w:val="004E3579"/>
    <w:rsid w:val="004E728B"/>
    <w:rsid w:val="004F39E0"/>
    <w:rsid w:val="00503B29"/>
    <w:rsid w:val="00530A5C"/>
    <w:rsid w:val="00537BD5"/>
    <w:rsid w:val="0057268A"/>
    <w:rsid w:val="005B4EDB"/>
    <w:rsid w:val="005B7A0F"/>
    <w:rsid w:val="005C02DA"/>
    <w:rsid w:val="005C3CE6"/>
    <w:rsid w:val="005D2912"/>
    <w:rsid w:val="005D3C11"/>
    <w:rsid w:val="005E678E"/>
    <w:rsid w:val="006065BD"/>
    <w:rsid w:val="00632D73"/>
    <w:rsid w:val="00645FA9"/>
    <w:rsid w:val="00647866"/>
    <w:rsid w:val="0065711E"/>
    <w:rsid w:val="00665003"/>
    <w:rsid w:val="0066602E"/>
    <w:rsid w:val="00675602"/>
    <w:rsid w:val="006940CE"/>
    <w:rsid w:val="006A2AD0"/>
    <w:rsid w:val="006C2375"/>
    <w:rsid w:val="006D4ECC"/>
    <w:rsid w:val="00722258"/>
    <w:rsid w:val="007243E5"/>
    <w:rsid w:val="0075374A"/>
    <w:rsid w:val="00761CD2"/>
    <w:rsid w:val="00766EA0"/>
    <w:rsid w:val="007A2226"/>
    <w:rsid w:val="007B0E46"/>
    <w:rsid w:val="007C6037"/>
    <w:rsid w:val="007D124A"/>
    <w:rsid w:val="007F5B66"/>
    <w:rsid w:val="008039D3"/>
    <w:rsid w:val="00823A1C"/>
    <w:rsid w:val="00845B9D"/>
    <w:rsid w:val="00860984"/>
    <w:rsid w:val="008A05D3"/>
    <w:rsid w:val="008B3ECB"/>
    <w:rsid w:val="008B4E85"/>
    <w:rsid w:val="008C1B2E"/>
    <w:rsid w:val="0090455E"/>
    <w:rsid w:val="0091627E"/>
    <w:rsid w:val="0097032B"/>
    <w:rsid w:val="00971741"/>
    <w:rsid w:val="009A5262"/>
    <w:rsid w:val="009D2EAD"/>
    <w:rsid w:val="009D54B2"/>
    <w:rsid w:val="009E1922"/>
    <w:rsid w:val="009F7ED2"/>
    <w:rsid w:val="00A802EA"/>
    <w:rsid w:val="00A93661"/>
    <w:rsid w:val="00A95652"/>
    <w:rsid w:val="00AC001C"/>
    <w:rsid w:val="00AC0AB8"/>
    <w:rsid w:val="00AD66F5"/>
    <w:rsid w:val="00AE4767"/>
    <w:rsid w:val="00AF074F"/>
    <w:rsid w:val="00B27D92"/>
    <w:rsid w:val="00B33C6D"/>
    <w:rsid w:val="00B4508F"/>
    <w:rsid w:val="00B55AD5"/>
    <w:rsid w:val="00B624C8"/>
    <w:rsid w:val="00B8057C"/>
    <w:rsid w:val="00BB6484"/>
    <w:rsid w:val="00BD6238"/>
    <w:rsid w:val="00BF382A"/>
    <w:rsid w:val="00BF593B"/>
    <w:rsid w:val="00BF773A"/>
    <w:rsid w:val="00BF7E81"/>
    <w:rsid w:val="00C13773"/>
    <w:rsid w:val="00C17CC8"/>
    <w:rsid w:val="00C83417"/>
    <w:rsid w:val="00C918C7"/>
    <w:rsid w:val="00C94CF6"/>
    <w:rsid w:val="00C9604F"/>
    <w:rsid w:val="00C976ED"/>
    <w:rsid w:val="00CA19AA"/>
    <w:rsid w:val="00CC5298"/>
    <w:rsid w:val="00CC593C"/>
    <w:rsid w:val="00CD47FA"/>
    <w:rsid w:val="00CD736E"/>
    <w:rsid w:val="00CD798D"/>
    <w:rsid w:val="00CE161E"/>
    <w:rsid w:val="00CF59A8"/>
    <w:rsid w:val="00D325A9"/>
    <w:rsid w:val="00D36A8A"/>
    <w:rsid w:val="00D42850"/>
    <w:rsid w:val="00D61409"/>
    <w:rsid w:val="00D6691E"/>
    <w:rsid w:val="00D71170"/>
    <w:rsid w:val="00DA1C92"/>
    <w:rsid w:val="00DA25D4"/>
    <w:rsid w:val="00DA6538"/>
    <w:rsid w:val="00E15E75"/>
    <w:rsid w:val="00E51A4A"/>
    <w:rsid w:val="00E5262C"/>
    <w:rsid w:val="00E65A14"/>
    <w:rsid w:val="00E96178"/>
    <w:rsid w:val="00EC681E"/>
    <w:rsid w:val="00EC7DC4"/>
    <w:rsid w:val="00ED30CF"/>
    <w:rsid w:val="00F176EF"/>
    <w:rsid w:val="00F33D81"/>
    <w:rsid w:val="00F45E10"/>
    <w:rsid w:val="00F6364A"/>
    <w:rsid w:val="00F76040"/>
    <w:rsid w:val="00F9113A"/>
    <w:rsid w:val="00F9312E"/>
    <w:rsid w:val="00F97D65"/>
    <w:rsid w:val="00FA1C63"/>
    <w:rsid w:val="00FE0987"/>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EED2F"/>
  <w15:chartTrackingRefBased/>
  <w15:docId w15:val="{5FAECC46-DDFD-48CC-BCF2-1330FA94C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0"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E0987"/>
    <w:rPr>
      <w:rFonts w:ascii="Times New Roman" w:hAnsi="Times New Roman" w:cs="Times New Roman"/>
    </w:rPr>
  </w:style>
  <w:style w:type="paragraph" w:styleId="Heading1">
    <w:name w:val="heading 1"/>
    <w:aliases w:val="Pocket,Titles,Heading 1 Char2 Char,Heading 1 Char1 Char Char,Heading 1 Char Char Char Char,Heading 1 Char Char1 Char,Heading 1 Char Char Char,Heading 1 Char Char1,Heading 1 Char Char,Block Name,ALEX,Brief - Heading 1,Block Header,HatText,HAT"/>
    <w:basedOn w:val="Normal"/>
    <w:next w:val="Normal"/>
    <w:link w:val="Heading1Char"/>
    <w:qFormat/>
    <w:rsid w:val="00FE098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E098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Underlines,Heading 3 Char3,Char, Char,Heading 3 Char Char, Char Char,Tag Char Char,Bold Cite,Cite 1,no"/>
    <w:basedOn w:val="Normal"/>
    <w:next w:val="Normal"/>
    <w:link w:val="Heading3Char"/>
    <w:uiPriority w:val="2"/>
    <w:unhideWhenUsed/>
    <w:qFormat/>
    <w:rsid w:val="00FE098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Heading 2 Char2 Char,Heading 2 Char1 Char Char,TAG,Ch,no read,No Spacing211,No Spacing12,No Spacing2111,No Spacing4,No Spacing11111,No Spacing5,No Spacing21,Card,Tags,tags,No Spacing1111,ta"/>
    <w:basedOn w:val="Normal"/>
    <w:next w:val="Normal"/>
    <w:link w:val="Heading4Char"/>
    <w:uiPriority w:val="3"/>
    <w:unhideWhenUsed/>
    <w:qFormat/>
    <w:rsid w:val="00FE098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E09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0987"/>
  </w:style>
  <w:style w:type="character" w:customStyle="1" w:styleId="Heading1Char">
    <w:name w:val="Heading 1 Char"/>
    <w:aliases w:val="Pocket Char,Titles Char,Heading 1 Char2 Char Char,Heading 1 Char1 Char Char Char,Heading 1 Char Char Char Char Char,Heading 1 Char Char1 Char Char,Heading 1 Char Char Char Char1,Heading 1 Char Char1 Char1,Heading 1 Char Char Char1"/>
    <w:basedOn w:val="DefaultParagraphFont"/>
    <w:link w:val="Heading1"/>
    <w:rsid w:val="00FE0987"/>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FE0987"/>
    <w:rPr>
      <w:rFonts w:ascii="Times New Roman" w:eastAsiaTheme="majorEastAsia" w:hAnsi="Times New Roman"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Underlines Char,Heading 3 Char3 Char,Char Char, Char Char1"/>
    <w:basedOn w:val="DefaultParagraphFont"/>
    <w:link w:val="Heading3"/>
    <w:uiPriority w:val="2"/>
    <w:rsid w:val="00FE0987"/>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 Ch Char,Heading 2 Char2 Char Char,Heading 2 Char1 Char Char Char,TAG Char,Ch Char,no read Char,No Spacing211 Char,No Spacing12 Char,No Spacing2111 Char"/>
    <w:basedOn w:val="DefaultParagraphFont"/>
    <w:link w:val="Heading4"/>
    <w:uiPriority w:val="3"/>
    <w:rsid w:val="00FE0987"/>
    <w:rPr>
      <w:rFonts w:ascii="Times New Roman" w:eastAsiaTheme="majorEastAsia" w:hAnsi="Times New Roman" w:cstheme="majorBidi"/>
      <w:b/>
      <w:iCs/>
      <w:sz w:val="26"/>
    </w:rPr>
  </w:style>
  <w:style w:type="character" w:styleId="Emphasis">
    <w:name w:val="Emphasis"/>
    <w:aliases w:val="emphasis in card,tag2,Minimized,Evidence,Size 10,minimized,Highlighted,CD Card,ED - Tag,Emphasis!!,Qualifications,Underlined,emphasis,Bold Underline,small,normal card text,Shrunk,qualifications in card,qualifications"/>
    <w:basedOn w:val="DefaultParagraphFont"/>
    <w:uiPriority w:val="7"/>
    <w:qFormat/>
    <w:rsid w:val="00FE0987"/>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
    <w:basedOn w:val="DefaultParagraphFont"/>
    <w:uiPriority w:val="5"/>
    <w:qFormat/>
    <w:rsid w:val="00FE0987"/>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9.5 "/>
    <w:basedOn w:val="DefaultParagraphFont"/>
    <w:uiPriority w:val="6"/>
    <w:qFormat/>
    <w:rsid w:val="00FE0987"/>
    <w:rPr>
      <w:b w:val="0"/>
      <w:sz w:val="22"/>
      <w:u w:val="single"/>
    </w:rPr>
  </w:style>
  <w:style w:type="character" w:styleId="Hyperlink">
    <w:name w:val="Hyperlink"/>
    <w:aliases w:val="heading 1 (block title),Important,Read,Card Text,Internet Link"/>
    <w:basedOn w:val="DefaultParagraphFont"/>
    <w:uiPriority w:val="99"/>
    <w:unhideWhenUsed/>
    <w:rsid w:val="00FE0987"/>
    <w:rPr>
      <w:color w:val="auto"/>
      <w:u w:val="none"/>
    </w:rPr>
  </w:style>
  <w:style w:type="character" w:styleId="FollowedHyperlink">
    <w:name w:val="FollowedHyperlink"/>
    <w:basedOn w:val="DefaultParagraphFont"/>
    <w:uiPriority w:val="99"/>
    <w:semiHidden/>
    <w:unhideWhenUsed/>
    <w:rsid w:val="00FE0987"/>
    <w:rPr>
      <w:color w:val="auto"/>
      <w:u w:val="none"/>
    </w:rPr>
  </w:style>
  <w:style w:type="character" w:customStyle="1" w:styleId="underline">
    <w:name w:val="underline"/>
    <w:qFormat/>
    <w:rsid w:val="00CC593C"/>
    <w:rPr>
      <w:b/>
      <w:bCs w:val="0"/>
      <w:u w:val="single"/>
    </w:rPr>
  </w:style>
  <w:style w:type="paragraph" w:customStyle="1" w:styleId="Tag2">
    <w:name w:val="Tag2"/>
    <w:basedOn w:val="Normal"/>
    <w:qFormat/>
    <w:rsid w:val="00CC593C"/>
    <w:rPr>
      <w:b/>
    </w:rPr>
  </w:style>
  <w:style w:type="character" w:styleId="IntenseEmphasis">
    <w:name w:val="Intense Emphasis"/>
    <w:aliases w:val="Intense Emphasis3,9.5 pt,Cards + Font: 12 pt Char,Underline Char,Underline Char Char Char,Cards + Font: 12 pt Char Char Char Char Char Char Char Char Char Char Char,Minimized Ch,Heading 3 Char Char Char Char Char,Intense Emphasis1111"/>
    <w:basedOn w:val="DefaultParagraphFont"/>
    <w:link w:val="CardsFont12pt"/>
    <w:qFormat/>
    <w:rsid w:val="00CC593C"/>
    <w:rPr>
      <w:b/>
      <w:b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IntenseEmphasis"/>
    <w:qFormat/>
    <w:rsid w:val="00CC593C"/>
    <w:pPr>
      <w:spacing w:after="0" w:line="240" w:lineRule="auto"/>
    </w:pPr>
    <w:rPr>
      <w:b/>
      <w:bCs/>
      <w:u w:val="single"/>
    </w:rPr>
  </w:style>
  <w:style w:type="character" w:customStyle="1" w:styleId="CardtextChar">
    <w:name w:val="Card text Char"/>
    <w:link w:val="Cardtext"/>
    <w:rsid w:val="00CC593C"/>
    <w:rPr>
      <w:rFonts w:ascii="Garamond" w:hAnsi="Garamond"/>
      <w:u w:val="single"/>
    </w:rPr>
  </w:style>
  <w:style w:type="paragraph" w:customStyle="1" w:styleId="Cardtext">
    <w:name w:val="Card text"/>
    <w:link w:val="CardtextChar"/>
    <w:qFormat/>
    <w:rsid w:val="00CC593C"/>
    <w:pPr>
      <w:widowControl w:val="0"/>
      <w:autoSpaceDE w:val="0"/>
      <w:autoSpaceDN w:val="0"/>
      <w:adjustRightInd w:val="0"/>
      <w:spacing w:after="0" w:line="240" w:lineRule="auto"/>
    </w:pPr>
    <w:rPr>
      <w:rFonts w:ascii="Garamond" w:hAnsi="Garamond"/>
      <w:u w:val="single"/>
    </w:rPr>
  </w:style>
  <w:style w:type="paragraph" w:styleId="DocumentMap">
    <w:name w:val="Document Map"/>
    <w:basedOn w:val="Normal"/>
    <w:link w:val="DocumentMapChar"/>
    <w:uiPriority w:val="99"/>
    <w:semiHidden/>
    <w:unhideWhenUsed/>
    <w:rsid w:val="00CC593C"/>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C593C"/>
    <w:rPr>
      <w:rFonts w:ascii="Lucida Grande" w:hAnsi="Lucida Grande" w:cs="Lucida Grand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holar.google.com/scholar_lookup?publication_year=2008&amp;author=E.+B.+Foa&amp;author=T.+M.+Keane&amp;author=M.+J.+Friedman&amp;author=J.+A.+Cohen&amp;title=Effective+treatments+for+PTSD:+Practice+guidelines+from+the+international+society+for+traumatic+stress+studies&amp;" TargetMode="External"/><Relationship Id="rId299" Type="http://schemas.openxmlformats.org/officeDocument/2006/relationships/hyperlink" Target="http://scholar.google.com/scholar_lookup?publication_year=1999&amp;issue=2&amp;author=J.+B.+Miller&amp;author=J.+Jordan&amp;author=I.+P.+Stiver&amp;author=M.+Walker&amp;author=J.+L.+Surrey&amp;author=N.+A.+Eldridge&amp;title=Therapists%E2%80%99+authenticity&amp;" TargetMode="External"/><Relationship Id="rId21" Type="http://schemas.openxmlformats.org/officeDocument/2006/relationships/hyperlink" Target="http://scholar.google.com/scholar_lookup?publication_year=2013&amp;author=P.+Conrad&amp;author=C.+Slodden&amp;title=Handbook+of+the+sociology+of+mental+health" TargetMode="External"/><Relationship Id="rId42" Type="http://schemas.openxmlformats.org/officeDocument/2006/relationships/hyperlink" Target="http://www.tandfonline.com/servlet/linkout?suffix=CIT0085&amp;dbid=16&amp;doi=10.1080%2F15299732.2016.1103104&amp;key=10.1002%2Fjts.21727" TargetMode="External"/><Relationship Id="rId63" Type="http://schemas.openxmlformats.org/officeDocument/2006/relationships/hyperlink" Target="http://scholar.google.com/scholar_lookup?publication_year=2009&amp;pages=624-626&amp;author=A.+Kaffman&amp;title=The+silent+epidemic+of+neurodevelopmental+injuries&amp;" TargetMode="External"/><Relationship Id="rId84" Type="http://schemas.openxmlformats.org/officeDocument/2006/relationships/hyperlink" Target="http://www.tandfonline.com/doi/full/10.1080/15299732.2016.1103104" TargetMode="External"/><Relationship Id="rId138" Type="http://schemas.openxmlformats.org/officeDocument/2006/relationships/hyperlink" Target="http://www.tandfonline.com/servlet/linkout?suffix=CIT0095&amp;dbid=128&amp;doi=10.1080%2F15299732.2016.1103104&amp;key=000222759200014" TargetMode="External"/><Relationship Id="rId159" Type="http://schemas.openxmlformats.org/officeDocument/2006/relationships/hyperlink" Target="http://scholar.google.com/scholar_lookup?publication_year=2002&amp;pages=199-206&amp;author=F.+Martenyi&amp;author=E.+B.+Brown&amp;author=H.+Zhang&amp;author=A.+Prakash&amp;author=S.+C.+Koke&amp;title=Fluoxetine+versus+placebo+in+posttraumatic+stress+disorder&amp;" TargetMode="External"/><Relationship Id="rId324" Type="http://schemas.openxmlformats.org/officeDocument/2006/relationships/hyperlink" Target="http://www.tandfonline.com/doi/full/10.1080/15299732.2016.1103104" TargetMode="External"/><Relationship Id="rId345" Type="http://schemas.openxmlformats.org/officeDocument/2006/relationships/hyperlink" Target="http://www.tandfonline.com/doi/10.1080/10503307.2012.745956" TargetMode="External"/><Relationship Id="rId366" Type="http://schemas.openxmlformats.org/officeDocument/2006/relationships/hyperlink" Target="http://www.tandfonline.com/doi/full/10.1080/15299732.2016.1103104" TargetMode="External"/><Relationship Id="rId387" Type="http://schemas.openxmlformats.org/officeDocument/2006/relationships/hyperlink" Target="https://www.luther.edu/ideas-creations-blog/?story_id=621790" TargetMode="External"/><Relationship Id="rId170" Type="http://schemas.openxmlformats.org/officeDocument/2006/relationships/hyperlink" Target="http://www.tandfonline.com/servlet/linkout?suffix=CIT0024&amp;dbid=128&amp;doi=10.1080%2F15299732.2016.1103104&amp;key=000232034000002" TargetMode="External"/><Relationship Id="rId191" Type="http://schemas.openxmlformats.org/officeDocument/2006/relationships/hyperlink" Target="http://www.tandfonline.com/servlet/linkout?suffix=CIT0013&amp;dbid=128&amp;doi=10.1080%2F15299732.2016.1103104&amp;key=000227210800002" TargetMode="External"/><Relationship Id="rId205" Type="http://schemas.openxmlformats.org/officeDocument/2006/relationships/hyperlink" Target="http://www.tandfonline.com/doi/full/10.1080/15299732.2016.1103104" TargetMode="External"/><Relationship Id="rId226" Type="http://schemas.openxmlformats.org/officeDocument/2006/relationships/hyperlink" Target="http://www.tandfonline.com/doi/full/10.1080/15299732.2016.1103104" TargetMode="External"/><Relationship Id="rId247" Type="http://schemas.openxmlformats.org/officeDocument/2006/relationships/hyperlink" Target="http://www.tandfonline.com/doi/full/10.1080/15299732.2016.1103104" TargetMode="External"/><Relationship Id="rId107" Type="http://schemas.openxmlformats.org/officeDocument/2006/relationships/hyperlink" Target="http://www.tandfonline.com/servlet/linkout?suffix=CIT0112&amp;dbid=128&amp;doi=10.1080%2F15299732.2016.1103104&amp;key=A1988Q232300011" TargetMode="External"/><Relationship Id="rId268" Type="http://schemas.openxmlformats.org/officeDocument/2006/relationships/hyperlink" Target="http://www.tandfonline.com/doi/full/10.1080/15299732.2016.1103104" TargetMode="External"/><Relationship Id="rId289" Type="http://schemas.openxmlformats.org/officeDocument/2006/relationships/hyperlink" Target="http://scholar.google.com/scholar_lookup?publication_year=2011&amp;issue=2&amp;author=P.+J.+Birrell&amp;title=Ethics+and+power:+Navigating+mutuality+in+therapeutic+relationships&amp;" TargetMode="External"/><Relationship Id="rId11" Type="http://schemas.openxmlformats.org/officeDocument/2006/relationships/hyperlink" Target="http://host.madison.com/wsj/news/local/education/university/uw-budget-request-includes-new-cultural-competency-program-for-students/article_5e882dc0-4f0f-5b22-b7b0-a9d994860218.html" TargetMode="External"/><Relationship Id="rId32" Type="http://schemas.openxmlformats.org/officeDocument/2006/relationships/hyperlink" Target="http://www.tandfonline.com/servlet/linkout?suffix=CIT0122&amp;dbid=16&amp;doi=10.1080%2F15299732.2016.1103104&amp;key=10.1016%2FB0-12-227210-2%2F00299-5" TargetMode="External"/><Relationship Id="rId53" Type="http://schemas.openxmlformats.org/officeDocument/2006/relationships/hyperlink" Target="http://www.tandfonline.com/servlet/linkout?suffix=CIT0041&amp;dbid=8&amp;doi=10.1080%2F15299732.2016.1103104&amp;key=9635069" TargetMode="External"/><Relationship Id="rId74" Type="http://schemas.openxmlformats.org/officeDocument/2006/relationships/hyperlink" Target="http://scholar.google.com/scholar_lookup?publication_year=2013&amp;author=American+Psychiatric+Association&amp;title=Diagnostic+and+statistical+manual+of+mental+disorders&amp;" TargetMode="External"/><Relationship Id="rId128" Type="http://schemas.openxmlformats.org/officeDocument/2006/relationships/hyperlink" Target="http://www.tandfonline.com/doi/full/10.1080/15299732.2016.1103104" TargetMode="External"/><Relationship Id="rId149" Type="http://schemas.openxmlformats.org/officeDocument/2006/relationships/hyperlink" Target="http://scholar.google.com/scholar_lookup?publication_year=1999&amp;pages=17-22&amp;author=K.+M.+Connor&amp;author=S.+M.+Sutherland&amp;author=L.+A.+Tupler&amp;author=M.+L.+Malik&amp;author=J.+R.+Davidson&amp;title=Fluoxetine+in+posttraumatic+stress+disorder:+Randomized,+double-blind+study&amp;" TargetMode="External"/><Relationship Id="rId314" Type="http://schemas.openxmlformats.org/officeDocument/2006/relationships/hyperlink" Target="http://www.tandfonline.com/servlet/linkout?suffix=CIT0090&amp;dbid=16&amp;doi=10.1080%2F15299732.2016.1103104&amp;key=10.1037%2F0033-3204.38.4.357" TargetMode="External"/><Relationship Id="rId335" Type="http://schemas.openxmlformats.org/officeDocument/2006/relationships/hyperlink" Target="http://www.tandfonline.com/servlet/linkout?suffix=CIT0065&amp;dbid=128&amp;doi=10.1080%2F15299732.2016.1103104&amp;key=000350133000006" TargetMode="External"/><Relationship Id="rId356" Type="http://schemas.openxmlformats.org/officeDocument/2006/relationships/hyperlink" Target="http://www.tandfonline.com/servlet/linkout?suffix=CIT0135&amp;dbid=16&amp;doi=10.1080%2F15299732.2016.1103104&amp;key=10.1037%2F0003-066X.62.8.878" TargetMode="External"/><Relationship Id="rId377" Type="http://schemas.openxmlformats.org/officeDocument/2006/relationships/hyperlink" Target="http://www.tandfonline.com/doi/full/10.1080/15299732.2016.1103104" TargetMode="External"/><Relationship Id="rId5" Type="http://schemas.openxmlformats.org/officeDocument/2006/relationships/webSettings" Target="webSettings.xml"/><Relationship Id="rId95" Type="http://schemas.openxmlformats.org/officeDocument/2006/relationships/hyperlink" Target="http://www.tandfonline.com/servlet/linkout?suffix=CIT0124&amp;dbid=16&amp;doi=10.1080%2F15299732.2016.1103104&amp;key=10.1002%2F9781118156391" TargetMode="External"/><Relationship Id="rId160" Type="http://schemas.openxmlformats.org/officeDocument/2006/relationships/hyperlink" Target="http://www.tandfonline.com/doi/full/10.1080/15299732.2016.1103104" TargetMode="External"/><Relationship Id="rId181" Type="http://schemas.openxmlformats.org/officeDocument/2006/relationships/hyperlink" Target="http://www.tandfonline.com/doi/full/10.1080/15299732.2016.1103104" TargetMode="External"/><Relationship Id="rId216" Type="http://schemas.openxmlformats.org/officeDocument/2006/relationships/hyperlink" Target="http://www.tandfonline.com/servlet/linkout?suffix=CIT0013&amp;dbid=8&amp;doi=10.1080%2F15299732.2016.1103104&amp;key=15677582" TargetMode="External"/><Relationship Id="rId237" Type="http://schemas.openxmlformats.org/officeDocument/2006/relationships/hyperlink" Target="http://www.tandfonline.com/doi/full/10.1080/15299732.2016.1103104" TargetMode="External"/><Relationship Id="rId258" Type="http://schemas.openxmlformats.org/officeDocument/2006/relationships/hyperlink" Target="http://scholar.google.com/scholar_lookup?publication_year=2010&amp;pages=38-58&amp;author=M.+Walker&amp;title=What%E2%80%99s+a+feminist+therapist+to+do?+Engaging+the+relational+paradox+in+a+post-feminist+culture&amp;" TargetMode="External"/><Relationship Id="rId279" Type="http://schemas.openxmlformats.org/officeDocument/2006/relationships/hyperlink" Target="http://scholar.google.com/scholar_lookup?publication_year=1997&amp;issue=2&amp;author=J.+B.+Miller&amp;author=I.+P.+Stiver&amp;title=The+healing+connection:+How+women+form+relationships+in+therapy+and+in+life&amp;" TargetMode="External"/><Relationship Id="rId22" Type="http://schemas.openxmlformats.org/officeDocument/2006/relationships/hyperlink" Target="http://www.tandfonline.com/doi/full/10.1080/15299732.2016.1103104" TargetMode="External"/><Relationship Id="rId43" Type="http://schemas.openxmlformats.org/officeDocument/2006/relationships/hyperlink" Target="http://www.tandfonline.com/servlet/linkout?suffix=CIT0085&amp;dbid=8&amp;doi=10.1080%2F15299732.2016.1103104&amp;key=22821682" TargetMode="External"/><Relationship Id="rId64" Type="http://schemas.openxmlformats.org/officeDocument/2006/relationships/hyperlink" Target="http://www.tandfonline.com/doi/full/10.1080/15299732.2016.1103104" TargetMode="External"/><Relationship Id="rId118" Type="http://schemas.openxmlformats.org/officeDocument/2006/relationships/hyperlink" Target="http://www.tandfonline.com/doi/full/10.1080/15299732.2016.1103104" TargetMode="External"/><Relationship Id="rId139" Type="http://schemas.openxmlformats.org/officeDocument/2006/relationships/hyperlink" Target="http://scholar.google.com/scholar_lookup?publication_year=2003&amp;pages=1618-1621&amp;issue=12&amp;author=T.+A.+Mellman&amp;author=R.+E.+Clark&amp;author=W.+J.+Peacock&amp;title=Prescribing+patterns+for+patients+with+posttraumatic+stress+disorder&amp;" TargetMode="External"/><Relationship Id="rId290" Type="http://schemas.openxmlformats.org/officeDocument/2006/relationships/hyperlink" Target="http://www.tandfonline.com/doi/full/10.1080/15299732.2016.1103104" TargetMode="External"/><Relationship Id="rId304" Type="http://schemas.openxmlformats.org/officeDocument/2006/relationships/hyperlink" Target="http://www.tandfonline.com/doi/full/10.1080/15299732.2016.1103104" TargetMode="External"/><Relationship Id="rId325" Type="http://schemas.openxmlformats.org/officeDocument/2006/relationships/hyperlink" Target="http://www.tandfonline.com/servlet/linkout?suffix=CIT0074&amp;dbid=16&amp;doi=10.1080%2F15299732.2016.1103104&amp;key=10.1037%2F0033-3204.42.4.443" TargetMode="External"/><Relationship Id="rId346" Type="http://schemas.openxmlformats.org/officeDocument/2006/relationships/hyperlink" Target="http://www.tandfonline.com/servlet/linkout?suffix=CIT0106&amp;dbid=128&amp;doi=10.1080%2F15299732.2016.1103104&amp;key=000317741600002" TargetMode="External"/><Relationship Id="rId367" Type="http://schemas.openxmlformats.org/officeDocument/2006/relationships/hyperlink" Target="http://www.tandfonline.com/servlet/linkout?suffix=CIT0017&amp;dbid=16&amp;doi=10.1080%2F15299732.2016.1103104&amp;key=10.1037%2F11752-000" TargetMode="External"/><Relationship Id="rId388" Type="http://schemas.openxmlformats.org/officeDocument/2006/relationships/hyperlink" Target="http://www.renewamerica.us/columns/hutchison/040322" TargetMode="External"/><Relationship Id="rId85" Type="http://schemas.openxmlformats.org/officeDocument/2006/relationships/hyperlink" Target="http://www.tandfonline.com/servlet/linkout?suffix=CIT0002&amp;dbid=16&amp;doi=10.1080%2F15299732.2016.1103104&amp;key=10.1176%2Fappi.books.9780890425596" TargetMode="External"/><Relationship Id="rId150" Type="http://schemas.openxmlformats.org/officeDocument/2006/relationships/hyperlink" Target="http://www.tandfonline.com/doi/full/10.1080/15299732.2016.1103104" TargetMode="External"/><Relationship Id="rId171" Type="http://schemas.openxmlformats.org/officeDocument/2006/relationships/hyperlink" Target="http://scholar.google.com/scholar_lookup?publication_year=2005&amp;pages=429-445&amp;issue=4&amp;author=B.+Burstow&amp;title=A+critique+of+posttraumatic+stress+disorder+and+the+DSM&amp;" TargetMode="External"/><Relationship Id="rId192" Type="http://schemas.openxmlformats.org/officeDocument/2006/relationships/hyperlink" Target="http://scholar.google.com/scholar_lookup?publication_year=2005&amp;pages=214-227&amp;author=R.+Bradley&amp;author=J.+Greene&amp;author=E.+Russ&amp;author=L.+Dutra&amp;author=D.+Westen&amp;title=A+multidimensional+meta-analysis+of+psychotherapy+for+PTSD&amp;" TargetMode="External"/><Relationship Id="rId206" Type="http://schemas.openxmlformats.org/officeDocument/2006/relationships/hyperlink" Target="http://www.tandfonline.com/doi/10.1521/psyc.2008.71.2.134" TargetMode="External"/><Relationship Id="rId227" Type="http://schemas.openxmlformats.org/officeDocument/2006/relationships/hyperlink" Target="http://www.tandfonline.com/servlet/linkout?suffix=CIT0067&amp;dbid=16&amp;doi=10.1080%2F15299732.2016.1103104&amp;key=10.1037%2Fa0037084" TargetMode="External"/><Relationship Id="rId248" Type="http://schemas.openxmlformats.org/officeDocument/2006/relationships/hyperlink" Target="http://scholar.google.com/scholar_lookup?publication_year=1997&amp;author=J.+B.+Miller&amp;author=I.+P.+Stiver&amp;title=The+healing+connection:+How+women+form+relationships+in+therapy+and+in+life&amp;" TargetMode="External"/><Relationship Id="rId269" Type="http://schemas.openxmlformats.org/officeDocument/2006/relationships/hyperlink" Target="http://scholar.google.com/scholar_lookup?publication_year=1997&amp;issue=1&amp;author=J.+B.+Miller&amp;author=I.+P.+Stiver&amp;title=The+healing+connection:+How+women+form+relationships+in+therapy+and+in+life&amp;" TargetMode="External"/><Relationship Id="rId12" Type="http://schemas.openxmlformats.org/officeDocument/2006/relationships/hyperlink" Target="http://www.npr.org/sections/ed/2017/03/18/520145773/education-budget-cuts-student-aid-problems-and-more" TargetMode="External"/><Relationship Id="rId33" Type="http://schemas.openxmlformats.org/officeDocument/2006/relationships/hyperlink" Target="http://scholar.google.com/scholar_lookup?publication_year=2002&amp;author=H.+Sivers&amp;author=J.+Schooler&amp;author=J.+J.+Freydauthor=V.+S.+Ramachandran&amp;title=Encyclopedia+of+the+human+brain" TargetMode="External"/><Relationship Id="rId108" Type="http://schemas.openxmlformats.org/officeDocument/2006/relationships/hyperlink" Target="http://scholar.google.com/scholar_lookup?publication_year=1988&amp;pages=385-401&amp;author=P.+A.+Resick&amp;author=C.+G.+Jordan&amp;author=S.+A.+Girelli&amp;author=C.+K.+Hutter&amp;author=S.+Marhoefer-Dvorak&amp;title=A+comparative+victim+study+of+behavioral+group+therapy+for+sexual+assault+victims&amp;" TargetMode="External"/><Relationship Id="rId129" Type="http://schemas.openxmlformats.org/officeDocument/2006/relationships/hyperlink" Target="http://scholar.google.com/scholar_lookup?publication_year=1997&amp;author=J.+L.+Herman&amp;title=Trauma+and+recovery&amp;" TargetMode="External"/><Relationship Id="rId280" Type="http://schemas.openxmlformats.org/officeDocument/2006/relationships/hyperlink" Target="http://www.tandfonline.com/doi/full/10.1080/15299732.2016.1103104" TargetMode="External"/><Relationship Id="rId315" Type="http://schemas.openxmlformats.org/officeDocument/2006/relationships/hyperlink" Target="http://www.tandfonline.com/servlet/linkout?suffix=CIT0090&amp;dbid=128&amp;doi=10.1080%2F15299732.2016.1103104&amp;key=000175690500002" TargetMode="External"/><Relationship Id="rId336" Type="http://schemas.openxmlformats.org/officeDocument/2006/relationships/hyperlink" Target="http://scholar.google.com/scholar_lookup?publication_year=2015&amp;pages=203-214&amp;issue=2&amp;author=J.+M.+G%C3%B3mez&amp;author=K.+Becker-Blease&amp;author=J.+J.+Freyd&amp;title=A+brief+report+on+predicting+self-harm:+Is+it+gender+or+abuse+that+matters?&amp;" TargetMode="External"/><Relationship Id="rId357" Type="http://schemas.openxmlformats.org/officeDocument/2006/relationships/hyperlink" Target="http://www.tandfonline.com/servlet/linkout?suffix=CIT0135&amp;dbid=128&amp;doi=10.1080%2F15299732.2016.1103104&amp;key=000250991100027" TargetMode="External"/><Relationship Id="rId54" Type="http://schemas.openxmlformats.org/officeDocument/2006/relationships/hyperlink" Target="http://www.tandfonline.com/servlet/linkout?suffix=CIT0041&amp;dbid=128&amp;doi=10.1080%2F15299732.2016.1103104&amp;key=000074088700001" TargetMode="External"/><Relationship Id="rId75" Type="http://schemas.openxmlformats.org/officeDocument/2006/relationships/hyperlink" Target="http://www.tandfonline.com/doi/full/10.1080/15299732.2016.1103104" TargetMode="External"/><Relationship Id="rId96" Type="http://schemas.openxmlformats.org/officeDocument/2006/relationships/hyperlink" Target="http://scholar.google.com/scholar_lookup?publication_year=2012&amp;author=P.+Sturmey&amp;author=M.+Hersen&amp;title=Handbook+of+evidence-based+practice+in+clinical+psychology:+Vol+2.+Adult+disorders&amp;" TargetMode="External"/><Relationship Id="rId140" Type="http://schemas.openxmlformats.org/officeDocument/2006/relationships/hyperlink" Target="http://www.tandfonline.com/doi/full/10.1080/15299732.2016.1103104" TargetMode="External"/><Relationship Id="rId161" Type="http://schemas.openxmlformats.org/officeDocument/2006/relationships/hyperlink" Target="http://scholar.google.com/scholar_lookup?publication_year=2004&amp;author=American+Psychiatric+Association+Work+Group+on+ASD+and+PTSD&amp;title=Practice+guidelines+for+the+treatment+of+patients+with+acute+stress+disorder+and+posttraumatic+stress+disorder&amp;" TargetMode="External"/><Relationship Id="rId182" Type="http://schemas.openxmlformats.org/officeDocument/2006/relationships/hyperlink" Target="http://scholar.google.com/scholar_lookup?publication_year=2010&amp;issue=2&amp;author=D.+W.+Sue&amp;title=Microaggressions+in+everyday+life:+Race,+gender,+and+sexual+orientation&amp;" TargetMode="External"/><Relationship Id="rId217" Type="http://schemas.openxmlformats.org/officeDocument/2006/relationships/hyperlink" Target="http://www.tandfonline.com/servlet/linkout?suffix=CIT0013&amp;dbid=128&amp;doi=10.1080%2F15299732.2016.1103104&amp;key=000227210800002" TargetMode="External"/><Relationship Id="rId378" Type="http://schemas.openxmlformats.org/officeDocument/2006/relationships/hyperlink" Target="http://www.tandfonline.com/servlet/linkout?suffix=CIT0024&amp;dbid=16&amp;doi=10.1080%2F15299732.2016.1103104&amp;key=10.1177%2F0022167805280265" TargetMode="External"/><Relationship Id="rId6" Type="http://schemas.openxmlformats.org/officeDocument/2006/relationships/hyperlink" Target="http://www.academypublication.com/issues/past/jltr/vol03/01/jltr0301.pdf" TargetMode="External"/><Relationship Id="rId238" Type="http://schemas.openxmlformats.org/officeDocument/2006/relationships/hyperlink" Target="http://scholar.google.com/scholar_lookup?publication_year=2008b&amp;author=L.+S.+Brownauthor=J.+L.+Lebow&amp;title=Twenty-first+century+psychotherapies:+Contemporary+approaches+to+theory+and+practice&amp;" TargetMode="External"/><Relationship Id="rId259" Type="http://schemas.openxmlformats.org/officeDocument/2006/relationships/hyperlink" Target="http://www.tandfonline.com/doi/full/10.1080/15299732.2016.1103104" TargetMode="External"/><Relationship Id="rId23" Type="http://schemas.openxmlformats.org/officeDocument/2006/relationships/hyperlink" Target="http://scholar.google.com/scholar_lookup?publication_year=1996&amp;author=J.+J.+Freyd&amp;title=Betrayal+trauma:+The+logic+of+forgetting+childhood+abuse" TargetMode="External"/><Relationship Id="rId119" Type="http://schemas.openxmlformats.org/officeDocument/2006/relationships/hyperlink" Target="http://www.tandfonline.com/servlet/linkout?suffix=CIT0044&amp;dbid=16&amp;doi=10.1080%2F15299732.2016.1103104&amp;key=10.1146%2Fannurev.psych.48.1.449" TargetMode="External"/><Relationship Id="rId270" Type="http://schemas.openxmlformats.org/officeDocument/2006/relationships/hyperlink" Target="http://www.tandfonline.com/doi/full/10.1080/15299732.2016.1103104" TargetMode="External"/><Relationship Id="rId291" Type="http://schemas.openxmlformats.org/officeDocument/2006/relationships/hyperlink" Target="http://scholar.google.com/scholar_lookup?publication_year=1999&amp;issue=2&amp;author=J.+B.+Miller&amp;author=J.+Jordan&amp;author=I.+P.+Stiver&amp;author=M.+Walker&amp;author=J.+L.+Surrey&amp;author=N.+A.+Eldridge&amp;title=Therapists%E2%80%99+authenticity&amp;" TargetMode="External"/><Relationship Id="rId305" Type="http://schemas.openxmlformats.org/officeDocument/2006/relationships/hyperlink" Target="http://www.tandfonline.com/servlet/linkout?suffix=CIT0026&amp;dbid=16&amp;doi=10.1080%2F15299732.2016.1103104&amp;key=10.1002%2F%28ISSN%291097-4679" TargetMode="External"/><Relationship Id="rId326" Type="http://schemas.openxmlformats.org/officeDocument/2006/relationships/hyperlink" Target="http://www.tandfonline.com/servlet/linkout?suffix=CIT0074&amp;dbid=128&amp;doi=10.1080%2F15299732.2016.1103104&amp;key=000237426900004" TargetMode="External"/><Relationship Id="rId347" Type="http://schemas.openxmlformats.org/officeDocument/2006/relationships/hyperlink" Target="http://scholar.google.com/scholar_lookup?publication_year=2013&amp;pages=137-151&amp;author=M.+A.+Oakley&amp;author=S.+C.+Addison&amp;author=N.+Piran&amp;author=G.+J.+Johnston&amp;author=M.+Damianakis&amp;author=J.+Curry&amp;author=A.+Weigeldt&amp;title=Outcome+study+of+brief+relational-cultural+therapy+in+a+women%E2%80%99s+mental+health+center&amp;" TargetMode="External"/><Relationship Id="rId44" Type="http://schemas.openxmlformats.org/officeDocument/2006/relationships/hyperlink" Target="http://www.tandfonline.com/servlet/linkout?suffix=CIT0085&amp;dbid=128&amp;doi=10.1080%2F15299732.2016.1103104&amp;key=000307110000007" TargetMode="External"/><Relationship Id="rId65" Type="http://schemas.openxmlformats.org/officeDocument/2006/relationships/hyperlink" Target="http://scholar.google.com/scholar_lookup?publication_year=1997&amp;author=J.+L.+Herman&amp;title=Trauma+and+recovery&amp;" TargetMode="External"/><Relationship Id="rId86" Type="http://schemas.openxmlformats.org/officeDocument/2006/relationships/hyperlink" Target="http://scholar.google.com/scholar_lookup?publication_year=2013&amp;issue=11&amp;author=American+Psychiatric+Association&amp;title=Diagnostic+and+statistical+manual+of+mental+disorders&amp;" TargetMode="External"/><Relationship Id="rId130" Type="http://schemas.openxmlformats.org/officeDocument/2006/relationships/hyperlink" Target="http://www.tandfonline.com/doi/full/10.1080/15299732.2016.1103104" TargetMode="External"/><Relationship Id="rId151" Type="http://schemas.openxmlformats.org/officeDocument/2006/relationships/hyperlink" Target="http://www.tandfonline.com/servlet/linkout?suffix=CIT0091&amp;dbid=16&amp;doi=10.1080%2F15299732.2016.1103104&amp;key=10.1176%2Fappi.ajp.158.12.1982" TargetMode="External"/><Relationship Id="rId368" Type="http://schemas.openxmlformats.org/officeDocument/2006/relationships/hyperlink" Target="http://scholar.google.com/scholar_lookup?publication_year=2008a&amp;issue=1&amp;author=L.+S.+Brown&amp;title=Cultural+competence+in+trauma+therapy:+Beyond+the+flashback&amp;" TargetMode="External"/><Relationship Id="rId389" Type="http://schemas.openxmlformats.org/officeDocument/2006/relationships/fontTable" Target="fontTable.xml"/><Relationship Id="rId172" Type="http://schemas.openxmlformats.org/officeDocument/2006/relationships/hyperlink" Target="http://www.tandfonline.com/doi/full/10.1080/15299732.2016.1103104" TargetMode="External"/><Relationship Id="rId193" Type="http://schemas.openxmlformats.org/officeDocument/2006/relationships/hyperlink" Target="http://www.tandfonline.com/doi/full/10.1080/15299732.2016.1103104" TargetMode="External"/><Relationship Id="rId207" Type="http://schemas.openxmlformats.org/officeDocument/2006/relationships/hyperlink" Target="http://www.tandfonline.com/servlet/linkout?suffix=CIT0118&amp;dbid=128&amp;doi=10.1080%2F15299732.2016.1103104&amp;key=000256960600003" TargetMode="External"/><Relationship Id="rId228" Type="http://schemas.openxmlformats.org/officeDocument/2006/relationships/hyperlink" Target="http://www.tandfonline.com/servlet/linkout?suffix=CIT0067&amp;dbid=128&amp;doi=10.1080%2F15299732.2016.1103104&amp;key=000345454200011" TargetMode="External"/><Relationship Id="rId249" Type="http://schemas.openxmlformats.org/officeDocument/2006/relationships/hyperlink" Target="http://www.tandfonline.com/doi/full/10.1080/15299732.2016.1103104" TargetMode="External"/><Relationship Id="rId13" Type="http://schemas.openxmlformats.org/officeDocument/2006/relationships/hyperlink" Target="http://files.eric.ed.gov/fulltext/ED392751.pdf" TargetMode="External"/><Relationship Id="rId109" Type="http://schemas.openxmlformats.org/officeDocument/2006/relationships/hyperlink" Target="http://www.tandfonline.com/doi/full/10.1080/15299732.2016.1103104" TargetMode="External"/><Relationship Id="rId260" Type="http://schemas.openxmlformats.org/officeDocument/2006/relationships/hyperlink" Target="http://www.tandfonline.com/doi/10.1300/J189v05n01_04" TargetMode="External"/><Relationship Id="rId281" Type="http://schemas.openxmlformats.org/officeDocument/2006/relationships/hyperlink" Target="http://scholar.google.com/scholar_lookup?publication_year=2005&amp;issue=2&amp;author=V.+Bergum&amp;author=J.+Dossetor&amp;title=Relational+ethics:+The+full+meaning+of+respect&amp;" TargetMode="External"/><Relationship Id="rId316" Type="http://schemas.openxmlformats.org/officeDocument/2006/relationships/hyperlink" Target="http://scholar.google.com/scholar_lookup?publication_year=2001&amp;pages=357-361&amp;author=M.+J.+Lambert&amp;author=D.+E.+Barley&amp;title=Research+summary+on+the+therapeutic+relationship+and+psychotherapy+outcomes&amp;" TargetMode="External"/><Relationship Id="rId337" Type="http://schemas.openxmlformats.org/officeDocument/2006/relationships/hyperlink" Target="http://www.tandfonline.com/doi/full/10.1080/15299732.2016.1103104" TargetMode="External"/><Relationship Id="rId34" Type="http://schemas.openxmlformats.org/officeDocument/2006/relationships/hyperlink" Target="http://www.tandfonline.com/doi/full/10.1080/15299732.2016.1103104" TargetMode="External"/><Relationship Id="rId55" Type="http://schemas.openxmlformats.org/officeDocument/2006/relationships/hyperlink" Target="http://scholar.google.com/scholar_lookup?publication_year=1998&amp;pages=245-258&amp;author=V.+J.+Felitti&amp;author=R.+F.+Anda&amp;author=D.+Nordenberg&amp;author=D.+F.+Williamson&amp;author=A.+M.+Spitz&amp;author=V.+Edwards&amp;author=J.+S.+Marks&amp;title=Relationship+of+childhood+abuse+and+household+dysfunction+to+many+of+the+leading+causes+of+death+in+adults&amp;" TargetMode="External"/><Relationship Id="rId76" Type="http://schemas.openxmlformats.org/officeDocument/2006/relationships/hyperlink" Target="http://scholar.google.com/scholar_lookup?publication_year=1996&amp;author=J.+J.+Freyd&amp;title=Betrayal+trauma:+The+logic+of+forgetting+childhood+abuse&amp;" TargetMode="External"/><Relationship Id="rId97" Type="http://schemas.openxmlformats.org/officeDocument/2006/relationships/hyperlink" Target="http://www.tandfonline.com/doi/full/10.1080/15299732.2016.1103104" TargetMode="External"/><Relationship Id="rId120" Type="http://schemas.openxmlformats.org/officeDocument/2006/relationships/hyperlink" Target="http://www.tandfonline.com/servlet/linkout?suffix=CIT0044&amp;dbid=8&amp;doi=10.1080%2F15299732.2016.1103104&amp;key=9046566" TargetMode="External"/><Relationship Id="rId141" Type="http://schemas.openxmlformats.org/officeDocument/2006/relationships/hyperlink" Target="http://www.tandfonline.com/servlet/linkout?suffix=CIT0014&amp;dbid=16&amp;doi=10.1080%2F15299732.2016.1103104&amp;key=10.1001%2Fjama.283.14.1837" TargetMode="External"/><Relationship Id="rId358" Type="http://schemas.openxmlformats.org/officeDocument/2006/relationships/hyperlink" Target="http://scholar.google.com/scholar_lookup?publication_year=2007&amp;pages=878-885&amp;author=M.+J.+T.+Vasquez&amp;title=Cultural+difference+and+the+therapeutic+alliance:+An+evidence-based+analysis&amp;" TargetMode="External"/><Relationship Id="rId379" Type="http://schemas.openxmlformats.org/officeDocument/2006/relationships/hyperlink" Target="http://www.tandfonline.com/servlet/linkout?suffix=CIT0024&amp;dbid=128&amp;doi=10.1080%2F15299732.2016.1103104&amp;key=000232034000002" TargetMode="External"/><Relationship Id="rId7" Type="http://schemas.openxmlformats.org/officeDocument/2006/relationships/hyperlink" Target="https://www.washingtonpost.com/opinions/let-states-take-the-lead-in-transforming-schools/2015/03/06/0c5ecbb8-c132-11e4-9ec2-b418f57a4a99_story.html?utm_term=.7f56dd93959dhttps://www.washingtonpost.com/opinions/let-states-take-the-lead-in-transforming-schools/2015/03/06/0c5ecbb8-c132-11e4-9ec2-b418f57a4a99_story.html?utm_term=.7f56dd93959d" TargetMode="External"/><Relationship Id="rId162" Type="http://schemas.openxmlformats.org/officeDocument/2006/relationships/hyperlink" Target="http://www.tandfonline.com/doi/full/10.1080/15299732.2016.1103104" TargetMode="External"/><Relationship Id="rId183" Type="http://schemas.openxmlformats.org/officeDocument/2006/relationships/hyperlink" Target="http://www.tandfonline.com/doi/full/10.1080/15299732.2016.1103104" TargetMode="External"/><Relationship Id="rId218" Type="http://schemas.openxmlformats.org/officeDocument/2006/relationships/hyperlink" Target="http://scholar.google.com/scholar_lookup?publication_year=2005&amp;pages=214-227&amp;author=R.+Bradley&amp;author=J.+Greene&amp;author=E.+Russ&amp;author=L.+Dutra&amp;author=D.+Westen&amp;title=A+multidimensional+meta-analysis+of+psychotherapy+for+PTSD&amp;" TargetMode="External"/><Relationship Id="rId239" Type="http://schemas.openxmlformats.org/officeDocument/2006/relationships/hyperlink" Target="http://www.tandfonline.com/doi/full/10.1080/15299732.2016.1103104" TargetMode="External"/><Relationship Id="rId390" Type="http://schemas.openxmlformats.org/officeDocument/2006/relationships/theme" Target="theme/theme1.xml"/><Relationship Id="rId250" Type="http://schemas.openxmlformats.org/officeDocument/2006/relationships/hyperlink" Target="http://www.tandfonline.com/doi/10.1300/J015v23n02_03" TargetMode="External"/><Relationship Id="rId271" Type="http://schemas.openxmlformats.org/officeDocument/2006/relationships/hyperlink" Target="http://www.tandfonline.com/doi/10.1207/s15327019eb1602_2" TargetMode="External"/><Relationship Id="rId292" Type="http://schemas.openxmlformats.org/officeDocument/2006/relationships/hyperlink" Target="http://www.tandfonline.com/doi/full/10.1080/15299732.2016.1103104" TargetMode="External"/><Relationship Id="rId306" Type="http://schemas.openxmlformats.org/officeDocument/2006/relationships/hyperlink" Target="http://www.tandfonline.com/servlet/linkout?suffix=CIT0026&amp;dbid=8&amp;doi=10.1080%2F15299732.2016.1103104&amp;key=16538667" TargetMode="External"/><Relationship Id="rId24" Type="http://schemas.openxmlformats.org/officeDocument/2006/relationships/hyperlink" Target="http://www.tandfonline.com/doi/full/10.1080/15299732.2016.1103104" TargetMode="External"/><Relationship Id="rId45" Type="http://schemas.openxmlformats.org/officeDocument/2006/relationships/hyperlink" Target="http://scholar.google.com/scholar_lookup?publication_year=2012&amp;pages=408-415&amp;author=L.+P.+Kelley&amp;author=F.+W.+Weathers&amp;author=E.+A.+Mason&amp;author=G.+M.+Pruneau&amp;title=Association+of+life+threat+and+betrayal+with+posttraumatic+stress+disorder+symptom+severity&amp;" TargetMode="External"/><Relationship Id="rId66" Type="http://schemas.openxmlformats.org/officeDocument/2006/relationships/hyperlink" Target="http://www.tandfonline.com/doi/full/10.1080/15299732.2016.1103104" TargetMode="External"/><Relationship Id="rId87" Type="http://schemas.openxmlformats.org/officeDocument/2006/relationships/hyperlink" Target="http://www.tandfonline.com/doi/full/10.1080/15299732.2016.1103104" TargetMode="External"/><Relationship Id="rId110" Type="http://schemas.openxmlformats.org/officeDocument/2006/relationships/hyperlink" Target="http://www.tandfonline.com/servlet/linkout?suffix=CIT0113&amp;dbid=16&amp;doi=10.1080%2F15299732.2016.1103104&amp;key=10.1037%2F0022-006X.70.4.867" TargetMode="External"/><Relationship Id="rId131" Type="http://schemas.openxmlformats.org/officeDocument/2006/relationships/hyperlink" Target="http://www.tandfonline.com/servlet/linkout?suffix=CIT0001&amp;dbid=16&amp;doi=10.1080%2F15299732.2016.1103104&amp;key=10.1176%2Fappi.ps.201200217" TargetMode="External"/><Relationship Id="rId327" Type="http://schemas.openxmlformats.org/officeDocument/2006/relationships/hyperlink" Target="http://scholar.google.com/scholar_lookup?publication_year=2005&amp;pages=443-455&amp;issue=4&amp;author=M.+G.+Holtforth&amp;author=L.+G.+Castonguay&amp;title=Relationship+and+techniques+in+cognitive-behavioral+therapy%E2%80%94A+motivational+approach&amp;" TargetMode="External"/><Relationship Id="rId348" Type="http://schemas.openxmlformats.org/officeDocument/2006/relationships/hyperlink" Target="http://www.tandfonline.com/doi/full/10.1080/15299732.2016.1103104" TargetMode="External"/><Relationship Id="rId369" Type="http://schemas.openxmlformats.org/officeDocument/2006/relationships/hyperlink" Target="http://www.tandfonline.com/doi/full/10.1080/15299732.2016.1103104" TargetMode="External"/><Relationship Id="rId152" Type="http://schemas.openxmlformats.org/officeDocument/2006/relationships/hyperlink" Target="http://www.tandfonline.com/servlet/linkout?suffix=CIT0091&amp;dbid=8&amp;doi=10.1080%2F15299732.2016.1103104&amp;key=11729013" TargetMode="External"/><Relationship Id="rId173" Type="http://schemas.openxmlformats.org/officeDocument/2006/relationships/hyperlink" Target="http://www.tandfonline.com/servlet/linkout?suffix=CIT0022&amp;dbid=16&amp;doi=10.1080%2F15299732.2016.1103104&amp;key=10.1177%2F0011000005276465" TargetMode="External"/><Relationship Id="rId194" Type="http://schemas.openxmlformats.org/officeDocument/2006/relationships/hyperlink" Target="http://scholar.google.com/scholar_lookup?publication_year=2006&amp;author=Institute+of+Medicine&amp;title=Posttraumatic+stress+disorder:+Diagnosis+and+assessment&amp;" TargetMode="External"/><Relationship Id="rId208" Type="http://schemas.openxmlformats.org/officeDocument/2006/relationships/hyperlink" Target="http://scholar.google.com/scholar_lookup?publication_year=2008&amp;pages=134-168&amp;issue=2&amp;author=M.+A.+Schottenbauer&amp;author=C.+R.+Glass&amp;author=D.+B.+Arnkoff&amp;author=V.+Tendick&amp;author=S.+H.+Gray&amp;title=Nonresponse+and+dropout+rates+in+outcome+studies+on+PTSD:+A+review+and+methodological+considerations&amp;" TargetMode="External"/><Relationship Id="rId229" Type="http://schemas.openxmlformats.org/officeDocument/2006/relationships/hyperlink" Target="http://scholar.google.com/scholar_lookup?publication_year=2014&amp;pages=675-682&amp;author=J.+M.+G%C3%B3mez&amp;author=L.+A.+Kaehler&amp;author=J.+J.+Freyd&amp;title=Are+hallucinations+related+to+betrayal+trauma+exposure?+A+three-study+exploration&amp;" TargetMode="External"/><Relationship Id="rId380" Type="http://schemas.openxmlformats.org/officeDocument/2006/relationships/hyperlink" Target="http://scholar.google.com/scholar_lookup?publication_year=2005&amp;pages=429-445&amp;issue=4&amp;author=B.+Burstow&amp;title=A+critique+of+posttraumatic+stress+disorder+and+the+DSM&amp;" TargetMode="External"/><Relationship Id="rId240" Type="http://schemas.openxmlformats.org/officeDocument/2006/relationships/hyperlink" Target="http://scholar.google.com/scholar_lookup?publication_year=1976&amp;author=J.+B.+Miller&amp;title=Toward+a+new+psychology+of+women&amp;" TargetMode="External"/><Relationship Id="rId261" Type="http://schemas.openxmlformats.org/officeDocument/2006/relationships/hyperlink" Target="http://scholar.google.com/scholar_lookup?publication_year=2006&amp;pages=49-63&amp;issue=1&amp;author=P.+J.+Birrell&amp;author=J.+J.+Freyd&amp;title=Betrayal+trauma:+Relational+models+of+harm+and+healing&amp;" TargetMode="External"/><Relationship Id="rId14" Type="http://schemas.openxmlformats.org/officeDocument/2006/relationships/hyperlink" Target="https://doi.org/10.1177/109019810002700107" TargetMode="External"/><Relationship Id="rId35" Type="http://schemas.openxmlformats.org/officeDocument/2006/relationships/hyperlink" Target="http://scholar.google.com/scholar_lookup?publication_year=1996&amp;author=J.+J.+Freyd&amp;title=Betrayal+trauma:+The+logic+of+forgetting+childhood+abuse" TargetMode="External"/><Relationship Id="rId56" Type="http://schemas.openxmlformats.org/officeDocument/2006/relationships/hyperlink" Target="http://www.tandfonline.com/doi/full/10.1080/15299732.2016.1103104" TargetMode="External"/><Relationship Id="rId77" Type="http://schemas.openxmlformats.org/officeDocument/2006/relationships/hyperlink" Target="http://www.tandfonline.com/doi/full/10.1080/15299732.2016.1103104" TargetMode="External"/><Relationship Id="rId100" Type="http://schemas.openxmlformats.org/officeDocument/2006/relationships/hyperlink" Target="http://scholar.google.com/scholar_lookup?publication_year=1997&amp;pages=25-28&amp;issue=9&amp;author=E.+B.+Foa&amp;title=Trauma+and+women:+Course,+predictors,+and+treatment&amp;" TargetMode="External"/><Relationship Id="rId282" Type="http://schemas.openxmlformats.org/officeDocument/2006/relationships/hyperlink" Target="http://www.tandfonline.com/doi/full/10.1080/15299732.2016.1103104" TargetMode="External"/><Relationship Id="rId317" Type="http://schemas.openxmlformats.org/officeDocument/2006/relationships/hyperlink" Target="http://www.tandfonline.com/doi/full/10.1080/15299732.2016.1103104" TargetMode="External"/><Relationship Id="rId338" Type="http://schemas.openxmlformats.org/officeDocument/2006/relationships/hyperlink" Target="http://scholar.google.com/scholar_lookup?publication_year=2014&amp;issue=2&amp;author=J.+M.+G%C3%B3mez&amp;author=J.+J.+Freyd&amp;title=Sexual+trauma,+cultural+betrayal,+and+PTSD+within+cultural+minorities&amp;" TargetMode="External"/><Relationship Id="rId359" Type="http://schemas.openxmlformats.org/officeDocument/2006/relationships/hyperlink" Target="http://www.tandfonline.com/doi/full/10.1080/15299732.2016.1103104" TargetMode="External"/><Relationship Id="rId8" Type="http://schemas.openxmlformats.org/officeDocument/2006/relationships/hyperlink" Target="https://fee.org/articles/cultural-competence-and-your-child/" TargetMode="External"/><Relationship Id="rId98" Type="http://schemas.openxmlformats.org/officeDocument/2006/relationships/hyperlink" Target="http://www.tandfonline.com/servlet/linkout?suffix=CIT0042&amp;dbid=8&amp;doi=10.1080%2F15299732.2016.1103104&amp;key=9329448" TargetMode="External"/><Relationship Id="rId121" Type="http://schemas.openxmlformats.org/officeDocument/2006/relationships/hyperlink" Target="http://www.tandfonline.com/servlet/linkout?suffix=CIT0044&amp;dbid=128&amp;doi=10.1080%2F15299732.2016.1103104&amp;key=A1997WH48000016" TargetMode="External"/><Relationship Id="rId142" Type="http://schemas.openxmlformats.org/officeDocument/2006/relationships/hyperlink" Target="http://www.tandfonline.com/servlet/linkout?suffix=CIT0014&amp;dbid=8&amp;doi=10.1080%2F15299732.2016.1103104&amp;key=10770145" TargetMode="External"/><Relationship Id="rId163" Type="http://schemas.openxmlformats.org/officeDocument/2006/relationships/hyperlink" Target="http://www.tandfonline.com/doi/10.1080/15299732.2013.824945" TargetMode="External"/><Relationship Id="rId184" Type="http://schemas.openxmlformats.org/officeDocument/2006/relationships/hyperlink" Target="http://www.tandfonline.com/servlet/linkout?suffix=CIT0127&amp;dbid=16&amp;doi=10.1080%2F15299732.2016.1103104&amp;key=10.1037%2F0003-066X.62.4.271" TargetMode="External"/><Relationship Id="rId219" Type="http://schemas.openxmlformats.org/officeDocument/2006/relationships/hyperlink" Target="http://www.tandfonline.com/doi/full/10.1080/15299732.2016.1103104" TargetMode="External"/><Relationship Id="rId370" Type="http://schemas.openxmlformats.org/officeDocument/2006/relationships/hyperlink" Target="http://www.tandfonline.com/servlet/linkout?suffix=CIT0016&amp;dbid=16&amp;doi=10.1080%2F15299732.2016.1103104&amp;key=10.1037%2F0033-3204.41.4.464" TargetMode="External"/><Relationship Id="rId230" Type="http://schemas.openxmlformats.org/officeDocument/2006/relationships/hyperlink" Target="http://www.tandfonline.com/doi/full/10.1080/15299732.2016.1103104" TargetMode="External"/><Relationship Id="rId251" Type="http://schemas.openxmlformats.org/officeDocument/2006/relationships/hyperlink" Target="http://www.tandfonline.com/servlet/linkout?suffix=CIT0020&amp;dbid=128&amp;doi=10.1080%2F15299732.2016.1103104&amp;key=000172116500003" TargetMode="External"/><Relationship Id="rId25" Type="http://schemas.openxmlformats.org/officeDocument/2006/relationships/hyperlink" Target="http://scholar.google.com/scholar_lookup?publication_year=1997&amp;author=J.+L.+Herman&amp;title=Trauma+and+recovery" TargetMode="External"/><Relationship Id="rId46" Type="http://schemas.openxmlformats.org/officeDocument/2006/relationships/hyperlink" Target="http://www.tandfonline.com/doi/full/10.1080/15299732.2016.1103104" TargetMode="External"/><Relationship Id="rId67" Type="http://schemas.openxmlformats.org/officeDocument/2006/relationships/hyperlink" Target="http://scholar.google.com/scholar_lookup?publication_year=1969&amp;author=J.+Bowlby&amp;title=Attachment+and+loss:+Vol.+1.+Attachment&amp;" TargetMode="External"/><Relationship Id="rId272" Type="http://schemas.openxmlformats.org/officeDocument/2006/relationships/hyperlink" Target="http://www.tandfonline.com/servlet/linkout?suffix=CIT0007&amp;dbid=128&amp;doi=10.1080%2F15299732.2016.1103104&amp;key=000241237500002" TargetMode="External"/><Relationship Id="rId293" Type="http://schemas.openxmlformats.org/officeDocument/2006/relationships/hyperlink" Target="http://scholar.google.com/scholar_lookup?publication_year=1999&amp;issue=2&amp;author=J.+B.+Miller&amp;author=J.+Jordan&amp;author=I.+P.+Stiver&amp;author=M.+Walker&amp;author=J.+L.+Surrey&amp;author=N.+A.+Eldridge&amp;title=Therapists%E2%80%99+authenticity&amp;" TargetMode="External"/><Relationship Id="rId307" Type="http://schemas.openxmlformats.org/officeDocument/2006/relationships/hyperlink" Target="http://www.tandfonline.com/servlet/linkout?suffix=CIT0026&amp;dbid=128&amp;doi=10.1080%2F15299732.2016.1103104&amp;key=000237766500001" TargetMode="External"/><Relationship Id="rId328" Type="http://schemas.openxmlformats.org/officeDocument/2006/relationships/hyperlink" Target="http://www.tandfonline.com/doi/full/10.1080/15299732.2016.1103104" TargetMode="External"/><Relationship Id="rId349" Type="http://schemas.openxmlformats.org/officeDocument/2006/relationships/hyperlink" Target="http://www.tandfonline.com/servlet/linkout?suffix=CIT0071&amp;dbid=16&amp;doi=10.1080%2F15299732.2016.1103104&amp;key=10.1037%2F11650-000" TargetMode="External"/><Relationship Id="rId88" Type="http://schemas.openxmlformats.org/officeDocument/2006/relationships/hyperlink" Target="http://www.tandfonline.com/servlet/linkout?suffix=CIT0055&amp;dbid=16&amp;doi=10.1080%2F15299732.2016.1103104&amp;key=10.1002%2Fda.22048" TargetMode="External"/><Relationship Id="rId111" Type="http://schemas.openxmlformats.org/officeDocument/2006/relationships/hyperlink" Target="http://www.tandfonline.com/servlet/linkout?suffix=CIT0113&amp;dbid=8&amp;doi=10.1080%2F15299732.2016.1103104&amp;key=12182270" TargetMode="External"/><Relationship Id="rId132" Type="http://schemas.openxmlformats.org/officeDocument/2006/relationships/hyperlink" Target="http://www.tandfonline.com/servlet/linkout?suffix=CIT0001&amp;dbid=8&amp;doi=10.1080%2F15299732.2016.1103104&amp;key=23474508" TargetMode="External"/><Relationship Id="rId153" Type="http://schemas.openxmlformats.org/officeDocument/2006/relationships/hyperlink" Target="http://www.tandfonline.com/servlet/linkout?suffix=CIT0091&amp;dbid=128&amp;doi=10.1080%2F15299732.2016.1103104&amp;key=000172452100007" TargetMode="External"/><Relationship Id="rId174" Type="http://schemas.openxmlformats.org/officeDocument/2006/relationships/hyperlink" Target="http://www.tandfonline.com/servlet/linkout?suffix=CIT0022&amp;dbid=128&amp;doi=10.1080%2F15299732.2016.1103104&amp;key=000229907400004" TargetMode="External"/><Relationship Id="rId195" Type="http://schemas.openxmlformats.org/officeDocument/2006/relationships/hyperlink" Target="http://www.tandfonline.com/doi/full/10.1080/15299732.2016.1103104" TargetMode="External"/><Relationship Id="rId209" Type="http://schemas.openxmlformats.org/officeDocument/2006/relationships/hyperlink" Target="http://www.tandfonline.com/doi/full/10.1080/15299732.2016.1103104" TargetMode="External"/><Relationship Id="rId360" Type="http://schemas.openxmlformats.org/officeDocument/2006/relationships/hyperlink" Target="http://www.tandfonline.com/servlet/linkout?suffix=CIT0017&amp;dbid=16&amp;doi=10.1080%2F15299732.2016.1103104&amp;key=10.1037%2F11752-000" TargetMode="External"/><Relationship Id="rId381" Type="http://schemas.openxmlformats.org/officeDocument/2006/relationships/hyperlink" Target="http://www.tandfonline.com/doi/full/10.1080/15299732.2016.1103104" TargetMode="External"/><Relationship Id="rId220" Type="http://schemas.openxmlformats.org/officeDocument/2006/relationships/hyperlink" Target="http://www.tandfonline.com/doi/10.1300/J189v05n01_04" TargetMode="External"/><Relationship Id="rId241" Type="http://schemas.openxmlformats.org/officeDocument/2006/relationships/hyperlink" Target="http://www.tandfonline.com/doi/full/10.1080/15299732.2016.1103104" TargetMode="External"/><Relationship Id="rId15" Type="http://schemas.openxmlformats.org/officeDocument/2006/relationships/hyperlink" Target="http://za2uf4ps7f.scholar.serialssolutions.com/?sid=google&amp;auinit=AK&amp;aulast=Kumagai&amp;atitle=Beyond+cultural+competence:+critical+consciousness,+social+justice,+and+multicultural+education&amp;id=pmid:19474560" TargetMode="External"/><Relationship Id="rId36" Type="http://schemas.openxmlformats.org/officeDocument/2006/relationships/hyperlink" Target="http://www.tandfonline.com/doi/full/10.1080/15299732.2016.1103104" TargetMode="External"/><Relationship Id="rId57" Type="http://schemas.openxmlformats.org/officeDocument/2006/relationships/hyperlink" Target="http://www.tandfonline.com/doi/10.1300/J229v07n03_04" TargetMode="External"/><Relationship Id="rId262" Type="http://schemas.openxmlformats.org/officeDocument/2006/relationships/hyperlink" Target="http://www.tandfonline.com/doi/full/10.1080/15299732.2016.1103104" TargetMode="External"/><Relationship Id="rId283" Type="http://schemas.openxmlformats.org/officeDocument/2006/relationships/hyperlink" Target="http://www.tandfonline.com/doi/10.1207/s15327019eb1602_2" TargetMode="External"/><Relationship Id="rId318" Type="http://schemas.openxmlformats.org/officeDocument/2006/relationships/hyperlink" Target="http://www.tandfonline.com/servlet/linkout?suffix=CIT0025&amp;dbid=16&amp;doi=10.1080%2F15299732.2016.1103104&amp;key=10.1093%2Fmed%3Apsych%2F9780195156843.003.0018" TargetMode="External"/><Relationship Id="rId339" Type="http://schemas.openxmlformats.org/officeDocument/2006/relationships/hyperlink" Target="http://www.tandfonline.com/doi/full/10.1080/15299732.2016.1103104" TargetMode="External"/><Relationship Id="rId78" Type="http://schemas.openxmlformats.org/officeDocument/2006/relationships/hyperlink" Target="http://www.tandfonline.com/servlet/linkout?suffix=CIT0002&amp;dbid=16&amp;doi=10.1080%2F15299732.2016.1103104&amp;key=10.1176%2Fappi.books.9780890425596" TargetMode="External"/><Relationship Id="rId99" Type="http://schemas.openxmlformats.org/officeDocument/2006/relationships/hyperlink" Target="http://www.tandfonline.com/servlet/linkout?suffix=CIT0042&amp;dbid=128&amp;doi=10.1080%2F15299732.2016.1103104&amp;key=A1997XX44100005" TargetMode="External"/><Relationship Id="rId101" Type="http://schemas.openxmlformats.org/officeDocument/2006/relationships/hyperlink" Target="http://www.tandfonline.com/doi/full/10.1080/15299732.2016.1103104" TargetMode="External"/><Relationship Id="rId122" Type="http://schemas.openxmlformats.org/officeDocument/2006/relationships/hyperlink" Target="http://scholar.google.com/scholar_lookup?publication_year=1997&amp;pages=449-480&amp;author=E.+B.+Foa&amp;author=E.+A.+Meadows&amp;title=Psychosocial+treatments+for+posttraumatic+stress+disorder:+A+critical+review&amp;" TargetMode="External"/><Relationship Id="rId143" Type="http://schemas.openxmlformats.org/officeDocument/2006/relationships/hyperlink" Target="http://www.tandfonline.com/servlet/linkout?suffix=CIT0014&amp;dbid=128&amp;doi=10.1080%2F15299732.2016.1103104&amp;key=000086248600029" TargetMode="External"/><Relationship Id="rId164" Type="http://schemas.openxmlformats.org/officeDocument/2006/relationships/hyperlink" Target="http://www.tandfonline.com/servlet/linkout?suffix=CIT0051&amp;dbid=128&amp;doi=10.1080%2F15299732.2016.1103104&amp;key=000324670400001" TargetMode="External"/><Relationship Id="rId185" Type="http://schemas.openxmlformats.org/officeDocument/2006/relationships/hyperlink" Target="http://www.tandfonline.com/servlet/linkout?suffix=CIT0127&amp;dbid=8&amp;doi=10.1080%2F15299732.2016.1103104&amp;key=17516773" TargetMode="External"/><Relationship Id="rId350" Type="http://schemas.openxmlformats.org/officeDocument/2006/relationships/hyperlink" Target="http://scholar.google.com/scholar_lookup?publication_year=2008&amp;author=P.+A.+Hays&amp;title=Addressing+cultural+complexities+in+practice:+Assessment,+diagnosis,+and+therapy&amp;" TargetMode="External"/><Relationship Id="rId371" Type="http://schemas.openxmlformats.org/officeDocument/2006/relationships/hyperlink" Target="http://www.tandfonline.com/servlet/linkout?suffix=CIT0016&amp;dbid=128&amp;doi=10.1080%2F15299732.2016.1103104&amp;key=000227651800009" TargetMode="External"/><Relationship Id="rId9" Type="http://schemas.openxmlformats.org/officeDocument/2006/relationships/hyperlink" Target="http://www.wbir.com/news/local/education/cultural-competency-resolution-fails-at-school-board-meeting/31773861" TargetMode="External"/><Relationship Id="rId210" Type="http://schemas.openxmlformats.org/officeDocument/2006/relationships/hyperlink" Target="http://www.tandfonline.com/servlet/linkout?suffix=CIT0010&amp;dbid=16&amp;doi=10.1080%2F15299732.2016.1103104&amp;key=10.1192%2Fbjp.bp.106.021402" TargetMode="External"/><Relationship Id="rId26" Type="http://schemas.openxmlformats.org/officeDocument/2006/relationships/hyperlink" Target="http://www.tandfonline.com/doi/full/10.1080/15299732.2016.1103104" TargetMode="External"/><Relationship Id="rId231" Type="http://schemas.openxmlformats.org/officeDocument/2006/relationships/hyperlink" Target="http://www.tandfonline.com/servlet/linkout?suffix=CIT0115&amp;dbid=16&amp;doi=10.1080%2F15299732.2016.1103104&amp;key=10.1002%2Fjts.2490100403" TargetMode="External"/><Relationship Id="rId252" Type="http://schemas.openxmlformats.org/officeDocument/2006/relationships/hyperlink" Target="http://scholar.google.com/scholar_lookup?publication_year=2001&amp;pages=19-36&amp;issue=2&amp;author=C.+M.+Bruns&amp;author=C.+Trimble&amp;title=Rising+tide:+Taking+our+place+as+young+feminist+psychologists&amp;" TargetMode="External"/><Relationship Id="rId273" Type="http://schemas.openxmlformats.org/officeDocument/2006/relationships/hyperlink" Target="http://scholar.google.com/scholar_lookup?publication_year=2006&amp;pages=95-115&amp;issue=2&amp;author=P.+J.+Birrell&amp;title=An+ethic+of+possibility:+Relationship,+risk,+and+presence&amp;" TargetMode="External"/><Relationship Id="rId294" Type="http://schemas.openxmlformats.org/officeDocument/2006/relationships/hyperlink" Target="http://www.tandfonline.com/doi/full/10.1080/15299732.2016.1103104" TargetMode="External"/><Relationship Id="rId308" Type="http://schemas.openxmlformats.org/officeDocument/2006/relationships/hyperlink" Target="http://scholar.google.com/scholar_lookup?publication_year=2006b&amp;pages=631-638&amp;issue=6&amp;author=L.+G.+Castonguay&amp;author=L.+E.+Beutler&amp;title=Principles+of+therapeutic+change:+A+task+force+on+participants,+relationships,+and+techniques+factors&amp;" TargetMode="External"/><Relationship Id="rId329" Type="http://schemas.openxmlformats.org/officeDocument/2006/relationships/hyperlink" Target="http://scholar.google.com/scholar_lookup?publication_year=1996&amp;pages=443-455&amp;issue=4&amp;author=G.+Van+Beek&amp;title=De+visie+van+de+client+op+de+werkzame+ingredienten+binnen+gedragstherapie&amp;" TargetMode="External"/><Relationship Id="rId47" Type="http://schemas.openxmlformats.org/officeDocument/2006/relationships/hyperlink" Target="http://www.tandfonline.com/servlet/linkout?suffix=CIT0004&amp;dbid=16&amp;doi=10.1080%2F15299732.2016.1103104&amp;key=10.1007%2Fs00406-005-0624-4" TargetMode="External"/><Relationship Id="rId68" Type="http://schemas.openxmlformats.org/officeDocument/2006/relationships/hyperlink" Target="http://www.tandfonline.com/doi/full/10.1080/15299732.2016.1103104" TargetMode="External"/><Relationship Id="rId89" Type="http://schemas.openxmlformats.org/officeDocument/2006/relationships/hyperlink" Target="http://www.tandfonline.com/servlet/linkout?suffix=CIT0055&amp;dbid=8&amp;doi=10.1080%2F15299732.2016.1103104&amp;key=23281049" TargetMode="External"/><Relationship Id="rId112" Type="http://schemas.openxmlformats.org/officeDocument/2006/relationships/hyperlink" Target="http://www.tandfonline.com/servlet/linkout?suffix=CIT0113&amp;dbid=128&amp;doi=10.1080%2F15299732.2016.1103104&amp;key=000177347400001" TargetMode="External"/><Relationship Id="rId133" Type="http://schemas.openxmlformats.org/officeDocument/2006/relationships/hyperlink" Target="http://www.tandfonline.com/servlet/linkout?suffix=CIT0001&amp;dbid=128&amp;doi=10.1080%2F15299732.2016.1103104&amp;key=000327260400013" TargetMode="External"/><Relationship Id="rId154" Type="http://schemas.openxmlformats.org/officeDocument/2006/relationships/hyperlink" Target="http://scholar.google.com/scholar_lookup?publication_year=2001&amp;pages=1982-1988&amp;author=R.+D.+Marshall&amp;author=K.+L.+Beebe&amp;author=M.+Oldham&amp;author=R.+Zaninelli&amp;title=Efficacy+and+safety+of+paroxetine+treatment+for+chronic+PTSD:+A+fixed-dose,+placebo-controlled+study&amp;" TargetMode="External"/><Relationship Id="rId175" Type="http://schemas.openxmlformats.org/officeDocument/2006/relationships/hyperlink" Target="http://scholar.google.com/scholar_lookup?publication_year=2005&amp;pages=479-500&amp;issue=4&amp;author=T.+Bryant-Davis&amp;author=C.+Ocampo&amp;title=Racist+incident-based+trauma&amp;" TargetMode="External"/><Relationship Id="rId340" Type="http://schemas.openxmlformats.org/officeDocument/2006/relationships/hyperlink" Target="http://www.tandfonline.com/servlet/linkout?suffix=CIT0105&amp;dbid=16&amp;doi=10.1080%2F15299732.2016.1103104&amp;key=10.1037%2Fa0022161" TargetMode="External"/><Relationship Id="rId361" Type="http://schemas.openxmlformats.org/officeDocument/2006/relationships/hyperlink" Target="http://scholar.google.com/scholar_lookup?publication_year=2008a&amp;author=L.+S.+Brown&amp;title=Cultural+competence+in+trauma+therapy:+Beyond+the+flashback&amp;" TargetMode="External"/><Relationship Id="rId196" Type="http://schemas.openxmlformats.org/officeDocument/2006/relationships/hyperlink" Target="http://www.tandfonline.com/servlet/linkout?suffix=CIT0029&amp;dbid=16&amp;doi=10.1080%2F15299732.2016.1103104&amp;key=10.1037%2F0022-006X.70.5.1067" TargetMode="External"/><Relationship Id="rId200" Type="http://schemas.openxmlformats.org/officeDocument/2006/relationships/hyperlink" Target="http://www.tandfonline.com/doi/full/10.1080/15299732.2016.1103104" TargetMode="External"/><Relationship Id="rId382" Type="http://schemas.openxmlformats.org/officeDocument/2006/relationships/hyperlink" Target="http://scholar.google.com/scholar_lookup?publication_year=2008&amp;pages=11-15&amp;issue=1&amp;author=L.+S.+Brown&amp;author=J.+J.+Freyd&amp;title=PTSD+Criterion+A+and+betrayal+trauma:+A+modest+proposal+for+a+new+look+at+what+constitutes+danger+to+self&amp;" TargetMode="External"/><Relationship Id="rId16" Type="http://schemas.openxmlformats.org/officeDocument/2006/relationships/hyperlink" Target="http://digitalcommons.usu.edu/cgi/viewcontent.cgi?article=1566&amp;context=etd" TargetMode="External"/><Relationship Id="rId221" Type="http://schemas.openxmlformats.org/officeDocument/2006/relationships/hyperlink" Target="http://scholar.google.com/scholar_lookup?publication_year=2006&amp;pages=49-63&amp;issue=1&amp;author=P.+J.+Birrell&amp;author=J.+J.+Freyd&amp;title=Betrayal+trauma:+Relational+models+of+harm+and+healing&amp;" TargetMode="External"/><Relationship Id="rId242" Type="http://schemas.openxmlformats.org/officeDocument/2006/relationships/hyperlink" Target="http://www.tandfonline.com/doi/10.1080/02703149.2011.532689" TargetMode="External"/><Relationship Id="rId263" Type="http://schemas.openxmlformats.org/officeDocument/2006/relationships/hyperlink" Target="http://scholar.google.com/scholar_lookup?publication_year=2011&amp;pages=49-63&amp;issue=1&amp;author=P.+J.+Birrell&amp;title=Ethics+and+power:+Navigating+mutuality+in+therapeutic+relationships&amp;" TargetMode="External"/><Relationship Id="rId284" Type="http://schemas.openxmlformats.org/officeDocument/2006/relationships/hyperlink" Target="http://www.tandfonline.com/servlet/linkout?suffix=CIT0007&amp;dbid=128&amp;doi=10.1080%2F15299732.2016.1103104&amp;key=000241237500002" TargetMode="External"/><Relationship Id="rId319" Type="http://schemas.openxmlformats.org/officeDocument/2006/relationships/hyperlink" Target="http://scholar.google.com/scholar_lookup?publication_year=2006a&amp;author=L.+G.+Castonguay&amp;author=L.+E.+Beutler&amp;title=Principles+of+therapeutic+change+that+work&amp;" TargetMode="External"/><Relationship Id="rId37" Type="http://schemas.openxmlformats.org/officeDocument/2006/relationships/hyperlink" Target="http://www.tandfonline.com/servlet/linkout?suffix=CIT0036&amp;dbid=16&amp;doi=10.1080%2F15299732.2016.1103104&amp;key=10.1007%2F978-1-4614-1195-6_7" TargetMode="External"/><Relationship Id="rId58" Type="http://schemas.openxmlformats.org/officeDocument/2006/relationships/hyperlink" Target="http://scholar.google.com/scholar_lookup?publication_year=2006&amp;pages=39-63&amp;issue=3&amp;author=L.+R.+Goldberg&amp;author=J.+J.+Freyd&amp;title=Self-reports+of+potentially+traumatic+experiences+in+an+adult+community+sample:+Gender+differences+and+test-retest+stabilities+of+the+items+in+a+brief+betrayal-trauma+survey&amp;" TargetMode="External"/><Relationship Id="rId79" Type="http://schemas.openxmlformats.org/officeDocument/2006/relationships/hyperlink" Target="http://scholar.google.com/scholar_lookup?publication_year=2013&amp;author=American+Psychiatric+Association&amp;title=Diagnostic+and+statistical+manual+of+mental+disorders&amp;" TargetMode="External"/><Relationship Id="rId102" Type="http://schemas.openxmlformats.org/officeDocument/2006/relationships/hyperlink" Target="http://www.tandfonline.com/servlet/linkout?suffix=CIT0072&amp;dbid=8&amp;doi=10.1080%2F15299732.2016.1103104&amp;key=10795607" TargetMode="External"/><Relationship Id="rId123" Type="http://schemas.openxmlformats.org/officeDocument/2006/relationships/hyperlink" Target="http://www.tandfonline.com/doi/full/10.1080/15299732.2016.1103104" TargetMode="External"/><Relationship Id="rId144" Type="http://schemas.openxmlformats.org/officeDocument/2006/relationships/hyperlink" Target="http://scholar.google.com/scholar_lookup?publication_year=2000&amp;pages=1837-1844&amp;author=K.+Brady&amp;author=T.+Pearlstein&amp;author=G.+M.+Asnis&amp;author=D.+Baker&amp;author=B.+Rothbaum&amp;author=C.+R.+Sikes&amp;author=G.+M.+Farfel&amp;title=Efficacy+and+safety+of+sertraline+treatment+of+posttraumatic+stress+disorder:+A+randomized+controlled+trial&amp;" TargetMode="External"/><Relationship Id="rId330" Type="http://schemas.openxmlformats.org/officeDocument/2006/relationships/hyperlink" Target="http://www.tandfonline.com/doi/full/10.1080/15299732.2016.1103104" TargetMode="External"/><Relationship Id="rId90" Type="http://schemas.openxmlformats.org/officeDocument/2006/relationships/hyperlink" Target="http://www.tandfonline.com/servlet/linkout?suffix=CIT0055&amp;dbid=128&amp;doi=10.1080%2F15299732.2016.1103104&amp;key=000318251800011" TargetMode="External"/><Relationship Id="rId165" Type="http://schemas.openxmlformats.org/officeDocument/2006/relationships/hyperlink" Target="http://scholar.google.com/scholar_lookup?publication_year=2013&amp;pages=495-500&amp;author=J.+J.+Freyd&amp;title=Preventing+betrayal&amp;" TargetMode="External"/><Relationship Id="rId186" Type="http://schemas.openxmlformats.org/officeDocument/2006/relationships/hyperlink" Target="http://www.tandfonline.com/servlet/linkout?suffix=CIT0127&amp;dbid=128&amp;doi=10.1080%2F15299732.2016.1103104&amp;key=000246795900001" TargetMode="External"/><Relationship Id="rId351" Type="http://schemas.openxmlformats.org/officeDocument/2006/relationships/hyperlink" Target="http://www.tandfonline.com/doi/full/10.1080/15299732.2016.1103104" TargetMode="External"/><Relationship Id="rId372" Type="http://schemas.openxmlformats.org/officeDocument/2006/relationships/hyperlink" Target="http://scholar.google.com/scholar_lookup?publication_year=2004&amp;pages=464-471&amp;author=L.+S.+Brown&amp;title=Feminist+paradigms+of+trauma+treatment&amp;" TargetMode="External"/><Relationship Id="rId211" Type="http://schemas.openxmlformats.org/officeDocument/2006/relationships/hyperlink" Target="http://www.tandfonline.com/servlet/linkout?suffix=CIT0010&amp;dbid=8&amp;doi=10.1080%2F15299732.2016.1103104&amp;key=17267924" TargetMode="External"/><Relationship Id="rId232" Type="http://schemas.openxmlformats.org/officeDocument/2006/relationships/hyperlink" Target="http://www.tandfonline.com/servlet/linkout?suffix=CIT0115&amp;dbid=8&amp;doi=10.1080%2F15299732.2016.1103104&amp;key=9391940" TargetMode="External"/><Relationship Id="rId253" Type="http://schemas.openxmlformats.org/officeDocument/2006/relationships/hyperlink" Target="http://www.tandfonline.com/doi/full/10.1080/15299732.2016.1103104" TargetMode="External"/><Relationship Id="rId274" Type="http://schemas.openxmlformats.org/officeDocument/2006/relationships/hyperlink" Target="http://www.tandfonline.com/doi/full/10.1080/15299732.2016.1103104" TargetMode="External"/><Relationship Id="rId295" Type="http://schemas.openxmlformats.org/officeDocument/2006/relationships/hyperlink" Target="http://scholar.google.com/scholar_lookup?publication_year=2005&amp;issue=2&amp;author=V.+Bergum&amp;author=J.+Dossetor&amp;title=Relational+ethics:+The+full+meaning+of+respect&amp;" TargetMode="External"/><Relationship Id="rId309" Type="http://schemas.openxmlformats.org/officeDocument/2006/relationships/hyperlink" Target="http://www.tandfonline.com/doi/full/10.1080/15299732.2016.1103104" TargetMode="External"/><Relationship Id="rId27" Type="http://schemas.openxmlformats.org/officeDocument/2006/relationships/hyperlink" Target="http://www.tandfonline.com/doi/full/10.1080/15299732.2016.1103104" TargetMode="External"/><Relationship Id="rId48" Type="http://schemas.openxmlformats.org/officeDocument/2006/relationships/hyperlink" Target="http://www.tandfonline.com/servlet/linkout?suffix=CIT0004&amp;dbid=8&amp;doi=10.1080%2F15299732.2016.1103104&amp;key=16311898" TargetMode="External"/><Relationship Id="rId69" Type="http://schemas.openxmlformats.org/officeDocument/2006/relationships/hyperlink" Target="http://scholar.google.com/scholar_lookup?publication_year=2008&amp;author=A.+J.+Shoreauthor=M.+F.+Solomon&amp;author=D.+J.+Siegel&amp;title=Healing+trauma:+Attachment,+mind,+body,+and+brain&amp;" TargetMode="External"/><Relationship Id="rId113" Type="http://schemas.openxmlformats.org/officeDocument/2006/relationships/hyperlink" Target="http://scholar.google.com/scholar_lookup?publication_year=2002&amp;pages=867-879&amp;author=P.+A.+Resick&amp;author=P.+Nishith&amp;author=T.+L.+Weaver&amp;author=M.+C.+Astin&amp;author=C.+A.+Feuer&amp;title=A+comparison+of+cognitive+processing+therapy+with+prolonged+exposure+and+a+waiting+condition+for+the+treatment+of+chronic+posttraumatic+stress+disorder+in+female+rape+victims&amp;" TargetMode="External"/><Relationship Id="rId134" Type="http://schemas.openxmlformats.org/officeDocument/2006/relationships/hyperlink" Target="http://scholar.google.com/scholar_lookup?publication_year=2013&amp;pages=142-148&amp;issue=2&amp;author=T.+E.+Abrams&amp;author=B.+C.+Lund&amp;author=N.+C.+Bernardy&amp;author=M.+J.+Friedman&amp;title=Aligning+clinical+practice+to+PTSD+treatment+guidelines:+Medication+prescribing+by+provider+type&amp;" TargetMode="External"/><Relationship Id="rId320" Type="http://schemas.openxmlformats.org/officeDocument/2006/relationships/hyperlink" Target="http://www.tandfonline.com/doi/full/10.1080/15299732.2016.1103104" TargetMode="External"/><Relationship Id="rId80" Type="http://schemas.openxmlformats.org/officeDocument/2006/relationships/hyperlink" Target="http://www.tandfonline.com/doi/full/10.1080/15299732.2016.1103104" TargetMode="External"/><Relationship Id="rId155" Type="http://schemas.openxmlformats.org/officeDocument/2006/relationships/hyperlink" Target="http://www.tandfonline.com/doi/full/10.1080/15299732.2016.1103104" TargetMode="External"/><Relationship Id="rId176" Type="http://schemas.openxmlformats.org/officeDocument/2006/relationships/hyperlink" Target="http://www.tandfonline.com/doi/full/10.1080/15299732.2016.1103104" TargetMode="External"/><Relationship Id="rId197" Type="http://schemas.openxmlformats.org/officeDocument/2006/relationships/hyperlink" Target="http://www.tandfonline.com/servlet/linkout?suffix=CIT0029&amp;dbid=8&amp;doi=10.1080%2F15299732.2016.1103104&amp;key=12362957" TargetMode="External"/><Relationship Id="rId341" Type="http://schemas.openxmlformats.org/officeDocument/2006/relationships/hyperlink" Target="http://www.tandfonline.com/servlet/linkout?suffix=CIT0105&amp;dbid=8&amp;doi=10.1080%2F15299732.2016.1103104&amp;key=21401280" TargetMode="External"/><Relationship Id="rId362" Type="http://schemas.openxmlformats.org/officeDocument/2006/relationships/hyperlink" Target="http://www.tandfonline.com/doi/full/10.1080/15299732.2016.1103104" TargetMode="External"/><Relationship Id="rId383" Type="http://schemas.openxmlformats.org/officeDocument/2006/relationships/hyperlink" Target="http://www.tandfonline.com/doi/full/10.1080/15299732.2016.1103104" TargetMode="External"/><Relationship Id="rId201" Type="http://schemas.openxmlformats.org/officeDocument/2006/relationships/hyperlink" Target="http://www.tandfonline.com/servlet/linkout?suffix=CIT0094&amp;dbid=16&amp;doi=10.1080%2F15299732.2016.1103104&amp;key=10.1037%2F0022-006X.73.3.515" TargetMode="External"/><Relationship Id="rId222" Type="http://schemas.openxmlformats.org/officeDocument/2006/relationships/hyperlink" Target="http://www.tandfonline.com/doi/full/10.1080/15299732.2016.1103104" TargetMode="External"/><Relationship Id="rId243" Type="http://schemas.openxmlformats.org/officeDocument/2006/relationships/hyperlink" Target="http://www.tandfonline.com/servlet/linkout?suffix=CIT0137&amp;dbid=128&amp;doi=10.1080%2F15299732.2016.1103104&amp;key=000288667100004" TargetMode="External"/><Relationship Id="rId264" Type="http://schemas.openxmlformats.org/officeDocument/2006/relationships/hyperlink" Target="http://www.tandfonline.com/doi/full/10.1080/15299732.2016.1103104" TargetMode="External"/><Relationship Id="rId285" Type="http://schemas.openxmlformats.org/officeDocument/2006/relationships/hyperlink" Target="http://scholar.google.com/scholar_lookup?publication_year=2006&amp;pages=95-115&amp;issue=2&amp;author=P.+J.+Birrell&amp;title=An+ethic+of+possibility:+Relationship,+risk,+and+presence&amp;" TargetMode="External"/><Relationship Id="rId17" Type="http://schemas.openxmlformats.org/officeDocument/2006/relationships/hyperlink" Target="https://www.washingtonpost.com/posteverything/wp/2015/10/20/teach-for-americas-biggest-problem-isnt-green-teachers-or-failing-schools-its-that-it-cant-take-criticism/?utm_term=.3342f44a7c91" TargetMode="External"/><Relationship Id="rId38" Type="http://schemas.openxmlformats.org/officeDocument/2006/relationships/hyperlink" Target="http://scholar.google.com/scholar_lookup?publication_year=2012&amp;pages=193-243&amp;author=A.+P.+DePrince&amp;author=L.+S.+Brown&amp;author=R.+E.+Cheit&amp;author=J.+J.+Freyd&amp;author=S.+N.+Gold&amp;author=K.+Pezdek&amp;author=K.+Quinaauthor=R.+F.+Belli&amp;title=True+and+false+recovered+memories:+Toward+a+reconciliation+of+the+debate" TargetMode="External"/><Relationship Id="rId59" Type="http://schemas.openxmlformats.org/officeDocument/2006/relationships/hyperlink" Target="http://www.tandfonline.com/doi/full/10.1080/15299732.2016.1103104" TargetMode="External"/><Relationship Id="rId103" Type="http://schemas.openxmlformats.org/officeDocument/2006/relationships/hyperlink" Target="http://www.tandfonline.com/servlet/linkout?suffix=CIT0072&amp;dbid=128&amp;doi=10.1080%2F15299732.2016.1103104&amp;key=000086916100005" TargetMode="External"/><Relationship Id="rId124" Type="http://schemas.openxmlformats.org/officeDocument/2006/relationships/hyperlink" Target="http://www.tandfonline.com/servlet/linkout?suffix=CIT0110&amp;dbid=16&amp;doi=10.1080%2F15299732.2016.1103104&amp;key=10.1023%2FA%3A1007802031411" TargetMode="External"/><Relationship Id="rId310" Type="http://schemas.openxmlformats.org/officeDocument/2006/relationships/hyperlink" Target="http://www.tandfonline.com/servlet/linkout?suffix=CIT0060&amp;dbid=16&amp;doi=10.1080%2F15299732.2016.1103104&amp;key=10.1037%2F0033-3204.42.4.421" TargetMode="External"/><Relationship Id="rId70" Type="http://schemas.openxmlformats.org/officeDocument/2006/relationships/hyperlink" Target="http://www.tandfonline.com/doi/full/10.1080/15299732.2016.1103104" TargetMode="External"/><Relationship Id="rId91" Type="http://schemas.openxmlformats.org/officeDocument/2006/relationships/hyperlink" Target="http://scholar.google.com/scholar_lookup?publication_year=2013&amp;pages=489-496&amp;issue=5&amp;author=I.+R.+Galatzer-Levy&amp;author=A.+Nickerson&amp;author=B.+T.+Litz&amp;author=C.+R.+Marmar&amp;title=Patterns+of+lifetime+PTSD+comorbidity:+A+latent+class+analysis&amp;" TargetMode="External"/><Relationship Id="rId145" Type="http://schemas.openxmlformats.org/officeDocument/2006/relationships/hyperlink" Target="http://www.tandfonline.com/doi/full/10.1080/15299732.2016.1103104" TargetMode="External"/><Relationship Id="rId166" Type="http://schemas.openxmlformats.org/officeDocument/2006/relationships/hyperlink" Target="http://www.tandfonline.com/doi/full/10.1080/15299732.2016.1103104" TargetMode="External"/><Relationship Id="rId187" Type="http://schemas.openxmlformats.org/officeDocument/2006/relationships/hyperlink" Target="http://scholar.google.com/scholar_lookup?publication_year=2007&amp;pages=271-286&amp;issue=4&amp;author=D.+W.+Sue&amp;author=C.+M.+Capodilupo&amp;author=G.+C.+Torino&amp;author=J.+M.+Bucceri&amp;author=A.+M.+B.+Holder&amp;author=K.+L.+Nadal&amp;author=M.+Esquilin&amp;title=Racial+microaggressions+in+everyday+life:+Implications+for+clinical+practice&amp;" TargetMode="External"/><Relationship Id="rId331" Type="http://schemas.openxmlformats.org/officeDocument/2006/relationships/hyperlink" Target="http://www.tandfonline.com/doi/10.1300/J189v05n01_04" TargetMode="External"/><Relationship Id="rId352" Type="http://schemas.openxmlformats.org/officeDocument/2006/relationships/hyperlink" Target="http://www.tandfonline.com/servlet/linkout?suffix=CIT0125&amp;dbid=16&amp;doi=10.1080%2F15299732.2016.1103104&amp;key=10.1037%2F0022-0167.25.5.419" TargetMode="External"/><Relationship Id="rId373" Type="http://schemas.openxmlformats.org/officeDocument/2006/relationships/hyperlink" Target="http://www.tandfonline.com/doi/full/10.1080/15299732.2016.1103104" TargetMode="External"/><Relationship Id="rId1" Type="http://schemas.openxmlformats.org/officeDocument/2006/relationships/customXml" Target="../customXml/item1.xml"/><Relationship Id="rId212" Type="http://schemas.openxmlformats.org/officeDocument/2006/relationships/hyperlink" Target="http://www.tandfonline.com/servlet/linkout?suffix=CIT0010&amp;dbid=128&amp;doi=10.1080%2F15299732.2016.1103104&amp;key=000244411200004" TargetMode="External"/><Relationship Id="rId233" Type="http://schemas.openxmlformats.org/officeDocument/2006/relationships/hyperlink" Target="http://www.tandfonline.com/servlet/linkout?suffix=CIT0115&amp;dbid=128&amp;doi=10.1080%2F15299732.2016.1103104&amp;key=A1997YE63700002" TargetMode="External"/><Relationship Id="rId254" Type="http://schemas.openxmlformats.org/officeDocument/2006/relationships/hyperlink" Target="http://scholar.google.com/scholar_lookup?publication_year=1988&amp;pages=19-36&amp;issue=2&amp;author=J.+B.+Miller&amp;title=Connections,+disconnections+and+violations&amp;" TargetMode="External"/><Relationship Id="rId28" Type="http://schemas.openxmlformats.org/officeDocument/2006/relationships/hyperlink" Target="http://scholar.google.com/scholar_lookup?publication_year=1991&amp;author=J.+J.+Freyd&amp;title=Memory+repression,+dissociative+states,+and+other+cognitive+control+processes+involved+in+adult+sequelae+of+childhood+trauma" TargetMode="External"/><Relationship Id="rId49" Type="http://schemas.openxmlformats.org/officeDocument/2006/relationships/hyperlink" Target="http://www.tandfonline.com/servlet/linkout?suffix=CIT0004&amp;dbid=128&amp;doi=10.1080%2F15299732.2016.1103104&amp;key=000237121800006" TargetMode="External"/><Relationship Id="rId114" Type="http://schemas.openxmlformats.org/officeDocument/2006/relationships/hyperlink" Target="http://www.tandfonline.com/doi/full/10.1080/15299732.2016.1103104" TargetMode="External"/><Relationship Id="rId275" Type="http://schemas.openxmlformats.org/officeDocument/2006/relationships/hyperlink" Target="http://scholar.google.com/scholar_lookup?publication_year=2011&amp;pages=95-115&amp;issue=2&amp;author=P.+J.+Birrell&amp;title=Ethics+and+power:+Navigating+mutuality+in+therapeutic+relationships&amp;" TargetMode="External"/><Relationship Id="rId296" Type="http://schemas.openxmlformats.org/officeDocument/2006/relationships/hyperlink" Target="http://www.tandfonline.com/doi/full/10.1080/15299732.2016.1103104" TargetMode="External"/><Relationship Id="rId300" Type="http://schemas.openxmlformats.org/officeDocument/2006/relationships/hyperlink" Target="http://www.tandfonline.com/doi/full/10.1080/15299732.2016.1103104" TargetMode="External"/><Relationship Id="rId60" Type="http://schemas.openxmlformats.org/officeDocument/2006/relationships/hyperlink" Target="http://www.tandfonline.com/servlet/linkout?suffix=CIT0083&amp;dbid=16&amp;doi=10.1080%2F15299732.2016.1103104&amp;key=10.1016%2Fj.biopsych.2009.08.002" TargetMode="External"/><Relationship Id="rId81" Type="http://schemas.openxmlformats.org/officeDocument/2006/relationships/hyperlink" Target="http://www.tandfonline.com/servlet/linkout?suffix=CIT0023&amp;dbid=16&amp;doi=10.1080%2F15299732.2016.1103104&amp;key=10.1177%2F1077801203255555" TargetMode="External"/><Relationship Id="rId135" Type="http://schemas.openxmlformats.org/officeDocument/2006/relationships/hyperlink" Target="http://www.tandfonline.com/doi/full/10.1080/15299732.2016.1103104" TargetMode="External"/><Relationship Id="rId156" Type="http://schemas.openxmlformats.org/officeDocument/2006/relationships/hyperlink" Target="http://www.tandfonline.com/servlet/linkout?suffix=CIT0092&amp;dbid=16&amp;doi=10.1080%2F15299732.2016.1103104&amp;key=10.4088%2FJCP.v63n0305" TargetMode="External"/><Relationship Id="rId177" Type="http://schemas.openxmlformats.org/officeDocument/2006/relationships/hyperlink" Target="http://www.tandfonline.com/servlet/linkout?suffix=CIT0119&amp;dbid=16&amp;doi=10.1080%2F15299732.2016.1103104&amp;key=10.1037%2Fa0022251" TargetMode="External"/><Relationship Id="rId198" Type="http://schemas.openxmlformats.org/officeDocument/2006/relationships/hyperlink" Target="http://www.tandfonline.com/servlet/linkout?suffix=CIT0029&amp;dbid=128&amp;doi=10.1080%2F15299732.2016.1103104&amp;key=000178119500001" TargetMode="External"/><Relationship Id="rId321" Type="http://schemas.openxmlformats.org/officeDocument/2006/relationships/hyperlink" Target="http://www.tandfonline.com/servlet/linkout?suffix=CIT0060&amp;dbid=16&amp;doi=10.1080%2F15299732.2016.1103104&amp;key=10.1037%2F0033-3204.42.4.421" TargetMode="External"/><Relationship Id="rId342" Type="http://schemas.openxmlformats.org/officeDocument/2006/relationships/hyperlink" Target="http://www.tandfonline.com/servlet/linkout?suffix=CIT0105&amp;dbid=128&amp;doi=10.1080%2F15299732.2016.1103104&amp;key=000288524500014" TargetMode="External"/><Relationship Id="rId363" Type="http://schemas.openxmlformats.org/officeDocument/2006/relationships/hyperlink" Target="http://www.tandfonline.com/servlet/linkout?suffix=CIT0045&amp;dbid=16&amp;doi=10.1080%2F15299732.2016.1103104&amp;key=10.1111%2Fj.1468-2850.2008.00110.x" TargetMode="External"/><Relationship Id="rId384" Type="http://schemas.openxmlformats.org/officeDocument/2006/relationships/hyperlink" Target="http://www.tandfonline.com/servlet/linkout?suffix=CIT0031&amp;dbid=16&amp;doi=10.1080%2F15299732.2016.1103104&amp;key=10.1002%2Fj.1556-6678.2008.tb00510.x" TargetMode="External"/><Relationship Id="rId202" Type="http://schemas.openxmlformats.org/officeDocument/2006/relationships/hyperlink" Target="http://www.tandfonline.com/servlet/linkout?suffix=CIT0094&amp;dbid=8&amp;doi=10.1080%2F15299732.2016.1103104&amp;key=15982149" TargetMode="External"/><Relationship Id="rId223" Type="http://schemas.openxmlformats.org/officeDocument/2006/relationships/hyperlink" Target="http://www.tandfonline.com/doi/10.1080/10926771.2015.1002651" TargetMode="External"/><Relationship Id="rId244" Type="http://schemas.openxmlformats.org/officeDocument/2006/relationships/hyperlink" Target="http://scholar.google.com/scholar_lookup?publication_year=2010&amp;pages=38-58&amp;author=M.+Walker&amp;title=What%E2%80%99s+a+feminist+therapist+to+do?+Engaging+the+relational+paradox+in+a+post-feminist+culture&amp;" TargetMode="External"/><Relationship Id="rId18" Type="http://schemas.openxmlformats.org/officeDocument/2006/relationships/hyperlink" Target="http://dx.doi.org/10.1080/15299732.2016.1103104" TargetMode="External"/><Relationship Id="rId39" Type="http://schemas.openxmlformats.org/officeDocument/2006/relationships/hyperlink" Target="http://www.tandfonline.com/doi/full/10.1080/15299732.2016.1103104" TargetMode="External"/><Relationship Id="rId265" Type="http://schemas.openxmlformats.org/officeDocument/2006/relationships/hyperlink" Target="http://scholar.google.com/scholar_lookup?publication_year=1986&amp;pages=49-63&amp;issue=1&amp;author=J.+V.+Jordan&amp;title=The+meaning+of+mutuality&amp;" TargetMode="External"/><Relationship Id="rId286" Type="http://schemas.openxmlformats.org/officeDocument/2006/relationships/hyperlink" Target="http://www.tandfonline.com/doi/full/10.1080/15299732.2016.1103104" TargetMode="External"/><Relationship Id="rId50" Type="http://schemas.openxmlformats.org/officeDocument/2006/relationships/hyperlink" Target="http://scholar.google.com/scholar_lookup?publication_year=2006&amp;pages=174-186&amp;issue=3&amp;author=R.+F.+Anda&amp;author=V.+J.+Felitti&amp;author=J.+D.+Bremner&amp;author=J.+D.+Walker&amp;author=C.+H.+Whitfield&amp;author=B.+D.+Perry&amp;author=W.+H.+Giles&amp;title=The+enduring+effects+of+abuse+and+related+adverse+experiences+in+childhood&amp;" TargetMode="External"/><Relationship Id="rId104" Type="http://schemas.openxmlformats.org/officeDocument/2006/relationships/hyperlink" Target="http://scholar.google.com/scholar_lookup?publication_year=2000&amp;pages=33-39&amp;issue=7&amp;author=E.+A.+Hembree&amp;author=E.+B.+Foa&amp;title=Posttraumatic+stress+disorder:+Psychological+factors+and+psychosocial+interventions&amp;" TargetMode="External"/><Relationship Id="rId125" Type="http://schemas.openxmlformats.org/officeDocument/2006/relationships/hyperlink" Target="http://www.tandfonline.com/servlet/linkout?suffix=CIT0110&amp;dbid=8&amp;doi=10.1080%2F15299732.2016.1103104&amp;key=11109232" TargetMode="External"/><Relationship Id="rId146" Type="http://schemas.openxmlformats.org/officeDocument/2006/relationships/hyperlink" Target="http://www.tandfonline.com/servlet/linkout?suffix=CIT0032&amp;dbid=16&amp;doi=10.1080%2F15299732.2016.1103104&amp;key=10.1192%2Fbjp.175.1.17" TargetMode="External"/><Relationship Id="rId167" Type="http://schemas.openxmlformats.org/officeDocument/2006/relationships/hyperlink" Target="http://scholar.google.com/scholar_lookup?publication_year=2004&amp;author=American+Psychiatric+Association+Work+Group+on+ASD+and+PTSD&amp;title=Practice+guidelines+for+the+treatment+of+patients+with+acute+stress+disorder+and+posttraumatic+stress+disorder&amp;" TargetMode="External"/><Relationship Id="rId188" Type="http://schemas.openxmlformats.org/officeDocument/2006/relationships/hyperlink" Target="http://www.tandfonline.com/doi/full/10.1080/15299732.2016.1103104" TargetMode="External"/><Relationship Id="rId311" Type="http://schemas.openxmlformats.org/officeDocument/2006/relationships/hyperlink" Target="http://www.tandfonline.com/servlet/linkout?suffix=CIT0060&amp;dbid=128&amp;doi=10.1080%2F15299732.2016.1103104&amp;key=000237426900002" TargetMode="External"/><Relationship Id="rId332" Type="http://schemas.openxmlformats.org/officeDocument/2006/relationships/hyperlink" Target="http://scholar.google.com/scholar_lookup?publication_year=2006&amp;pages=49-63&amp;issue=1&amp;author=P.+J.+Birrell&amp;author=J.+J.+Freyd&amp;title=Betrayal+trauma:+Relational+models+of+harm+and+healing&amp;" TargetMode="External"/><Relationship Id="rId353" Type="http://schemas.openxmlformats.org/officeDocument/2006/relationships/hyperlink" Target="http://www.tandfonline.com/servlet/linkout?suffix=CIT0125&amp;dbid=128&amp;doi=10.1080%2F15299732.2016.1103104&amp;key=A1978FR35200009" TargetMode="External"/><Relationship Id="rId374" Type="http://schemas.openxmlformats.org/officeDocument/2006/relationships/hyperlink" Target="http://www.tandfonline.com/servlet/linkout?suffix=CIT0016&amp;dbid=16&amp;doi=10.1080%2F15299732.2016.1103104&amp;key=10.1037%2F0033-3204.41.4.464" TargetMode="External"/><Relationship Id="rId71" Type="http://schemas.openxmlformats.org/officeDocument/2006/relationships/hyperlink" Target="http://scholar.google.com/scholar_lookup?publication_year=1996&amp;author=J.+J.+Freyd&amp;title=Betrayal+trauma:+The+logic+of+forgetting+childhood+abuse&amp;" TargetMode="External"/><Relationship Id="rId92" Type="http://schemas.openxmlformats.org/officeDocument/2006/relationships/hyperlink" Target="http://www.tandfonline.com/doi/full/10.1080/15299732.2016.1103104" TargetMode="External"/><Relationship Id="rId213" Type="http://schemas.openxmlformats.org/officeDocument/2006/relationships/hyperlink" Target="http://scholar.google.com/scholar_lookup?publication_year=2007&amp;pages=97-104&amp;author=J.+I.+Bisson&amp;author=A.+Ehlers&amp;author=R.+Matthews&amp;author=S.+Pilling&amp;author=D.+Richard&amp;author=S.+Turner&amp;title=Psychological+treatments+for+chronic+post-traumatic+stress+disorder:+Systematic+review+and+meta-analysis&amp;" TargetMode="External"/><Relationship Id="rId234" Type="http://schemas.openxmlformats.org/officeDocument/2006/relationships/hyperlink" Target="http://scholar.google.com/scholar_lookup?publication_year=1997&amp;pages=539-555&amp;author=S.+Roth&amp;author=E.+Newman&amp;author=D.+Pelcovitz&amp;author=B.+Van+Der+Kolk&amp;author=F.+S.+Mandel&amp;title=Complex+PTSD+in+victims+exposed+to+sexual+and+physical+abuse:+Results+from+the+DSM%E2%80%93IV+field+trial+for+posttraumatic+stress+disorder&amp;" TargetMode="External"/><Relationship Id="rId2" Type="http://schemas.openxmlformats.org/officeDocument/2006/relationships/numbering" Target="numbering.xml"/><Relationship Id="rId29" Type="http://schemas.openxmlformats.org/officeDocument/2006/relationships/hyperlink" Target="http://www.tandfonline.com/doi/full/10.1080/15299732.2016.1103104" TargetMode="External"/><Relationship Id="rId255" Type="http://schemas.openxmlformats.org/officeDocument/2006/relationships/hyperlink" Target="http://www.tandfonline.com/doi/full/10.1080/15299732.2016.1103104" TargetMode="External"/><Relationship Id="rId276" Type="http://schemas.openxmlformats.org/officeDocument/2006/relationships/hyperlink" Target="http://www.tandfonline.com/doi/full/10.1080/15299732.2016.1103104" TargetMode="External"/><Relationship Id="rId297" Type="http://schemas.openxmlformats.org/officeDocument/2006/relationships/hyperlink" Target="http://scholar.google.com/scholar_lookup?publication_year=1971&amp;issue=2&amp;author=D.+W.+Winnicott&amp;title=Playing+and+reality&amp;" TargetMode="External"/><Relationship Id="rId40" Type="http://schemas.openxmlformats.org/officeDocument/2006/relationships/hyperlink" Target="http://scholar.google.com/scholar_lookup?publication_year=2014&amp;author=J.+M.+G%C3%B3mez&amp;author=C.+P.+Smith&amp;author=J.+J.+Freydauthor=R.+Vogt&amp;title=Verleumdung+und+verrat:+Dissoziative+St%C3%B6rungen+bei+schwer+traumatisierten+Menschen+als+Folge+von+Vertrauensbr%C3%BCchen" TargetMode="External"/><Relationship Id="rId115" Type="http://schemas.openxmlformats.org/officeDocument/2006/relationships/hyperlink" Target="http://scholar.google.com/scholar_lookup?publication_year=1999&amp;author=S.+C.+Hayes&amp;author=K.+D.+Strosahl&amp;author=K.+G.+Wilson&amp;title=Acceptance+and+commitment+therapy:+An+experiential+approach+to+behavior+change&amp;" TargetMode="External"/><Relationship Id="rId136" Type="http://schemas.openxmlformats.org/officeDocument/2006/relationships/hyperlink" Target="http://www.tandfonline.com/servlet/linkout?suffix=CIT0095&amp;dbid=16&amp;doi=10.1080%2F15299732.2016.1103104&amp;key=10.1176%2Fappi.ps.54.12.1618" TargetMode="External"/><Relationship Id="rId157" Type="http://schemas.openxmlformats.org/officeDocument/2006/relationships/hyperlink" Target="http://www.tandfonline.com/servlet/linkout?suffix=CIT0092&amp;dbid=8&amp;doi=10.1080%2F15299732.2016.1103104&amp;key=11926718" TargetMode="External"/><Relationship Id="rId178" Type="http://schemas.openxmlformats.org/officeDocument/2006/relationships/hyperlink" Target="http://www.tandfonline.com/servlet/linkout?suffix=CIT0119&amp;dbid=8&amp;doi=10.1080%2F15299732.2016.1103104&amp;key=21463031" TargetMode="External"/><Relationship Id="rId301" Type="http://schemas.openxmlformats.org/officeDocument/2006/relationships/hyperlink" Target="http://scholar.google.com/scholar_lookup?publication_year=2010&amp;issue=2&amp;author=J.+V.+Jordan&amp;title=Relational-cultural+therapy&amp;" TargetMode="External"/><Relationship Id="rId322" Type="http://schemas.openxmlformats.org/officeDocument/2006/relationships/hyperlink" Target="http://www.tandfonline.com/servlet/linkout?suffix=CIT0060&amp;dbid=128&amp;doi=10.1080%2F15299732.2016.1103104&amp;key=000237426900002" TargetMode="External"/><Relationship Id="rId343" Type="http://schemas.openxmlformats.org/officeDocument/2006/relationships/hyperlink" Target="http://scholar.google.com/scholar_lookup?publication_year=2011&amp;pages=98-102&amp;author=J.+C.+Norcross&amp;author=B.+E.+Wampold&amp;title=Evidence-based+therapy+relationships:+Research+conclusions+and+clinical+practices&amp;" TargetMode="External"/><Relationship Id="rId364" Type="http://schemas.openxmlformats.org/officeDocument/2006/relationships/hyperlink" Target="http://www.tandfonline.com/servlet/linkout?suffix=CIT0045&amp;dbid=128&amp;doi=10.1080%2F15299732.2016.1103104&amp;key=000253251600005" TargetMode="External"/><Relationship Id="rId61" Type="http://schemas.openxmlformats.org/officeDocument/2006/relationships/hyperlink" Target="http://www.tandfonline.com/servlet/linkout?suffix=CIT0083&amp;dbid=8&amp;doi=10.1080%2F15299732.2016.1103104&amp;key=19747590" TargetMode="External"/><Relationship Id="rId82" Type="http://schemas.openxmlformats.org/officeDocument/2006/relationships/hyperlink" Target="http://www.tandfonline.com/servlet/linkout?suffix=CIT0023&amp;dbid=128&amp;doi=10.1080%2F15299732.2016.1103104&amp;key=000185803200002" TargetMode="External"/><Relationship Id="rId199" Type="http://schemas.openxmlformats.org/officeDocument/2006/relationships/hyperlink" Target="http://scholar.google.com/scholar_lookup?publication_year=2002&amp;pages=1067-1074&amp;author=M.+Cloitre&amp;author=K.+C.+Koenen&amp;author=L.+R.+Cohen&amp;author=H.+Han&amp;title=Skills+training+in+affective+and+interpersonal+regulation+followed+by+exposure:+A+phase-based+treatment+for+PTSD+related+to+childhood+abuse&amp;" TargetMode="External"/><Relationship Id="rId203" Type="http://schemas.openxmlformats.org/officeDocument/2006/relationships/hyperlink" Target="http://www.tandfonline.com/servlet/linkout?suffix=CIT0094&amp;dbid=128&amp;doi=10.1080%2F15299732.2016.1103104&amp;key=000230036200014" TargetMode="External"/><Relationship Id="rId385" Type="http://schemas.openxmlformats.org/officeDocument/2006/relationships/hyperlink" Target="http://www.tandfonline.com/servlet/linkout?suffix=CIT0031&amp;dbid=128&amp;doi=10.1080%2F15299732.2016.1103104&amp;key=000256743700004" TargetMode="External"/><Relationship Id="rId19" Type="http://schemas.openxmlformats.org/officeDocument/2006/relationships/hyperlink" Target="http://www.tandfonline.com/doi/full/10.1080/15299732.2016.1103104" TargetMode="External"/><Relationship Id="rId224" Type="http://schemas.openxmlformats.org/officeDocument/2006/relationships/hyperlink" Target="http://www.tandfonline.com/servlet/linkout?suffix=CIT0065&amp;dbid=128&amp;doi=10.1080%2F15299732.2016.1103104&amp;key=000350133000006" TargetMode="External"/><Relationship Id="rId245" Type="http://schemas.openxmlformats.org/officeDocument/2006/relationships/hyperlink" Target="http://www.tandfonline.com/doi/full/10.1080/15299732.2016.1103104" TargetMode="External"/><Relationship Id="rId266" Type="http://schemas.openxmlformats.org/officeDocument/2006/relationships/hyperlink" Target="http://www.tandfonline.com/doi/full/10.1080/15299732.2016.1103104" TargetMode="External"/><Relationship Id="rId287" Type="http://schemas.openxmlformats.org/officeDocument/2006/relationships/hyperlink" Target="http://scholar.google.com/scholar_lookup?publication_year=1997&amp;issue=2&amp;author=J.+B.+Miller&amp;author=I.+P.+Stiver&amp;title=The+healing+connection:+How+women+form+relationships+in+therapy+and+in+life&amp;" TargetMode="External"/><Relationship Id="rId30" Type="http://schemas.openxmlformats.org/officeDocument/2006/relationships/hyperlink" Target="http://scholar.google.com/scholar_lookup?publication_year=2008&amp;author=J.+J.+Freydauthor=G.+Reyes&amp;author=J.+D.+Elhai&amp;author=J.+D.+Ford&amp;title=Encyclopedia+of+psychological+trauma" TargetMode="External"/><Relationship Id="rId105" Type="http://schemas.openxmlformats.org/officeDocument/2006/relationships/hyperlink" Target="http://www.tandfonline.com/doi/full/10.1080/15299732.2016.1103104" TargetMode="External"/><Relationship Id="rId126" Type="http://schemas.openxmlformats.org/officeDocument/2006/relationships/hyperlink" Target="http://www.tandfonline.com/servlet/linkout?suffix=CIT0110&amp;dbid=128&amp;doi=10.1080%2F15299732.2016.1103104&amp;key=000165392000001" TargetMode="External"/><Relationship Id="rId147" Type="http://schemas.openxmlformats.org/officeDocument/2006/relationships/hyperlink" Target="http://www.tandfonline.com/servlet/linkout?suffix=CIT0032&amp;dbid=8&amp;doi=10.1080%2F15299732.2016.1103104&amp;key=10621763" TargetMode="External"/><Relationship Id="rId168" Type="http://schemas.openxmlformats.org/officeDocument/2006/relationships/hyperlink" Target="http://www.tandfonline.com/doi/full/10.1080/15299732.2016.1103104" TargetMode="External"/><Relationship Id="rId312" Type="http://schemas.openxmlformats.org/officeDocument/2006/relationships/hyperlink" Target="http://scholar.google.com/scholar_lookup?publication_year=2005&amp;pages=421-430&amp;issue=4&amp;author=M.+R.+Goldfried&amp;author=J.+Davila&amp;title=The+role+of+relationship+and+technique+in+therapeutic+change&amp;" TargetMode="External"/><Relationship Id="rId333" Type="http://schemas.openxmlformats.org/officeDocument/2006/relationships/hyperlink" Target="http://www.tandfonline.com/doi/full/10.1080/15299732.2016.1103104" TargetMode="External"/><Relationship Id="rId354" Type="http://schemas.openxmlformats.org/officeDocument/2006/relationships/hyperlink" Target="http://scholar.google.com/scholar_lookup?publication_year=1978&amp;pages=419-428&amp;author=D.+W.+Sue&amp;title=Eliminating+cultural+oppression+in+counseling:+Toward+a+general+theory&amp;" TargetMode="External"/><Relationship Id="rId51" Type="http://schemas.openxmlformats.org/officeDocument/2006/relationships/hyperlink" Target="http://www.tandfonline.com/doi/full/10.1080/15299732.2016.1103104" TargetMode="External"/><Relationship Id="rId72" Type="http://schemas.openxmlformats.org/officeDocument/2006/relationships/hyperlink" Target="http://www.tandfonline.com/doi/full/10.1080/15299732.2016.1103104" TargetMode="External"/><Relationship Id="rId93" Type="http://schemas.openxmlformats.org/officeDocument/2006/relationships/hyperlink" Target="http://scholar.google.com/scholar_lookup?publication_year=1997&amp;issue=5&amp;author=J.+L.+Herman&amp;title=Trauma+and+recovery&amp;" TargetMode="External"/><Relationship Id="rId189" Type="http://schemas.openxmlformats.org/officeDocument/2006/relationships/hyperlink" Target="http://www.tandfonline.com/servlet/linkout?suffix=CIT0013&amp;dbid=16&amp;doi=10.1080%2F15299732.2016.1103104&amp;key=10.1176%2Fappi.ajp.162.2.214" TargetMode="External"/><Relationship Id="rId375" Type="http://schemas.openxmlformats.org/officeDocument/2006/relationships/hyperlink" Target="http://www.tandfonline.com/servlet/linkout?suffix=CIT0016&amp;dbid=128&amp;doi=10.1080%2F15299732.2016.1103104&amp;key=000227651800009" TargetMode="External"/><Relationship Id="rId3" Type="http://schemas.openxmlformats.org/officeDocument/2006/relationships/styles" Target="styles.xml"/><Relationship Id="rId214" Type="http://schemas.openxmlformats.org/officeDocument/2006/relationships/hyperlink" Target="http://www.tandfonline.com/doi/full/10.1080/15299732.2016.1103104" TargetMode="External"/><Relationship Id="rId235" Type="http://schemas.openxmlformats.org/officeDocument/2006/relationships/hyperlink" Target="http://www.tandfonline.com/doi/full/10.1080/15299732.2016.1103104" TargetMode="External"/><Relationship Id="rId256" Type="http://schemas.openxmlformats.org/officeDocument/2006/relationships/hyperlink" Target="http://www.tandfonline.com/doi/10.1080/02703149.2011.532689" TargetMode="External"/><Relationship Id="rId277" Type="http://schemas.openxmlformats.org/officeDocument/2006/relationships/hyperlink" Target="http://scholar.google.com/scholar_lookup?publication_year=1994&amp;pages=95-115&amp;issue=2&amp;author=J.+B.+Miller&amp;author=I.+P.+Stiver&amp;title=Movement+in+therapy:+Honoring+the+%E2%80%9Cstrategies+of+disconnection&amp;" TargetMode="External"/><Relationship Id="rId298" Type="http://schemas.openxmlformats.org/officeDocument/2006/relationships/hyperlink" Target="http://www.tandfonline.com/doi/full/10.1080/15299732.2016.1103104" TargetMode="External"/><Relationship Id="rId116" Type="http://schemas.openxmlformats.org/officeDocument/2006/relationships/hyperlink" Target="http://www.tandfonline.com/doi/full/10.1080/15299732.2016.1103104" TargetMode="External"/><Relationship Id="rId137" Type="http://schemas.openxmlformats.org/officeDocument/2006/relationships/hyperlink" Target="http://www.tandfonline.com/servlet/linkout?suffix=CIT0095&amp;dbid=8&amp;doi=10.1080%2F15299732.2016.1103104&amp;key=14645801" TargetMode="External"/><Relationship Id="rId158" Type="http://schemas.openxmlformats.org/officeDocument/2006/relationships/hyperlink" Target="http://www.tandfonline.com/servlet/linkout?suffix=CIT0092&amp;dbid=128&amp;doi=10.1080%2F15299732.2016.1103104&amp;key=000174613400005" TargetMode="External"/><Relationship Id="rId302" Type="http://schemas.openxmlformats.org/officeDocument/2006/relationships/hyperlink" Target="http://www.tandfonline.com/doi/full/10.1080/15299732.2016.1103104" TargetMode="External"/><Relationship Id="rId323" Type="http://schemas.openxmlformats.org/officeDocument/2006/relationships/hyperlink" Target="http://scholar.google.com/scholar_lookup?publication_year=2005&amp;pages=421-430&amp;issue=4&amp;author=M.+R.+Goldfried&amp;author=J.+Davila&amp;title=The+role+of+relationship+and+technique+in+therapeutic+change&amp;" TargetMode="External"/><Relationship Id="rId344" Type="http://schemas.openxmlformats.org/officeDocument/2006/relationships/hyperlink" Target="http://www.tandfonline.com/doi/full/10.1080/15299732.2016.1103104" TargetMode="External"/><Relationship Id="rId20" Type="http://schemas.openxmlformats.org/officeDocument/2006/relationships/hyperlink" Target="http://www.tandfonline.com/servlet/linkout?suffix=CIT0033&amp;dbid=16&amp;doi=10.1080%2F15299732.2016.1103104&amp;key=10.1007%2F978-94-007-4276-5_4" TargetMode="External"/><Relationship Id="rId41" Type="http://schemas.openxmlformats.org/officeDocument/2006/relationships/hyperlink" Target="http://www.tandfonline.com/doi/full/10.1080/15299732.2016.1103104" TargetMode="External"/><Relationship Id="rId62" Type="http://schemas.openxmlformats.org/officeDocument/2006/relationships/hyperlink" Target="http://www.tandfonline.com/servlet/linkout?suffix=CIT0083&amp;dbid=128&amp;doi=10.1080%2F15299732.2016.1103104&amp;key=000269981700001" TargetMode="External"/><Relationship Id="rId83" Type="http://schemas.openxmlformats.org/officeDocument/2006/relationships/hyperlink" Target="http://scholar.google.com/scholar_lookup?publication_year=2003&amp;pages=1293-1317&amp;issue=11&amp;author=B.+Burstow&amp;title=Toward+a+radical+understanding+of+trauma+and+trauma+work&amp;" TargetMode="External"/><Relationship Id="rId179" Type="http://schemas.openxmlformats.org/officeDocument/2006/relationships/hyperlink" Target="http://www.tandfonline.com/servlet/linkout?suffix=CIT0119&amp;dbid=128&amp;doi=10.1080%2F15299732.2016.1103104&amp;key=000289136900005" TargetMode="External"/><Relationship Id="rId365" Type="http://schemas.openxmlformats.org/officeDocument/2006/relationships/hyperlink" Target="http://scholar.google.com/scholar_lookup?publication_year=2008&amp;pages=62-67&amp;issue=1&amp;author=J.+D.+Ford&amp;title=Trauma,+posttraumatic+stress+disorder,+and+ethnoracial+minorities:+Toward+diversity+and+cultural+competence+in+principles+and+practices&amp;" TargetMode="External"/><Relationship Id="rId386" Type="http://schemas.openxmlformats.org/officeDocument/2006/relationships/hyperlink" Target="http://scholar.google.com/scholar_lookup?publication_year=2008&amp;pages=279-287&amp;issue=3&amp;author=D.+L.+Comstock&amp;author=T.+R.+Hammer&amp;author=J.+Strentzsch&amp;author=K.+Cannon&amp;author=J.+Parsons&amp;author=G.+Salazar&amp;title=Relational%E2%80%90cultural+theory:+A+framework+for+bridging+relational,+multicultural,+and+social+justice+competencies&amp;" TargetMode="External"/><Relationship Id="rId190" Type="http://schemas.openxmlformats.org/officeDocument/2006/relationships/hyperlink" Target="http://www.tandfonline.com/servlet/linkout?suffix=CIT0013&amp;dbid=8&amp;doi=10.1080%2F15299732.2016.1103104&amp;key=15677582" TargetMode="External"/><Relationship Id="rId204" Type="http://schemas.openxmlformats.org/officeDocument/2006/relationships/hyperlink" Target="http://scholar.google.com/scholar_lookup?publication_year=2005&amp;pages=515-524&amp;author=A.+McDonagh&amp;author=M.+Friedman&amp;author=G.+McHugo&amp;author=J.+Ford&amp;author=A.+Sengupta&amp;author=K.+Mueser&amp;author=M.+Descamps&amp;title=Randomized+trial+of+cognitive-behavioral+therapy+for+chronic+posttraumatic+stress+disorder+in+adult+female+survivors+of+childhood+sexual+abuse&amp;" TargetMode="External"/><Relationship Id="rId225" Type="http://schemas.openxmlformats.org/officeDocument/2006/relationships/hyperlink" Target="http://scholar.google.com/scholar_lookup?publication_year=2015&amp;pages=203-214&amp;issue=2&amp;author=J.+M.+G%C3%B3mez&amp;author=K.+Becker-Blease&amp;author=J.+J.+Freyd&amp;title=A+brief+report+on+predicting+self-harm:+Is+it+gender+or+abuse+that+matters?&amp;" TargetMode="External"/><Relationship Id="rId246" Type="http://schemas.openxmlformats.org/officeDocument/2006/relationships/hyperlink" Target="http://scholar.google.com/scholar_lookup?publication_year=1976&amp;author=J.+B.+Miller&amp;title=Toward+a+new+psychology+of+women&amp;" TargetMode="External"/><Relationship Id="rId267" Type="http://schemas.openxmlformats.org/officeDocument/2006/relationships/hyperlink" Target="http://scholar.google.com/scholar_lookup?publication_year=1986&amp;pages=49-63&amp;issue=1&amp;author=J.+V.+Jordan&amp;title=The+meaning+of+mutuality&amp;" TargetMode="External"/><Relationship Id="rId288" Type="http://schemas.openxmlformats.org/officeDocument/2006/relationships/hyperlink" Target="http://www.tandfonline.com/doi/full/10.1080/15299732.2016.1103104" TargetMode="External"/><Relationship Id="rId106" Type="http://schemas.openxmlformats.org/officeDocument/2006/relationships/hyperlink" Target="http://www.tandfonline.com/servlet/linkout?suffix=CIT0112&amp;dbid=16&amp;doi=10.1080%2F15299732.2016.1103104&amp;key=10.1016%2FS0005-7894%2888%2980011-X" TargetMode="External"/><Relationship Id="rId127" Type="http://schemas.openxmlformats.org/officeDocument/2006/relationships/hyperlink" Target="http://scholar.google.com/scholar_lookup?publication_year=2000&amp;pages=539-588&amp;author=PTSD+Treatment+Guidelines+Task+Force&amp;title=Guidelines+for+treatment+of+PTSD:+Eye+movement+desensitization+and+reprocessing&amp;" TargetMode="External"/><Relationship Id="rId313" Type="http://schemas.openxmlformats.org/officeDocument/2006/relationships/hyperlink" Target="http://www.tandfonline.com/doi/full/10.1080/15299732.2016.1103104" TargetMode="External"/><Relationship Id="rId10" Type="http://schemas.openxmlformats.org/officeDocument/2006/relationships/hyperlink" Target="https://www.bostonglobe.com/news/nation/2015/08/04/study-finds-billions-dollars-annual-teacher-training-largely-waste/fJE89FWh12huogOhJhfJzJ/story.html" TargetMode="External"/><Relationship Id="rId31" Type="http://schemas.openxmlformats.org/officeDocument/2006/relationships/hyperlink" Target="http://www.tandfonline.com/doi/full/10.1080/15299732.2016.1103104" TargetMode="External"/><Relationship Id="rId52" Type="http://schemas.openxmlformats.org/officeDocument/2006/relationships/hyperlink" Target="http://www.tandfonline.com/servlet/linkout?suffix=CIT0041&amp;dbid=16&amp;doi=10.1080%2F15299732.2016.1103104&amp;key=10.1016%2FS0749-3797%2898%2900017-8" TargetMode="External"/><Relationship Id="rId73" Type="http://schemas.openxmlformats.org/officeDocument/2006/relationships/hyperlink" Target="http://www.tandfonline.com/servlet/linkout?suffix=CIT0002&amp;dbid=16&amp;doi=10.1080%2F15299732.2016.1103104&amp;key=10.1176%2Fappi.books.9780890425596" TargetMode="External"/><Relationship Id="rId94" Type="http://schemas.openxmlformats.org/officeDocument/2006/relationships/hyperlink" Target="http://www.tandfonline.com/doi/full/10.1080/15299732.2016.1103104" TargetMode="External"/><Relationship Id="rId148" Type="http://schemas.openxmlformats.org/officeDocument/2006/relationships/hyperlink" Target="http://www.tandfonline.com/servlet/linkout?suffix=CIT0032&amp;dbid=128&amp;doi=10.1080%2F15299732.2016.1103104&amp;key=000081231400004" TargetMode="External"/><Relationship Id="rId169" Type="http://schemas.openxmlformats.org/officeDocument/2006/relationships/hyperlink" Target="http://www.tandfonline.com/servlet/linkout?suffix=CIT0024&amp;dbid=16&amp;doi=10.1080%2F15299732.2016.1103104&amp;key=10.1177%2F0022167805280265" TargetMode="External"/><Relationship Id="rId334" Type="http://schemas.openxmlformats.org/officeDocument/2006/relationships/hyperlink" Target="http://www.tandfonline.com/doi/10.1080/10926771.2015.1002651" TargetMode="External"/><Relationship Id="rId355" Type="http://schemas.openxmlformats.org/officeDocument/2006/relationships/hyperlink" Target="http://www.tandfonline.com/doi/full/10.1080/15299732.2016.1103104" TargetMode="External"/><Relationship Id="rId376" Type="http://schemas.openxmlformats.org/officeDocument/2006/relationships/hyperlink" Target="http://scholar.google.com/scholar_lookup?publication_year=2004&amp;pages=464-471&amp;author=L.+S.+Brown&amp;title=Feminist+paradigms+of+trauma+treatment&amp;" TargetMode="External"/><Relationship Id="rId4" Type="http://schemas.openxmlformats.org/officeDocument/2006/relationships/settings" Target="settings.xml"/><Relationship Id="rId180" Type="http://schemas.openxmlformats.org/officeDocument/2006/relationships/hyperlink" Target="http://scholar.google.com/scholar_lookup?publication_year=2011&amp;pages=210-221&amp;issue=2&amp;author=K.+Shelton&amp;author=E.+A.+Delgado-Romero&amp;title=Sexual+orientation+microaggressions:+The+experience+of+lesbian,+gay,+bisexual,+and+queer+clients+in+psychotherapy&amp;" TargetMode="External"/><Relationship Id="rId215" Type="http://schemas.openxmlformats.org/officeDocument/2006/relationships/hyperlink" Target="http://www.tandfonline.com/servlet/linkout?suffix=CIT0013&amp;dbid=16&amp;doi=10.1080%2F15299732.2016.1103104&amp;key=10.1176%2Fappi.ajp.162.2.214" TargetMode="External"/><Relationship Id="rId236" Type="http://schemas.openxmlformats.org/officeDocument/2006/relationships/hyperlink" Target="http://scholar.google.com/scholar_lookup?publication_year=1976&amp;author=J.+B.+Miller&amp;title=Toward+a+new+psychology+of+women&amp;" TargetMode="External"/><Relationship Id="rId257" Type="http://schemas.openxmlformats.org/officeDocument/2006/relationships/hyperlink" Target="http://www.tandfonline.com/servlet/linkout?suffix=CIT0137&amp;dbid=128&amp;doi=10.1080%2F15299732.2016.1103104&amp;key=000288667100004" TargetMode="External"/><Relationship Id="rId278" Type="http://schemas.openxmlformats.org/officeDocument/2006/relationships/hyperlink" Target="http://www.tandfonline.com/doi/full/10.1080/15299732.2016.1103104" TargetMode="External"/><Relationship Id="rId303" Type="http://schemas.openxmlformats.org/officeDocument/2006/relationships/hyperlink" Target="http://scholar.google.com/scholar_lookup?publication_year=2006&amp;issue=2&amp;author=B.+E.+Wampoldauthor=J.+C.+Norcross&amp;author=L.+E.+Beutler&amp;author=R.+F.+Levant&amp;title=Evidence-based+practices+in+mental+health:+Debate+and+dialogue+on+the+fundamental+questions&am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231A9E-4AAF-45FE-91B6-86BFB513BF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44116</Words>
  <Characters>251466</Characters>
  <Application>Microsoft Office Word</Application>
  <DocSecurity>0</DocSecurity>
  <Lines>2095</Lines>
  <Paragraphs>589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dc:creator>
  <cp:keywords>5.1.1</cp:keywords>
  <dc:description/>
  <cp:lastModifiedBy>Watson, Carly</cp:lastModifiedBy>
  <cp:revision>2</cp:revision>
  <dcterms:created xsi:type="dcterms:W3CDTF">2017-07-19T20:09:00Z</dcterms:created>
  <dcterms:modified xsi:type="dcterms:W3CDTF">2017-07-19T20:09:00Z</dcterms:modified>
</cp:coreProperties>
</file>