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C2C9F6" w14:textId="6602162A" w:rsidR="002A12C9" w:rsidRPr="002A12C9" w:rsidRDefault="002A12C9" w:rsidP="002A12C9">
      <w:pPr>
        <w:jc w:val="center"/>
        <w:rPr>
          <w:b/>
          <w:i/>
        </w:rPr>
      </w:pPr>
      <w:r w:rsidRPr="002A12C9">
        <w:rPr>
          <w:b/>
          <w:i/>
        </w:rPr>
        <w:t>DDI 17-- Decoloniality Case Neg</w:t>
      </w:r>
    </w:p>
    <w:p w14:paraId="464D41AB" w14:textId="3BF93044" w:rsidR="00537DAD" w:rsidRDefault="00537DAD" w:rsidP="00537DAD">
      <w:pPr>
        <w:pStyle w:val="Heading1"/>
      </w:pPr>
      <w:r>
        <w:t>1NC CASE FRONTLINES</w:t>
      </w:r>
    </w:p>
    <w:p w14:paraId="4A95AD5F" w14:textId="54E48243" w:rsidR="00537DAD" w:rsidRDefault="00537DAD" w:rsidP="0071387E">
      <w:pPr>
        <w:pStyle w:val="Heading2"/>
      </w:pPr>
      <w:r>
        <w:t>1NC Advantage – with Local CP</w:t>
      </w:r>
    </w:p>
    <w:p w14:paraId="392CFEE0" w14:textId="71542B8D" w:rsidR="00537DAD" w:rsidRDefault="00866913" w:rsidP="00537DAD">
      <w:pPr>
        <w:pStyle w:val="Heading4"/>
      </w:pPr>
      <w:r>
        <w:t xml:space="preserve">1. </w:t>
      </w:r>
      <w:r w:rsidR="00537DAD">
        <w:t>Evidence based education can be valuable for students who are struggling</w:t>
      </w:r>
    </w:p>
    <w:p w14:paraId="0E3A9E56" w14:textId="77777777" w:rsidR="00537DAD" w:rsidRPr="00027A42" w:rsidRDefault="00537DAD" w:rsidP="00537DAD">
      <w:pPr>
        <w:rPr>
          <w:rStyle w:val="Style13ptBold"/>
          <w:b w:val="0"/>
        </w:rPr>
      </w:pPr>
      <w:r>
        <w:rPr>
          <w:rStyle w:val="Style13ptBold"/>
        </w:rPr>
        <w:t xml:space="preserve">Glossary of Education Reform 16 </w:t>
      </w:r>
      <w:r>
        <w:rPr>
          <w:rStyle w:val="Style13ptBold"/>
          <w:b w:val="0"/>
        </w:rPr>
        <w:t xml:space="preserve">(Glossary of Education Reform, Great Schools Partnership, May 5, 2016, </w:t>
      </w:r>
      <w:r w:rsidRPr="00027A42">
        <w:rPr>
          <w:rStyle w:val="Style13ptBold"/>
          <w:b w:val="0"/>
        </w:rPr>
        <w:t>http://edglossary.org/evidence-based/</w:t>
      </w:r>
      <w:r>
        <w:rPr>
          <w:rStyle w:val="Style13ptBold"/>
          <w:b w:val="0"/>
        </w:rPr>
        <w:t>)</w:t>
      </w:r>
    </w:p>
    <w:p w14:paraId="79D8FD3D" w14:textId="77777777" w:rsidR="00537DAD" w:rsidRPr="00027A42" w:rsidRDefault="00537DAD" w:rsidP="00537DAD">
      <w:pPr>
        <w:rPr>
          <w:sz w:val="16"/>
        </w:rPr>
      </w:pPr>
      <w:r w:rsidRPr="000D2627">
        <w:rPr>
          <w:rStyle w:val="StyleUnderline"/>
          <w:highlight w:val="yellow"/>
        </w:rPr>
        <w:t>If an educational strategy is evidence-based,</w:t>
      </w:r>
      <w:r w:rsidRPr="00027A42">
        <w:rPr>
          <w:rStyle w:val="StyleUnderline"/>
        </w:rPr>
        <w:t xml:space="preserve"> data-based, or research-based, </w:t>
      </w:r>
      <w:r w:rsidRPr="000D2627">
        <w:rPr>
          <w:rStyle w:val="StyleUnderline"/>
          <w:highlight w:val="yellow"/>
        </w:rPr>
        <w:t>educators compile</w:t>
      </w:r>
      <w:r w:rsidRPr="00027A42">
        <w:rPr>
          <w:rStyle w:val="StyleUnderline"/>
        </w:rPr>
        <w:t xml:space="preserve">, </w:t>
      </w:r>
      <w:r w:rsidRPr="000D2627">
        <w:rPr>
          <w:rStyle w:val="StyleUnderline"/>
          <w:highlight w:val="yellow"/>
        </w:rPr>
        <w:t>analyze</w:t>
      </w:r>
      <w:r w:rsidRPr="00027A42">
        <w:rPr>
          <w:rStyle w:val="StyleUnderline"/>
        </w:rPr>
        <w:t xml:space="preserve">, and use objective evidence </w:t>
      </w:r>
      <w:r w:rsidRPr="000D2627">
        <w:rPr>
          <w:rStyle w:val="StyleUnderline"/>
          <w:highlight w:val="yellow"/>
        </w:rPr>
        <w:t>to</w:t>
      </w:r>
      <w:r w:rsidRPr="00027A42">
        <w:rPr>
          <w:rStyle w:val="StyleUnderline"/>
        </w:rPr>
        <w:t xml:space="preserve"> inform the </w:t>
      </w:r>
      <w:r w:rsidRPr="000D2627">
        <w:rPr>
          <w:rStyle w:val="StyleUnderline"/>
          <w:highlight w:val="yellow"/>
        </w:rPr>
        <w:t>design</w:t>
      </w:r>
      <w:r w:rsidRPr="00027A42">
        <w:rPr>
          <w:rStyle w:val="StyleUnderline"/>
        </w:rPr>
        <w:t xml:space="preserve"> </w:t>
      </w:r>
      <w:r w:rsidRPr="000D2627">
        <w:rPr>
          <w:rStyle w:val="StyleUnderline"/>
          <w:highlight w:val="yellow"/>
        </w:rPr>
        <w:t>an</w:t>
      </w:r>
      <w:r w:rsidRPr="00027A42">
        <w:rPr>
          <w:rStyle w:val="StyleUnderline"/>
        </w:rPr>
        <w:t xml:space="preserve"> </w:t>
      </w:r>
      <w:r w:rsidRPr="000D2627">
        <w:rPr>
          <w:rStyle w:val="StyleUnderline"/>
          <w:highlight w:val="yellow"/>
        </w:rPr>
        <w:t>academic</w:t>
      </w:r>
      <w:r w:rsidRPr="00027A42">
        <w:rPr>
          <w:rStyle w:val="StyleUnderline"/>
        </w:rPr>
        <w:t xml:space="preserve"> </w:t>
      </w:r>
      <w:r w:rsidRPr="000D2627">
        <w:rPr>
          <w:rStyle w:val="StyleUnderline"/>
          <w:highlight w:val="yellow"/>
        </w:rPr>
        <w:t>program</w:t>
      </w:r>
      <w:r w:rsidRPr="00027A42">
        <w:rPr>
          <w:rStyle w:val="StyleUnderline"/>
        </w:rPr>
        <w:t xml:space="preserve"> or guide the modification of instructional techniques. For example, ninth-grade </w:t>
      </w:r>
      <w:r w:rsidRPr="000D2627">
        <w:rPr>
          <w:rStyle w:val="StyleUnderline"/>
          <w:highlight w:val="yellow"/>
        </w:rPr>
        <w:t>teachers</w:t>
      </w:r>
      <w:r w:rsidRPr="00027A42">
        <w:rPr>
          <w:rStyle w:val="StyleUnderline"/>
        </w:rPr>
        <w:t xml:space="preserve"> in a high school </w:t>
      </w:r>
      <w:r w:rsidRPr="000D2627">
        <w:rPr>
          <w:rStyle w:val="StyleUnderline"/>
          <w:highlight w:val="yellow"/>
        </w:rPr>
        <w:t>may</w:t>
      </w:r>
      <w:r w:rsidRPr="00027A42">
        <w:rPr>
          <w:rStyle w:val="StyleUnderline"/>
        </w:rPr>
        <w:t xml:space="preserve"> </w:t>
      </w:r>
      <w:r w:rsidRPr="000D2627">
        <w:rPr>
          <w:rStyle w:val="StyleUnderline"/>
        </w:rPr>
        <w:t>systematically</w:t>
      </w:r>
      <w:r w:rsidRPr="00027A42">
        <w:rPr>
          <w:rStyle w:val="StyleUnderline"/>
        </w:rPr>
        <w:t xml:space="preserve"> </w:t>
      </w:r>
      <w:r w:rsidRPr="000D2627">
        <w:rPr>
          <w:rStyle w:val="StyleUnderline"/>
          <w:highlight w:val="yellow"/>
        </w:rPr>
        <w:t>review</w:t>
      </w:r>
      <w:r w:rsidRPr="00027A42">
        <w:rPr>
          <w:rStyle w:val="StyleUnderline"/>
        </w:rPr>
        <w:t xml:space="preserve"> academic </w:t>
      </w:r>
      <w:r w:rsidRPr="000D2627">
        <w:rPr>
          <w:rStyle w:val="StyleUnderline"/>
          <w:highlight w:val="yellow"/>
        </w:rPr>
        <w:t>data</w:t>
      </w:r>
      <w:r w:rsidRPr="00027A42">
        <w:rPr>
          <w:rStyle w:val="StyleUnderline"/>
        </w:rPr>
        <w:t xml:space="preserve"> on incoming freshman </w:t>
      </w:r>
      <w:r w:rsidRPr="000D2627">
        <w:rPr>
          <w:rStyle w:val="StyleUnderline"/>
          <w:highlight w:val="yellow"/>
        </w:rPr>
        <w:t>to</w:t>
      </w:r>
      <w:r w:rsidRPr="00027A42">
        <w:rPr>
          <w:rStyle w:val="StyleUnderline"/>
        </w:rPr>
        <w:t xml:space="preserve"> </w:t>
      </w:r>
      <w:r w:rsidRPr="000D2627">
        <w:rPr>
          <w:rStyle w:val="StyleUnderline"/>
          <w:highlight w:val="yellow"/>
        </w:rPr>
        <w:t>determine</w:t>
      </w:r>
      <w:r w:rsidRPr="00027A42">
        <w:rPr>
          <w:rStyle w:val="StyleUnderline"/>
        </w:rPr>
        <w:t xml:space="preserve"> which students may </w:t>
      </w:r>
      <w:r w:rsidRPr="000D2627">
        <w:rPr>
          <w:rStyle w:val="StyleUnderline"/>
          <w:highlight w:val="yellow"/>
        </w:rPr>
        <w:t>need</w:t>
      </w:r>
      <w:r w:rsidRPr="00027A42">
        <w:rPr>
          <w:rStyle w:val="StyleUnderline"/>
        </w:rPr>
        <w:t xml:space="preserve"> </w:t>
      </w:r>
      <w:r w:rsidRPr="000D2627">
        <w:rPr>
          <w:rStyle w:val="StyleUnderline"/>
          <w:highlight w:val="yellow"/>
        </w:rPr>
        <w:t>some</w:t>
      </w:r>
      <w:r w:rsidRPr="00027A42">
        <w:rPr>
          <w:rStyle w:val="StyleUnderline"/>
        </w:rPr>
        <w:t xml:space="preserve"> </w:t>
      </w:r>
      <w:r w:rsidRPr="000D2627">
        <w:rPr>
          <w:rStyle w:val="StyleUnderline"/>
          <w:highlight w:val="yellow"/>
        </w:rPr>
        <w:t>form of</w:t>
      </w:r>
      <w:r w:rsidRPr="00027A42">
        <w:rPr>
          <w:rStyle w:val="StyleUnderline"/>
        </w:rPr>
        <w:t xml:space="preserve"> specialized </w:t>
      </w:r>
      <w:r w:rsidRPr="000D2627">
        <w:rPr>
          <w:rStyle w:val="StyleUnderline"/>
          <w:highlight w:val="yellow"/>
        </w:rPr>
        <w:t>assistance</w:t>
      </w:r>
      <w:r w:rsidRPr="00027A42">
        <w:rPr>
          <w:rStyle w:val="StyleUnderline"/>
        </w:rPr>
        <w:t xml:space="preserve"> and which </w:t>
      </w:r>
      <w:r w:rsidRPr="000D2627">
        <w:rPr>
          <w:rStyle w:val="StyleUnderline"/>
          <w:highlight w:val="yellow"/>
        </w:rPr>
        <w:t>students may be at greater</w:t>
      </w:r>
      <w:r w:rsidRPr="00027A42">
        <w:rPr>
          <w:rStyle w:val="StyleUnderline"/>
        </w:rPr>
        <w:t xml:space="preserve"> risk </w:t>
      </w:r>
      <w:r w:rsidRPr="000D2627">
        <w:rPr>
          <w:rStyle w:val="StyleUnderline"/>
          <w:highlight w:val="yellow"/>
        </w:rPr>
        <w:t>of dropping out</w:t>
      </w:r>
      <w:r w:rsidRPr="00027A42">
        <w:rPr>
          <w:rStyle w:val="StyleUnderline"/>
        </w:rPr>
        <w:t xml:space="preserve"> </w:t>
      </w:r>
      <w:r w:rsidRPr="000D2627">
        <w:rPr>
          <w:rStyle w:val="StyleUnderline"/>
          <w:highlight w:val="yellow"/>
        </w:rPr>
        <w:t>or struggling</w:t>
      </w:r>
      <w:r w:rsidRPr="00027A42">
        <w:rPr>
          <w:rStyle w:val="StyleUnderline"/>
        </w:rPr>
        <w:t xml:space="preserve"> academically. By looking at absenteeism, disciplinary infractions, and course-failure rates during middle school, teachers can identify students who are more likely to struggle in ninth grade, and they can then proactively prepare academic programs, services, and learning opportunities to reduce the likelihood that those students will fail or drop out.</w:t>
      </w:r>
      <w:r w:rsidRPr="00027A42">
        <w:rPr>
          <w:sz w:val="16"/>
        </w:rPr>
        <w:t xml:space="preserve"> In this case, educators are taking an evidence-based approach to instructing and supporting students in ninth grade. (This specific example is often called </w:t>
      </w:r>
      <w:r w:rsidRPr="00027A42">
        <w:rPr>
          <w:rStyle w:val="StyleUnderline"/>
        </w:rPr>
        <w:t>an “early warning system</w:t>
      </w:r>
      <w:r w:rsidRPr="00027A42">
        <w:rPr>
          <w:sz w:val="16"/>
        </w:rPr>
        <w:t>.”)</w:t>
      </w:r>
    </w:p>
    <w:p w14:paraId="14780F9D" w14:textId="77777777" w:rsidR="00537DAD" w:rsidRDefault="00537DAD" w:rsidP="00537DAD">
      <w:pPr>
        <w:rPr>
          <w:sz w:val="16"/>
        </w:rPr>
      </w:pPr>
      <w:r w:rsidRPr="00027A42">
        <w:rPr>
          <w:sz w:val="16"/>
        </w:rPr>
        <w:t>While research and “quantitative” numerical data are arguably the most common forms of evidence used in education and school reform, educators also use a wide variety of “qualitative” information to diagnose student-learning needs or improve academic programming, including discussions with students and parents, work products created by students and teachers, the results of surveys completed by students and school staff, or observations of teaching—</w:t>
      </w:r>
      <w:r w:rsidRPr="000D2627">
        <w:rPr>
          <w:rStyle w:val="Emphasis"/>
          <w:highlight w:val="yellow"/>
        </w:rPr>
        <w:t>among</w:t>
      </w:r>
      <w:r w:rsidRPr="00027A42">
        <w:rPr>
          <w:rStyle w:val="Emphasis"/>
        </w:rPr>
        <w:t xml:space="preserve"> many </w:t>
      </w:r>
      <w:r w:rsidRPr="000D2627">
        <w:rPr>
          <w:rStyle w:val="Emphasis"/>
          <w:highlight w:val="yellow"/>
        </w:rPr>
        <w:t>other</w:t>
      </w:r>
      <w:r w:rsidRPr="00027A42">
        <w:rPr>
          <w:rStyle w:val="Emphasis"/>
        </w:rPr>
        <w:t xml:space="preserve"> possible </w:t>
      </w:r>
      <w:r w:rsidRPr="000D2627">
        <w:rPr>
          <w:rStyle w:val="Emphasis"/>
          <w:highlight w:val="yellow"/>
        </w:rPr>
        <w:t>forms of evidence.</w:t>
      </w:r>
      <w:r w:rsidRPr="00027A42">
        <w:rPr>
          <w:rStyle w:val="Emphasis"/>
        </w:rPr>
        <w:t xml:space="preserve"> In professional learning communities, for example, groups of </w:t>
      </w:r>
      <w:r w:rsidRPr="000D2627">
        <w:rPr>
          <w:rStyle w:val="Emphasis"/>
          <w:highlight w:val="yellow"/>
        </w:rPr>
        <w:t>teachers may meet</w:t>
      </w:r>
      <w:r w:rsidRPr="00027A42">
        <w:rPr>
          <w:rStyle w:val="Emphasis"/>
        </w:rPr>
        <w:t xml:space="preserve"> </w:t>
      </w:r>
      <w:r w:rsidRPr="000D2627">
        <w:rPr>
          <w:rStyle w:val="Emphasis"/>
        </w:rPr>
        <w:t xml:space="preserve">regularly </w:t>
      </w:r>
      <w:r w:rsidRPr="000D2627">
        <w:rPr>
          <w:rStyle w:val="Emphasis"/>
          <w:highlight w:val="yellow"/>
        </w:rPr>
        <w:t>to discuss evidence</w:t>
      </w:r>
      <w:r w:rsidRPr="00027A42">
        <w:rPr>
          <w:rStyle w:val="Emphasis"/>
        </w:rPr>
        <w:t xml:space="preserve"> </w:t>
      </w:r>
      <w:r w:rsidRPr="000D2627">
        <w:rPr>
          <w:rStyle w:val="Emphasis"/>
          <w:highlight w:val="yellow"/>
        </w:rPr>
        <w:t>such as</w:t>
      </w:r>
      <w:r w:rsidRPr="00027A42">
        <w:rPr>
          <w:rStyle w:val="Emphasis"/>
        </w:rPr>
        <w:t xml:space="preserve"> research literature, lesson materials, or </w:t>
      </w:r>
      <w:r w:rsidRPr="000D2627">
        <w:rPr>
          <w:rStyle w:val="Emphasis"/>
          <w:highlight w:val="yellow"/>
        </w:rPr>
        <w:t>student-work samples</w:t>
      </w:r>
      <w:r w:rsidRPr="00027A42">
        <w:rPr>
          <w:rStyle w:val="Emphasis"/>
        </w:rPr>
        <w:t xml:space="preserve"> as a way </w:t>
      </w:r>
      <w:r w:rsidRPr="000D2627">
        <w:rPr>
          <w:rStyle w:val="Emphasis"/>
          <w:highlight w:val="yellow"/>
        </w:rPr>
        <w:t>to improve</w:t>
      </w:r>
      <w:r w:rsidRPr="00027A42">
        <w:rPr>
          <w:rStyle w:val="Emphasis"/>
        </w:rPr>
        <w:t xml:space="preserve"> their teaching skills or modify instructional </w:t>
      </w:r>
      <w:r w:rsidRPr="000D2627">
        <w:rPr>
          <w:rStyle w:val="Emphasis"/>
          <w:highlight w:val="yellow"/>
        </w:rPr>
        <w:t>techniques i</w:t>
      </w:r>
      <w:r w:rsidRPr="00027A42">
        <w:rPr>
          <w:rStyle w:val="Emphasis"/>
        </w:rPr>
        <w:t xml:space="preserve">n ways </w:t>
      </w:r>
      <w:r w:rsidRPr="000D2627">
        <w:rPr>
          <w:rStyle w:val="Emphasis"/>
          <w:highlight w:val="yellow"/>
        </w:rPr>
        <w:t>that work better for certain students</w:t>
      </w:r>
      <w:r w:rsidRPr="00027A42">
        <w:rPr>
          <w:rStyle w:val="Emphasis"/>
        </w:rPr>
        <w:t>. Teachers in the group may also observe colleagues while they teach and then provide them with constructive feedback and advice</w:t>
      </w:r>
      <w:r w:rsidRPr="00027A42">
        <w:rPr>
          <w:sz w:val="16"/>
        </w:rPr>
        <w:t>. For a related discussion, see action research.</w:t>
      </w:r>
    </w:p>
    <w:p w14:paraId="0F30252B" w14:textId="5228CCF8" w:rsidR="00537DAD" w:rsidRPr="008311CA" w:rsidRDefault="00866913" w:rsidP="00537DAD">
      <w:pPr>
        <w:pStyle w:val="Heading4"/>
      </w:pPr>
      <w:r>
        <w:rPr>
          <w:rStyle w:val="StyleUnderline"/>
          <w:sz w:val="26"/>
          <w:u w:val="none"/>
        </w:rPr>
        <w:t xml:space="preserve">2. Localization DA: </w:t>
      </w:r>
      <w:r w:rsidR="00537DAD">
        <w:rPr>
          <w:rStyle w:val="StyleUnderline"/>
          <w:sz w:val="26"/>
          <w:u w:val="none"/>
        </w:rPr>
        <w:t>Decolonial theory risks an abandonment of local specific areas</w:t>
      </w:r>
    </w:p>
    <w:p w14:paraId="450E8949" w14:textId="77777777" w:rsidR="00537DAD" w:rsidRDefault="00537DAD" w:rsidP="00537DAD">
      <w:pPr>
        <w:rPr>
          <w:rStyle w:val="Style13ptBold"/>
          <w:b w:val="0"/>
        </w:rPr>
      </w:pPr>
      <w:r>
        <w:rPr>
          <w:rStyle w:val="Style13ptBold"/>
        </w:rPr>
        <w:t>Wanzer-Serrano (THEIR Author) 12</w:t>
      </w:r>
      <w:r>
        <w:rPr>
          <w:rStyle w:val="Style13ptBold"/>
          <w:b w:val="0"/>
        </w:rPr>
        <w:t xml:space="preserve"> (“Young Lords and the Rhetoic of Decoloniality”, Temple University Press, </w:t>
      </w:r>
      <w:hyperlink r:id="rId9" w:history="1">
        <w:r w:rsidRPr="00A02494">
          <w:rPr>
            <w:rStyle w:val="Hyperlink"/>
            <w:sz w:val="26"/>
          </w:rPr>
          <w:t>http://www.temple.edu/tempress/chapters_1800/2346_ch1.pdf</w:t>
        </w:r>
      </w:hyperlink>
      <w:r>
        <w:rPr>
          <w:rStyle w:val="Style13ptBold"/>
          <w:b w:val="0"/>
        </w:rPr>
        <w:t>) TSB</w:t>
      </w:r>
    </w:p>
    <w:p w14:paraId="59B584DE" w14:textId="77777777" w:rsidR="00537DAD" w:rsidRPr="008311CA" w:rsidRDefault="00537DAD" w:rsidP="00537DAD">
      <w:pPr>
        <w:rPr>
          <w:rStyle w:val="Style13ptBold"/>
          <w:b w:val="0"/>
        </w:rPr>
      </w:pPr>
      <w:r>
        <w:rPr>
          <w:rStyle w:val="Style13ptBold"/>
          <w:b w:val="0"/>
        </w:rPr>
        <w:t>-- proves inconsistency</w:t>
      </w:r>
    </w:p>
    <w:p w14:paraId="23B72034" w14:textId="77777777" w:rsidR="00537DAD" w:rsidRPr="00B16374" w:rsidRDefault="00537DAD" w:rsidP="00537DAD">
      <w:r>
        <w:t xml:space="preserve">In my reading of contemporary decolonial scholarship, </w:t>
      </w:r>
      <w:r w:rsidRPr="000D2627">
        <w:rPr>
          <w:rStyle w:val="StyleUnderline"/>
          <w:highlight w:val="yellow"/>
        </w:rPr>
        <w:t>people</w:t>
      </w:r>
      <w:r w:rsidRPr="008311CA">
        <w:rPr>
          <w:rStyle w:val="StyleUnderline"/>
        </w:rPr>
        <w:t xml:space="preserve"> seem to </w:t>
      </w:r>
      <w:r w:rsidRPr="000D2627">
        <w:rPr>
          <w:rStyle w:val="StyleUnderline"/>
          <w:highlight w:val="yellow"/>
        </w:rPr>
        <w:t>risk slipping into</w:t>
      </w:r>
      <w:r w:rsidRPr="008311CA">
        <w:rPr>
          <w:rStyle w:val="StyleUnderline"/>
        </w:rPr>
        <w:t xml:space="preserve"> one of a </w:t>
      </w:r>
      <w:r w:rsidRPr="000D2627">
        <w:rPr>
          <w:rStyle w:val="StyleUnderline"/>
          <w:highlight w:val="yellow"/>
        </w:rPr>
        <w:t>couple of related problems</w:t>
      </w:r>
      <w:r w:rsidRPr="008311CA">
        <w:rPr>
          <w:rStyle w:val="StyleUnderline"/>
        </w:rPr>
        <w:t xml:space="preserve"> in negotiating such a ne line.</w:t>
      </w:r>
      <w:r>
        <w:t xml:space="preserve"> On the one hand, you have scholars like </w:t>
      </w:r>
      <w:r w:rsidRPr="008311CA">
        <w:rPr>
          <w:rStyle w:val="Emphasis"/>
        </w:rPr>
        <w:t>Maldonado-Torres</w:t>
      </w:r>
      <w:r>
        <w:t xml:space="preserve"> and Enrique Dussel who </w:t>
      </w:r>
      <w:r w:rsidRPr="008311CA">
        <w:rPr>
          <w:rStyle w:val="StyleUnderline"/>
        </w:rPr>
        <w:t>resist an overreaction to coloniality in theory by drawing from and recovering ideas located within Western philosophy in order to support rethinking our epistemological commitments and decentering the West</w:t>
      </w:r>
      <w:r>
        <w:t xml:space="preserve">.44 In doing so, however, </w:t>
      </w:r>
      <w:r w:rsidRPr="008311CA">
        <w:rPr>
          <w:rStyle w:val="Emphasis"/>
        </w:rPr>
        <w:t xml:space="preserve">these </w:t>
      </w:r>
      <w:r w:rsidRPr="000D2627">
        <w:rPr>
          <w:rStyle w:val="Emphasis"/>
          <w:highlight w:val="yellow"/>
        </w:rPr>
        <w:t>scholars direct less</w:t>
      </w:r>
      <w:r w:rsidRPr="008311CA">
        <w:rPr>
          <w:rStyle w:val="Emphasis"/>
        </w:rPr>
        <w:t xml:space="preserve"> </w:t>
      </w:r>
      <w:r w:rsidRPr="000D2627">
        <w:rPr>
          <w:rStyle w:val="Emphasis"/>
          <w:highlight w:val="yellow"/>
        </w:rPr>
        <w:t>attention</w:t>
      </w:r>
      <w:r w:rsidRPr="008311CA">
        <w:rPr>
          <w:rStyle w:val="Emphasis"/>
        </w:rPr>
        <w:t xml:space="preserve"> </w:t>
      </w:r>
      <w:r w:rsidRPr="000D2627">
        <w:rPr>
          <w:rStyle w:val="Emphasis"/>
          <w:highlight w:val="yellow"/>
        </w:rPr>
        <w:t>to</w:t>
      </w:r>
      <w:r w:rsidRPr="008311CA">
        <w:rPr>
          <w:rStyle w:val="Emphasis"/>
        </w:rPr>
        <w:t xml:space="preserve"> actual, </w:t>
      </w:r>
      <w:r w:rsidRPr="000D2627">
        <w:rPr>
          <w:rStyle w:val="Emphasis"/>
          <w:highlight w:val="yellow"/>
        </w:rPr>
        <w:t>geographically</w:t>
      </w:r>
      <w:r w:rsidRPr="008311CA">
        <w:rPr>
          <w:rStyle w:val="Emphasis"/>
        </w:rPr>
        <w:t xml:space="preserve"> located and embodied grassroots discourses and actions</w:t>
      </w:r>
      <w:r>
        <w:t xml:space="preserve">. ey philosophically justify doing so (which is their goal, after all) but provide readers with a lim- ited sense for what decoloniality looks like in geographically speci c and sociohistorically contingent contexts. On the other hand, you have scholars like </w:t>
      </w:r>
      <w:r w:rsidRPr="000D2627">
        <w:rPr>
          <w:rStyle w:val="Emphasis"/>
          <w:highlight w:val="yellow"/>
        </w:rPr>
        <w:t>Mignolo who disengage from Western philosophical discourses nearly altogeth- er but in the process risk propagating a kind of determinism of perspective</w:t>
      </w:r>
      <w:r>
        <w:t xml:space="preserve">.45 While I do not think this is his intention, </w:t>
      </w:r>
      <w:r w:rsidRPr="008311CA">
        <w:rPr>
          <w:rStyle w:val="StyleUnderline"/>
        </w:rPr>
        <w:t>Mignolo can come across to some readers as othering a totalizing discourse that minimizes room for resistance</w:t>
      </w:r>
      <w:r>
        <w:t xml:space="preserve">. While concepts like “border thinking” seem designed to remedy this, there are ways in which </w:t>
      </w:r>
      <w:r w:rsidRPr="000D2627">
        <w:rPr>
          <w:rStyle w:val="Emphasis"/>
          <w:highlight w:val="yellow"/>
        </w:rPr>
        <w:t>Mignolo’s</w:t>
      </w:r>
      <w:r w:rsidRPr="008311CA">
        <w:rPr>
          <w:rStyle w:val="Emphasis"/>
        </w:rPr>
        <w:t xml:space="preserve"> </w:t>
      </w:r>
      <w:r w:rsidRPr="000D2627">
        <w:rPr>
          <w:rStyle w:val="Emphasis"/>
          <w:highlight w:val="yellow"/>
        </w:rPr>
        <w:t>position</w:t>
      </w:r>
      <w:r w:rsidRPr="008311CA">
        <w:rPr>
          <w:rStyle w:val="Emphasis"/>
        </w:rPr>
        <w:t xml:space="preserve"> </w:t>
      </w:r>
      <w:r w:rsidRPr="000D2627">
        <w:rPr>
          <w:rStyle w:val="Emphasis"/>
          <w:highlight w:val="yellow"/>
        </w:rPr>
        <w:t>is so damning of modernity/coloniality— for instance, his critique of “the logic that sustains all branches of Western knowledge”</w:t>
      </w:r>
      <w:r w:rsidRPr="008311CA">
        <w:rPr>
          <w:rStyle w:val="Emphasis"/>
        </w:rPr>
        <w:t xml:space="preserve"> cited in the last paragraph—that </w:t>
      </w:r>
      <w:r w:rsidRPr="000D2627">
        <w:rPr>
          <w:rStyle w:val="Emphasis"/>
          <w:highlight w:val="yellow"/>
        </w:rPr>
        <w:t>there seems to be little chance</w:t>
      </w:r>
      <w:r w:rsidRPr="008311CA">
        <w:rPr>
          <w:rStyle w:val="Emphasis"/>
        </w:rPr>
        <w:t xml:space="preserve"> </w:t>
      </w:r>
      <w:r w:rsidRPr="000D2627">
        <w:rPr>
          <w:rStyle w:val="Emphasis"/>
          <w:highlight w:val="yellow"/>
        </w:rPr>
        <w:t>for those</w:t>
      </w:r>
      <w:r w:rsidRPr="008311CA">
        <w:rPr>
          <w:rStyle w:val="Emphasis"/>
        </w:rPr>
        <w:t xml:space="preserve"> inside that system </w:t>
      </w:r>
      <w:r w:rsidRPr="000D2627">
        <w:rPr>
          <w:rStyle w:val="Emphasis"/>
          <w:highlight w:val="yellow"/>
        </w:rPr>
        <w:t>to</w:t>
      </w:r>
      <w:r w:rsidRPr="008311CA">
        <w:rPr>
          <w:rStyle w:val="Emphasis"/>
        </w:rPr>
        <w:t xml:space="preserve"> </w:t>
      </w:r>
      <w:r w:rsidRPr="000D2627">
        <w:rPr>
          <w:rStyle w:val="Emphasis"/>
          <w:highlight w:val="yellow"/>
        </w:rPr>
        <w:t>challenge</w:t>
      </w:r>
      <w:r w:rsidRPr="008311CA">
        <w:rPr>
          <w:rStyle w:val="Emphasis"/>
        </w:rPr>
        <w:t xml:space="preserve"> </w:t>
      </w:r>
      <w:r w:rsidRPr="000D2627">
        <w:rPr>
          <w:rStyle w:val="Emphasis"/>
          <w:highlight w:val="yellow"/>
        </w:rPr>
        <w:t>it</w:t>
      </w:r>
      <w:r w:rsidRPr="000D2627">
        <w:rPr>
          <w:highlight w:val="yellow"/>
        </w:rPr>
        <w:t>.</w:t>
      </w:r>
      <w:r>
        <w:t xml:space="preserve">46 When he does turn to examples (e.g., the Zapatistas in Mexico or the emergence of a concept of “the communal” in South America), </w:t>
      </w:r>
      <w:r w:rsidRPr="008311CA">
        <w:rPr>
          <w:rStyle w:val="StyleUnderline"/>
        </w:rPr>
        <w:t>they seem exemplary of a wholesale rejection of modernity/ coloniality: a stepping outside that, despite the way Mignolo explicitly quali es his argument, implies that (a) resistance is generally futile</w:t>
      </w:r>
      <w:r>
        <w:t>, (b) the only prac- tical solution is wholesale rejection, and/or (c) the scholar’s only option is demysti cation/debunking</w:t>
      </w:r>
      <w:r w:rsidRPr="008311CA">
        <w:rPr>
          <w:rStyle w:val="Emphasis"/>
        </w:rPr>
        <w:t xml:space="preserve">. </w:t>
      </w:r>
      <w:r w:rsidRPr="000D2627">
        <w:rPr>
          <w:rStyle w:val="Emphasis"/>
          <w:highlight w:val="yellow"/>
        </w:rPr>
        <w:t>Often stuck</w:t>
      </w:r>
      <w:r w:rsidRPr="008311CA">
        <w:rPr>
          <w:rStyle w:val="Emphasis"/>
        </w:rPr>
        <w:t xml:space="preserve"> </w:t>
      </w:r>
      <w:r w:rsidRPr="000D2627">
        <w:rPr>
          <w:rStyle w:val="Emphasis"/>
          <w:highlight w:val="yellow"/>
        </w:rPr>
        <w:t>making bigger theoretical arguments</w:t>
      </w:r>
      <w:r w:rsidRPr="008311CA">
        <w:rPr>
          <w:rStyle w:val="Emphasis"/>
        </w:rPr>
        <w:t xml:space="preserve"> justifying their shi s in perspective, </w:t>
      </w:r>
      <w:r w:rsidRPr="008F46BB">
        <w:rPr>
          <w:rStyle w:val="Emphasis"/>
          <w:highlight w:val="yellow"/>
        </w:rPr>
        <w:t>decolonial theorists</w:t>
      </w:r>
      <w:r w:rsidRPr="008311CA">
        <w:rPr>
          <w:rStyle w:val="Emphasis"/>
        </w:rPr>
        <w:t xml:space="preserve"> can </w:t>
      </w:r>
      <w:r w:rsidRPr="008F46BB">
        <w:rPr>
          <w:rStyle w:val="Emphasis"/>
          <w:highlight w:val="yellow"/>
        </w:rPr>
        <w:t>lack a level of</w:t>
      </w:r>
      <w:r w:rsidRPr="008311CA">
        <w:rPr>
          <w:rStyle w:val="Emphasis"/>
        </w:rPr>
        <w:t xml:space="preserve"> </w:t>
      </w:r>
      <w:r w:rsidRPr="008F46BB">
        <w:rPr>
          <w:rStyle w:val="Emphasis"/>
          <w:highlight w:val="yellow"/>
        </w:rPr>
        <w:t>rhetorical speci city</w:t>
      </w:r>
      <w:r w:rsidRPr="008311CA">
        <w:rPr>
          <w:rStyle w:val="Emphasis"/>
        </w:rPr>
        <w:t xml:space="preserve"> that, ironically, makes it harder to explore the geographic and embodied discourses they see as paramoun</w:t>
      </w:r>
      <w:r>
        <w:t xml:space="preserve">t. ere are some exceptions, but in general, </w:t>
      </w:r>
      <w:r w:rsidRPr="008311CA">
        <w:rPr>
          <w:rStyle w:val="StyleUnderline"/>
        </w:rPr>
        <w:t>the discon- nect between theory and practice is pronounced.</w:t>
      </w:r>
      <w:r>
        <w:t xml:space="preserve">47 </w:t>
      </w:r>
    </w:p>
    <w:p w14:paraId="2E204ECE" w14:textId="385848B6" w:rsidR="00D003C6" w:rsidRDefault="00866913" w:rsidP="00D003C6">
      <w:pPr>
        <w:pStyle w:val="Heading4"/>
        <w:rPr>
          <w:rStyle w:val="Emphasis"/>
          <w:b/>
          <w:sz w:val="26"/>
          <w:u w:val="none"/>
        </w:rPr>
      </w:pPr>
      <w:r>
        <w:rPr>
          <w:rStyle w:val="Emphasis"/>
          <w:b/>
          <w:sz w:val="26"/>
          <w:u w:val="none"/>
        </w:rPr>
        <w:t xml:space="preserve">3. </w:t>
      </w:r>
      <w:r w:rsidR="00D003C6" w:rsidRPr="00D438FF">
        <w:rPr>
          <w:rStyle w:val="Emphasis"/>
          <w:b/>
          <w:sz w:val="26"/>
          <w:u w:val="none"/>
        </w:rPr>
        <w:t xml:space="preserve">Politics needs to be taken in context--- </w:t>
      </w:r>
      <w:r w:rsidR="00D003C6">
        <w:rPr>
          <w:rStyle w:val="Emphasis"/>
          <w:b/>
          <w:sz w:val="26"/>
          <w:u w:val="none"/>
        </w:rPr>
        <w:t>don’t write off all modernity as colonial—differentiation is key to effective history</w:t>
      </w:r>
    </w:p>
    <w:p w14:paraId="287BF1C1" w14:textId="77777777" w:rsidR="00D003C6" w:rsidRPr="00D438FF" w:rsidRDefault="00D003C6" w:rsidP="00D003C6">
      <w:pPr>
        <w:rPr>
          <w:rStyle w:val="Style13ptBold"/>
        </w:rPr>
      </w:pPr>
      <w:r>
        <w:rPr>
          <w:rStyle w:val="Style13ptBold"/>
        </w:rPr>
        <w:t xml:space="preserve">Cooper 5 </w:t>
      </w:r>
      <w:r>
        <w:rPr>
          <w:rStyle w:val="Style13ptBold"/>
          <w:b w:val="0"/>
        </w:rPr>
        <w:t xml:space="preserve">Frederick Cooper </w:t>
      </w:r>
      <w:r w:rsidRPr="009D6C8A">
        <w:rPr>
          <w:rStyle w:val="Style13ptBold"/>
          <w:b w:val="0"/>
        </w:rPr>
        <w:t>is an American historian who specializes in colonialization, decolonialization, and African history. Cooper received his Doctor of Philosophy from Yale University in 1974 and is currently professor of</w:t>
      </w:r>
      <w:r>
        <w:rPr>
          <w:rStyle w:val="Style13ptBold"/>
          <w:b w:val="0"/>
        </w:rPr>
        <w:t xml:space="preserve"> history at New York University, “Colonialism in Question: Theory, Knowledge, History.” P. 136 TSB</w:t>
      </w:r>
    </w:p>
    <w:p w14:paraId="43F921E9" w14:textId="322CE7A4" w:rsidR="00D003C6" w:rsidRPr="00D438FF" w:rsidRDefault="00D003C6" w:rsidP="00D003C6">
      <w:pPr>
        <w:rPr>
          <w:rStyle w:val="Emphasis"/>
          <w:b w:val="0"/>
          <w:u w:val="none"/>
        </w:rPr>
      </w:pPr>
      <w:r w:rsidRPr="008F46BB">
        <w:rPr>
          <w:rStyle w:val="Emphasis"/>
          <w:b w:val="0"/>
          <w:highlight w:val="yellow"/>
          <w:u w:val="none"/>
        </w:rPr>
        <w:t>C</w:t>
      </w:r>
      <w:r w:rsidRPr="008F46BB">
        <w:rPr>
          <w:rStyle w:val="StyleUnderline"/>
          <w:highlight w:val="yellow"/>
        </w:rPr>
        <w:t>olonialism was very much part of the twentieth century.</w:t>
      </w:r>
      <w:r w:rsidRPr="00D438FF">
        <w:rPr>
          <w:rStyle w:val="StyleUnderline"/>
        </w:rPr>
        <w:t xml:space="preserve"> So too was anticolonialism</w:t>
      </w:r>
      <w:r w:rsidRPr="00D438FF">
        <w:rPr>
          <w:rStyle w:val="Emphasis"/>
          <w:b w:val="0"/>
          <w:u w:val="none"/>
        </w:rPr>
        <w:t xml:space="preserve">. So was fascism and antifascism, racism and antiracism. People made their moral and political choices. They did </w:t>
      </w:r>
      <w:r w:rsidRPr="000F50C4">
        <w:rPr>
          <w:rStyle w:val="Emphasis"/>
        </w:rPr>
        <w:t>so w</w:t>
      </w:r>
      <w:r w:rsidRPr="008F46BB">
        <w:rPr>
          <w:rStyle w:val="Emphasis"/>
          <w:highlight w:val="yellow"/>
        </w:rPr>
        <w:t>ithin specific, often conflicting, ideological constructs and historical contexts. Some</w:t>
      </w:r>
      <w:r w:rsidRPr="000F50C4">
        <w:rPr>
          <w:rStyle w:val="Emphasis"/>
        </w:rPr>
        <w:t xml:space="preserve"> may have </w:t>
      </w:r>
      <w:r w:rsidRPr="008F46BB">
        <w:rPr>
          <w:rStyle w:val="Emphasis"/>
          <w:highlight w:val="yellow"/>
        </w:rPr>
        <w:t>claimed</w:t>
      </w:r>
      <w:r w:rsidRPr="000F50C4">
        <w:rPr>
          <w:rStyle w:val="Emphasis"/>
        </w:rPr>
        <w:t xml:space="preserve"> </w:t>
      </w:r>
      <w:r w:rsidRPr="008F46BB">
        <w:rPr>
          <w:rStyle w:val="Emphasis"/>
          <w:highlight w:val="yellow"/>
        </w:rPr>
        <w:t>to</w:t>
      </w:r>
      <w:r w:rsidRPr="000F50C4">
        <w:rPr>
          <w:rStyle w:val="Emphasis"/>
        </w:rPr>
        <w:t xml:space="preserve"> </w:t>
      </w:r>
      <w:r w:rsidRPr="008F46BB">
        <w:rPr>
          <w:rStyle w:val="Emphasis"/>
          <w:highlight w:val="yellow"/>
        </w:rPr>
        <w:t>speak</w:t>
      </w:r>
      <w:r w:rsidRPr="000F50C4">
        <w:rPr>
          <w:rStyle w:val="Emphasis"/>
        </w:rPr>
        <w:t xml:space="preserve"> </w:t>
      </w:r>
      <w:r w:rsidRPr="008F46BB">
        <w:rPr>
          <w:rStyle w:val="Emphasis"/>
          <w:highlight w:val="yellow"/>
        </w:rPr>
        <w:t>for</w:t>
      </w:r>
      <w:r w:rsidRPr="000F50C4">
        <w:rPr>
          <w:rStyle w:val="Emphasis"/>
        </w:rPr>
        <w:t xml:space="preserve"> </w:t>
      </w:r>
      <w:r w:rsidRPr="008F46BB">
        <w:rPr>
          <w:rStyle w:val="Emphasis"/>
          <w:highlight w:val="yellow"/>
        </w:rPr>
        <w:t>modernity</w:t>
      </w:r>
      <w:r w:rsidRPr="000F50C4">
        <w:rPr>
          <w:rStyle w:val="Emphasis"/>
        </w:rPr>
        <w:t xml:space="preserve"> </w:t>
      </w:r>
      <w:r w:rsidRPr="008F46BB">
        <w:rPr>
          <w:rStyle w:val="Emphasis"/>
          <w:highlight w:val="yellow"/>
        </w:rPr>
        <w:t>when</w:t>
      </w:r>
      <w:r w:rsidRPr="000F50C4">
        <w:rPr>
          <w:rStyle w:val="Emphasis"/>
        </w:rPr>
        <w:t xml:space="preserve"> </w:t>
      </w:r>
      <w:r w:rsidRPr="008F46BB">
        <w:rPr>
          <w:rStyle w:val="Emphasis"/>
          <w:highlight w:val="yellow"/>
        </w:rPr>
        <w:t>arguing</w:t>
      </w:r>
      <w:r w:rsidRPr="000F50C4">
        <w:rPr>
          <w:rStyle w:val="Emphasis"/>
        </w:rPr>
        <w:t xml:space="preserve"> for or against racial dis- crimination, </w:t>
      </w:r>
      <w:r w:rsidRPr="008F46BB">
        <w:rPr>
          <w:rStyle w:val="Emphasis"/>
          <w:highlight w:val="yellow"/>
        </w:rPr>
        <w:t>but</w:t>
      </w:r>
      <w:r w:rsidRPr="000F50C4">
        <w:rPr>
          <w:rStyle w:val="Emphasis"/>
        </w:rPr>
        <w:t xml:space="preserve"> </w:t>
      </w:r>
      <w:r w:rsidRPr="00482F29">
        <w:rPr>
          <w:rStyle w:val="Emphasis"/>
          <w:highlight w:val="yellow"/>
        </w:rPr>
        <w:t>neither those actors</w:t>
      </w:r>
      <w:r w:rsidRPr="000F50C4">
        <w:rPr>
          <w:rStyle w:val="Emphasis"/>
        </w:rPr>
        <w:t xml:space="preserve"> nor those frameworks </w:t>
      </w:r>
      <w:r w:rsidRPr="00482F29">
        <w:rPr>
          <w:rStyle w:val="Emphasis"/>
          <w:highlight w:val="yellow"/>
        </w:rPr>
        <w:t>can be reduced to modernity.</w:t>
      </w:r>
      <w:r w:rsidRPr="000F50C4">
        <w:rPr>
          <w:rStyle w:val="Emphasis"/>
        </w:rPr>
        <w:t xml:space="preserve"> And </w:t>
      </w:r>
      <w:r w:rsidRPr="00482F29">
        <w:rPr>
          <w:rStyle w:val="Emphasis"/>
          <w:highlight w:val="yellow"/>
        </w:rPr>
        <w:t>colonialism</w:t>
      </w:r>
      <w:r w:rsidRPr="000F50C4">
        <w:rPr>
          <w:rStyle w:val="Emphasis"/>
        </w:rPr>
        <w:t xml:space="preserve">, like Nazism, </w:t>
      </w:r>
      <w:r w:rsidRPr="00482F29">
        <w:rPr>
          <w:rStyle w:val="Emphasis"/>
          <w:highlight w:val="yellow"/>
        </w:rPr>
        <w:t>drew</w:t>
      </w:r>
      <w:r w:rsidRPr="000F50C4">
        <w:rPr>
          <w:rStyle w:val="Emphasis"/>
        </w:rPr>
        <w:t xml:space="preserve"> vitally </w:t>
      </w:r>
      <w:r w:rsidRPr="00482F29">
        <w:rPr>
          <w:rStyle w:val="Emphasis"/>
          <w:highlight w:val="yellow"/>
        </w:rPr>
        <w:t>on notions whose history</w:t>
      </w:r>
      <w:r w:rsidRPr="000F50C4">
        <w:rPr>
          <w:rStyle w:val="Emphasis"/>
        </w:rPr>
        <w:t>—from empires with a long continuous history to notions of com- mand and status—</w:t>
      </w:r>
      <w:r w:rsidRPr="00482F29">
        <w:rPr>
          <w:rStyle w:val="Emphasis"/>
          <w:highlight w:val="yellow"/>
        </w:rPr>
        <w:t>extends</w:t>
      </w:r>
      <w:r w:rsidRPr="000F50C4">
        <w:rPr>
          <w:rStyle w:val="Emphasis"/>
        </w:rPr>
        <w:t xml:space="preserve"> </w:t>
      </w:r>
      <w:r w:rsidRPr="00482F29">
        <w:rPr>
          <w:rStyle w:val="Emphasis"/>
          <w:highlight w:val="yellow"/>
        </w:rPr>
        <w:t>back</w:t>
      </w:r>
      <w:r w:rsidRPr="000F50C4">
        <w:rPr>
          <w:rStyle w:val="Emphasis"/>
        </w:rPr>
        <w:t xml:space="preserve"> </w:t>
      </w:r>
      <w:r w:rsidRPr="00482F29">
        <w:rPr>
          <w:rStyle w:val="Emphasis"/>
          <w:highlight w:val="yellow"/>
        </w:rPr>
        <w:t>in</w:t>
      </w:r>
      <w:r w:rsidRPr="000F50C4">
        <w:rPr>
          <w:rStyle w:val="Emphasis"/>
        </w:rPr>
        <w:t xml:space="preserve"> </w:t>
      </w:r>
      <w:r w:rsidRPr="00482F29">
        <w:rPr>
          <w:rStyle w:val="Emphasis"/>
          <w:highlight w:val="yellow"/>
        </w:rPr>
        <w:t>time</w:t>
      </w:r>
      <w:r w:rsidRPr="000F50C4">
        <w:rPr>
          <w:rStyle w:val="Emphasis"/>
        </w:rPr>
        <w:t xml:space="preserve"> and </w:t>
      </w:r>
      <w:r w:rsidRPr="00482F29">
        <w:rPr>
          <w:rStyle w:val="Emphasis"/>
          <w:highlight w:val="yellow"/>
        </w:rPr>
        <w:t xml:space="preserve">cannot be reduced to </w:t>
      </w:r>
      <w:r w:rsidRPr="00482F29">
        <w:rPr>
          <w:rStyle w:val="Emphasis"/>
        </w:rPr>
        <w:t>post</w:t>
      </w:r>
      <w:r w:rsidRPr="000F50C4">
        <w:rPr>
          <w:rStyle w:val="Emphasis"/>
        </w:rPr>
        <w:t xml:space="preserve">- Enlightenment </w:t>
      </w:r>
      <w:r w:rsidRPr="00482F29">
        <w:rPr>
          <w:rStyle w:val="Emphasis"/>
          <w:highlight w:val="yellow"/>
        </w:rPr>
        <w:t>rationality</w:t>
      </w:r>
      <w:r w:rsidRPr="000F50C4">
        <w:rPr>
          <w:rStyle w:val="Emphasis"/>
        </w:rPr>
        <w:t>, liberalism, or science</w:t>
      </w:r>
      <w:r w:rsidRPr="00D438FF">
        <w:rPr>
          <w:rStyle w:val="Emphasis"/>
          <w:b w:val="0"/>
          <w:u w:val="none"/>
        </w:rPr>
        <w:t>. It is no more helpful to credit the end of colonialism in the 1960s to the march of modernity than to claim that modernity conquered the Zulu in the 1870s. That the mod- erns’ capacity for rational organization was used to organize transportation</w:t>
      </w:r>
      <w:r w:rsidR="00735281">
        <w:rPr>
          <w:rStyle w:val="Emphasis"/>
          <w:b w:val="0"/>
          <w:u w:val="none"/>
        </w:rPr>
        <w:t xml:space="preserve"> </w:t>
      </w:r>
      <w:r w:rsidRPr="00D438FF">
        <w:rPr>
          <w:rStyle w:val="Emphasis"/>
          <w:b w:val="0"/>
          <w:u w:val="none"/>
        </w:rPr>
        <w:t>of deportees to Auschwitz and to police the migrations of Africans in apartheid South Africa is not an argument against building railroads, and the murderous consequences of such “development” projects as Stalin’s or Mao’s versions of forced collectivization are not convincing arguments against efforts to build national healthcare institutions.62 A whiggish view of progress, in which evil after evil falls before the increasing power of human rationality, is more persuasively countered by efforts to locate ideo- logical and political responsibility historically than by maintaining the ar- gument at the level of agentless abstractions.</w:t>
      </w:r>
    </w:p>
    <w:p w14:paraId="4796BEB6" w14:textId="77777777" w:rsidR="00D003C6" w:rsidRDefault="00D003C6" w:rsidP="00D003C6">
      <w:pPr>
        <w:rPr>
          <w:rStyle w:val="Emphasis"/>
        </w:rPr>
      </w:pPr>
      <w:r w:rsidRPr="00D438FF">
        <w:rPr>
          <w:rStyle w:val="Emphasis"/>
          <w:b w:val="0"/>
          <w:u w:val="none"/>
        </w:rPr>
        <w:t xml:space="preserve">These concerns are all too real today. While some (but not all) Islamic mullahs attack “Western modernity” as a degenerate, antireligious totality, some (but not all) American mullahs attack Islam as being “antimodern.” </w:t>
      </w:r>
      <w:r w:rsidRPr="000F50C4">
        <w:rPr>
          <w:rStyle w:val="StyleUnderline"/>
        </w:rPr>
        <w:t xml:space="preserve">Difficult </w:t>
      </w:r>
      <w:r w:rsidRPr="00482F29">
        <w:rPr>
          <w:rStyle w:val="StyleUnderline"/>
          <w:highlight w:val="yellow"/>
        </w:rPr>
        <w:t>issues</w:t>
      </w:r>
      <w:r w:rsidRPr="000F50C4">
        <w:rPr>
          <w:rStyle w:val="StyleUnderline"/>
        </w:rPr>
        <w:t xml:space="preserve"> </w:t>
      </w:r>
      <w:r w:rsidRPr="00482F29">
        <w:rPr>
          <w:rStyle w:val="StyleUnderline"/>
          <w:highlight w:val="yellow"/>
        </w:rPr>
        <w:t>are</w:t>
      </w:r>
      <w:r w:rsidRPr="000F50C4">
        <w:rPr>
          <w:rStyle w:val="StyleUnderline"/>
        </w:rPr>
        <w:t xml:space="preserve"> </w:t>
      </w:r>
      <w:r w:rsidRPr="00482F29">
        <w:rPr>
          <w:rStyle w:val="StyleUnderline"/>
          <w:highlight w:val="yellow"/>
        </w:rPr>
        <w:t>being</w:t>
      </w:r>
      <w:r w:rsidRPr="000F50C4">
        <w:rPr>
          <w:rStyle w:val="StyleUnderline"/>
        </w:rPr>
        <w:t xml:space="preserve"> </w:t>
      </w:r>
      <w:r w:rsidRPr="00482F29">
        <w:rPr>
          <w:rStyle w:val="StyleUnderline"/>
          <w:highlight w:val="yellow"/>
        </w:rPr>
        <w:t>debated</w:t>
      </w:r>
      <w:r w:rsidRPr="000F50C4">
        <w:rPr>
          <w:rStyle w:val="StyleUnderline"/>
        </w:rPr>
        <w:t xml:space="preserve"> </w:t>
      </w:r>
      <w:r w:rsidRPr="00482F29">
        <w:rPr>
          <w:rStyle w:val="StyleUnderline"/>
          <w:highlight w:val="yellow"/>
        </w:rPr>
        <w:t>about</w:t>
      </w:r>
      <w:r w:rsidRPr="000F50C4">
        <w:rPr>
          <w:rStyle w:val="StyleUnderline"/>
        </w:rPr>
        <w:t xml:space="preserve"> the </w:t>
      </w:r>
      <w:r w:rsidRPr="00482F29">
        <w:rPr>
          <w:rStyle w:val="StyleUnderline"/>
          <w:highlight w:val="yellow"/>
        </w:rPr>
        <w:t>options</w:t>
      </w:r>
      <w:r w:rsidRPr="000F50C4">
        <w:rPr>
          <w:rStyle w:val="StyleUnderline"/>
        </w:rPr>
        <w:t xml:space="preserve"> </w:t>
      </w:r>
      <w:r w:rsidRPr="00482F29">
        <w:rPr>
          <w:rStyle w:val="StyleUnderline"/>
          <w:highlight w:val="yellow"/>
        </w:rPr>
        <w:t>open to societie</w:t>
      </w:r>
      <w:r w:rsidRPr="000F50C4">
        <w:rPr>
          <w:rStyle w:val="StyleUnderline"/>
        </w:rPr>
        <w:t xml:space="preserve">s in the Middle East and elsewhere, </w:t>
      </w:r>
      <w:r w:rsidRPr="00482F29">
        <w:rPr>
          <w:rStyle w:val="StyleUnderline"/>
          <w:highlight w:val="yellow"/>
        </w:rPr>
        <w:t>about the constraints</w:t>
      </w:r>
      <w:r w:rsidRPr="000F50C4">
        <w:rPr>
          <w:rStyle w:val="StyleUnderline"/>
        </w:rPr>
        <w:t xml:space="preserve">, limits, </w:t>
      </w:r>
      <w:r w:rsidRPr="00482F29">
        <w:rPr>
          <w:rStyle w:val="StyleUnderline"/>
          <w:highlight w:val="yellow"/>
        </w:rPr>
        <w:t>and effects of American power in different regions,</w:t>
      </w:r>
      <w:r w:rsidRPr="000F50C4">
        <w:rPr>
          <w:rStyle w:val="StyleUnderline"/>
        </w:rPr>
        <w:t xml:space="preserve"> about the relevance in different con- texts of “universal” notions of the rights of women and “Islamic” notions of modesty and status.63 Historians have no privileged vantage point to in- tervene on such issues, but they can remind people of the range of ways in which problems can be framed and that any framing will have its conse- quences</w:t>
      </w:r>
      <w:r w:rsidRPr="00482F29">
        <w:rPr>
          <w:rStyle w:val="StyleUnderline"/>
          <w:highlight w:val="yellow"/>
        </w:rPr>
        <w:t xml:space="preserve">. </w:t>
      </w:r>
      <w:r w:rsidRPr="00482F29">
        <w:rPr>
          <w:rStyle w:val="Emphasis"/>
          <w:highlight w:val="yellow"/>
        </w:rPr>
        <w:t>Framing debates in terms of modernity, antimodernity, and alter- native modernities has not provided a precise or suggestive vocabulary for analyzing the relationship of different elements of change</w:t>
      </w:r>
      <w:r w:rsidRPr="000F50C4">
        <w:rPr>
          <w:rStyle w:val="Emphasis"/>
        </w:rPr>
        <w:t>, the alternative ways in which political issues can be framed, or conflicting dreams of the future.</w:t>
      </w:r>
    </w:p>
    <w:p w14:paraId="3C8C7F22" w14:textId="55410710" w:rsidR="00735281" w:rsidRDefault="00866913" w:rsidP="00735281">
      <w:pPr>
        <w:pStyle w:val="Heading4"/>
        <w:rPr>
          <w:rStyle w:val="StyleUnderline"/>
          <w:sz w:val="26"/>
          <w:u w:val="none"/>
        </w:rPr>
      </w:pPr>
      <w:r>
        <w:rPr>
          <w:rStyle w:val="StyleUnderline"/>
          <w:sz w:val="26"/>
          <w:u w:val="none"/>
        </w:rPr>
        <w:t xml:space="preserve">4. </w:t>
      </w:r>
      <w:r w:rsidR="00735281">
        <w:rPr>
          <w:rStyle w:val="StyleUnderline"/>
          <w:sz w:val="26"/>
          <w:u w:val="none"/>
        </w:rPr>
        <w:t>Mignolo’s concept of an alternative is bound to fail—his understanding of European thinking turns the aff because it thinks in totality</w:t>
      </w:r>
    </w:p>
    <w:p w14:paraId="74F60394" w14:textId="77777777" w:rsidR="00735281" w:rsidRPr="00D16A1D" w:rsidRDefault="00735281" w:rsidP="00735281">
      <w:r>
        <w:rPr>
          <w:rStyle w:val="Style13ptBold"/>
        </w:rPr>
        <w:t>Michaelsen &amp; Shershow 7</w:t>
      </w:r>
      <w:r>
        <w:rPr>
          <w:rStyle w:val="Style13ptBold"/>
          <w:b w:val="0"/>
        </w:rPr>
        <w:t>((</w:t>
      </w:r>
      <w:r w:rsidRPr="006C190F">
        <w:rPr>
          <w:rStyle w:val="Style13ptBold"/>
          <w:b w:val="0"/>
        </w:rPr>
        <w:t>Scott Michaelsen</w:t>
      </w:r>
      <w:r>
        <w:rPr>
          <w:rStyle w:val="Style13ptBold"/>
          <w:b w:val="0"/>
        </w:rPr>
        <w:t xml:space="preserve"> </w:t>
      </w:r>
      <w:r w:rsidRPr="00FD3C1A">
        <w:rPr>
          <w:rStyle w:val="Style13ptBold"/>
          <w:b w:val="0"/>
        </w:rPr>
        <w:t>teaches in a number of different areas, including American literature, the literatures of the Americas, popular culture (science fiction, for example), and philosophy and theory in its relation to literature and society.</w:t>
      </w:r>
      <w:r>
        <w:rPr>
          <w:rStyle w:val="Style13ptBold"/>
          <w:b w:val="0"/>
        </w:rPr>
        <w:t xml:space="preserve"> </w:t>
      </w:r>
      <w:r w:rsidRPr="006C190F">
        <w:rPr>
          <w:rStyle w:val="Style13ptBold"/>
          <w:b w:val="0"/>
        </w:rPr>
        <w:t>Scott Cutler Shershow</w:t>
      </w:r>
      <w:r>
        <w:rPr>
          <w:rStyle w:val="Style13ptBold"/>
          <w:b w:val="0"/>
        </w:rPr>
        <w:t xml:space="preserve">, </w:t>
      </w:r>
      <w:r w:rsidRPr="0052762F">
        <w:rPr>
          <w:rStyle w:val="Style13ptBold"/>
          <w:b w:val="0"/>
        </w:rPr>
        <w:t>is Professor of English at the University of California, Davis.  He is the author, most recently, of Bread, from Bloomsbury’s “Object Lessons” series.</w:t>
      </w:r>
      <w:r>
        <w:rPr>
          <w:rStyle w:val="Style13ptBold"/>
          <w:b w:val="0"/>
        </w:rPr>
        <w:t xml:space="preserve"> “</w:t>
      </w:r>
      <w:r w:rsidRPr="007761E8">
        <w:rPr>
          <w:rStyle w:val="Style13ptBold"/>
          <w:b w:val="0"/>
        </w:rPr>
        <w:t>Rethinking Border Thinking</w:t>
      </w:r>
      <w:r>
        <w:rPr>
          <w:rStyle w:val="Style13ptBold"/>
          <w:b w:val="0"/>
        </w:rPr>
        <w:t>”, pp. 44-</w:t>
      </w:r>
      <w:proofErr w:type="gramStart"/>
      <w:r>
        <w:rPr>
          <w:rStyle w:val="Style13ptBold"/>
          <w:b w:val="0"/>
        </w:rPr>
        <w:t>48 )</w:t>
      </w:r>
      <w:proofErr w:type="gramEnd"/>
      <w:r>
        <w:rPr>
          <w:rStyle w:val="Style13ptBold"/>
          <w:b w:val="0"/>
        </w:rPr>
        <w:t xml:space="preserve"> TSB TSB</w:t>
      </w:r>
    </w:p>
    <w:p w14:paraId="69DE243E" w14:textId="4278748F" w:rsidR="00735281" w:rsidRPr="00E14F02" w:rsidRDefault="00735281" w:rsidP="00E14F02">
      <w:pPr>
        <w:rPr>
          <w:rStyle w:val="Emphasis"/>
          <w:b w:val="0"/>
          <w:iCs w:val="0"/>
          <w:sz w:val="16"/>
          <w:u w:val="none"/>
        </w:rPr>
      </w:pPr>
      <w:r w:rsidRPr="00482F29">
        <w:rPr>
          <w:rStyle w:val="Emphasis"/>
          <w:highlight w:val="yellow"/>
        </w:rPr>
        <w:t>The problems with such formulations, at once gural and conceptual, begin with their initial premise</w:t>
      </w:r>
      <w:r w:rsidRPr="00D16A1D">
        <w:rPr>
          <w:rStyle w:val="Emphasis"/>
        </w:rPr>
        <w:t>.</w:t>
      </w:r>
      <w:r w:rsidRPr="00FD3C1A">
        <w:rPr>
          <w:sz w:val="16"/>
        </w:rPr>
        <w:t xml:space="preserve"> That which is “dichotomous” has been cut and divided, split in two, or forked and branched, and implies an original point of origin—an original wholeness—rather than two separate origins (see OED, s.vv. “dichotomous,” “dicho-”). In the context of the colonial situation, </w:t>
      </w:r>
      <w:r w:rsidRPr="00D16A1D">
        <w:rPr>
          <w:rStyle w:val="StyleUnderline"/>
        </w:rPr>
        <w:t xml:space="preserve">the idea of </w:t>
      </w:r>
      <w:r w:rsidRPr="00482F29">
        <w:rPr>
          <w:rStyle w:val="StyleUnderline"/>
          <w:highlight w:val="yellow"/>
        </w:rPr>
        <w:t>dichotomy</w:t>
      </w:r>
      <w:r w:rsidRPr="00D16A1D">
        <w:rPr>
          <w:rStyle w:val="StyleUnderline"/>
        </w:rPr>
        <w:t xml:space="preserve"> </w:t>
      </w:r>
      <w:r w:rsidRPr="00482F29">
        <w:rPr>
          <w:rStyle w:val="StyleUnderline"/>
          <w:highlight w:val="yellow"/>
        </w:rPr>
        <w:t>would thus imply an original relatedn</w:t>
      </w:r>
      <w:r w:rsidRPr="00D16A1D">
        <w:rPr>
          <w:rStyle w:val="StyleUnderline"/>
        </w:rPr>
        <w:t xml:space="preserve">ess, even though such relational identities were forged within a context of deeply asymmetrical power relations. By using this term, </w:t>
      </w:r>
      <w:r w:rsidRPr="00482F29">
        <w:rPr>
          <w:rStyle w:val="StyleUnderline"/>
          <w:highlight w:val="yellow"/>
        </w:rPr>
        <w:t>Mignolo thus comes dangerously close to suggesting</w:t>
      </w:r>
      <w:r w:rsidRPr="00D16A1D">
        <w:rPr>
          <w:rStyle w:val="StyleUnderline"/>
        </w:rPr>
        <w:t xml:space="preserve"> a counterthesis to his own, and to align- ing himself with something like Anne Norton’s analysis of the “incom- pleteness” of any particular identity</w:t>
      </w:r>
      <w:r w:rsidRPr="00FD3C1A">
        <w:rPr>
          <w:sz w:val="16"/>
        </w:rPr>
        <w:t xml:space="preserve">: “Hegel’s account of the dependence of the identity of the master on the servant draws attention to another sense in which each identity is partial. Each identity is dependent on those against which it de nes itself.”12 </w:t>
      </w:r>
      <w:r w:rsidRPr="00D16A1D">
        <w:rPr>
          <w:rStyle w:val="StyleUnderline"/>
        </w:rPr>
        <w:t xml:space="preserve">Mignolo himself, however, claims that </w:t>
      </w:r>
      <w:r w:rsidRPr="00482F29">
        <w:rPr>
          <w:rStyle w:val="StyleUnderline"/>
          <w:highlight w:val="yellow"/>
        </w:rPr>
        <w:t>his project “is no longer conceivable in Hegel’s dialectics”</w:t>
      </w:r>
      <w:r w:rsidRPr="00D16A1D">
        <w:rPr>
          <w:rStyle w:val="StyleUnderline"/>
        </w:rPr>
        <w:t xml:space="preserve"> (Darker, 67), and he might well be pleased to be thus understood as radically “outside” the Western philosophic tradition</w:t>
      </w:r>
      <w:r w:rsidRPr="00FD3C1A">
        <w:rPr>
          <w:sz w:val="16"/>
        </w:rPr>
        <w:t xml:space="preserve">. But </w:t>
      </w:r>
      <w:r w:rsidRPr="00DD2C25">
        <w:rPr>
          <w:sz w:val="16"/>
          <w:highlight w:val="yellow"/>
        </w:rPr>
        <w:t>t</w:t>
      </w:r>
      <w:r w:rsidRPr="00DD2C25">
        <w:rPr>
          <w:rStyle w:val="StyleUnderline"/>
          <w:highlight w:val="yellow"/>
        </w:rPr>
        <w:t>o imagine something</w:t>
      </w:r>
      <w:r w:rsidRPr="00FD3C1A">
        <w:rPr>
          <w:rStyle w:val="StyleUnderline"/>
        </w:rPr>
        <w:t xml:space="preserve"> fundamentally “</w:t>
      </w:r>
      <w:r w:rsidRPr="00DD2C25">
        <w:rPr>
          <w:rStyle w:val="StyleUnderline"/>
          <w:highlight w:val="yellow"/>
        </w:rPr>
        <w:t>not- Hegelian” is to imagine di erences that are not in relation</w:t>
      </w:r>
      <w:r w:rsidRPr="00FD3C1A">
        <w:rPr>
          <w:rStyle w:val="StyleUnderline"/>
        </w:rPr>
        <w:t>, and a world constituted by monad-like cultures whose status is simply to be di erent as such. This would be, in Rodolphe Gasché’s words, an attempt to think the “absolutely singular,” which “from the standpoint of thinking is a thor- oughly idiosyncratic notion that resists the universalizing bent of thought” and which “does not t any of the classical de nitions of philosophy.”</w:t>
      </w:r>
      <w:r w:rsidRPr="00FD3C1A">
        <w:rPr>
          <w:sz w:val="16"/>
        </w:rPr>
        <w:t>13 Thus Mignolo posits a so-called “dichotomy” in which, however, two entities at once confront one another historically and yet lack any original relation. This sheer assertion of radical di erence not only positions his project outside philosophy but also disenables the very possibility of critical thought</w:t>
      </w:r>
      <w:r w:rsidRPr="00DD2C25">
        <w:rPr>
          <w:sz w:val="16"/>
          <w:highlight w:val="yellow"/>
        </w:rPr>
        <w:t xml:space="preserve">. </w:t>
      </w:r>
      <w:r w:rsidRPr="00DD2C25">
        <w:rPr>
          <w:rStyle w:val="StyleUnderline"/>
          <w:highlight w:val="yellow"/>
        </w:rPr>
        <w:t>Mignolo’s other conceptual metaphors share a similar incongruity. Mignolo claims that “subaltern reason” absorbs or incorporates hegemonic forms of knowledge,</w:t>
      </w:r>
      <w:r w:rsidRPr="00FD3C1A">
        <w:rPr>
          <w:rStyle w:val="StyleUnderline"/>
        </w:rPr>
        <w:t xml:space="preserve"> formulations that imply a certain fusion or combi- nation. He also claims, however, that those hegemonic forms have been displaced by the subaltern term in order to make room for it. The two terms also engage in battle, something that implies struggle and con ict without any necessary implication of their nal combination (a “battle” might logically result, for instance, in one or the other term’s obliteration or destruction). As we will eventually show, this unstable brillation among this set of metaphors exposes Mignolo’s project to one or more readings that directly contradict his avowed intentions. Now, just as Mignolo claims, in The Darker Side of the Renaissance, that Amerindian signifying practices are radically distinct from European one</w:t>
      </w:r>
      <w:r w:rsidRPr="00FD3C1A">
        <w:rPr>
          <w:sz w:val="16"/>
        </w:rPr>
        <w:t>s, so in Global Histories/Local Designs he suggests, more broadly, that a “modern (Western) epistemology” is absolutely closed o to its other, and unable to recognize Amerindian “alternatives” (Local, 9, emphasis original). A brief detour here through the thought of sociologist Anibal Quijano will be helpful in further assessing this claim.</w:t>
      </w:r>
      <w:r w:rsidRPr="00DD2C25">
        <w:rPr>
          <w:sz w:val="16"/>
          <w:highlight w:val="yellow"/>
        </w:rPr>
        <w:t xml:space="preserve">14 </w:t>
      </w:r>
      <w:r w:rsidRPr="00DD2C25">
        <w:rPr>
          <w:rStyle w:val="Emphasis"/>
          <w:highlight w:val="yellow"/>
        </w:rPr>
        <w:t>Mignolo often acknowledges his debt to Quijano, whose problematic opening moves are reproduced and ampli ed in Mignolo’s text.</w:t>
      </w:r>
      <w:r w:rsidRPr="00FD3C1A">
        <w:rPr>
          <w:rStyle w:val="Emphasis"/>
        </w:rPr>
        <w:t xml:space="preserve"> </w:t>
      </w:r>
      <w:r w:rsidRPr="00FD3C1A">
        <w:rPr>
          <w:sz w:val="16"/>
        </w:rPr>
        <w:t xml:space="preserve">Quijano’s notion of the “coloniality of power” describes “social relations within the last ve hundred years of historical capitalism” (27)15 and includes a set of four institutions: “the capitalist enterprise” proper, “the bourgeois family,” “the nation-state,” and “Euro- centrism” (545).16 The last of these institutions, Eurocentrism, is de ned by Quijano in terms of two of its “nuclear elements,” “evolution and dualism,” which produce “race” as a basic category for purposes of classi cation and domination (542). As Delgado de Torres tellingly explains, the coloniality of power de nes “a set of social relations between colonizer and colonized that are internal to Europe itself ” (“Reformulating,” 27; emphasis added). Or, as Quijano puts it, a “binary, dualist perspective” is “particular to Eurocen- trism” (“Coloniality,” 542; emphasis added).17 </w:t>
      </w:r>
      <w:r w:rsidRPr="00FD3C1A">
        <w:rPr>
          <w:rStyle w:val="StyleUnderline"/>
        </w:rPr>
        <w:t xml:space="preserve">Quijano’s rst assumption, therefore, is that “Europe” should be under- stood as a closed, self-su cient cultural totality, which during the con- quest and colonization of the Americas encounters other, alternative “local” totalities and attempts to impose its totality on theirs. As Mignolo argues, “There is nothing outside the totality of a given local history, other than other local histories perhaps producing either alternative totalities or an alternative to totality” (Local, 329). For Quijano, similarly, the world is composed of a “great number of di erent peoples, each with its own history, language, discoveries, and cultural products, memory and identity” (Quijano, “Coloniality,” 551). But as Michaelsen has argued at length else- where, </w:t>
      </w:r>
      <w:r w:rsidRPr="00FD3C1A">
        <w:rPr>
          <w:rStyle w:val="Emphasis"/>
        </w:rPr>
        <w:t>such an assumption, which undergirds anthropology’s traditional understanding of the concept of “culture” itself, cannot be intellectually sustained</w:t>
      </w:r>
      <w:r w:rsidRPr="00FD3C1A">
        <w:rPr>
          <w:rStyle w:val="StyleUnderline"/>
        </w:rPr>
        <w:t xml:space="preserve">. </w:t>
      </w:r>
      <w:r w:rsidRPr="00FD3C1A">
        <w:rPr>
          <w:rStyle w:val="Emphasis"/>
        </w:rPr>
        <w:t>There are no individual, cultural totalities; instead, the globe is composed of nothing but relations, in which each presumed totality depends on manifold others for its bordered sense of coherence.</w:t>
      </w:r>
      <w:r w:rsidRPr="00FD3C1A">
        <w:rPr>
          <w:sz w:val="16"/>
        </w:rPr>
        <w:t>18 “</w:t>
      </w:r>
      <w:r w:rsidRPr="00FD3C1A">
        <w:rPr>
          <w:rStyle w:val="Emphasis"/>
        </w:rPr>
        <w:t>Local histories,” then, literally do not exist, and epistemologically cannot exist, for the same reason that any individual identity cannot exist: such iden- tities are forever-incomplete political projects, rather than given, original existants; and as projects, they seek to e ace their intersubjective limits, ceaselessly attempting to purge all of the other identities upon which they fundamentally depend. No people, then, has ever had “its own identity,” much less “its own” cultural products (including language):</w:t>
      </w:r>
      <w:r w:rsidRPr="00FD3C1A">
        <w:rPr>
          <w:sz w:val="16"/>
        </w:rPr>
        <w:t xml:space="preserve"> “‘We’ are stitched together and shot through with all of ‘our’ others” (Michaelsen, Limits, 58). Nothing can escape this logic, including fteenth-century “New World” contact, which radically recon gured (already) relational identities (38). Quijano’s second, related assumption is that dualism is the exclusive and speci c property of Europe and Eurocentrism. Even Quijano himself, however, has di culty maintaining this position consistently; at one point, for example, he approvingly cites Immanuel Wallerstein regarding “a trait common to all colonial dominators and imperialists, ethnocen- trism” (Quijano, “Coloniality,” 541). This ethnocentrism, or the division of the world into an accented us/them dichotomy, would be one possible expression of a dualist or binary ontology, as Quijano makes clear (552). And if, historically, “</w:t>
      </w:r>
      <w:r w:rsidRPr="00DD2C25">
        <w:rPr>
          <w:rStyle w:val="Emphasis"/>
          <w:highlight w:val="yellow"/>
        </w:rPr>
        <w:t>all colonial dominators</w:t>
      </w:r>
      <w:r w:rsidRPr="00FD3C1A">
        <w:rPr>
          <w:rStyle w:val="Emphasis"/>
        </w:rPr>
        <w:t xml:space="preserve"> and imperialists” are ethno- centric, then all such dominators are dualist at their core</w:t>
      </w:r>
      <w:r w:rsidRPr="00FD3C1A">
        <w:rPr>
          <w:rStyle w:val="StyleUnderline"/>
        </w:rPr>
        <w:t xml:space="preserve">. But a list of suchdominators </w:t>
      </w:r>
      <w:r w:rsidRPr="00DD2C25">
        <w:rPr>
          <w:rStyle w:val="StyleUnderline"/>
          <w:highlight w:val="yellow"/>
        </w:rPr>
        <w:t>would</w:t>
      </w:r>
      <w:r w:rsidRPr="00FD3C1A">
        <w:rPr>
          <w:rStyle w:val="StyleUnderline"/>
        </w:rPr>
        <w:t xml:space="preserve"> </w:t>
      </w:r>
      <w:r w:rsidRPr="00DD2C25">
        <w:rPr>
          <w:rStyle w:val="StyleUnderline"/>
          <w:highlight w:val="yellow"/>
        </w:rPr>
        <w:t>perforce</w:t>
      </w:r>
      <w:r w:rsidRPr="00FD3C1A">
        <w:rPr>
          <w:rStyle w:val="StyleUnderline"/>
        </w:rPr>
        <w:t xml:space="preserve"> </w:t>
      </w:r>
      <w:r w:rsidRPr="00DD2C25">
        <w:rPr>
          <w:rStyle w:val="StyleUnderline"/>
          <w:highlight w:val="yellow"/>
        </w:rPr>
        <w:t>have</w:t>
      </w:r>
      <w:r w:rsidRPr="00FD3C1A">
        <w:rPr>
          <w:rStyle w:val="StyleUnderline"/>
        </w:rPr>
        <w:t xml:space="preserve"> </w:t>
      </w:r>
      <w:r w:rsidRPr="00DD2C25">
        <w:rPr>
          <w:rStyle w:val="StyleUnderline"/>
          <w:highlight w:val="yellow"/>
        </w:rPr>
        <w:t>to</w:t>
      </w:r>
      <w:r w:rsidRPr="00FD3C1A">
        <w:rPr>
          <w:rStyle w:val="StyleUnderline"/>
        </w:rPr>
        <w:t xml:space="preserve"> </w:t>
      </w:r>
      <w:r w:rsidRPr="00DD2C25">
        <w:rPr>
          <w:rStyle w:val="StyleUnderline"/>
          <w:highlight w:val="yellow"/>
        </w:rPr>
        <w:t>include</w:t>
      </w:r>
      <w:r w:rsidRPr="00FD3C1A">
        <w:rPr>
          <w:rStyle w:val="StyleUnderline"/>
        </w:rPr>
        <w:t xml:space="preserve"> </w:t>
      </w:r>
      <w:r w:rsidRPr="00DD2C25">
        <w:rPr>
          <w:rStyle w:val="StyleUnderline"/>
          <w:highlight w:val="yellow"/>
        </w:rPr>
        <w:t>many</w:t>
      </w:r>
      <w:r w:rsidRPr="00FD3C1A">
        <w:rPr>
          <w:rStyle w:val="StyleUnderline"/>
        </w:rPr>
        <w:t xml:space="preserve"> </w:t>
      </w:r>
      <w:r w:rsidRPr="00DD2C25">
        <w:rPr>
          <w:rStyle w:val="StyleUnderline"/>
          <w:highlight w:val="yellow"/>
        </w:rPr>
        <w:t>New</w:t>
      </w:r>
      <w:r w:rsidRPr="00FD3C1A">
        <w:rPr>
          <w:rStyle w:val="StyleUnderline"/>
        </w:rPr>
        <w:t xml:space="preserve"> </w:t>
      </w:r>
      <w:r w:rsidRPr="00DD2C25">
        <w:rPr>
          <w:rStyle w:val="StyleUnderline"/>
          <w:highlight w:val="yellow"/>
        </w:rPr>
        <w:t>World</w:t>
      </w:r>
      <w:r w:rsidRPr="00FD3C1A">
        <w:rPr>
          <w:rStyle w:val="StyleUnderline"/>
        </w:rPr>
        <w:t xml:space="preserve"> </w:t>
      </w:r>
      <w:r w:rsidRPr="00DD2C25">
        <w:rPr>
          <w:rStyle w:val="StyleUnderline"/>
          <w:highlight w:val="yellow"/>
        </w:rPr>
        <w:t>examples</w:t>
      </w:r>
      <w:r w:rsidRPr="00FD3C1A">
        <w:rPr>
          <w:rStyle w:val="StyleUnderline"/>
        </w:rPr>
        <w:t xml:space="preserve"> prior to the European invasions, </w:t>
      </w:r>
      <w:r w:rsidRPr="00DD2C25">
        <w:rPr>
          <w:rStyle w:val="StyleUnderline"/>
          <w:highlight w:val="yellow"/>
        </w:rPr>
        <w:t>such</w:t>
      </w:r>
      <w:r w:rsidRPr="00FD3C1A">
        <w:rPr>
          <w:rStyle w:val="StyleUnderline"/>
        </w:rPr>
        <w:t xml:space="preserve"> </w:t>
      </w:r>
      <w:r w:rsidRPr="00DD2C25">
        <w:rPr>
          <w:rStyle w:val="StyleUnderline"/>
          <w:highlight w:val="yellow"/>
        </w:rPr>
        <w:t>as</w:t>
      </w:r>
      <w:r w:rsidRPr="00FD3C1A">
        <w:rPr>
          <w:rStyle w:val="StyleUnderline"/>
        </w:rPr>
        <w:t xml:space="preserve"> </w:t>
      </w:r>
      <w:r w:rsidRPr="00DD2C25">
        <w:rPr>
          <w:rStyle w:val="StyleUnderline"/>
          <w:highlight w:val="yellow"/>
        </w:rPr>
        <w:t>the</w:t>
      </w:r>
      <w:r w:rsidRPr="00FD3C1A">
        <w:rPr>
          <w:rStyle w:val="StyleUnderline"/>
        </w:rPr>
        <w:t xml:space="preserve"> </w:t>
      </w:r>
      <w:r w:rsidRPr="00DD2C25">
        <w:rPr>
          <w:rStyle w:val="StyleUnderline"/>
          <w:highlight w:val="yellow"/>
        </w:rPr>
        <w:t>Iroquois</w:t>
      </w:r>
      <w:r w:rsidRPr="00FD3C1A">
        <w:rPr>
          <w:rStyle w:val="StyleUnderline"/>
        </w:rPr>
        <w:t xml:space="preserve">, Mayan, Mexica, and Incan </w:t>
      </w:r>
      <w:r w:rsidRPr="00DD2C25">
        <w:rPr>
          <w:rStyle w:val="StyleUnderline"/>
          <w:highlight w:val="yellow"/>
        </w:rPr>
        <w:t>empires</w:t>
      </w:r>
      <w:r w:rsidRPr="00FD3C1A">
        <w:rPr>
          <w:rStyle w:val="StyleUnderline"/>
        </w:rPr>
        <w:t xml:space="preserve">. It would </w:t>
      </w:r>
      <w:r w:rsidRPr="00DD2C25">
        <w:rPr>
          <w:rStyle w:val="StyleUnderline"/>
          <w:highlight w:val="yellow"/>
        </w:rPr>
        <w:t>thus</w:t>
      </w:r>
      <w:r w:rsidRPr="00FD3C1A">
        <w:rPr>
          <w:rStyle w:val="StyleUnderline"/>
        </w:rPr>
        <w:t xml:space="preserve"> be </w:t>
      </w:r>
      <w:r w:rsidRPr="00DD2C25">
        <w:rPr>
          <w:rStyle w:val="StyleUnderline"/>
          <w:highlight w:val="yellow"/>
        </w:rPr>
        <w:t>impossible</w:t>
      </w:r>
      <w:r w:rsidRPr="00FD3C1A">
        <w:rPr>
          <w:rStyle w:val="StyleUnderline"/>
        </w:rPr>
        <w:t xml:space="preserve"> </w:t>
      </w:r>
      <w:r w:rsidRPr="00DD2C25">
        <w:rPr>
          <w:rStyle w:val="StyleUnderline"/>
          <w:highlight w:val="yellow"/>
        </w:rPr>
        <w:t>to</w:t>
      </w:r>
      <w:r w:rsidRPr="00FD3C1A">
        <w:rPr>
          <w:rStyle w:val="StyleUnderline"/>
        </w:rPr>
        <w:t xml:space="preserve"> </w:t>
      </w:r>
      <w:r w:rsidRPr="00DD2C25">
        <w:rPr>
          <w:rStyle w:val="StyleUnderline"/>
          <w:highlight w:val="yellow"/>
        </w:rPr>
        <w:t>limit</w:t>
      </w:r>
      <w:r w:rsidRPr="00FD3C1A">
        <w:rPr>
          <w:rStyle w:val="StyleUnderline"/>
        </w:rPr>
        <w:t xml:space="preserve"> </w:t>
      </w:r>
      <w:r w:rsidRPr="00DD2C25">
        <w:rPr>
          <w:rStyle w:val="StyleUnderline"/>
          <w:highlight w:val="yellow"/>
        </w:rPr>
        <w:t>ethnocentric</w:t>
      </w:r>
      <w:r w:rsidRPr="00FD3C1A">
        <w:rPr>
          <w:rStyle w:val="StyleUnderline"/>
        </w:rPr>
        <w:t xml:space="preserve"> dualism </w:t>
      </w:r>
      <w:r w:rsidRPr="00DD2C25">
        <w:rPr>
          <w:rStyle w:val="StyleUnderline"/>
          <w:highlight w:val="yellow"/>
        </w:rPr>
        <w:t>to</w:t>
      </w:r>
      <w:r w:rsidRPr="00FD3C1A">
        <w:rPr>
          <w:rStyle w:val="StyleUnderline"/>
        </w:rPr>
        <w:t xml:space="preserve"> </w:t>
      </w:r>
      <w:r w:rsidRPr="00DD2C25">
        <w:rPr>
          <w:rStyle w:val="StyleUnderline"/>
          <w:highlight w:val="yellow"/>
        </w:rPr>
        <w:t>Europe</w:t>
      </w:r>
      <w:r w:rsidRPr="00FD3C1A">
        <w:rPr>
          <w:rStyle w:val="StyleUnderline"/>
        </w:rPr>
        <w:t xml:space="preserve"> “in particular.” Notwithstanding this apparently obvious problem, Mignolo follows Quijano closely here. Though he never says so with much emphasis, </w:t>
      </w:r>
      <w:r w:rsidRPr="00DD2C25">
        <w:rPr>
          <w:rStyle w:val="StyleUnderline"/>
          <w:highlight w:val="yellow"/>
        </w:rPr>
        <w:t>Mignolo</w:t>
      </w:r>
      <w:r w:rsidRPr="00FD3C1A">
        <w:rPr>
          <w:rStyle w:val="StyleUnderline"/>
        </w:rPr>
        <w:t xml:space="preserve"> </w:t>
      </w:r>
      <w:r w:rsidRPr="00DD2C25">
        <w:rPr>
          <w:rStyle w:val="StyleUnderline"/>
          <w:highlight w:val="yellow"/>
        </w:rPr>
        <w:t>comprehends</w:t>
      </w:r>
      <w:r w:rsidRPr="00FD3C1A">
        <w:rPr>
          <w:rStyle w:val="StyleUnderline"/>
        </w:rPr>
        <w:t xml:space="preserve"> </w:t>
      </w:r>
      <w:r w:rsidRPr="00DD2C25">
        <w:rPr>
          <w:rStyle w:val="StyleUnderline"/>
          <w:highlight w:val="yellow"/>
        </w:rPr>
        <w:t>Amerindian</w:t>
      </w:r>
      <w:r w:rsidRPr="00FD3C1A">
        <w:rPr>
          <w:rStyle w:val="StyleUnderline"/>
        </w:rPr>
        <w:t xml:space="preserve"> “gnosis” </w:t>
      </w:r>
      <w:r w:rsidRPr="00DD2C25">
        <w:rPr>
          <w:rStyle w:val="StyleUnderline"/>
          <w:highlight w:val="yellow"/>
        </w:rPr>
        <w:t>as</w:t>
      </w:r>
      <w:r w:rsidRPr="00FD3C1A">
        <w:rPr>
          <w:rStyle w:val="StyleUnderline"/>
        </w:rPr>
        <w:t xml:space="preserve"> </w:t>
      </w:r>
      <w:r w:rsidRPr="00DD2C25">
        <w:rPr>
          <w:rStyle w:val="StyleUnderline"/>
          <w:highlight w:val="yellow"/>
        </w:rPr>
        <w:t>fundamentally</w:t>
      </w:r>
      <w:r w:rsidRPr="00FD3C1A">
        <w:rPr>
          <w:rStyle w:val="StyleUnderline"/>
        </w:rPr>
        <w:t xml:space="preserve"> </w:t>
      </w:r>
      <w:r w:rsidRPr="00DD2C25">
        <w:rPr>
          <w:rStyle w:val="StyleUnderline"/>
          <w:highlight w:val="yellow"/>
        </w:rPr>
        <w:t>di erent</w:t>
      </w:r>
      <w:r w:rsidRPr="00FD3C1A">
        <w:rPr>
          <w:rStyle w:val="StyleUnderline"/>
        </w:rPr>
        <w:t xml:space="preserve"> from a Western or European one,</w:t>
      </w:r>
      <w:r w:rsidRPr="00FD3C1A">
        <w:rPr>
          <w:sz w:val="16"/>
        </w:rPr>
        <w:t xml:space="preserve"> precisely because it is grounded in a logic of complementarity rather than dualism or binarity: “The Sun and the Moon, in Amerindian categories of thought are not opposite, contrary or contradictory; they are complementary. To extend deconstruction beyond Western metaphysics or to assume that there is nothing else than Western metaphysics will be a move similar to colonizing global designs” (Local, 326).19 We rst note that the division of the world into binarity (Europe) and complementarity (its others, including Amerindia) runs uncomfortably close to the long history of the romanticization of the other.20 In particular, it seems a mere variation on the anthropological distinction between soci- eties premised on individuality and di erence, and those grounded in community or cooperation.21 The introduction of such an old, essentialist binary into Mignolo’s text should give any reader pause. If Mignolo were correct, however, this would mean that Amerindian logic is fundamentally nonhierarchical and nonexclusive and that Amer- indian gnosis involves no structural oppositions at all. Such gnosis would have, then, no in ections, no hierarchies, and no values of any kind. No term or concept could ever be privileged; each would be deemed necessary to its other—supplying its lack, and “completing” the other, rather than opposing it.22 But this completion would necessarily imply a higher order of synthesis: if “man” is not privileged over “woman,” for instance, and such terms are instead complementary, then they would necessarily nd their completion in some higher, perhaps neo-Platonic, “third sex” concept, or, perhaps, “life” or “human being.” </w:t>
      </w:r>
      <w:r w:rsidRPr="00FD3C1A">
        <w:rPr>
          <w:rStyle w:val="Emphasis"/>
        </w:rPr>
        <w:t xml:space="preserve">But then, </w:t>
      </w:r>
      <w:r w:rsidRPr="00DD2C25">
        <w:rPr>
          <w:rStyle w:val="Emphasis"/>
          <w:highlight w:val="yellow"/>
        </w:rPr>
        <w:t>by</w:t>
      </w:r>
      <w:r w:rsidRPr="00FD3C1A">
        <w:rPr>
          <w:rStyle w:val="Emphasis"/>
        </w:rPr>
        <w:t xml:space="preserve"> the </w:t>
      </w:r>
      <w:r w:rsidRPr="00DD2C25">
        <w:rPr>
          <w:rStyle w:val="Emphasis"/>
          <w:highlight w:val="yellow"/>
        </w:rPr>
        <w:t>same</w:t>
      </w:r>
      <w:r w:rsidRPr="00FD3C1A">
        <w:rPr>
          <w:rStyle w:val="Emphasis"/>
        </w:rPr>
        <w:t xml:space="preserve"> </w:t>
      </w:r>
      <w:r w:rsidRPr="00DD2C25">
        <w:rPr>
          <w:rStyle w:val="Emphasis"/>
          <w:highlight w:val="yellow"/>
        </w:rPr>
        <w:t>logic</w:t>
      </w:r>
      <w:r w:rsidRPr="00FD3C1A">
        <w:rPr>
          <w:rStyle w:val="Emphasis"/>
        </w:rPr>
        <w:t xml:space="preserve">, even the “human </w:t>
      </w:r>
      <w:r w:rsidRPr="00DD2C25">
        <w:rPr>
          <w:rStyle w:val="Emphasis"/>
          <w:highlight w:val="yellow"/>
        </w:rPr>
        <w:t>being</w:t>
      </w:r>
      <w:r w:rsidRPr="00FD3C1A">
        <w:rPr>
          <w:rStyle w:val="Emphasis"/>
        </w:rPr>
        <w:t xml:space="preserve">” </w:t>
      </w:r>
      <w:r w:rsidRPr="00DD2C25">
        <w:rPr>
          <w:rStyle w:val="Emphasis"/>
          <w:highlight w:val="yellow"/>
        </w:rPr>
        <w:t>would</w:t>
      </w:r>
      <w:r w:rsidRPr="00FD3C1A">
        <w:rPr>
          <w:rStyle w:val="Emphasis"/>
        </w:rPr>
        <w:t xml:space="preserve"> necessarily </w:t>
      </w:r>
      <w:r w:rsidRPr="00DD2C25">
        <w:rPr>
          <w:rStyle w:val="Emphasis"/>
          <w:highlight w:val="yellow"/>
        </w:rPr>
        <w:t>be</w:t>
      </w:r>
      <w:r w:rsidRPr="00FD3C1A">
        <w:rPr>
          <w:rStyle w:val="Emphasis"/>
        </w:rPr>
        <w:t xml:space="preserve"> </w:t>
      </w:r>
      <w:r w:rsidRPr="00DD2C25">
        <w:rPr>
          <w:rStyle w:val="Emphasis"/>
          <w:highlight w:val="yellow"/>
        </w:rPr>
        <w:t>judged</w:t>
      </w:r>
      <w:r w:rsidRPr="00FD3C1A">
        <w:rPr>
          <w:rStyle w:val="Emphasis"/>
        </w:rPr>
        <w:t xml:space="preserve"> </w:t>
      </w:r>
      <w:r w:rsidRPr="00DD2C25">
        <w:rPr>
          <w:rStyle w:val="Emphasis"/>
          <w:highlight w:val="yellow"/>
        </w:rPr>
        <w:t>as</w:t>
      </w:r>
      <w:r w:rsidRPr="00FD3C1A">
        <w:rPr>
          <w:rStyle w:val="Emphasis"/>
        </w:rPr>
        <w:t xml:space="preserve"> </w:t>
      </w:r>
      <w:r w:rsidRPr="00DD2C25">
        <w:rPr>
          <w:rStyle w:val="Emphasis"/>
          <w:highlight w:val="yellow"/>
        </w:rPr>
        <w:t>complementary</w:t>
      </w:r>
      <w:r w:rsidRPr="00FD3C1A">
        <w:rPr>
          <w:rStyle w:val="Emphasis"/>
        </w:rPr>
        <w:t xml:space="preserve"> with regard to that which is “animal” or “inanimate,” and so forth, </w:t>
      </w:r>
      <w:r w:rsidRPr="00DD2C25">
        <w:rPr>
          <w:rStyle w:val="Emphasis"/>
          <w:highlight w:val="yellow"/>
        </w:rPr>
        <w:t>endlessly</w:t>
      </w:r>
      <w:r w:rsidRPr="00FD3C1A">
        <w:rPr>
          <w:rStyle w:val="Emphasis"/>
        </w:rPr>
        <w:t xml:space="preserve"> </w:t>
      </w:r>
      <w:r w:rsidRPr="00DD2C25">
        <w:rPr>
          <w:rStyle w:val="Emphasis"/>
          <w:highlight w:val="yellow"/>
        </w:rPr>
        <w:t>foreclosing</w:t>
      </w:r>
      <w:r w:rsidRPr="00FD3C1A">
        <w:rPr>
          <w:rStyle w:val="Emphasis"/>
        </w:rPr>
        <w:t xml:space="preserve"> in ection and hierarchy. In every possible register (race, culture, class, caste, gender, sex, age, or the like), </w:t>
      </w:r>
      <w:r w:rsidRPr="00DD2C25">
        <w:rPr>
          <w:rStyle w:val="Emphasis"/>
        </w:rPr>
        <w:t>di</w:t>
      </w:r>
      <w:r w:rsidRPr="00FD3C1A">
        <w:rPr>
          <w:rStyle w:val="Emphasis"/>
        </w:rPr>
        <w:t xml:space="preserve"> erence would undergo no valuation. There would be di erences, perhaps, but they would exist in “peaceful coexistence” rather than “violent hierarchy</w:t>
      </w:r>
      <w:r w:rsidRPr="00FD3C1A">
        <w:rPr>
          <w:sz w:val="16"/>
        </w:rPr>
        <w:t xml:space="preserve">.”23 At the limit of this thought, the “citizen” and the “stranger” would necessarily be thought in comple- mentary fashion, disenabling the very possibility of the state and sover- eignty, all basic structures of governance, and indeed, all modes of thinking and decision making that begin from systematic discrimination. </w:t>
      </w:r>
      <w:r w:rsidRPr="00DD2C25">
        <w:rPr>
          <w:rStyle w:val="Emphasis"/>
          <w:highlight w:val="yellow"/>
        </w:rPr>
        <w:t>We must conclude</w:t>
      </w:r>
      <w:r w:rsidRPr="00FD3C1A">
        <w:rPr>
          <w:rStyle w:val="Emphasis"/>
        </w:rPr>
        <w:t xml:space="preserve">, therefore, that </w:t>
      </w:r>
      <w:r w:rsidRPr="00DD2C25">
        <w:rPr>
          <w:rStyle w:val="Emphasis"/>
          <w:highlight w:val="yellow"/>
        </w:rPr>
        <w:t>the</w:t>
      </w:r>
      <w:r w:rsidRPr="00FD3C1A">
        <w:rPr>
          <w:rStyle w:val="Emphasis"/>
        </w:rPr>
        <w:t xml:space="preserve"> </w:t>
      </w:r>
      <w:r w:rsidRPr="00DD2C25">
        <w:rPr>
          <w:rStyle w:val="Emphasis"/>
          <w:highlight w:val="yellow"/>
        </w:rPr>
        <w:t>positing</w:t>
      </w:r>
      <w:r w:rsidRPr="00FD3C1A">
        <w:rPr>
          <w:rStyle w:val="Emphasis"/>
        </w:rPr>
        <w:t xml:space="preserve"> of radical complementarity </w:t>
      </w:r>
      <w:r w:rsidRPr="00DD2C25">
        <w:rPr>
          <w:rStyle w:val="Emphasis"/>
          <w:highlight w:val="yellow"/>
        </w:rPr>
        <w:t>implies</w:t>
      </w:r>
      <w:r w:rsidRPr="00FD3C1A">
        <w:rPr>
          <w:rStyle w:val="Emphasis"/>
        </w:rPr>
        <w:t xml:space="preserve"> a </w:t>
      </w:r>
      <w:r w:rsidRPr="00DD2C25">
        <w:rPr>
          <w:rStyle w:val="Emphasis"/>
          <w:highlight w:val="yellow"/>
        </w:rPr>
        <w:t>withdrawal</w:t>
      </w:r>
      <w:r w:rsidRPr="00FD3C1A">
        <w:rPr>
          <w:rStyle w:val="Emphasis"/>
        </w:rPr>
        <w:t xml:space="preserve"> </w:t>
      </w:r>
      <w:r w:rsidRPr="00DD2C25">
        <w:rPr>
          <w:rStyle w:val="Emphasis"/>
          <w:highlight w:val="yellow"/>
        </w:rPr>
        <w:t>from</w:t>
      </w:r>
      <w:r w:rsidRPr="00FD3C1A">
        <w:rPr>
          <w:rStyle w:val="Emphasis"/>
        </w:rPr>
        <w:t xml:space="preserve"> the </w:t>
      </w:r>
      <w:r w:rsidRPr="00DD2C25">
        <w:rPr>
          <w:rStyle w:val="Emphasis"/>
          <w:highlight w:val="yellow"/>
        </w:rPr>
        <w:t>political</w:t>
      </w:r>
      <w:r w:rsidRPr="00FD3C1A">
        <w:rPr>
          <w:rStyle w:val="Emphasis"/>
        </w:rPr>
        <w:t xml:space="preserve"> </w:t>
      </w:r>
      <w:r w:rsidRPr="00DD2C25">
        <w:rPr>
          <w:rStyle w:val="Emphasis"/>
          <w:highlight w:val="yellow"/>
        </w:rPr>
        <w:t>decision</w:t>
      </w:r>
      <w:r w:rsidRPr="00FD3C1A">
        <w:rPr>
          <w:rStyle w:val="Emphasis"/>
        </w:rPr>
        <w:t xml:space="preserve"> in general, into an alternative, arcadian space in which nothing ever need be decided.</w:t>
      </w:r>
      <w:r w:rsidRPr="00FD3C1A">
        <w:rPr>
          <w:sz w:val="16"/>
        </w:rPr>
        <w:t xml:space="preserve"> But as Derrida writes: “We know what always have been the practical (particularly political) e ects of immediately jumping beyond oppositions, and of protests in the simple form of neither this nor that” (Positions, 41). In other words, complemen- tarity, rather than fundamentally opposing binarity, leaves every available term for discrimination in place, “preventing any means of intervening in the eld e ectively” (Derrida, Positions, 41). In e ect, complementarity functions for Mignolo as a way to describe a border thinking in which somehow neither Europe nor Amerindia is privi- leged. Border thinking, we recall, involves absorption, displacement, and battle between the two sides of the fundamental colonial dichotomy; it is not merely “a new form of synchretism or hybridity” (Local, 12) but, rather, a thought where “indigenous and Western wisdom interact,” an “intersection between Western metaphysics and the multiple non-Western principles governing modes of thinking of local histories” (Local, 319, 326, emphases added). Yet </w:t>
      </w:r>
      <w:r w:rsidRPr="00FD3C1A">
        <w:rPr>
          <w:rStyle w:val="StyleUnderline"/>
        </w:rPr>
        <w:t>it often becomes clear that even Mignolo is unable to sustain or rigorously think this variously named combination of European and Amerindian ways of knowing in which neither predominates</w:t>
      </w:r>
      <w:r w:rsidRPr="00FD3C1A">
        <w:rPr>
          <w:sz w:val="16"/>
        </w:rPr>
        <w:t>. At one point, Mignolo considers how “theories travel,” confronting as they do other forms of knowledge that, by contrast, have “stayed put”; and “when this happens,” he concludes, There are several possibilities. One is to force the adaptation of the arriving theory</w:t>
      </w:r>
      <w:proofErr w:type="gramStart"/>
      <w:r w:rsidRPr="00FD3C1A">
        <w:rPr>
          <w:sz w:val="16"/>
        </w:rPr>
        <w:t>. . . .</w:t>
      </w:r>
      <w:proofErr w:type="gramEnd"/>
      <w:r w:rsidRPr="00FD3C1A">
        <w:rPr>
          <w:sz w:val="16"/>
        </w:rPr>
        <w:t xml:space="preserve"> And still another, provoked by the discomfort of the theories that stayed put . . . is to close the doors and the eyes and to propose a defense of the dwelling place facing the “danger” brought by travelers. And still another is to think, critically, at the intersection of the dwelling place and the new travelers, from the right and from the left, and to look at all of them critically. (Local, 175) How exactly are we to understand this place of intersection and interaction which is neither a hybrid nor a syncretic combination, this site which is neither atavistic nor cosmopolitan and yet from which “all” can be seen? Is this not precisely that nonplace of the “European” Enlightenment gaze that, at once everywhere and nowhere, claims the whole domain of knowledge as its privileged domain? And then, at other moments of Mignolo’s text, border thinking seems conversely to be little more than a displacing or replacing of European thought by its Amerindian counterpart. Mignolo ends his book with this plea: “The last horizon of border thinking . . . points toward a new way of thinking in which dichotomies can be replaced by the complemen- tarity of apparently contradictory terms” (Local, 338). Here, </w:t>
      </w:r>
      <w:r w:rsidRPr="00DD2C25">
        <w:rPr>
          <w:rStyle w:val="Emphasis"/>
          <w:highlight w:val="yellow"/>
        </w:rPr>
        <w:t>border thinking reveals itself to be simply synonymous with that “complementarity” which has already been identi ed as the de nitive characteristic of Amerindian gnosis.</w:t>
      </w:r>
      <w:r w:rsidRPr="00FD3C1A">
        <w:rPr>
          <w:rStyle w:val="Emphasis"/>
        </w:rPr>
        <w:t xml:space="preserve"> In this case, border thinking is no more than a “displacement” of the West—a “battle” in which subaltern knowledge wins everything, but at the cost of any possibility of double critique and absorption, and therefore of the unforeseeable or unknown.</w:t>
      </w:r>
      <w:r w:rsidRPr="00FD3C1A">
        <w:rPr>
          <w:sz w:val="16"/>
        </w:rPr>
        <w:t xml:space="preserve"> Thus, on the </w:t>
      </w:r>
      <w:r w:rsidRPr="00FD3C1A">
        <w:rPr>
          <w:rStyle w:val="Emphasis"/>
        </w:rPr>
        <w:t>one hand, border thinking emerges when the colonial di erence eventually overcomes the European thought that confronts it; on the other hand</w:t>
      </w:r>
      <w:r>
        <w:rPr>
          <w:rStyle w:val="Emphasis"/>
        </w:rPr>
        <w:t xml:space="preserve">, </w:t>
      </w:r>
      <w:r w:rsidRPr="00DD2C25">
        <w:rPr>
          <w:rStyle w:val="Emphasis"/>
          <w:highlight w:val="yellow"/>
        </w:rPr>
        <w:t>border thinking appears to be indistinguishable from the most classical aspirations of European thought.</w:t>
      </w:r>
      <w:r w:rsidRPr="00FD3C1A">
        <w:rPr>
          <w:rStyle w:val="Emphasis"/>
        </w:rPr>
        <w:t xml:space="preserve"> </w:t>
      </w:r>
      <w:r w:rsidRPr="00FD3C1A">
        <w:rPr>
          <w:sz w:val="16"/>
        </w:rPr>
        <w:t xml:space="preserve">It remains only to consider the more practical opposition allegedly put in play by the redemptive possibilities of border thinking: </w:t>
      </w:r>
      <w:r w:rsidRPr="00FD3C1A">
        <w:rPr>
          <w:rStyle w:val="StyleUnderline"/>
        </w:rPr>
        <w:t>the contrast between an alleged Amerindian democracy and the European nation-state. Here we begin, one more time, by following Quijano, whose elaboration of the problem of the nation-state will prove yet again to rest on a concealed contradiction.</w:t>
      </w:r>
      <w:r w:rsidRPr="00FD3C1A">
        <w:rPr>
          <w:sz w:val="16"/>
        </w:rPr>
        <w:t xml:space="preserve"> Quijano suggests that the nation-state is an intrinsically European phenomenon and therefore, following the argument we have previously summarized, embodies a dualist or binarist ontology. Nation- states in Latin America itself were founded on the European model, which explains at least in part their long histories of racial violence. </w:t>
      </w:r>
      <w:r w:rsidRPr="00DD2C25">
        <w:rPr>
          <w:rStyle w:val="StyleUnderline"/>
        </w:rPr>
        <w:t>He cites</w:t>
      </w:r>
      <w:r w:rsidRPr="00FD3C1A">
        <w:rPr>
          <w:rStyle w:val="StyleUnderline"/>
        </w:rPr>
        <w:t xml:space="preserve"> several examples of Latin American states (Argentina, Uruguay, and Chile) that were premised, at their foundations, on the conquest and land divestment of “indigenous peoples,” followed by a project of “racial homogenization” through extermination. This is, one must conclude, a kind of limit case that indicates with particular vividness how the nation-state as such must always embody an ethnocentric dualism (562–64). One might therefore expect that Quijano’s project would involve a cri- tique of the nation-state to the limit of its foundation: that is, to the limit of its division of the world into citizens and strangers. Instead, however, Quijano adopts a decidedly liberal framework for merely judging particular states on the basis of their relative processes of “democratization” (559).</w:t>
      </w:r>
      <w:r w:rsidRPr="00FD3C1A">
        <w:rPr>
          <w:sz w:val="16"/>
        </w:rPr>
        <w:t xml:space="preserve"> For example, Quijano makes this surprising observation about the United States: “In spite of the colonial relation of domination between whites and blacks and the colonial extermination of the indigenous population, we must admit, given the overwhelming majority of whites, that the new nation-state was genuinely representative of the greater part of the popu- lation” (560). The Latin American nation-state, therefore, must be capable of moving in either of two opposing directions: it can achieve the homoge- nization required to be “representative,” on the one hand, “by the exclu- sion of a signi cant part of the population,” or, on the other hand, “by means of the fundamental democratization of social and political relations.” And, of course, it is this total democratic inclusion which for Quijano provides for the possibility of “stable and rmly constituted” nation-states (564). As we have argued elsewhere, however, such inclusion is not achievable, for fundamental reasons of sovereignty and law: “The decision to enact the most minimal social contract . . . cannot but divide and exclude” along one line or more at the moment of its sovereign founding (102).24 The gure of the “subperson,” or what Giorgio Agamben refers to as “bare life,” is fundamental to state formation.25 Whether the subperson is categorized according to race, gender, class, and/or religion, one or more of these cate- gories—or some equally exclusive or even empty category—is necessarily foundational for any state.</w:t>
      </w:r>
    </w:p>
    <w:p w14:paraId="7FBF526B" w14:textId="77777777" w:rsidR="00735281" w:rsidRDefault="00735281" w:rsidP="00D003C6">
      <w:pPr>
        <w:rPr>
          <w:rStyle w:val="Emphasis"/>
        </w:rPr>
      </w:pPr>
    </w:p>
    <w:p w14:paraId="18120448" w14:textId="0F2DBB4F" w:rsidR="00E14F02" w:rsidRDefault="00866913" w:rsidP="00E14F02">
      <w:pPr>
        <w:pStyle w:val="Heading4"/>
      </w:pPr>
      <w:r>
        <w:t xml:space="preserve">5. </w:t>
      </w:r>
      <w:r w:rsidR="00E14F02">
        <w:t xml:space="preserve">Epistemic delinking is a ruse: the idealism of it turns the potential benefits </w:t>
      </w:r>
    </w:p>
    <w:p w14:paraId="063AFCCD" w14:textId="77777777" w:rsidR="00E14F02" w:rsidRDefault="00E14F02" w:rsidP="00E14F02">
      <w:pPr>
        <w:rPr>
          <w:rStyle w:val="Style13ptBold"/>
          <w:b w:val="0"/>
          <w:sz w:val="16"/>
          <w:szCs w:val="16"/>
        </w:rPr>
      </w:pPr>
      <w:r>
        <w:rPr>
          <w:rStyle w:val="Style13ptBold"/>
        </w:rPr>
        <w:t xml:space="preserve">Cheah 6 </w:t>
      </w:r>
      <w:r w:rsidRPr="004E4BB7">
        <w:rPr>
          <w:rStyle w:val="Style13ptBold"/>
          <w:b w:val="0"/>
          <w:sz w:val="16"/>
          <w:szCs w:val="16"/>
        </w:rPr>
        <w:t>(Peang Cheah, Professor of Rhetoric and Chair of the Center for Southeast Asia Studies at the University of California, Berkeley. “The Limits of Thinking in Decolonial Strategies”, ownsendcenter.berkeley.edu/publications/limits-thinking-decolonial-strategies) TSB</w:t>
      </w:r>
    </w:p>
    <w:p w14:paraId="2000F242" w14:textId="77777777" w:rsidR="00E14F02" w:rsidRDefault="00E14F02" w:rsidP="00E14F02">
      <w:pPr>
        <w:rPr>
          <w:rStyle w:val="Style13ptBold"/>
          <w:b w:val="0"/>
          <w:szCs w:val="26"/>
        </w:rPr>
      </w:pPr>
      <w:r>
        <w:rPr>
          <w:rStyle w:val="Style13ptBold"/>
          <w:b w:val="0"/>
          <w:szCs w:val="26"/>
        </w:rPr>
        <w:t>---Link to Foucalt</w:t>
      </w:r>
    </w:p>
    <w:p w14:paraId="5F5A80C7" w14:textId="77777777" w:rsidR="00E14F02" w:rsidRPr="004E4BB7" w:rsidRDefault="00E14F02" w:rsidP="00E14F02">
      <w:pPr>
        <w:rPr>
          <w:rStyle w:val="Style13ptBold"/>
          <w:b w:val="0"/>
          <w:szCs w:val="26"/>
        </w:rPr>
      </w:pPr>
      <w:r>
        <w:rPr>
          <w:rStyle w:val="Style13ptBold"/>
          <w:b w:val="0"/>
          <w:szCs w:val="26"/>
        </w:rPr>
        <w:t xml:space="preserve">--Case card that works well with the Cap K </w:t>
      </w:r>
    </w:p>
    <w:p w14:paraId="2E0B31FA" w14:textId="77777777" w:rsidR="00E14F02" w:rsidRDefault="00E14F02" w:rsidP="00E14F02">
      <w:pPr>
        <w:rPr>
          <w:rStyle w:val="Emphasis"/>
        </w:rPr>
      </w:pPr>
      <w:r>
        <w:t xml:space="preserve">What I would like to focus on are not the details </w:t>
      </w:r>
      <w:r w:rsidRPr="004E4BB7">
        <w:rPr>
          <w:rStyle w:val="StyleUnderline"/>
        </w:rPr>
        <w:t xml:space="preserve">of </w:t>
      </w:r>
      <w:r w:rsidRPr="00DD2C25">
        <w:rPr>
          <w:rStyle w:val="StyleUnderline"/>
          <w:highlight w:val="yellow"/>
        </w:rPr>
        <w:t>Mignolo’s polemical criticisms</w:t>
      </w:r>
      <w:r w:rsidRPr="004E4BB7">
        <w:rPr>
          <w:rStyle w:val="StyleUnderline"/>
        </w:rPr>
        <w:t>,</w:t>
      </w:r>
      <w:r>
        <w:t xml:space="preserve"> but instead the account of power implied by his understanding of the epistemic. What is </w:t>
      </w:r>
      <w:r w:rsidRPr="004E4BB7">
        <w:rPr>
          <w:rStyle w:val="StyleUnderline"/>
        </w:rPr>
        <w:t xml:space="preserve">put forward here </w:t>
      </w:r>
      <w:r w:rsidRPr="00DD2C25">
        <w:rPr>
          <w:rStyle w:val="StyleUnderline"/>
          <w:highlight w:val="yellow"/>
        </w:rPr>
        <w:t>is a logocentrism of power</w:t>
      </w:r>
      <w:r>
        <w:t xml:space="preserve">. For Mignolo, power, whether it is oppressive or liberatory, has a logic that we can chart, decipher, and ultimately correct. There is a logic of coloniality and it has to be counteracted by a logic of decoloniality. Delinking from the colonial matrix of power does not seek to reject modernity and its conceptual system because this is so widespread. It requires instead, </w:t>
      </w:r>
      <w:r w:rsidRPr="004E4BB7">
        <w:rPr>
          <w:rStyle w:val="StyleUnderline"/>
        </w:rPr>
        <w:t>Mignolo believes</w:t>
      </w:r>
      <w:r>
        <w:t xml:space="preserve">, “border thinking or border epistemology in the precise sense that the Western foundation of modernity and of knowledge is, on the one hand, unavoidable and, on the other, highly limited and dangerous.” </w:t>
      </w:r>
      <w:r w:rsidRPr="00DD2C25">
        <w:rPr>
          <w:rStyle w:val="StyleUnderline"/>
          <w:highlight w:val="yellow"/>
        </w:rPr>
        <w:t>Coloniality</w:t>
      </w:r>
      <w:r w:rsidRPr="004E4BB7">
        <w:rPr>
          <w:rStyle w:val="StyleUnderline"/>
        </w:rPr>
        <w:t xml:space="preserve"> </w:t>
      </w:r>
      <w:r w:rsidRPr="00DD2C25">
        <w:rPr>
          <w:rStyle w:val="StyleUnderline"/>
          <w:highlight w:val="yellow"/>
        </w:rPr>
        <w:t>is</w:t>
      </w:r>
      <w:r w:rsidRPr="004E4BB7">
        <w:rPr>
          <w:rStyle w:val="StyleUnderline"/>
        </w:rPr>
        <w:t xml:space="preserve"> ultimately always a </w:t>
      </w:r>
      <w:r w:rsidRPr="00DD2C25">
        <w:rPr>
          <w:rStyle w:val="StyleUnderline"/>
          <w:highlight w:val="yellow"/>
        </w:rPr>
        <w:t>failure</w:t>
      </w:r>
      <w:r w:rsidRPr="004E4BB7">
        <w:rPr>
          <w:rStyle w:val="StyleUnderline"/>
        </w:rPr>
        <w:t xml:space="preserve"> </w:t>
      </w:r>
      <w:r w:rsidRPr="00DD2C25">
        <w:rPr>
          <w:rStyle w:val="StyleUnderline"/>
          <w:highlight w:val="yellow"/>
        </w:rPr>
        <w:t>of</w:t>
      </w:r>
      <w:r w:rsidRPr="004E4BB7">
        <w:rPr>
          <w:rStyle w:val="StyleUnderline"/>
        </w:rPr>
        <w:t xml:space="preserve"> </w:t>
      </w:r>
      <w:r w:rsidRPr="00DD2C25">
        <w:rPr>
          <w:rStyle w:val="StyleUnderline"/>
          <w:highlight w:val="yellow"/>
        </w:rPr>
        <w:t>thought</w:t>
      </w:r>
      <w:r w:rsidRPr="004E4BB7">
        <w:rPr>
          <w:rStyle w:val="StyleUnderline"/>
        </w:rPr>
        <w:t>, of knowledge, or of a logic that is dangerous. This is also, in many respects, a top-down theory of power, where power is repressive and emanates from a totalizing source according to a logical design or plan</w:t>
      </w:r>
      <w:r>
        <w:t xml:space="preserve">. Events and occurrences up to and including the present are grounded in a logic that is dangerous or mistaken and that needs to be corrected by the intervention of other logics that emanate from the various subjects that have been excluded and subjugated by coloniality. It is at this point that the question of the re-embodiment and relocation of knowledge becomes crucial. For </w:t>
      </w:r>
      <w:r w:rsidRPr="00DD2C25">
        <w:rPr>
          <w:rStyle w:val="Emphasis"/>
          <w:highlight w:val="yellow"/>
        </w:rPr>
        <w:t>Mignolo</w:t>
      </w:r>
      <w:r w:rsidRPr="004E4BB7">
        <w:rPr>
          <w:rStyle w:val="Emphasis"/>
        </w:rPr>
        <w:t xml:space="preserve"> </w:t>
      </w:r>
      <w:r w:rsidRPr="00DD2C25">
        <w:rPr>
          <w:rStyle w:val="Emphasis"/>
          <w:highlight w:val="yellow"/>
        </w:rPr>
        <w:t>admits</w:t>
      </w:r>
      <w:r w:rsidRPr="004E4BB7">
        <w:rPr>
          <w:rStyle w:val="Emphasis"/>
        </w:rPr>
        <w:t xml:space="preserve"> </w:t>
      </w:r>
      <w:r w:rsidRPr="00DD2C25">
        <w:rPr>
          <w:rStyle w:val="Emphasis"/>
          <w:highlight w:val="yellow"/>
        </w:rPr>
        <w:t>that</w:t>
      </w:r>
      <w:r w:rsidRPr="004E4BB7">
        <w:rPr>
          <w:rStyle w:val="Emphasis"/>
        </w:rPr>
        <w:t xml:space="preserve"> the project of </w:t>
      </w:r>
      <w:r w:rsidRPr="00DD2C25">
        <w:rPr>
          <w:rStyle w:val="Emphasis"/>
          <w:highlight w:val="yellow"/>
        </w:rPr>
        <w:t>epistemic</w:t>
      </w:r>
      <w:r w:rsidRPr="004E4BB7">
        <w:rPr>
          <w:rStyle w:val="Emphasis"/>
        </w:rPr>
        <w:t xml:space="preserve"> </w:t>
      </w:r>
      <w:r w:rsidRPr="00DD2C25">
        <w:rPr>
          <w:rStyle w:val="Emphasis"/>
          <w:highlight w:val="yellow"/>
        </w:rPr>
        <w:t>delinking</w:t>
      </w:r>
      <w:r w:rsidRPr="004E4BB7">
        <w:rPr>
          <w:rStyle w:val="Emphasis"/>
        </w:rPr>
        <w:t xml:space="preserve"> may </w:t>
      </w:r>
      <w:r w:rsidRPr="00DD2C25">
        <w:rPr>
          <w:rStyle w:val="Emphasis"/>
          <w:highlight w:val="yellow"/>
        </w:rPr>
        <w:t>sound</w:t>
      </w:r>
      <w:r w:rsidRPr="004E4BB7">
        <w:rPr>
          <w:rStyle w:val="Emphasis"/>
        </w:rPr>
        <w:t xml:space="preserve"> “somewhat </w:t>
      </w:r>
      <w:r w:rsidRPr="00DD2C25">
        <w:rPr>
          <w:rStyle w:val="Emphasis"/>
          <w:highlight w:val="yellow"/>
        </w:rPr>
        <w:t>messianic</w:t>
      </w:r>
      <w:r w:rsidRPr="004E4BB7">
        <w:rPr>
          <w:rStyle w:val="Emphasis"/>
        </w:rPr>
        <w:t>.” I would say perhaps “</w:t>
      </w:r>
      <w:r w:rsidRPr="00DD2C25">
        <w:rPr>
          <w:rStyle w:val="Emphasis"/>
          <w:highlight w:val="yellow"/>
        </w:rPr>
        <w:t>idealistic</w:t>
      </w:r>
      <w:r w:rsidRPr="004E4BB7">
        <w:rPr>
          <w:rStyle w:val="Emphasis"/>
        </w:rPr>
        <w:t xml:space="preserve">” </w:t>
      </w:r>
      <w:r w:rsidRPr="00DD2C25">
        <w:rPr>
          <w:rStyle w:val="Emphasis"/>
          <w:highlight w:val="yellow"/>
        </w:rPr>
        <w:t>in</w:t>
      </w:r>
      <w:r w:rsidRPr="004E4BB7">
        <w:rPr>
          <w:rStyle w:val="Emphasis"/>
        </w:rPr>
        <w:t xml:space="preserve"> </w:t>
      </w:r>
      <w:r w:rsidRPr="00DD2C25">
        <w:rPr>
          <w:rStyle w:val="Emphasis"/>
          <w:highlight w:val="yellow"/>
        </w:rPr>
        <w:t>the</w:t>
      </w:r>
      <w:r w:rsidRPr="004E4BB7">
        <w:rPr>
          <w:rStyle w:val="Emphasis"/>
        </w:rPr>
        <w:t xml:space="preserve"> </w:t>
      </w:r>
      <w:r w:rsidRPr="00DD2C25">
        <w:rPr>
          <w:rStyle w:val="Emphasis"/>
          <w:highlight w:val="yellow"/>
        </w:rPr>
        <w:t>colloquial</w:t>
      </w:r>
      <w:r w:rsidRPr="004E4BB7">
        <w:rPr>
          <w:rStyle w:val="Emphasis"/>
        </w:rPr>
        <w:t xml:space="preserve"> </w:t>
      </w:r>
      <w:r w:rsidRPr="00DD2C25">
        <w:rPr>
          <w:rStyle w:val="Emphasis"/>
          <w:highlight w:val="yellow"/>
        </w:rPr>
        <w:t>sense</w:t>
      </w:r>
      <w:r w:rsidRPr="004E4BB7">
        <w:rPr>
          <w:rStyle w:val="Emphasis"/>
        </w:rPr>
        <w:t xml:space="preserve">. </w:t>
      </w:r>
      <w:r>
        <w:t>However, he immediately asserts that it is “an orientation that in the first decade of the 21st century has shown its potential and its viability,” for example, in the various World Social Forums. Many historical examples of liberation are also adduced: the Amaru rising in Peru, the Hatian revolution and decolonization in Asia and Africa. As opposed to the false other that modernity has invented as its exteriority or outside, the outside that it has excluded in order to create itself, these truly other voices introduce “other cosmologies into the dominance and hegemony of Western cosmological variations within the same rhetoric of modernity and logic of coloniality.” The logic of decoloniality was then explicitly thematized in the thought of radical Arabo-Islamic thinkers in the 1960s and 1970s such as Ayatollah Khomeini and by philosophy of liberation in Latin America and by first-nation intellectuals. Th</w:t>
      </w:r>
      <w:r w:rsidRPr="004E4BB7">
        <w:rPr>
          <w:rStyle w:val="StyleUnderline"/>
        </w:rPr>
        <w:t xml:space="preserve">e </w:t>
      </w:r>
      <w:r w:rsidRPr="00DD2C25">
        <w:rPr>
          <w:rStyle w:val="StyleUnderline"/>
          <w:highlight w:val="yellow"/>
        </w:rPr>
        <w:t>stress</w:t>
      </w:r>
      <w:r w:rsidRPr="004E4BB7">
        <w:rPr>
          <w:rStyle w:val="StyleUnderline"/>
        </w:rPr>
        <w:t xml:space="preserve"> is placed on the importance of “other” languages that </w:t>
      </w:r>
      <w:r w:rsidRPr="00DD2C25">
        <w:rPr>
          <w:rStyle w:val="StyleUnderline"/>
          <w:highlight w:val="yellow"/>
        </w:rPr>
        <w:t>have</w:t>
      </w:r>
      <w:r w:rsidRPr="004E4BB7">
        <w:rPr>
          <w:rStyle w:val="StyleUnderline"/>
        </w:rPr>
        <w:t xml:space="preserve"> </w:t>
      </w:r>
      <w:r w:rsidRPr="00DD2C25">
        <w:rPr>
          <w:rStyle w:val="StyleUnderline"/>
          <w:highlight w:val="yellow"/>
        </w:rPr>
        <w:t>been</w:t>
      </w:r>
      <w:r w:rsidRPr="004E4BB7">
        <w:rPr>
          <w:rStyle w:val="StyleUnderline"/>
        </w:rPr>
        <w:t xml:space="preserve"> </w:t>
      </w:r>
      <w:r w:rsidRPr="00DD2C25">
        <w:rPr>
          <w:rStyle w:val="StyleUnderline"/>
          <w:highlight w:val="yellow"/>
        </w:rPr>
        <w:t>negated</w:t>
      </w:r>
      <w:r w:rsidRPr="004E4BB7">
        <w:rPr>
          <w:rStyle w:val="StyleUnderline"/>
        </w:rPr>
        <w:t xml:space="preserve"> </w:t>
      </w:r>
      <w:r w:rsidRPr="00DD2C25">
        <w:rPr>
          <w:rStyle w:val="StyleUnderline"/>
          <w:highlight w:val="yellow"/>
        </w:rPr>
        <w:t>by</w:t>
      </w:r>
      <w:r w:rsidRPr="004E4BB7">
        <w:rPr>
          <w:rStyle w:val="StyleUnderline"/>
        </w:rPr>
        <w:t xml:space="preserve"> </w:t>
      </w:r>
      <w:r w:rsidRPr="00DD2C25">
        <w:rPr>
          <w:rStyle w:val="StyleUnderline"/>
          <w:highlight w:val="yellow"/>
        </w:rPr>
        <w:t>colonial</w:t>
      </w:r>
      <w:r w:rsidRPr="004E4BB7">
        <w:rPr>
          <w:rStyle w:val="StyleUnderline"/>
        </w:rPr>
        <w:t xml:space="preserve"> </w:t>
      </w:r>
      <w:r w:rsidRPr="00DD2C25">
        <w:rPr>
          <w:rStyle w:val="StyleUnderline"/>
          <w:highlight w:val="yellow"/>
        </w:rPr>
        <w:t>modernity</w:t>
      </w:r>
      <w:r w:rsidRPr="004E4BB7">
        <w:rPr>
          <w:rStyle w:val="StyleUnderline"/>
        </w:rPr>
        <w:t>.</w:t>
      </w:r>
      <w:r>
        <w:t xml:space="preserve"> The argument here is similar to the epistemology of location in feminist theory and critical race theory (for example, Luce Irigaray). I would like to end by posing two questions concerning the two main limbs of Mignolo’s argument: the primacy of the epistemic and the urgency of embodying and locating knowledge. First, </w:t>
      </w:r>
      <w:r w:rsidRPr="00DD2C25">
        <w:rPr>
          <w:rStyle w:val="StyleUnderline"/>
          <w:highlight w:val="yellow"/>
        </w:rPr>
        <w:t>does power</w:t>
      </w:r>
      <w:r w:rsidRPr="004E4BB7">
        <w:rPr>
          <w:rStyle w:val="StyleUnderline"/>
        </w:rPr>
        <w:t xml:space="preserve"> in fact </w:t>
      </w:r>
      <w:r w:rsidRPr="00DD2C25">
        <w:rPr>
          <w:rStyle w:val="StyleUnderline"/>
          <w:highlight w:val="yellow"/>
        </w:rPr>
        <w:t>operate according to a logic</w:t>
      </w:r>
      <w:r w:rsidRPr="004E4BB7">
        <w:rPr>
          <w:rStyle w:val="StyleUnderline"/>
        </w:rPr>
        <w:t xml:space="preserve"> and from a totalizing source that represses </w:t>
      </w:r>
      <w:r w:rsidRPr="00DD2C25">
        <w:rPr>
          <w:rStyle w:val="StyleUnderline"/>
          <w:highlight w:val="yellow"/>
        </w:rPr>
        <w:t>and subjugates those</w:t>
      </w:r>
      <w:r w:rsidRPr="004E4BB7">
        <w:rPr>
          <w:rStyle w:val="StyleUnderline"/>
        </w:rPr>
        <w:t xml:space="preserve"> it has </w:t>
      </w:r>
      <w:r w:rsidRPr="00DD2C25">
        <w:rPr>
          <w:rStyle w:val="StyleUnderline"/>
          <w:highlight w:val="yellow"/>
        </w:rPr>
        <w:t>excluded in contemporary</w:t>
      </w:r>
      <w:r w:rsidRPr="004E4BB7">
        <w:rPr>
          <w:rStyle w:val="StyleUnderline"/>
        </w:rPr>
        <w:t xml:space="preserve"> </w:t>
      </w:r>
      <w:r w:rsidRPr="00DD2C25">
        <w:rPr>
          <w:rStyle w:val="StyleUnderline"/>
          <w:highlight w:val="yellow"/>
        </w:rPr>
        <w:t>globalization?</w:t>
      </w:r>
      <w:r w:rsidRPr="004E4BB7">
        <w:rPr>
          <w:rStyle w:val="StyleUnderline"/>
        </w:rPr>
        <w:t xml:space="preserve"> Is the link between modernity and coloniality primarily epistemic in character? It is interesting to note from this perspective that when Mignolo attempts to establish the epistemic link between modernity and coloniality, he relies on a historical biography and the fiction of a collective will or intention to dominate and colonize: “</w:t>
      </w:r>
      <w:r w:rsidRPr="00DD2C25">
        <w:rPr>
          <w:rStyle w:val="StyleUnderline"/>
          <w:highlight w:val="yellow"/>
        </w:rPr>
        <w:t>The</w:t>
      </w:r>
      <w:r w:rsidRPr="004E4BB7">
        <w:rPr>
          <w:rStyle w:val="StyleUnderline"/>
        </w:rPr>
        <w:t xml:space="preserve"> </w:t>
      </w:r>
      <w:r w:rsidRPr="00DD2C25">
        <w:rPr>
          <w:rStyle w:val="StyleUnderline"/>
          <w:highlight w:val="yellow"/>
        </w:rPr>
        <w:t>rhetoric</w:t>
      </w:r>
      <w:r w:rsidRPr="004E4BB7">
        <w:rPr>
          <w:rStyle w:val="StyleUnderline"/>
        </w:rPr>
        <w:t xml:space="preserve"> </w:t>
      </w:r>
      <w:r w:rsidRPr="00DD2C25">
        <w:rPr>
          <w:rStyle w:val="StyleUnderline"/>
          <w:highlight w:val="yellow"/>
        </w:rPr>
        <w:t>of</w:t>
      </w:r>
      <w:r w:rsidRPr="004E4BB7">
        <w:rPr>
          <w:rStyle w:val="StyleUnderline"/>
        </w:rPr>
        <w:t xml:space="preserve"> </w:t>
      </w:r>
      <w:r w:rsidRPr="00DD2C25">
        <w:rPr>
          <w:rStyle w:val="StyleUnderline"/>
          <w:highlight w:val="yellow"/>
        </w:rPr>
        <w:t>modernity</w:t>
      </w:r>
      <w:r w:rsidRPr="004E4BB7">
        <w:rPr>
          <w:rStyle w:val="StyleUnderline"/>
        </w:rPr>
        <w:t xml:space="preserve"> </w:t>
      </w:r>
      <w:r w:rsidRPr="00DD2C25">
        <w:rPr>
          <w:rStyle w:val="StyleUnderline"/>
          <w:highlight w:val="yellow"/>
        </w:rPr>
        <w:t>has</w:t>
      </w:r>
      <w:r w:rsidRPr="004E4BB7">
        <w:rPr>
          <w:rStyle w:val="StyleUnderline"/>
        </w:rPr>
        <w:t xml:space="preserve"> been </w:t>
      </w:r>
      <w:r w:rsidRPr="00DD2C25">
        <w:rPr>
          <w:rStyle w:val="StyleUnderline"/>
          <w:highlight w:val="yellow"/>
        </w:rPr>
        <w:t>predominantly</w:t>
      </w:r>
      <w:r w:rsidRPr="004E4BB7">
        <w:rPr>
          <w:rStyle w:val="StyleUnderline"/>
        </w:rPr>
        <w:t xml:space="preserve"> </w:t>
      </w:r>
      <w:r w:rsidRPr="00DD2C25">
        <w:rPr>
          <w:rStyle w:val="StyleUnderline"/>
          <w:highlight w:val="yellow"/>
        </w:rPr>
        <w:t>put</w:t>
      </w:r>
      <w:r w:rsidRPr="004E4BB7">
        <w:rPr>
          <w:rStyle w:val="StyleUnderline"/>
        </w:rPr>
        <w:t xml:space="preserve"> </w:t>
      </w:r>
      <w:r w:rsidRPr="00DD2C25">
        <w:rPr>
          <w:rStyle w:val="StyleUnderline"/>
          <w:highlight w:val="yellow"/>
        </w:rPr>
        <w:t>forward</w:t>
      </w:r>
      <w:r w:rsidRPr="004E4BB7">
        <w:rPr>
          <w:rStyle w:val="StyleUnderline"/>
        </w:rPr>
        <w:t xml:space="preserve"> </w:t>
      </w:r>
      <w:r w:rsidRPr="00DD2C25">
        <w:rPr>
          <w:rStyle w:val="StyleUnderline"/>
          <w:highlight w:val="yellow"/>
        </w:rPr>
        <w:t>by</w:t>
      </w:r>
      <w:r w:rsidRPr="004E4BB7">
        <w:rPr>
          <w:rStyle w:val="StyleUnderline"/>
        </w:rPr>
        <w:t xml:space="preserve"> </w:t>
      </w:r>
      <w:r w:rsidRPr="00DD2C25">
        <w:rPr>
          <w:rStyle w:val="StyleUnderline"/>
          <w:highlight w:val="yellow"/>
        </w:rPr>
        <w:t>European</w:t>
      </w:r>
      <w:r w:rsidRPr="004E4BB7">
        <w:rPr>
          <w:rStyle w:val="StyleUnderline"/>
        </w:rPr>
        <w:t xml:space="preserve"> </w:t>
      </w:r>
      <w:r w:rsidRPr="00DD2C25">
        <w:rPr>
          <w:rStyle w:val="StyleUnderline"/>
          <w:highlight w:val="yellow"/>
        </w:rPr>
        <w:t>men</w:t>
      </w:r>
      <w:r w:rsidRPr="004E4BB7">
        <w:rPr>
          <w:rStyle w:val="StyleUnderline"/>
        </w:rPr>
        <w:t xml:space="preserve"> of letters, philosophers, intellectuals, officers of the state</w:t>
      </w:r>
      <w:r>
        <w:t>. The modern/colonial power differential was, of course, structured at all levels (economic, political, epistemological, militarily), but it was at the epistemological level that the rhetoric of modernity gained currency. If we had time to go into the biography of the main voices that conceived ‘modernity’ as the series of historical events</w:t>
      </w:r>
      <w:proofErr w:type="gramStart"/>
      <w:r>
        <w:t>….all</w:t>
      </w:r>
      <w:proofErr w:type="gramEnd"/>
      <w:r>
        <w:t xml:space="preserve"> of them would originate in one of the six European countries leading the Renaissance, the colonial expansion and capitalist formation, and the European Enlightenment.” </w:t>
      </w:r>
      <w:r w:rsidRPr="004E4BB7">
        <w:rPr>
          <w:rStyle w:val="Emphasis"/>
        </w:rPr>
        <w:t xml:space="preserve">In this view, </w:t>
      </w:r>
      <w:r w:rsidRPr="00DD2C25">
        <w:rPr>
          <w:rStyle w:val="Emphasis"/>
          <w:highlight w:val="yellow"/>
        </w:rPr>
        <w:t>development in the</w:t>
      </w:r>
      <w:r w:rsidRPr="004E4BB7">
        <w:rPr>
          <w:rStyle w:val="Emphasis"/>
        </w:rPr>
        <w:t xml:space="preserve"> </w:t>
      </w:r>
      <w:r w:rsidRPr="00DD2C25">
        <w:rPr>
          <w:rStyle w:val="Emphasis"/>
          <w:highlight w:val="yellow"/>
        </w:rPr>
        <w:t>postcolonial world would be an ideological ruse of the logic of coloniality that forecloses the voices of marginalized</w:t>
      </w:r>
      <w:r w:rsidRPr="004E4BB7">
        <w:rPr>
          <w:rStyle w:val="Emphasis"/>
        </w:rPr>
        <w:t xml:space="preserve"> peoples. </w:t>
      </w:r>
      <w:r w:rsidRPr="00DD2C25">
        <w:rPr>
          <w:rStyle w:val="Emphasis"/>
          <w:highlight w:val="yellow"/>
        </w:rPr>
        <w:t>Yet, one might argue that exploitative development in contemporary globalization operates not by racist techniques of exclusion and marginalization, but precisely by including, integrating, and assimilating every being into the circuit of the international division of labor.</w:t>
      </w:r>
      <w:r w:rsidRPr="004E4BB7">
        <w:rPr>
          <w:rStyle w:val="Emphasis"/>
        </w:rPr>
        <w:t xml:space="preserve"> This is done by transforming them into reserve labor power through techniques of what Foucault called biopower. But we would here need to understand biopower in a different way from Mignolo’s understanding of biopolitics or body-politics, a difference that he also acknowledges</w:t>
      </w:r>
      <w:r>
        <w:t xml:space="preserve">. </w:t>
      </w:r>
      <w:r w:rsidRPr="004E4BB7">
        <w:rPr>
          <w:rStyle w:val="StyleUnderline"/>
        </w:rPr>
        <w:t>This different understanding of power as productive as opposed to repressive seems especially important in contemporary globalization where the flows of transnational capital fabricate the economic well-being of nation-states and their individual citizens.</w:t>
      </w:r>
      <w:r>
        <w:t xml:space="preserve"> First, at the macrological level of global political economy, states undertake aggressive policy initiatives to open up their markets and attract foreign capital. Second, at the level of the biopolitical production of the individual and the population, techniques of discipline and government craft the bodies of individuals as bodies capable of work and create their needs and interests as members of a population. Third, at the level of social reproduction, </w:t>
      </w:r>
      <w:r w:rsidRPr="004E4BB7">
        <w:rPr>
          <w:rStyle w:val="StyleUnderline"/>
        </w:rPr>
        <w:t>global mass consumer culture also leads to the proliferation of sophisticated consumer needs and desires. These processes constitute the conditions of possibility of the political and economic self-determination and sovereignty of collective subjects and the self-mastery and security of individual subjects. In other words, the current state of power relations is an effect of multiple processes that are dynamic, heterogeneous, and unstable, processes that cannot be reduced to a single logic of coloniality</w:t>
      </w:r>
      <w:r>
        <w:t xml:space="preserve">, although </w:t>
      </w:r>
      <w:r w:rsidRPr="004E4BB7">
        <w:rPr>
          <w:rStyle w:val="StyleUnderline"/>
        </w:rPr>
        <w:t>the latter can emerge as their effect. What is the relation between these two different conceptions of biopolitics? Do they contradict each other?</w:t>
      </w:r>
      <w:r>
        <w:t xml:space="preserve"> How would the wretched of the earth fit into this alternative cartography of global power that I have sketched? This leads me to my second question. </w:t>
      </w:r>
      <w:r w:rsidRPr="00DD2C25">
        <w:rPr>
          <w:rStyle w:val="Emphasis"/>
          <w:highlight w:val="yellow"/>
        </w:rPr>
        <w:t>The focus on re-embodying knowledges and knowledges in other languages can very easily lead to an idealization of bodily experiences and the concrete and the linguistic other.</w:t>
      </w:r>
      <w:r>
        <w:t xml:space="preserve"> First, do concrete corporeal experiences offer a genuinely other perspective if the concrete bodily needs of individuals are crafted by the techniques of biopower as they are incorporated into the </w:t>
      </w:r>
      <w:r w:rsidRPr="00B253AA">
        <w:rPr>
          <w:rStyle w:val="StyleUnderline"/>
        </w:rPr>
        <w:t>international division of labor? Second, indigenous languages are not inherently egalitarian or liberating just because they are non-European. Non-European languages can have hierarchical, conservative, or reactionary forms of address. Third, how are we to account for the startling similarity between Mignolo’s account of pluriversality and intercultural communication and the kind of cultural pluralism espoused by UNESCO?</w:t>
      </w:r>
      <w:r>
        <w:t xml:space="preserve"> </w:t>
      </w:r>
      <w:r w:rsidRPr="00B253AA">
        <w:rPr>
          <w:rStyle w:val="Emphasis"/>
        </w:rPr>
        <w:t xml:space="preserve">Here, </w:t>
      </w:r>
      <w:r w:rsidRPr="00233789">
        <w:rPr>
          <w:rStyle w:val="Emphasis"/>
          <w:highlight w:val="yellow"/>
        </w:rPr>
        <w:t>one</w:t>
      </w:r>
      <w:r w:rsidRPr="00B253AA">
        <w:rPr>
          <w:rStyle w:val="Emphasis"/>
        </w:rPr>
        <w:t xml:space="preserve"> </w:t>
      </w:r>
      <w:r w:rsidRPr="00233789">
        <w:rPr>
          <w:rStyle w:val="Emphasis"/>
          <w:highlight w:val="yellow"/>
        </w:rPr>
        <w:t>should</w:t>
      </w:r>
      <w:r w:rsidRPr="00B253AA">
        <w:rPr>
          <w:rStyle w:val="Emphasis"/>
        </w:rPr>
        <w:t xml:space="preserve"> also </w:t>
      </w:r>
      <w:r w:rsidRPr="00233789">
        <w:rPr>
          <w:rStyle w:val="Emphasis"/>
          <w:highlight w:val="yellow"/>
        </w:rPr>
        <w:t>note</w:t>
      </w:r>
      <w:r w:rsidRPr="00B253AA">
        <w:rPr>
          <w:rStyle w:val="Emphasis"/>
        </w:rPr>
        <w:t xml:space="preserve"> the </w:t>
      </w:r>
      <w:r w:rsidRPr="00233789">
        <w:rPr>
          <w:rStyle w:val="Emphasis"/>
          <w:highlight w:val="yellow"/>
        </w:rPr>
        <w:t>importance</w:t>
      </w:r>
      <w:r w:rsidRPr="00B253AA">
        <w:rPr>
          <w:rStyle w:val="Emphasis"/>
        </w:rPr>
        <w:t xml:space="preserve"> </w:t>
      </w:r>
      <w:r w:rsidRPr="00233789">
        <w:rPr>
          <w:rStyle w:val="Emphasis"/>
          <w:highlight w:val="yellow"/>
        </w:rPr>
        <w:t>of</w:t>
      </w:r>
      <w:r w:rsidRPr="00B253AA">
        <w:rPr>
          <w:rStyle w:val="Emphasis"/>
        </w:rPr>
        <w:t xml:space="preserve"> </w:t>
      </w:r>
      <w:r w:rsidRPr="00233789">
        <w:rPr>
          <w:rStyle w:val="Emphasis"/>
          <w:highlight w:val="yellow"/>
        </w:rPr>
        <w:t>language</w:t>
      </w:r>
      <w:r w:rsidRPr="00B253AA">
        <w:rPr>
          <w:rStyle w:val="Emphasis"/>
        </w:rPr>
        <w:t xml:space="preserve"> learning and multiculturalism to the operations of multinational capital. </w:t>
      </w:r>
      <w:r w:rsidRPr="00233789">
        <w:rPr>
          <w:rStyle w:val="Emphasis"/>
          <w:highlight w:val="yellow"/>
        </w:rPr>
        <w:t>These</w:t>
      </w:r>
      <w:r w:rsidRPr="00B253AA">
        <w:rPr>
          <w:rStyle w:val="Emphasis"/>
        </w:rPr>
        <w:t xml:space="preserve"> </w:t>
      </w:r>
      <w:r w:rsidRPr="00233789">
        <w:rPr>
          <w:rStyle w:val="Emphasis"/>
          <w:highlight w:val="yellow"/>
        </w:rPr>
        <w:t>are</w:t>
      </w:r>
      <w:r w:rsidRPr="00B253AA">
        <w:rPr>
          <w:rStyle w:val="Emphasis"/>
        </w:rPr>
        <w:t xml:space="preserve"> all </w:t>
      </w:r>
      <w:r w:rsidRPr="00233789">
        <w:rPr>
          <w:rStyle w:val="Emphasis"/>
          <w:highlight w:val="yellow"/>
        </w:rPr>
        <w:t>forms</w:t>
      </w:r>
      <w:r w:rsidRPr="00B253AA">
        <w:rPr>
          <w:rStyle w:val="Emphasis"/>
        </w:rPr>
        <w:t xml:space="preserve"> </w:t>
      </w:r>
      <w:r w:rsidRPr="00233789">
        <w:rPr>
          <w:rStyle w:val="Emphasis"/>
          <w:highlight w:val="yellow"/>
        </w:rPr>
        <w:t>of</w:t>
      </w:r>
      <w:r w:rsidRPr="00B253AA">
        <w:rPr>
          <w:rStyle w:val="Emphasis"/>
        </w:rPr>
        <w:t xml:space="preserve"> </w:t>
      </w:r>
      <w:r w:rsidRPr="00233789">
        <w:rPr>
          <w:rStyle w:val="Emphasis"/>
          <w:highlight w:val="yellow"/>
        </w:rPr>
        <w:t>bio</w:t>
      </w:r>
      <w:r w:rsidRPr="00B253AA">
        <w:rPr>
          <w:rStyle w:val="Emphasis"/>
        </w:rPr>
        <w:t>-</w:t>
      </w:r>
      <w:r w:rsidRPr="00233789">
        <w:rPr>
          <w:rStyle w:val="Emphasis"/>
          <w:highlight w:val="yellow"/>
        </w:rPr>
        <w:t>power</w:t>
      </w:r>
      <w:r w:rsidRPr="00B253AA">
        <w:rPr>
          <w:rStyle w:val="Emphasis"/>
        </w:rPr>
        <w:t xml:space="preserve"> </w:t>
      </w:r>
      <w:r w:rsidRPr="00233789">
        <w:rPr>
          <w:rStyle w:val="Emphasis"/>
          <w:highlight w:val="yellow"/>
        </w:rPr>
        <w:t>in the Foucauldian sense.</w:t>
      </w:r>
      <w:r w:rsidRPr="00B253AA">
        <w:rPr>
          <w:rStyle w:val="Emphasis"/>
        </w:rPr>
        <w:t xml:space="preserve"> </w:t>
      </w:r>
      <w:r w:rsidRPr="00233789">
        <w:rPr>
          <w:rStyle w:val="Emphasis"/>
          <w:highlight w:val="yellow"/>
        </w:rPr>
        <w:t>How does one distinguish this</w:t>
      </w:r>
      <w:r w:rsidRPr="00B253AA">
        <w:rPr>
          <w:rStyle w:val="Emphasis"/>
        </w:rPr>
        <w:t xml:space="preserve"> from Mignolo’s sense of bio- or body-politics? </w:t>
      </w:r>
      <w:r w:rsidRPr="00233789">
        <w:rPr>
          <w:rStyle w:val="Emphasis"/>
          <w:highlight w:val="yellow"/>
        </w:rPr>
        <w:t>The problem might well be that we cannot do so.</w:t>
      </w:r>
      <w:r w:rsidRPr="00B253AA">
        <w:rPr>
          <w:rStyle w:val="Emphasis"/>
        </w:rPr>
        <w:t xml:space="preserve"> </w:t>
      </w:r>
      <w:r w:rsidRPr="00233789">
        <w:rPr>
          <w:rStyle w:val="Emphasis"/>
          <w:highlight w:val="yellow"/>
        </w:rPr>
        <w:t>One would need to look at the true heterogeneit</w:t>
      </w:r>
      <w:r w:rsidRPr="00B253AA">
        <w:rPr>
          <w:rStyle w:val="Emphasis"/>
        </w:rPr>
        <w:t xml:space="preserve">y of the outside </w:t>
      </w:r>
      <w:r w:rsidRPr="00233789">
        <w:rPr>
          <w:rStyle w:val="Emphasis"/>
          <w:highlight w:val="yellow"/>
        </w:rPr>
        <w:t>and the complex and multifarious technologies</w:t>
      </w:r>
      <w:r w:rsidRPr="00B253AA">
        <w:rPr>
          <w:rStyle w:val="Emphasis"/>
        </w:rPr>
        <w:t xml:space="preserve"> that fabricate these various outsides, not just at the level of a racist rhetoric of exclusion, but at the most concrete level of the production of the bodily needs and interests of subjects claiming alterity.</w:t>
      </w:r>
    </w:p>
    <w:p w14:paraId="70EF848A" w14:textId="6AD552D7" w:rsidR="007E4A0F" w:rsidRPr="007F4547" w:rsidRDefault="007E4A0F" w:rsidP="007E4A0F">
      <w:pPr>
        <w:pStyle w:val="Heading4"/>
        <w:rPr>
          <w:rStyle w:val="Style13ptBold"/>
          <w:b/>
        </w:rPr>
      </w:pPr>
      <w:r w:rsidRPr="007F4547">
        <w:rPr>
          <w:rStyle w:val="Style13ptBold"/>
          <w:b/>
        </w:rPr>
        <w:t xml:space="preserve">6. </w:t>
      </w:r>
      <w:r w:rsidRPr="007F4547">
        <w:rPr>
          <w:rStyle w:val="Style13ptBold"/>
          <w:b/>
        </w:rPr>
        <w:t xml:space="preserve">Settler colonialism is a theory constructed from white scholarship – belief in its system inevitably recreates colonialism </w:t>
      </w:r>
    </w:p>
    <w:p w14:paraId="2FBC8809" w14:textId="77777777" w:rsidR="007E4A0F" w:rsidRPr="007D4736" w:rsidRDefault="007E4A0F" w:rsidP="007E4A0F">
      <w:pPr>
        <w:rPr>
          <w:sz w:val="16"/>
          <w:szCs w:val="16"/>
        </w:rPr>
      </w:pPr>
      <w:r w:rsidRPr="007D4736">
        <w:rPr>
          <w:rStyle w:val="Style13ptBold"/>
        </w:rPr>
        <w:t>Macoun and Strakosch 13</w:t>
      </w:r>
      <w:r>
        <w:t xml:space="preserve"> </w:t>
      </w:r>
      <w:r w:rsidRPr="007D4736">
        <w:rPr>
          <w:sz w:val="16"/>
          <w:szCs w:val="16"/>
        </w:rPr>
        <w:t xml:space="preserve">(Elizabeth &amp; Alissa, Indigenous Studies Research Network ‘The ethical demands of settler colonial theory,’ Settler Colonial Studies, Volume 3, Issue 3, pp. 426-443, </w:t>
      </w:r>
      <w:hyperlink r:id="rId10" w:history="1">
        <w:r w:rsidRPr="001435A2">
          <w:rPr>
            <w:rStyle w:val="Hyperlink"/>
            <w:sz w:val="16"/>
            <w:szCs w:val="16"/>
          </w:rPr>
          <w:t>https://eprints.qut.edu.au/63908/1/63908.pdf</w:t>
        </w:r>
      </w:hyperlink>
      <w:r w:rsidRPr="007D4736">
        <w:rPr>
          <w:sz w:val="16"/>
          <w:szCs w:val="16"/>
        </w:rPr>
        <w:t>)</w:t>
      </w:r>
      <w:r>
        <w:rPr>
          <w:sz w:val="16"/>
          <w:szCs w:val="16"/>
        </w:rPr>
        <w:t xml:space="preserve"> lz</w:t>
      </w:r>
    </w:p>
    <w:p w14:paraId="6EBB9C4E" w14:textId="77777777" w:rsidR="007E4A0F" w:rsidRPr="007A2850" w:rsidRDefault="007E4A0F" w:rsidP="007E4A0F">
      <w:pPr>
        <w:rPr>
          <w:sz w:val="14"/>
        </w:rPr>
      </w:pPr>
      <w:r w:rsidRPr="00736E2D">
        <w:rPr>
          <w:sz w:val="14"/>
        </w:rPr>
        <w:t>However, as others have noted</w:t>
      </w:r>
      <w:r w:rsidRPr="00B87549">
        <w:rPr>
          <w:sz w:val="14"/>
          <w:highlight w:val="yellow"/>
        </w:rPr>
        <w:t xml:space="preserve">, </w:t>
      </w:r>
      <w:r w:rsidRPr="00B87549">
        <w:rPr>
          <w:b/>
          <w:highlight w:val="yellow"/>
          <w:u w:val="single"/>
        </w:rPr>
        <w:t>SCT</w:t>
      </w:r>
      <w:r w:rsidRPr="00736E2D">
        <w:rPr>
          <w:sz w:val="14"/>
        </w:rPr>
        <w:t xml:space="preserve"> seems unable to transcend itself, in the sense that it posits a structural inevitability to the settler colonial relationship. </w:t>
      </w:r>
      <w:r w:rsidRPr="00736E2D">
        <w:rPr>
          <w:rStyle w:val="StyleUnderline"/>
        </w:rPr>
        <w:t xml:space="preserve">We suggest that this structuralism </w:t>
      </w:r>
      <w:r w:rsidRPr="00B87549">
        <w:rPr>
          <w:rStyle w:val="StyleUnderline"/>
          <w:highlight w:val="yellow"/>
        </w:rPr>
        <w:t>can be mobilized by settler scholars in ways that delegitimize Indigenous resistance and reinforce violent colonial relationships</w:t>
      </w:r>
      <w:r w:rsidRPr="00736E2D">
        <w:rPr>
          <w:rStyle w:val="StyleUnderline"/>
        </w:rPr>
        <w:t xml:space="preserve">. </w:t>
      </w:r>
      <w:r w:rsidRPr="00736E2D">
        <w:rPr>
          <w:sz w:val="14"/>
        </w:rPr>
        <w:t xml:space="preserve">But while settlers come to stay and to erase Indigenous political existence, this does not mean that these intentions will be realized or must remain fixed. Non‐Indigenous scholars should challenge the politically convenient conflation of settler desires and reality, and of the political present and the future. This article highlights these issues in order to begin to unlock the transformative potential of SCT, engaging settler scholars as political actors and arguing that this approach has the potential to facilitate conversations and alliances with Indigenous people. It is precisely by using the strengths of SCT that we can challenge its limitations; the theory itself places ethical demands on us as settlers, including the demand that we actively refuse its potential to re‐empower our own academic voices and to marginalize Indigenous resistance. </w:t>
      </w:r>
      <w:r w:rsidRPr="00736E2D">
        <w:rPr>
          <w:rStyle w:val="StyleUnderline"/>
        </w:rPr>
        <w:t xml:space="preserve">For many decades, </w:t>
      </w:r>
      <w:r w:rsidRPr="00B87549">
        <w:rPr>
          <w:rStyle w:val="StyleUnderline"/>
          <w:highlight w:val="yellow"/>
        </w:rPr>
        <w:t>postcolonial theory</w:t>
      </w:r>
      <w:r w:rsidRPr="00736E2D">
        <w:rPr>
          <w:rStyle w:val="StyleUnderline"/>
        </w:rPr>
        <w:t xml:space="preserve"> has shaped global scholarship of colonialism, and this has </w:t>
      </w:r>
      <w:r w:rsidRPr="00B87549">
        <w:rPr>
          <w:rStyle w:val="StyleUnderline"/>
          <w:highlight w:val="yellow"/>
        </w:rPr>
        <w:t>tended to obscure the ongoing hierarchies of settler states</w:t>
      </w:r>
      <w:r w:rsidRPr="00736E2D">
        <w:rPr>
          <w:rStyle w:val="StyleUnderline"/>
        </w:rPr>
        <w:t>.</w:t>
      </w:r>
      <w:r w:rsidRPr="00736E2D">
        <w:rPr>
          <w:sz w:val="14"/>
        </w:rPr>
        <w:t xml:space="preserve">1 However, building on the theoretical contributions of Patrick Wolfe and Lorenzo Veracini, increasing numbers of scholars are beginning to think about settler colonialism as a specific political formation. Importantly, this work draws a distinction between settler states and formally decolonized societies, and acknowledges that postcolonial does not ‘mean the same thing as post‐settler colonial’.2 While this movement may be animated by and in sympathy with major developments in critical Indigenous theory and global Indigenous activism,3 </w:t>
      </w:r>
      <w:proofErr w:type="gramStart"/>
      <w:r w:rsidRPr="00B87549">
        <w:rPr>
          <w:rStyle w:val="StyleUnderline"/>
          <w:highlight w:val="yellow"/>
        </w:rPr>
        <w:t>settler</w:t>
      </w:r>
      <w:proofErr w:type="gramEnd"/>
      <w:r w:rsidRPr="00B87549">
        <w:rPr>
          <w:rStyle w:val="StyleUnderline"/>
          <w:highlight w:val="yellow"/>
        </w:rPr>
        <w:t xml:space="preserve"> colonial theory</w:t>
      </w:r>
      <w:r w:rsidRPr="00736E2D">
        <w:rPr>
          <w:rStyle w:val="StyleUnderline"/>
        </w:rPr>
        <w:t xml:space="preserve"> (SCT) </w:t>
      </w:r>
      <w:r w:rsidRPr="00B87549">
        <w:rPr>
          <w:rStyle w:val="StyleUnderline"/>
          <w:highlight w:val="yellow"/>
        </w:rPr>
        <w:t>remains a largely White attempt to think through contemporary colonial relationships</w:t>
      </w:r>
      <w:r w:rsidRPr="00736E2D">
        <w:rPr>
          <w:rStyle w:val="StyleUnderline"/>
        </w:rPr>
        <w:t>.</w:t>
      </w:r>
      <w:r w:rsidRPr="00736E2D">
        <w:rPr>
          <w:rStyle w:val="StyleUnderline"/>
          <w:sz w:val="14"/>
          <w:u w:val="none"/>
        </w:rPr>
        <w:t xml:space="preserve"> Like us, most settlers who use the theoretical framework are concerned to disturb rather than re‐enact colonial hierarchies, and seek to contribute to Indigenous political struggles. </w:t>
      </w:r>
      <w:r w:rsidRPr="00736E2D">
        <w:rPr>
          <w:sz w:val="14"/>
        </w:rPr>
        <w:t>However</w:t>
      </w:r>
      <w:r w:rsidRPr="00736E2D">
        <w:rPr>
          <w:rStyle w:val="StyleUnderline"/>
          <w:sz w:val="14"/>
          <w:u w:val="none"/>
        </w:rPr>
        <w:t xml:space="preserve">, </w:t>
      </w:r>
      <w:r w:rsidRPr="00736E2D">
        <w:rPr>
          <w:rStyle w:val="StyleUnderline"/>
        </w:rPr>
        <w:t>Indigenous scholars have not always embraced the theory and it has been met with scepticism by some engaged in challenging colonialism</w:t>
      </w:r>
      <w:r w:rsidRPr="00736E2D">
        <w:rPr>
          <w:sz w:val="14"/>
        </w:rPr>
        <w:t xml:space="preserve">.4 This article seeks to make explicit SCT’s current location as a primarily settler framework, and to explore its strengths and limitations in this context. </w:t>
      </w:r>
      <w:r w:rsidRPr="00736E2D">
        <w:rPr>
          <w:rStyle w:val="StyleUnderline"/>
          <w:sz w:val="14"/>
          <w:u w:val="none"/>
        </w:rPr>
        <w:t>While we do not suggest that SCT can only ever be used by settlers,</w:t>
      </w:r>
      <w:r w:rsidRPr="00736E2D">
        <w:rPr>
          <w:rStyle w:val="StyleUnderline"/>
        </w:rPr>
        <w:t xml:space="preserve"> we frame our discussion in relation to the current political and theoretical dynamics of its use.</w:t>
      </w:r>
      <w:r w:rsidRPr="00736E2D">
        <w:rPr>
          <w:rStyle w:val="StyleUnderline"/>
          <w:sz w:val="14"/>
          <w:u w:val="none"/>
        </w:rPr>
        <w:t xml:space="preserve"> </w:t>
      </w:r>
      <w:r w:rsidRPr="00736E2D">
        <w:rPr>
          <w:sz w:val="14"/>
        </w:rPr>
        <w:t xml:space="preserve">In the Australian context, SCT is an appealing interpretive framework for academics seeking to understand the state’s increasingly coercive approach to Indigenous people. It has had a particularly significant presence in Australian academic debates over the Commonwealth </w:t>
      </w:r>
      <w:proofErr w:type="gramStart"/>
      <w:r w:rsidRPr="00736E2D">
        <w:rPr>
          <w:sz w:val="14"/>
        </w:rPr>
        <w:t>government’s</w:t>
      </w:r>
      <w:proofErr w:type="gramEnd"/>
      <w:r w:rsidRPr="00736E2D">
        <w:rPr>
          <w:sz w:val="14"/>
        </w:rPr>
        <w:t xml:space="preserve"> Northern Territory (NT) Emergency Response (widely known as ‘the intervention’). Adopted with bipartisan support in 2007 following allegations of widespread abuse of children in remote Aboriginal communities, the intervention involves the imposition of controversial and coercive measures such as racially based welfare quarantining, alcohol and pornography bans, and the imposition of compulsory leases over Aboriginal land. The policy essentially understands Aboriginal communities as ‘insufficiently colonised zones’,5 and its introduction required the suspension of the Racial Discrimination Act 1975. This pathologizing of Aboriginal communities links Aboriginality to child abuse, prescribes additional interaction with the state and mainstream economy, and establishes a political debate about the nature and future of Aboriginality in which Indigenous perspectives are problematized.6 Given the policy’s articulation through language of ‘stabilizing’ and ‘normalizing’ Aboriginal communities,7 as well as obvious resonances with previous policies of segregation and assimilation, it is not surprising that a range of scholars have found settler colonialism to be a compelling framework for analysis.8 The intervention has also sparked debate about the role of non‐Indigenous academics, and the ethical and political implications of contributions by ‘outsiders’ to questions concerning the experiences and futures of Aboriginal people.9 In this paper, we draw on recent Australian academic debates surrounding the NT intervention to assess the contributions of SCT and to investigate some of the ethical and political implications of its use.   We contend that </w:t>
      </w:r>
      <w:r w:rsidRPr="00B87549">
        <w:rPr>
          <w:rStyle w:val="StyleUnderline"/>
          <w:highlight w:val="yellow"/>
        </w:rPr>
        <w:t>SCT</w:t>
      </w:r>
      <w:r w:rsidRPr="00736E2D">
        <w:rPr>
          <w:rStyle w:val="StyleUnderline"/>
        </w:rPr>
        <w:t xml:space="preserve"> makes major contributions to current mainstream scholarship, but that its analytic and explanatory power also </w:t>
      </w:r>
      <w:r w:rsidRPr="00B87549">
        <w:rPr>
          <w:rStyle w:val="StyleUnderline"/>
          <w:highlight w:val="yellow"/>
        </w:rPr>
        <w:t>presents a range of political and ethical risks</w:t>
      </w:r>
      <w:r w:rsidRPr="00736E2D">
        <w:rPr>
          <w:rStyle w:val="StyleUnderline"/>
        </w:rPr>
        <w:t>. Exposing colonization as ‘a structure not an event’10 confronts settlers with an account of contemporary colonialism that is difficult to avoid, exposing underlying similarities between conservative and progressive approaches to contemporary Indigenous policy</w:t>
      </w:r>
      <w:r w:rsidRPr="00736E2D">
        <w:rPr>
          <w:sz w:val="14"/>
        </w:rPr>
        <w:t xml:space="preserve"> and revealing intimate connections between settler emotions, practices, knowledges and institutions. However, </w:t>
      </w:r>
      <w:r w:rsidRPr="00B87549">
        <w:rPr>
          <w:rStyle w:val="StyleUnderline"/>
          <w:highlight w:val="yellow"/>
        </w:rPr>
        <w:t>emphasizing continuities in colonial relationships</w:t>
      </w:r>
      <w:r w:rsidRPr="00736E2D">
        <w:rPr>
          <w:rStyle w:val="StyleUnderline"/>
        </w:rPr>
        <w:t xml:space="preserve"> between the past </w:t>
      </w:r>
      <w:r w:rsidRPr="00B87549">
        <w:rPr>
          <w:rStyle w:val="StyleUnderline"/>
          <w:highlight w:val="yellow"/>
        </w:rPr>
        <w:t>and</w:t>
      </w:r>
      <w:r w:rsidRPr="00736E2D">
        <w:rPr>
          <w:rStyle w:val="StyleUnderline"/>
        </w:rPr>
        <w:t xml:space="preserve"> the present </w:t>
      </w:r>
      <w:r w:rsidRPr="00B87549">
        <w:rPr>
          <w:rStyle w:val="StyleUnderline"/>
          <w:highlight w:val="yellow"/>
        </w:rPr>
        <w:t>can tend to construct existing political relationships as inevitable and unchanging</w:t>
      </w:r>
      <w:r w:rsidRPr="00736E2D">
        <w:rPr>
          <w:rStyle w:val="StyleUnderline"/>
        </w:rPr>
        <w:t>.</w:t>
      </w:r>
      <w:r w:rsidRPr="00736E2D">
        <w:rPr>
          <w:sz w:val="14"/>
        </w:rPr>
        <w:t xml:space="preserve"> When deployed with a neutral descriptive authority, </w:t>
      </w:r>
      <w:r w:rsidRPr="00B87549">
        <w:rPr>
          <w:rStyle w:val="StyleUnderline"/>
          <w:highlight w:val="yellow"/>
        </w:rPr>
        <w:t>SCT can also re‐inscribe settler academics’ political authority and re‐enact the foundational settler fantasy</w:t>
      </w:r>
      <w:r w:rsidRPr="00736E2D">
        <w:rPr>
          <w:rStyle w:val="StyleUnderline"/>
        </w:rPr>
        <w:t xml:space="preserve"> that we constitute, comprehend and control the whole political space of our relationships with Indigenous people.</w:t>
      </w:r>
      <w:r w:rsidRPr="00736E2D">
        <w:rPr>
          <w:sz w:val="14"/>
        </w:rPr>
        <w:t xml:space="preserve"> In order to counter this potential, we suggest that while settler ways of thinking structure and dominate much of our contemporary reality, they are not equivalent to it. </w:t>
      </w:r>
      <w:r w:rsidRPr="00736E2D">
        <w:rPr>
          <w:rStyle w:val="StyleUnderline"/>
        </w:rPr>
        <w:t>SCT makes visible our own frames of reference, thus revealing possibilities and political visions that lie outside them.</w:t>
      </w:r>
      <w:r w:rsidRPr="00736E2D">
        <w:rPr>
          <w:sz w:val="14"/>
        </w:rPr>
        <w:t xml:space="preserve"> From this standpoint, the fact that settler colonialism struggles to narrate its own ending does not mean that it cannot end. Ultimately, we contend that this approach has the potential to facilitate new conversations and relationships with Indigenous people but, in order to unlock this transformative potential, settler scholars must remain attentive to our own positions within colonial relationships.</w:t>
      </w:r>
    </w:p>
    <w:p w14:paraId="38D10082" w14:textId="3ED0841F" w:rsidR="0071387E" w:rsidRDefault="00537DAD" w:rsidP="0071387E">
      <w:pPr>
        <w:pStyle w:val="Heading2"/>
      </w:pPr>
      <w:r>
        <w:t xml:space="preserve">1NC </w:t>
      </w:r>
      <w:r w:rsidR="0071387E">
        <w:t>A</w:t>
      </w:r>
      <w:r w:rsidR="00DA7B0E">
        <w:t>dvantage (Young Lords)</w:t>
      </w:r>
    </w:p>
    <w:p w14:paraId="6E56DCC0" w14:textId="687785B0" w:rsidR="00537DAD" w:rsidRDefault="00866913" w:rsidP="00537DAD">
      <w:pPr>
        <w:pStyle w:val="Heading4"/>
      </w:pPr>
      <w:r>
        <w:t xml:space="preserve">1. </w:t>
      </w:r>
      <w:r w:rsidR="00537DAD">
        <w:t>A view that homogenizes all of history into coloniality loses the past—the Enlightenment needs to be taken in context-- having one view of scientific rationality succumbs to the same essentialism they critique</w:t>
      </w:r>
    </w:p>
    <w:p w14:paraId="155FA8AA" w14:textId="77777777" w:rsidR="00537DAD" w:rsidRPr="009D6C8A" w:rsidRDefault="00537DAD" w:rsidP="00537DAD">
      <w:pPr>
        <w:rPr>
          <w:rStyle w:val="Style13ptBold"/>
          <w:b w:val="0"/>
        </w:rPr>
      </w:pPr>
      <w:r>
        <w:rPr>
          <w:rStyle w:val="Style13ptBold"/>
        </w:rPr>
        <w:t xml:space="preserve">Cooper 5 </w:t>
      </w:r>
      <w:r>
        <w:rPr>
          <w:rStyle w:val="Style13ptBold"/>
          <w:b w:val="0"/>
        </w:rPr>
        <w:t xml:space="preserve">(Frederick Cooper </w:t>
      </w:r>
      <w:r w:rsidRPr="009D6C8A">
        <w:rPr>
          <w:rStyle w:val="Style13ptBold"/>
          <w:b w:val="0"/>
        </w:rPr>
        <w:t>is an American historian who specializes in colonialization, decolonialization, and African history. Cooper received his Doctor of Philosophy from Yale University in 1974 and is currently professor of</w:t>
      </w:r>
      <w:r>
        <w:rPr>
          <w:rStyle w:val="Style13ptBold"/>
          <w:b w:val="0"/>
        </w:rPr>
        <w:t xml:space="preserve"> history at New York University, “Colonialism in Question: Theory, Knowledge, History.” P. 20-21) TSB</w:t>
      </w:r>
    </w:p>
    <w:p w14:paraId="788DADF1" w14:textId="757DE61C" w:rsidR="00537DAD" w:rsidRPr="00537DAD" w:rsidRDefault="00537DAD" w:rsidP="00537DAD">
      <w:r w:rsidRPr="009D6C8A">
        <w:rPr>
          <w:sz w:val="16"/>
        </w:rPr>
        <w:t xml:space="preserve">Here </w:t>
      </w:r>
      <w:r w:rsidRPr="00295149">
        <w:rPr>
          <w:rStyle w:val="StyleUnderline"/>
        </w:rPr>
        <w:t>I refer to claiming that something at time A caused something in time C without considering time B, which lies in between.</w:t>
      </w:r>
      <w:r w:rsidRPr="009D6C8A">
        <w:rPr>
          <w:sz w:val="16"/>
        </w:rPr>
        <w:t xml:space="preserve"> African political sci- entist Mahmood Mamdani, in his Citizen and Subject: Contemporary Africa and the Legacy of Late Colonialism,22 draws a direct causal connec- tion between a colonial policy—important in the 1920s and 1930s—of rul- ing through African chiefdoms given authority under colonial auspices and the brittle politics of authoritarianism and ethnicity in Africa in the 1980s and 1990s. Mamdani has a point at either end of his leapfrog, but he misses what lies in between. His book says almost nothing about the 1950s and 1960s, and thus does not consider another dimension of Africa’s malaise: that there was indeed effective mobilization in those years that cut across ethnic divisions and urban/rural distinctions. Through such mobilizations, Africans made strong claims to citizenship. African politicians built a pow- erful challenge to colonial regimes—either to make good on the implied promises of imperial citizenship or to give way to governments that could truly represent their citizens (see chapter 7). But once in power, such lead- ers understood all too well how dangerous such claims were. The explosion of citizenship in the final years of colonial rule appears nowhere in Mam- dani’s book. He thus misses not only the sequence of processes in the de- colonization era, but the tragedy of recent African history, people’s height- ened sense of possibility and the thwarting of their hopes.23 Doing History Backward </w:t>
      </w:r>
      <w:r w:rsidRPr="00233789">
        <w:rPr>
          <w:rStyle w:val="Emphasis"/>
          <w:highlight w:val="yellow"/>
        </w:rPr>
        <w:t>Trying</w:t>
      </w:r>
      <w:r w:rsidRPr="009D6C8A">
        <w:rPr>
          <w:rStyle w:val="Emphasis"/>
        </w:rPr>
        <w:t xml:space="preserve"> </w:t>
      </w:r>
      <w:r w:rsidRPr="00233789">
        <w:rPr>
          <w:rStyle w:val="Emphasis"/>
          <w:highlight w:val="yellow"/>
        </w:rPr>
        <w:t>to</w:t>
      </w:r>
      <w:r w:rsidRPr="009D6C8A">
        <w:rPr>
          <w:rStyle w:val="Emphasis"/>
        </w:rPr>
        <w:t xml:space="preserve"> </w:t>
      </w:r>
      <w:r w:rsidRPr="00233789">
        <w:rPr>
          <w:rStyle w:val="Emphasis"/>
          <w:highlight w:val="yellow"/>
        </w:rPr>
        <w:t>illuminate</w:t>
      </w:r>
      <w:r w:rsidRPr="009D6C8A">
        <w:rPr>
          <w:rStyle w:val="Emphasis"/>
        </w:rPr>
        <w:t xml:space="preserve"> present </w:t>
      </w:r>
      <w:r w:rsidRPr="00233789">
        <w:rPr>
          <w:rStyle w:val="Emphasis"/>
          <w:highlight w:val="yellow"/>
        </w:rPr>
        <w:t>issues</w:t>
      </w:r>
      <w:r w:rsidRPr="009D6C8A">
        <w:rPr>
          <w:rStyle w:val="Emphasis"/>
        </w:rPr>
        <w:t xml:space="preserve"> is </w:t>
      </w:r>
      <w:r w:rsidRPr="00233789">
        <w:rPr>
          <w:rStyle w:val="Emphasis"/>
          <w:highlight w:val="yellow"/>
        </w:rPr>
        <w:t>a fine motivation for exploring the past</w:t>
      </w:r>
      <w:r w:rsidRPr="009D6C8A">
        <w:rPr>
          <w:rStyle w:val="Emphasis"/>
        </w:rPr>
        <w:t xml:space="preserve">, but as one looks backward, one risks anachronism: confusing the ana- lytic categories of the present with the native categories of the past, as if </w:t>
      </w:r>
      <w:r w:rsidRPr="00233789">
        <w:rPr>
          <w:rStyle w:val="Emphasis"/>
          <w:highlight w:val="yellow"/>
        </w:rPr>
        <w:t>peo- ple acted in search of identity or to build a nation when such ways of think- ing might not have been available to them</w:t>
      </w:r>
      <w:r w:rsidRPr="009D6C8A">
        <w:rPr>
          <w:rStyle w:val="Emphasis"/>
        </w:rPr>
        <w:t xml:space="preserve">. Even more important is what one does not see: the paths not taken, the dead ends of historical processes, </w:t>
      </w:r>
      <w:r w:rsidRPr="00233789">
        <w:rPr>
          <w:rStyle w:val="Emphasis"/>
          <w:highlight w:val="yellow"/>
        </w:rPr>
        <w:t>the alternatives that appeared to people in their time</w:t>
      </w:r>
      <w:r w:rsidRPr="00233789">
        <w:rPr>
          <w:sz w:val="16"/>
          <w:highlight w:val="yellow"/>
        </w:rPr>
        <w:t>.</w:t>
      </w:r>
      <w:r w:rsidRPr="009D6C8A">
        <w:rPr>
          <w:sz w:val="16"/>
        </w:rPr>
        <w:t xml:space="preserve"> Two common, and in many ways meritorious, approaches to historical analysis can easily fall into backward-</w:t>
      </w:r>
      <w:proofErr w:type="gramStart"/>
      <w:r w:rsidRPr="009D6C8A">
        <w:rPr>
          <w:sz w:val="16"/>
        </w:rPr>
        <w:t>lookinghistory.Oneistheideaofsocialconstruction</w:t>
      </w:r>
      <w:proofErr w:type="gramEnd"/>
      <w:r w:rsidRPr="009D6C8A">
        <w:rPr>
          <w:sz w:val="16"/>
        </w:rPr>
        <w:t xml:space="preserve">,ausefulan- tidote to claims that race, ethnicity, or nationality are primordial character- istics of given groups, and which is also helpful in recognizing that race or any other category may be no less important for having been constructed historically. The trouble with constructivism, as it is most often practiced, is that it doesn’t go far enough: we talk of the social construction of racial cat- egories, but it is rare that we even ask about categories that are not now im- portant, and we thus lose sight of the quest of people in the past to develop connections or ways of thinking that mattered to them but not to us.24 The study of nationalism in colonial societies is a case in point: because we know that the politics of the 1940s and 1950s did indeed end up producing nation- states, we tend to weave all forms of opposition to what colonialism did into a narrative of growing nationalist sentiment and nationalist organization. That the motivations and even the effects of political action at several junc- tures could have been something else can easily be lost.25 At a more abstract level, </w:t>
      </w:r>
      <w:r w:rsidRPr="00233789">
        <w:rPr>
          <w:rStyle w:val="Emphasis"/>
          <w:highlight w:val="yellow"/>
        </w:rPr>
        <w:t>seeking the genealogy of concepts or ideas also easily turns into a backward-gazing approach to history</w:t>
      </w:r>
      <w:r w:rsidRPr="009D6C8A">
        <w:rPr>
          <w:rStyle w:val="Emphasis"/>
        </w:rPr>
        <w:t>. Just as an or-</w:t>
      </w:r>
      <w:r>
        <w:rPr>
          <w:rStyle w:val="Emphasis"/>
        </w:rPr>
        <w:t xml:space="preserve"> </w:t>
      </w:r>
      <w:r w:rsidRPr="009D6C8A">
        <w:rPr>
          <w:rStyle w:val="Emphasis"/>
        </w:rPr>
        <w:t xml:space="preserve">dinary genealogy starts with “ego” (the person looking backward) and produces a tree of connection, genealogical approaches to ideas look back- ward to find their roots, sometimes finding them in a discredited colonial past. </w:t>
      </w:r>
      <w:r w:rsidRPr="00233789">
        <w:rPr>
          <w:rStyle w:val="Emphasis"/>
          <w:highlight w:val="yellow"/>
        </w:rPr>
        <w:t>What gets lost here is the historical context in which concepts emerged, the debates out of which they came, the ways in which they were deflected and appropriate</w:t>
      </w:r>
      <w:r w:rsidRPr="009D6C8A">
        <w:rPr>
          <w:rStyle w:val="Emphasis"/>
        </w:rPr>
        <w:t>d</w:t>
      </w:r>
      <w:r w:rsidRPr="009D6C8A">
        <w:rPr>
          <w:sz w:val="16"/>
        </w:rPr>
        <w:t xml:space="preserve">. </w:t>
      </w:r>
      <w:r w:rsidRPr="009D6C8A">
        <w:rPr>
          <w:rStyle w:val="StyleUnderline"/>
        </w:rPr>
        <w:t>Genealogical and constructivist approaches when done in a historically grounded way—that is, by working forward— become other words for doing . . . history.</w:t>
      </w:r>
      <w:r w:rsidRPr="009D6C8A">
        <w:rPr>
          <w:sz w:val="16"/>
        </w:rPr>
        <w:t xml:space="preserve"> To the extent that such ap- proaches both call attention to the non-neutral position of the present-day observer and see the conceptual vision of that observer in historical terms, they are valuable, albeit hardly new.26 </w:t>
      </w:r>
      <w:r w:rsidRPr="00233789">
        <w:rPr>
          <w:rStyle w:val="Emphasis"/>
          <w:highlight w:val="yellow"/>
        </w:rPr>
        <w:t>Good historical practice should be sensitive</w:t>
      </w:r>
      <w:r w:rsidRPr="009D6C8A">
        <w:rPr>
          <w:rStyle w:val="Emphasis"/>
        </w:rPr>
        <w:t xml:space="preserve"> to the </w:t>
      </w:r>
      <w:r w:rsidRPr="00233789">
        <w:rPr>
          <w:rStyle w:val="Emphasis"/>
          <w:highlight w:val="yellow"/>
        </w:rPr>
        <w:t>disjunctures</w:t>
      </w:r>
      <w:r w:rsidRPr="009D6C8A">
        <w:rPr>
          <w:rStyle w:val="Emphasis"/>
        </w:rPr>
        <w:t xml:space="preserve"> </w:t>
      </w:r>
      <w:r w:rsidRPr="00233789">
        <w:rPr>
          <w:rStyle w:val="Emphasis"/>
          <w:highlight w:val="yellow"/>
        </w:rPr>
        <w:t>between</w:t>
      </w:r>
      <w:r w:rsidRPr="009D6C8A">
        <w:rPr>
          <w:rStyle w:val="Emphasis"/>
        </w:rPr>
        <w:t xml:space="preserve"> the </w:t>
      </w:r>
      <w:r w:rsidRPr="00233789">
        <w:rPr>
          <w:rStyle w:val="Emphasis"/>
          <w:highlight w:val="yellow"/>
        </w:rPr>
        <w:t>frameworks</w:t>
      </w:r>
      <w:r w:rsidRPr="009D6C8A">
        <w:rPr>
          <w:rStyle w:val="Emphasis"/>
        </w:rPr>
        <w:t xml:space="preserve"> </w:t>
      </w:r>
      <w:r w:rsidRPr="00233789">
        <w:rPr>
          <w:rStyle w:val="Emphasis"/>
          <w:highlight w:val="yellow"/>
        </w:rPr>
        <w:t>of</w:t>
      </w:r>
      <w:r w:rsidRPr="009D6C8A">
        <w:rPr>
          <w:rStyle w:val="Emphasis"/>
        </w:rPr>
        <w:t xml:space="preserve"> past </w:t>
      </w:r>
      <w:r w:rsidRPr="00233789">
        <w:rPr>
          <w:rStyle w:val="Emphasis"/>
          <w:highlight w:val="yellow"/>
        </w:rPr>
        <w:t>actors</w:t>
      </w:r>
      <w:r w:rsidRPr="009D6C8A">
        <w:rPr>
          <w:rStyle w:val="Emphasis"/>
        </w:rPr>
        <w:t xml:space="preserve"> and present </w:t>
      </w:r>
      <w:r w:rsidRPr="00233789">
        <w:rPr>
          <w:rStyle w:val="Emphasis"/>
          <w:highlight w:val="yellow"/>
        </w:rPr>
        <w:t>interpreters</w:t>
      </w:r>
      <w:r w:rsidRPr="009D6C8A">
        <w:rPr>
          <w:rStyle w:val="Emphasis"/>
        </w:rPr>
        <w:t>.</w:t>
      </w:r>
      <w:r>
        <w:rPr>
          <w:rStyle w:val="Emphasis"/>
        </w:rPr>
        <w:t xml:space="preserve"> </w:t>
      </w:r>
      <w:r w:rsidRPr="009D6C8A">
        <w:rPr>
          <w:rStyle w:val="Emphasis"/>
        </w:rPr>
        <w:t xml:space="preserve">Historical </w:t>
      </w:r>
      <w:r w:rsidRPr="00233789">
        <w:rPr>
          <w:rStyle w:val="Emphasis"/>
          <w:highlight w:val="yellow"/>
        </w:rPr>
        <w:t>analysis</w:t>
      </w:r>
      <w:r w:rsidRPr="009D6C8A">
        <w:rPr>
          <w:rStyle w:val="Emphasis"/>
        </w:rPr>
        <w:t xml:space="preserve"> </w:t>
      </w:r>
      <w:r w:rsidRPr="00233789">
        <w:rPr>
          <w:rStyle w:val="Emphasis"/>
          <w:highlight w:val="yellow"/>
        </w:rPr>
        <w:t>can</w:t>
      </w:r>
      <w:r w:rsidRPr="009D6C8A">
        <w:rPr>
          <w:rStyle w:val="Emphasis"/>
        </w:rPr>
        <w:t xml:space="preserve"> </w:t>
      </w:r>
      <w:r w:rsidRPr="00233789">
        <w:rPr>
          <w:rStyle w:val="Emphasis"/>
          <w:highlight w:val="yellow"/>
        </w:rPr>
        <w:t>point</w:t>
      </w:r>
      <w:r w:rsidRPr="009D6C8A">
        <w:rPr>
          <w:rStyle w:val="Emphasis"/>
        </w:rPr>
        <w:t xml:space="preserve"> </w:t>
      </w:r>
      <w:r w:rsidRPr="00233789">
        <w:rPr>
          <w:rStyle w:val="Emphasis"/>
          <w:highlight w:val="yellow"/>
        </w:rPr>
        <w:t>to</w:t>
      </w:r>
      <w:r w:rsidRPr="009D6C8A">
        <w:rPr>
          <w:rStyle w:val="Emphasis"/>
        </w:rPr>
        <w:t xml:space="preserve"> </w:t>
      </w:r>
      <w:r w:rsidRPr="00233789">
        <w:rPr>
          <w:rStyle w:val="Emphasis"/>
          <w:highlight w:val="yellow"/>
        </w:rPr>
        <w:t>moments</w:t>
      </w:r>
      <w:r w:rsidRPr="009D6C8A">
        <w:rPr>
          <w:rStyle w:val="Emphasis"/>
        </w:rPr>
        <w:t xml:space="preserve"> </w:t>
      </w:r>
      <w:r w:rsidRPr="00233789">
        <w:rPr>
          <w:rStyle w:val="Emphasis"/>
          <w:highlight w:val="yellow"/>
        </w:rPr>
        <w:t>of</w:t>
      </w:r>
      <w:r w:rsidRPr="009D6C8A">
        <w:rPr>
          <w:rStyle w:val="Emphasis"/>
        </w:rPr>
        <w:t xml:space="preserve"> </w:t>
      </w:r>
      <w:r w:rsidRPr="00233789">
        <w:rPr>
          <w:rStyle w:val="Emphasis"/>
          <w:highlight w:val="yellow"/>
        </w:rPr>
        <w:t>uncertainty</w:t>
      </w:r>
      <w:r w:rsidRPr="009D6C8A">
        <w:rPr>
          <w:rStyle w:val="Emphasis"/>
        </w:rPr>
        <w:t xml:space="preserve">—when </w:t>
      </w:r>
      <w:r w:rsidRPr="00233789">
        <w:rPr>
          <w:rStyle w:val="Emphasis"/>
          <w:highlight w:val="yellow"/>
        </w:rPr>
        <w:t>stabilizing institutions were weakened and expectations of change heightened—and to moments of stability, and it can point to change. But to see history as a succession of epochs is to assume a coherence that complex interactions rarely produce.</w:t>
      </w:r>
      <w:r w:rsidRPr="009D6C8A">
        <w:rPr>
          <w:rStyle w:val="Emphasis"/>
        </w:rPr>
        <w:t xml:space="preserve"> </w:t>
      </w:r>
      <w:r w:rsidRPr="009D6C8A">
        <w:rPr>
          <w:sz w:val="16"/>
        </w:rPr>
        <w:t xml:space="preserve">Whatever makes an era distinct should not only be present but be its defining feature; otherwise, the identification of an epoch says lit- tle. It is ironic that postmodernists, who distinguish themselves by a refusal of high theory and grand narrative, have to jimmy modernity into an epochal straightjacket in order to claim to have moved beyond it.27 </w:t>
      </w:r>
      <w:r w:rsidRPr="009D6C8A">
        <w:rPr>
          <w:rStyle w:val="Emphasis"/>
        </w:rPr>
        <w:t xml:space="preserve">A more </w:t>
      </w:r>
      <w:r w:rsidRPr="00233789">
        <w:rPr>
          <w:rStyle w:val="Emphasis"/>
          <w:highlight w:val="yellow"/>
        </w:rPr>
        <w:t>nuanced</w:t>
      </w:r>
      <w:r w:rsidRPr="009D6C8A">
        <w:rPr>
          <w:rStyle w:val="Emphasis"/>
        </w:rPr>
        <w:t xml:space="preserve"> </w:t>
      </w:r>
      <w:r w:rsidRPr="00233789">
        <w:rPr>
          <w:rStyle w:val="Emphasis"/>
          <w:highlight w:val="yellow"/>
        </w:rPr>
        <w:t>approach</w:t>
      </w:r>
      <w:r w:rsidRPr="009D6C8A">
        <w:rPr>
          <w:rStyle w:val="Emphasis"/>
        </w:rPr>
        <w:t xml:space="preserve"> </w:t>
      </w:r>
      <w:r w:rsidRPr="00233789">
        <w:rPr>
          <w:rStyle w:val="Emphasis"/>
          <w:highlight w:val="yellow"/>
        </w:rPr>
        <w:t>involves</w:t>
      </w:r>
      <w:r w:rsidRPr="009D6C8A">
        <w:rPr>
          <w:rStyle w:val="Emphasis"/>
        </w:rPr>
        <w:t xml:space="preserve"> </w:t>
      </w:r>
      <w:r w:rsidRPr="00233789">
        <w:rPr>
          <w:rStyle w:val="Emphasis"/>
          <w:highlight w:val="yellow"/>
        </w:rPr>
        <w:t>assessing</w:t>
      </w:r>
      <w:r w:rsidRPr="009D6C8A">
        <w:rPr>
          <w:rStyle w:val="Emphasis"/>
        </w:rPr>
        <w:t xml:space="preserve"> </w:t>
      </w:r>
      <w:r w:rsidRPr="00233789">
        <w:rPr>
          <w:rStyle w:val="Emphasis"/>
          <w:highlight w:val="yellow"/>
        </w:rPr>
        <w:t>change</w:t>
      </w:r>
      <w:r w:rsidRPr="009D6C8A">
        <w:rPr>
          <w:rStyle w:val="Emphasis"/>
        </w:rPr>
        <w:t xml:space="preserve"> in whatever dimensions it oc- curs </w:t>
      </w:r>
      <w:r w:rsidRPr="00233789">
        <w:rPr>
          <w:rStyle w:val="Emphasis"/>
          <w:highlight w:val="yellow"/>
        </w:rPr>
        <w:t>and</w:t>
      </w:r>
      <w:r w:rsidRPr="009D6C8A">
        <w:rPr>
          <w:rStyle w:val="Emphasis"/>
        </w:rPr>
        <w:t xml:space="preserve"> </w:t>
      </w:r>
      <w:r w:rsidRPr="00233789">
        <w:rPr>
          <w:rStyle w:val="Emphasis"/>
          <w:highlight w:val="yellow"/>
        </w:rPr>
        <w:t>analyzing</w:t>
      </w:r>
      <w:r w:rsidRPr="009D6C8A">
        <w:rPr>
          <w:rStyle w:val="Emphasis"/>
        </w:rPr>
        <w:t xml:space="preserve"> the </w:t>
      </w:r>
      <w:r w:rsidRPr="00233789">
        <w:rPr>
          <w:rStyle w:val="Emphasis"/>
          <w:highlight w:val="yellow"/>
        </w:rPr>
        <w:t>significance</w:t>
      </w:r>
      <w:r w:rsidRPr="009D6C8A">
        <w:rPr>
          <w:rStyle w:val="Emphasis"/>
        </w:rPr>
        <w:t xml:space="preserve"> </w:t>
      </w:r>
      <w:r w:rsidRPr="00233789">
        <w:rPr>
          <w:rStyle w:val="Emphasis"/>
          <w:highlight w:val="yellow"/>
        </w:rPr>
        <w:t>and</w:t>
      </w:r>
      <w:r w:rsidRPr="009D6C8A">
        <w:rPr>
          <w:rStyle w:val="Emphasis"/>
        </w:rPr>
        <w:t xml:space="preserve"> </w:t>
      </w:r>
      <w:r w:rsidRPr="00233789">
        <w:rPr>
          <w:rStyle w:val="Emphasis"/>
          <w:highlight w:val="yellow"/>
        </w:rPr>
        <w:t>limitations</w:t>
      </w:r>
      <w:r w:rsidRPr="009D6C8A">
        <w:rPr>
          <w:rStyle w:val="Emphasis"/>
        </w:rPr>
        <w:t xml:space="preserve"> </w:t>
      </w:r>
      <w:r w:rsidRPr="00233789">
        <w:rPr>
          <w:rStyle w:val="Emphasis"/>
          <w:highlight w:val="yellow"/>
        </w:rPr>
        <w:t>of</w:t>
      </w:r>
      <w:r w:rsidRPr="009D6C8A">
        <w:rPr>
          <w:rStyle w:val="Emphasis"/>
        </w:rPr>
        <w:t xml:space="preserve"> </w:t>
      </w:r>
      <w:r w:rsidRPr="00233789">
        <w:rPr>
          <w:rStyle w:val="Emphasis"/>
          <w:highlight w:val="yellow"/>
        </w:rPr>
        <w:t>conjunctures</w:t>
      </w:r>
      <w:r w:rsidRPr="009D6C8A">
        <w:rPr>
          <w:rStyle w:val="Emphasis"/>
        </w:rPr>
        <w:t xml:space="preserve"> </w:t>
      </w:r>
      <w:r w:rsidRPr="00233789">
        <w:rPr>
          <w:rStyle w:val="Emphasis"/>
          <w:highlight w:val="yellow"/>
        </w:rPr>
        <w:t>when</w:t>
      </w:r>
      <w:r w:rsidRPr="009D6C8A">
        <w:rPr>
          <w:rStyle w:val="Emphasis"/>
        </w:rPr>
        <w:t xml:space="preserve"> </w:t>
      </w:r>
      <w:r w:rsidRPr="00233789">
        <w:rPr>
          <w:rStyle w:val="Emphasis"/>
        </w:rPr>
        <w:t>multidimensional</w:t>
      </w:r>
      <w:r w:rsidRPr="009D6C8A">
        <w:rPr>
          <w:rStyle w:val="Emphasis"/>
        </w:rPr>
        <w:t xml:space="preserve"> </w:t>
      </w:r>
      <w:r w:rsidRPr="00233789">
        <w:rPr>
          <w:rStyle w:val="Emphasis"/>
          <w:highlight w:val="yellow"/>
        </w:rPr>
        <w:t>change</w:t>
      </w:r>
      <w:r w:rsidRPr="009D6C8A">
        <w:rPr>
          <w:rStyle w:val="Emphasis"/>
        </w:rPr>
        <w:t xml:space="preserve"> </w:t>
      </w:r>
      <w:r w:rsidRPr="00233789">
        <w:rPr>
          <w:rStyle w:val="Emphasis"/>
          <w:highlight w:val="yellow"/>
        </w:rPr>
        <w:t>became</w:t>
      </w:r>
      <w:r w:rsidRPr="009D6C8A">
        <w:rPr>
          <w:rStyle w:val="Emphasis"/>
        </w:rPr>
        <w:t xml:space="preserve"> </w:t>
      </w:r>
      <w:r w:rsidRPr="00233789">
        <w:rPr>
          <w:rStyle w:val="Emphasis"/>
          <w:highlight w:val="yellow"/>
        </w:rPr>
        <w:t>possible</w:t>
      </w:r>
      <w:r w:rsidRPr="009D6C8A">
        <w:rPr>
          <w:rStyle w:val="Emphasis"/>
        </w:rPr>
        <w:t>.</w:t>
      </w:r>
      <w:r>
        <w:rPr>
          <w:rStyle w:val="Emphasis"/>
        </w:rPr>
        <w:t xml:space="preserve"> </w:t>
      </w:r>
      <w:r w:rsidRPr="009D6C8A">
        <w:rPr>
          <w:sz w:val="16"/>
        </w:rPr>
        <w:t xml:space="preserve">The term postwar has a clear meaning if the war in question has ended, and postcolonial is meaningful if one accepts—as I do—that the decolo- nizations of the postwar era extinguished the category of colonial empire from the repertoire of polities that were legitimate and viable in interna- tional politics.28 The post- can usefully underscore the importance of the colonial past to shaping the possibilities and constraints of the present, but such a process cannot be reduced to a colonial effect, nor can either a colo- nial or a postcolonial period be seen as a coherent whole, as if the varied ef- forts and struggles in which people engaged in different situations always ended up in the same place. One is not faced with a stark choice between a light-switch view of decolonization—once independence was declared, the polity became “African”—and a continuity approach (i.e., colonialism never really ended), but one can look at what in the course of struggle be- fore and after that moment could or could not be reimagined or reconfig- ured, what structural constraints persisted, what new forms of political and economic power impinged on ex-colonial states, and how people in the middle of colonial authority systems restructured their ties within and out- side of a national political space.29 </w:t>
      </w:r>
      <w:r w:rsidRPr="00233789">
        <w:rPr>
          <w:rStyle w:val="StyleUnderline"/>
          <w:highlight w:val="yellow"/>
        </w:rPr>
        <w:t>Skepticism is especially in order in regard to the modern epoch. Mod- ernization theory was justly criticized for claiming that a certain societal form came to define a modern era.30 Era labeling has been given a new in- terdisciplinary lease on life</w:t>
      </w:r>
      <w:r w:rsidRPr="009D6C8A">
        <w:rPr>
          <w:sz w:val="16"/>
        </w:rPr>
        <w:t xml:space="preserve">, in part through the work of Michel Foucault, which locates modern governmentality in a space that is amorphous in time and amorphous in agency and causality, and provides a blueprint for a wide range of scholars to attribute practices and discourses to the fact of modernity, often elided with post-Enlightenment rationalism, bourgeois equality, and liberalism.31 Dipesh Chakrabarty, for example, justly criticizes versions of Indian his- tory, colonialist, nationalist, or Marxist, which measure the colonized by how well they succeeded in class formation and state-building—where Eu- rope supposedly led the way—and attribute their failures to certain lacks on their part (of a proper working class, of a proper bourgeoisie). He instead calls for the “provincialization” of Europe, its history seen as particular rather than as a universal model.32 Then he proceeds to do the opposite. </w:t>
      </w:r>
      <w:r w:rsidRPr="009D6C8A">
        <w:rPr>
          <w:rStyle w:val="StyleUnderline"/>
        </w:rPr>
        <w:t>Post-Enlightenment rationality, bourgeois equality, modernity, or liberalism become not provincial ideolo- gies but a grid of knowledge and power, forcing people to give up diverse understandings of community in favor of a one-to-one relationship of the unmarked individual and the nation-state, at best seeking “alternatives” to a modernity that is decidedly singular and decidedly European. European history is flattened into a single post-Enlightenment era.</w:t>
      </w:r>
      <w:r w:rsidRPr="009D6C8A">
        <w:rPr>
          <w:sz w:val="16"/>
        </w:rPr>
        <w:t xml:space="preserve"> A reference to Hegel stands in for a European history reduced to the claim of progress.33 </w:t>
      </w:r>
      <w:r w:rsidRPr="009D6C8A">
        <w:rPr>
          <w:rStyle w:val="StyleUnderline"/>
        </w:rPr>
        <w:t>Yet nineteenth-century Europe was immersed in struggles within and among many parochialisms and many universalities</w:t>
      </w:r>
      <w:r w:rsidRPr="009D6C8A">
        <w:rPr>
          <w:sz w:val="16"/>
        </w:rPr>
        <w:t>. Secularism was more often beleaguered than triumphant; ancien régimes and aristocracies didn’t die out on the guillotine.34 The balancing of the universalized rights- bearing individual against questions of “difference” was a vital debate within and after the Enlightenment. Intellectuals who called themselves modernists between 1890 and 1930 were in “revolt against positivism, ra- tionalism, realism, and liberalism,” something lost in the stark opposition between Enlightenment reason and the “posts” in vogue today.35 Sankar Muthu has brought out the debate over empire among Enlight- enment thinkers. For Diderot, most notably, coming to grips with the hu- manity of non-European people also meant confronting their subjection. Rather than seeing universal values as effacing difference, Diderot insisted on the fundamentally cultural nature of humanity. Others, like the Abbé Grégoire, were deeply sympathetic to slaves and the other victims of impe- rial oppression, but assumed that people, once liberated, would abandon their particularity. Still others—those most emphasized by critics of En- lightenment reason—advanced taxonomic structures, which in some (but not all) hands implied distinctions that put some outside the realm of the rights-bearing individual and made them a potential subject for coloniza- tion. “</w:t>
      </w:r>
      <w:r w:rsidRPr="009D6C8A">
        <w:rPr>
          <w:rStyle w:val="StyleUnderline"/>
        </w:rPr>
        <w:t>The” Enlightenment implied no one view of race or difference. It provided no clear basis either for legitimizing the subordination of certain non-European societies on the basis of universalistic criteria or for claim- ing that cultural difference precluded criticizing different political practices, in Europe or elsewhere</w:t>
      </w:r>
      <w:r w:rsidRPr="009D6C8A">
        <w:rPr>
          <w:sz w:val="16"/>
        </w:rPr>
        <w:t xml:space="preserve">.36 What Enlightenment implied in its time—and since—was the necessity of having the debate. The historians’ contribution is not to decide which Enlightenment was the authentic one, but to point to the responsibility of those who advanced particular arguments and the con- sequences of their interventions. </w:t>
      </w:r>
      <w:r w:rsidRPr="009D6C8A">
        <w:rPr>
          <w:rStyle w:val="Emphasis"/>
        </w:rPr>
        <w:t xml:space="preserve">Too ready </w:t>
      </w:r>
      <w:r w:rsidRPr="00233789">
        <w:rPr>
          <w:rStyle w:val="Emphasis"/>
          <w:highlight w:val="yellow"/>
        </w:rPr>
        <w:t>identification</w:t>
      </w:r>
      <w:r w:rsidRPr="009D6C8A">
        <w:rPr>
          <w:rStyle w:val="Emphasis"/>
        </w:rPr>
        <w:t xml:space="preserve"> </w:t>
      </w:r>
      <w:r w:rsidRPr="00233789">
        <w:rPr>
          <w:rStyle w:val="Emphasis"/>
          <w:highlight w:val="yellow"/>
        </w:rPr>
        <w:t>of</w:t>
      </w:r>
      <w:r w:rsidRPr="009D6C8A">
        <w:rPr>
          <w:rStyle w:val="Emphasis"/>
        </w:rPr>
        <w:t xml:space="preserve"> an actual </w:t>
      </w:r>
      <w:r w:rsidRPr="00233789">
        <w:rPr>
          <w:rStyle w:val="Emphasis"/>
          <w:highlight w:val="yellow"/>
        </w:rPr>
        <w:t>Europe</w:t>
      </w:r>
      <w:r w:rsidRPr="009D6C8A">
        <w:rPr>
          <w:rStyle w:val="Emphasis"/>
        </w:rPr>
        <w:t xml:space="preserve"> with post-Enlightenment rationality </w:t>
      </w:r>
      <w:r w:rsidRPr="00233789">
        <w:rPr>
          <w:rStyle w:val="Emphasis"/>
          <w:highlight w:val="yellow"/>
        </w:rPr>
        <w:t>not only leaves out the conflict and uncertainty within that con- tinent’s history</w:t>
      </w:r>
      <w:r w:rsidRPr="009D6C8A">
        <w:rPr>
          <w:rStyle w:val="Emphasis"/>
        </w:rPr>
        <w:t xml:space="preserve">, but also the extent to which even such constructs as bour- geois equality were not some essence of the West but products of struggle. The </w:t>
      </w:r>
      <w:r w:rsidRPr="00233789">
        <w:rPr>
          <w:rStyle w:val="Emphasis"/>
          <w:highlight w:val="yellow"/>
        </w:rPr>
        <w:t>ascension</w:t>
      </w:r>
      <w:r w:rsidRPr="009D6C8A">
        <w:rPr>
          <w:rStyle w:val="Emphasis"/>
        </w:rPr>
        <w:t xml:space="preserve"> </w:t>
      </w:r>
      <w:r w:rsidRPr="00233789">
        <w:rPr>
          <w:rStyle w:val="Emphasis"/>
          <w:highlight w:val="yellow"/>
        </w:rPr>
        <w:t>of</w:t>
      </w:r>
      <w:r w:rsidRPr="009D6C8A">
        <w:rPr>
          <w:rStyle w:val="Emphasis"/>
        </w:rPr>
        <w:t xml:space="preserve"> a </w:t>
      </w:r>
      <w:r w:rsidRPr="00233789">
        <w:rPr>
          <w:rStyle w:val="Emphasis"/>
          <w:highlight w:val="yellow"/>
        </w:rPr>
        <w:t>liberal idea of a rights-bearing individual over the equally liberal idea of rights as earned by the civilized behavior of a collec- tivity reflected the labors not only of a Toussaint L’Ouverture or a Freder- ick Douglass</w:t>
      </w:r>
      <w:r w:rsidRPr="009D6C8A">
        <w:rPr>
          <w:rStyle w:val="Emphasis"/>
        </w:rPr>
        <w:t>, but of unnamed ex-slaves, dependent laborers, and colonized peasants who revealed the limits of colonial power and defined alternative modes of living and working in the crevices of authority</w:t>
      </w:r>
      <w:r w:rsidRPr="009D6C8A">
        <w:rPr>
          <w:sz w:val="16"/>
        </w:rPr>
        <w:t xml:space="preserve">.37 Doing history historically does more to challenge the supposedly dom- inant narrative of Western-led progress, of nation-building, or of develop- ment than an approach to the past based on story plucking, leapfrogging legacies, doing history backward, or the epochal fallacy. Criticisms of histo- rians for writing everything into a linear history of human progress are often accurate and appropriate, but understanding different forms of tem- porality is not assisted by positing a flattened modern era against the linearity of a history of continual Western-centered progress. </w:t>
      </w:r>
      <w:r w:rsidRPr="00233789">
        <w:rPr>
          <w:rStyle w:val="StyleUnderline"/>
        </w:rPr>
        <w:t>Historical</w:t>
      </w:r>
      <w:r w:rsidRPr="009D6C8A">
        <w:rPr>
          <w:rStyle w:val="StyleUnderline"/>
        </w:rPr>
        <w:t xml:space="preserve"> temporality, as William Sewell puts it, is “lumpy”: the tendency for inno- vations and breaks to be reabsorbed into ongoing discursive and organiza- tional structures is sometimes broken by a cascade of events that reconfig- ures the imaginable and the conceivable</w:t>
      </w:r>
      <w:r w:rsidRPr="009D6C8A">
        <w:rPr>
          <w:sz w:val="16"/>
        </w:rPr>
        <w:t>.38 Historical time is lumpy in another sense—across different conceptions of temporality held by differ- ent people at the same moment. But if time is plural, it is not divided into self-contained compartments. One circles back to the problem that in order to understand how ideas of history were shaped by colonialism, one has to understand colonization and challenges to it over time. The critical insis- tence that historians examine their own concepts of time is valuable, but so too is the historian’s insistence on attention to process, on how what hap- pens at one moment in time configures possibilities and constraints on what can happen the next.</w:t>
      </w:r>
    </w:p>
    <w:p w14:paraId="4F9ABE1A" w14:textId="4C508F6C" w:rsidR="009A68EF" w:rsidRDefault="00866913" w:rsidP="009A68EF">
      <w:pPr>
        <w:pStyle w:val="Heading4"/>
        <w:rPr>
          <w:rStyle w:val="StyleUnderline"/>
          <w:sz w:val="26"/>
          <w:u w:val="none"/>
        </w:rPr>
      </w:pPr>
      <w:r>
        <w:rPr>
          <w:rStyle w:val="StyleUnderline"/>
          <w:sz w:val="26"/>
          <w:u w:val="none"/>
        </w:rPr>
        <w:t xml:space="preserve">2. </w:t>
      </w:r>
      <w:r w:rsidR="009A68EF">
        <w:rPr>
          <w:rStyle w:val="StyleUnderline"/>
          <w:sz w:val="26"/>
          <w:u w:val="none"/>
        </w:rPr>
        <w:t>Standardized tests are pedagogically valuable—improve memory, cognitive skills, knowledge through clustering of similar items</w:t>
      </w:r>
    </w:p>
    <w:p w14:paraId="7E7BC821" w14:textId="77777777" w:rsidR="009A68EF" w:rsidRPr="00972BCB" w:rsidRDefault="009A68EF" w:rsidP="009A68EF">
      <w:pPr>
        <w:rPr>
          <w:rStyle w:val="Style13ptBold"/>
          <w:b w:val="0"/>
        </w:rPr>
      </w:pPr>
      <w:r>
        <w:rPr>
          <w:rStyle w:val="Style13ptBold"/>
        </w:rPr>
        <w:t xml:space="preserve">Pashler &amp; Benjamin 15 </w:t>
      </w:r>
      <w:r>
        <w:rPr>
          <w:rStyle w:val="Style13ptBold"/>
          <w:b w:val="0"/>
        </w:rPr>
        <w:t>(</w:t>
      </w:r>
      <w:r w:rsidRPr="00972BCB">
        <w:rPr>
          <w:rStyle w:val="Style13ptBold"/>
          <w:b w:val="0"/>
        </w:rPr>
        <w:t>Aaron S. Benjamin, University of Illinois at Urbana–Champaig</w:t>
      </w:r>
      <w:r>
        <w:rPr>
          <w:rStyle w:val="Style13ptBold"/>
          <w:b w:val="0"/>
        </w:rPr>
        <w:t xml:space="preserve">n, Hal Pashler, </w:t>
      </w:r>
      <w:r w:rsidRPr="00972BCB">
        <w:rPr>
          <w:rStyle w:val="Style13ptBold"/>
          <w:b w:val="0"/>
        </w:rPr>
        <w:t>University of California, San Diego, USA</w:t>
      </w:r>
      <w:r>
        <w:rPr>
          <w:rStyle w:val="Style13ptBold"/>
          <w:b w:val="0"/>
        </w:rPr>
        <w:t>, “T</w:t>
      </w:r>
      <w:r w:rsidRPr="00972BCB">
        <w:rPr>
          <w:rStyle w:val="Style13ptBold"/>
          <w:b w:val="0"/>
        </w:rPr>
        <w:t>he Value of Standardized Testing:</w:t>
      </w:r>
      <w:r>
        <w:rPr>
          <w:rStyle w:val="Style13ptBold"/>
          <w:b w:val="0"/>
        </w:rPr>
        <w:t xml:space="preserve"> A</w:t>
      </w:r>
      <w:r w:rsidRPr="00972BCB">
        <w:rPr>
          <w:rStyle w:val="Style13ptBold"/>
          <w:b w:val="0"/>
        </w:rPr>
        <w:t xml:space="preserve"> Perspective From Cognitive Psychology</w:t>
      </w:r>
      <w:proofErr w:type="gramStart"/>
      <w:r>
        <w:rPr>
          <w:rStyle w:val="Style13ptBold"/>
          <w:b w:val="0"/>
        </w:rPr>
        <w:t xml:space="preserve">”,  </w:t>
      </w:r>
      <w:r w:rsidRPr="00972BCB">
        <w:rPr>
          <w:rStyle w:val="Style13ptBold"/>
          <w:b w:val="0"/>
        </w:rPr>
        <w:t>Policy</w:t>
      </w:r>
      <w:proofErr w:type="gramEnd"/>
      <w:r w:rsidRPr="00972BCB">
        <w:rPr>
          <w:rStyle w:val="Style13ptBold"/>
          <w:b w:val="0"/>
        </w:rPr>
        <w:t xml:space="preserve"> Insights from the Behavioral and Brain Sciences 2015, Vol. 2(1) 13–23</w:t>
      </w:r>
      <w:r>
        <w:rPr>
          <w:rStyle w:val="Style13ptBold"/>
          <w:b w:val="0"/>
        </w:rPr>
        <w:t>) // TSB</w:t>
      </w:r>
    </w:p>
    <w:p w14:paraId="6DB98E46" w14:textId="77777777" w:rsidR="009A68EF" w:rsidRDefault="009A68EF" w:rsidP="009A68EF">
      <w:pPr>
        <w:rPr>
          <w:sz w:val="16"/>
        </w:rPr>
      </w:pPr>
      <w:r w:rsidRPr="00036A33">
        <w:rPr>
          <w:rStyle w:val="StyleUnderline"/>
        </w:rPr>
        <w:t xml:space="preserve">When we take a test </w:t>
      </w:r>
      <w:r w:rsidRPr="00420166">
        <w:rPr>
          <w:sz w:val="16"/>
        </w:rPr>
        <w:t>on which we are asked to retrieve and produce previously learned information</w:t>
      </w:r>
      <w:r w:rsidRPr="00036A33">
        <w:rPr>
          <w:rStyle w:val="StyleUnderline"/>
        </w:rPr>
        <w:t xml:space="preserve">, </w:t>
      </w:r>
      <w:r w:rsidRPr="00233789">
        <w:rPr>
          <w:rStyle w:val="StyleUnderline"/>
          <w:highlight w:val="yellow"/>
        </w:rPr>
        <w:t>successfully recall- ing that information increases our ability to retrieve it again later.</w:t>
      </w:r>
      <w:r w:rsidRPr="00420166">
        <w:rPr>
          <w:sz w:val="16"/>
        </w:rPr>
        <w:t xml:space="preserve"> A good example of the advantages of testing is pro- vided by Roediger and Karpicke (2006; Experiment 2). In their experiment, subjects read text passages, and then were either given three opportunities to re-read the passage, two additional re-reading opportunities followed by a quiz in which they tried to recall as much as they could from the pas- sage, or three quizzes with no re-study opportunities. On a final test 1 week later, the latter group remembered the mate- rial best—despite having had only one opportunity to read the passage! </w:t>
      </w:r>
      <w:r w:rsidRPr="00036A33">
        <w:rPr>
          <w:rStyle w:val="StyleUnderline"/>
        </w:rPr>
        <w:t xml:space="preserve">Quizzing during a review phase has been shown to improve memory </w:t>
      </w:r>
      <w:r w:rsidRPr="00420166">
        <w:rPr>
          <w:sz w:val="16"/>
        </w:rPr>
        <w:t xml:space="preserve">for other types of materials as well, including foreign-language vocabulary (Carrier &amp; Pashler, 1992) and simple facts (McDaniel &amp; Fisher, 1991). </w:t>
      </w:r>
      <w:r w:rsidRPr="00233789">
        <w:rPr>
          <w:rStyle w:val="StyleUnderline"/>
          <w:highlight w:val="yellow"/>
        </w:rPr>
        <w:t>Testing also increases the effectiveness of the way in which we choose to access and organize the tested informa- tion.</w:t>
      </w:r>
      <w:r w:rsidRPr="00036A33">
        <w:rPr>
          <w:rStyle w:val="StyleUnderline"/>
        </w:rPr>
        <w:t xml:space="preserve"> For example, </w:t>
      </w:r>
      <w:r w:rsidRPr="00233789">
        <w:rPr>
          <w:rStyle w:val="StyleUnderline"/>
          <w:highlight w:val="yellow"/>
        </w:rPr>
        <w:t>when studying a list of categorized mate- rials, quizzes increase both the number of categories that are reported on a final test and the number of items from each of those categories</w:t>
      </w:r>
      <w:r w:rsidRPr="00420166">
        <w:rPr>
          <w:sz w:val="16"/>
        </w:rPr>
        <w:t xml:space="preserve"> (Zaromb &amp; Roediger, 2010). These benefi- cial effects are probably due to the fact that testing promotes clustering of similar items during the test, a retrieval strategy that is very effective (Mulligan, 2005). Other research has found beneficial effects of testing for a variety of different testing formats. </w:t>
      </w:r>
      <w:r w:rsidRPr="00036A33">
        <w:rPr>
          <w:rStyle w:val="StyleUnderline"/>
        </w:rPr>
        <w:t>Taking either a short- answer or a multiple-choice practice quiz enhances memory on a later test, even when the later test is in a different format than the quiz. Th</w:t>
      </w:r>
      <w:r w:rsidRPr="00420166">
        <w:rPr>
          <w:sz w:val="16"/>
        </w:rPr>
        <w:t xml:space="preserve">e benefits are especially prominent if the quiz includes feedback (LaPorte &amp; Voss, 1975). However, it does appear overall that short-answer quizzes increase later retention to a greater degree than multiple-choice quizzes (cf. Glover, 1989; Kang, McDermott, &amp; Roediger, 2007). These results generalize to actual classroom settings. Students who take periodic tests on material remember that material better on later exams, and the enhancement is greater for short-answer than multiple-choice tests. This result has been shown in college students (McDaniel, Anderson, Derbish, &amp; Morrisette, 2007), sixth-grade stu- dents (Roediger, Agarwal, McDaniel, &amp; McDermott, 2011), and eighth-grade students in science (McDaniel, Agarwal, Huelser, McDermott, &amp; Roediger, 2011) and history (Carpenter, Pashler, &amp; Cepeda, 2009). It is evident for a wide range of materials, including biology (McDaniel et al., 2011), social studies (Roediger et al., 2011), general science (Roediger &amp; Karpicke, 2006), biographical materials (Gates, 1917), and spelling (Forlano, 1936). Are the benefits of testing simply a consequence of changes in motivation or desire to learn? Some authors have suggested that asking a question can enhance a learner’s curiosity to know the answer (Berlyne, 1966). </w:t>
      </w:r>
      <w:r w:rsidRPr="00036A33">
        <w:rPr>
          <w:rStyle w:val="StyleUnderline"/>
        </w:rPr>
        <w:t xml:space="preserve">The </w:t>
      </w:r>
      <w:r w:rsidRPr="00233789">
        <w:rPr>
          <w:rStyle w:val="StyleUnderline"/>
          <w:highlight w:val="yellow"/>
        </w:rPr>
        <w:t>benefits</w:t>
      </w:r>
      <w:r w:rsidRPr="00036A33">
        <w:rPr>
          <w:rStyle w:val="StyleUnderline"/>
        </w:rPr>
        <w:t xml:space="preserve"> of quizzing </w:t>
      </w:r>
      <w:r w:rsidRPr="00233789">
        <w:rPr>
          <w:rStyle w:val="StyleUnderline"/>
          <w:highlight w:val="yellow"/>
        </w:rPr>
        <w:t xml:space="preserve">are roughly the same regardless of how much learners are paid for their correct responses </w:t>
      </w:r>
      <w:r w:rsidRPr="00233789">
        <w:rPr>
          <w:rStyle w:val="StyleUnderline"/>
        </w:rPr>
        <w:t>(Kang &amp; Pashler, 2014). These results are inconsistent with the idea that motivation plays a major role in producing the benefits</w:t>
      </w:r>
      <w:r w:rsidRPr="00036A33">
        <w:rPr>
          <w:rStyle w:val="StyleUnderline"/>
        </w:rPr>
        <w:t xml:space="preserve"> of testing. However, motivation does play a major role in how people direct their study and other more indirect ways in which the experience of taking tests can influence memory. T</w:t>
      </w:r>
      <w:r w:rsidRPr="00420166">
        <w:rPr>
          <w:sz w:val="16"/>
        </w:rPr>
        <w:t xml:space="preserve">hese are important points we will return to in greater detail later in this article. When taken together, these results help us understand why </w:t>
      </w:r>
      <w:r w:rsidRPr="00233789">
        <w:rPr>
          <w:rStyle w:val="StyleUnderline"/>
          <w:highlight w:val="yellow"/>
        </w:rPr>
        <w:t>students who take more tests in the classroom tend to perform better</w:t>
      </w:r>
      <w:r w:rsidRPr="00420166">
        <w:rPr>
          <w:rStyle w:val="StyleUnderline"/>
        </w:rPr>
        <w:t xml:space="preserve"> </w:t>
      </w:r>
      <w:r w:rsidRPr="00420166">
        <w:rPr>
          <w:sz w:val="16"/>
        </w:rPr>
        <w:t xml:space="preserve">on later exams (Bangert-Drowns, Kulik, &amp; Kulik, 1991). Most of the benefits come from the first few tests, indicating that it does not require much compromise in the allocation of class time to administer periodic tests. In addition, students of all abilities appear to benefit from the opportunity to take tests (Pan, Pashler, Potter, &amp; Rickard, 2015). As we will see below, </w:t>
      </w:r>
      <w:r w:rsidRPr="00420166">
        <w:rPr>
          <w:rStyle w:val="StyleUnderline"/>
        </w:rPr>
        <w:t>these benefits are not limited to enhanced memory</w:t>
      </w:r>
      <w:r w:rsidRPr="00420166">
        <w:rPr>
          <w:sz w:val="16"/>
        </w:rPr>
        <w:t xml:space="preserve"> for the tested material. We will review additional research that </w:t>
      </w:r>
      <w:r w:rsidRPr="00233789">
        <w:rPr>
          <w:rStyle w:val="StyleUnderline"/>
          <w:highlight w:val="yellow"/>
        </w:rPr>
        <w:t>indicates a positive role for testing for other, untested material, as well as for other aspects of cognition and motivation</w:t>
      </w:r>
      <w:r w:rsidRPr="00420166">
        <w:rPr>
          <w:rStyle w:val="StyleUnderline"/>
        </w:rPr>
        <w:t>.</w:t>
      </w:r>
      <w:r w:rsidRPr="00420166">
        <w:rPr>
          <w:sz w:val="16"/>
        </w:rPr>
        <w:t xml:space="preserve"> Tests Reduce Forgetting </w:t>
      </w:r>
      <w:r w:rsidRPr="00420166">
        <w:rPr>
          <w:rStyle w:val="Emphasis"/>
        </w:rPr>
        <w:t xml:space="preserve">The cognitive benefits of testing are not like a single shot in the arm. </w:t>
      </w:r>
      <w:r w:rsidRPr="00233789">
        <w:rPr>
          <w:rStyle w:val="Emphasis"/>
          <w:highlight w:val="yellow"/>
        </w:rPr>
        <w:t>Taking</w:t>
      </w:r>
      <w:r w:rsidRPr="00420166">
        <w:rPr>
          <w:rStyle w:val="Emphasis"/>
        </w:rPr>
        <w:t xml:space="preserve"> </w:t>
      </w:r>
      <w:r w:rsidRPr="00233789">
        <w:rPr>
          <w:rStyle w:val="Emphasis"/>
          <w:highlight w:val="yellow"/>
        </w:rPr>
        <w:t>a test improves memory for the material</w:t>
      </w:r>
      <w:r w:rsidRPr="00420166">
        <w:rPr>
          <w:rStyle w:val="Emphasis"/>
        </w:rPr>
        <w:t xml:space="preserve">, and it also </w:t>
      </w:r>
      <w:r w:rsidRPr="00233789">
        <w:rPr>
          <w:rStyle w:val="Emphasis"/>
          <w:highlight w:val="yellow"/>
        </w:rPr>
        <w:t>decreases</w:t>
      </w:r>
      <w:r w:rsidRPr="00420166">
        <w:rPr>
          <w:rStyle w:val="Emphasis"/>
        </w:rPr>
        <w:t xml:space="preserve"> </w:t>
      </w:r>
      <w:r w:rsidRPr="00233789">
        <w:rPr>
          <w:rStyle w:val="Emphasis"/>
          <w:highlight w:val="yellow"/>
        </w:rPr>
        <w:t>the rate at which we forget that material.</w:t>
      </w:r>
      <w:r w:rsidRPr="00420166">
        <w:rPr>
          <w:sz w:val="16"/>
        </w:rPr>
        <w:t xml:space="preserve"> What this means is that the benefits of testing are even greater when looking at longer-term retention. In the study with texts reviewed earlier (Roediger &amp; Karpicke, 2006), the benefits of multiple quizzes were largest at a 1-week delay after the original study event. 16 Policy Insights from the Behavioral and Brain Sciences 2(1) All of this is particularly </w:t>
      </w:r>
      <w:r w:rsidRPr="00420166">
        <w:rPr>
          <w:rStyle w:val="StyleUnderline"/>
        </w:rPr>
        <w:t xml:space="preserve">noteworthy because, counterin- tuitively, there are not many cognitive interventions that appear to slow the rate of forgetting. </w:t>
      </w:r>
      <w:r w:rsidRPr="00233789">
        <w:rPr>
          <w:rStyle w:val="StyleUnderline"/>
          <w:highlight w:val="yellow"/>
        </w:rPr>
        <w:t>Studying material more leads to a higher initial degree of learning but does not slow forgetting</w:t>
      </w:r>
      <w:r w:rsidRPr="00420166">
        <w:rPr>
          <w:rStyle w:val="StyleUnderline"/>
        </w:rPr>
        <w:t xml:space="preserve"> (Anderson &amp; Schooler, 1991; Hellyer, 1962). Employing a “deep” level of processing—in which the learner is encouraged to think about the meaning of the to- be-learned information—does not slow forgetting (Ne</w:t>
      </w:r>
      <w:r w:rsidRPr="00420166">
        <w:rPr>
          <w:sz w:val="16"/>
        </w:rPr>
        <w:t xml:space="preserve">lson &amp; Vining, 1978). Yet, </w:t>
      </w:r>
      <w:r w:rsidRPr="00420166">
        <w:rPr>
          <w:rStyle w:val="StyleUnderline"/>
        </w:rPr>
        <w:t>testing slows forgetting</w:t>
      </w:r>
      <w:r w:rsidRPr="00420166">
        <w:rPr>
          <w:sz w:val="16"/>
        </w:rPr>
        <w:t xml:space="preserve"> (Carpenter, Pashler, Wixted, &amp; Vul, 2008), sometimes considerably (Wheeler, Ewers, &amp; Buonanno, 2003), which may make it an ideal technique for promoting long-term, durable learning. It may even be the case that the</w:t>
      </w:r>
      <w:r w:rsidRPr="00420166">
        <w:rPr>
          <w:rStyle w:val="StyleUnderline"/>
        </w:rPr>
        <w:t xml:space="preserve"> </w:t>
      </w:r>
      <w:r w:rsidRPr="00233789">
        <w:rPr>
          <w:rStyle w:val="StyleUnderline"/>
          <w:highlight w:val="yellow"/>
        </w:rPr>
        <w:t>benefit to memory from testing is due entirely to the reduced forgetting it engenders</w:t>
      </w:r>
      <w:r w:rsidRPr="00233789">
        <w:rPr>
          <w:sz w:val="16"/>
          <w:highlight w:val="yellow"/>
        </w:rPr>
        <w:t>.</w:t>
      </w:r>
      <w:r w:rsidRPr="00420166">
        <w:rPr>
          <w:sz w:val="16"/>
        </w:rPr>
        <w:t xml:space="preserve"> When a test is administered immediately after the review phase in an experiment, performance is often superior fol- lowing a re-study than a quiz event. However, this advantage is short lived: after a relatively short time interval, the bene- fits of quizzing are apparent. So, although </w:t>
      </w:r>
      <w:r w:rsidRPr="00420166">
        <w:rPr>
          <w:rStyle w:val="StyleUnderline"/>
        </w:rPr>
        <w:t xml:space="preserve">quizzing </w:t>
      </w:r>
      <w:r w:rsidRPr="00420166">
        <w:rPr>
          <w:sz w:val="16"/>
        </w:rPr>
        <w:t xml:space="preserve">may not be the study regimen of choice for a student who is doing last-minute cramming, it is a </w:t>
      </w:r>
      <w:r w:rsidRPr="00233789">
        <w:rPr>
          <w:rStyle w:val="StyleUnderline"/>
          <w:highlight w:val="yellow"/>
        </w:rPr>
        <w:t>better way to promote long- term retention</w:t>
      </w:r>
      <w:r w:rsidRPr="00420166">
        <w:rPr>
          <w:sz w:val="16"/>
        </w:rPr>
        <w:t xml:space="preserve">. Effective organization of a sequence of tests. The effective organization of a series of tests on the same material can enhance the benefits of testing yet further. The fact that test- ing decreases the rate of forgetting can be leveraged to start thinking about how tests can be efficiently sequenced. Because the material will be forgotten a little more slowly after each test, then if all tests were equally difficult from an objective standpoint, each test would actually be subjectively a little easier than the last. To render each test more similar in difficulty from the test taker’s perspective requires each test to be a little more objectively difficult than the last. One way in which this can be done is by using an expand- ing test schedule, in which each quiz is administered at a slightly longer interval than the last one. </w:t>
      </w:r>
      <w:r w:rsidRPr="00420166">
        <w:rPr>
          <w:rStyle w:val="StyleUnderline"/>
        </w:rPr>
        <w:t xml:space="preserve">Expanding sched- ules have been shown to enhance memory for names (Landauer &amp; Bjork, 1978) and text (Storm, Bjork, &amp; Storm, 2010). It has been used to aid learning in young children </w:t>
      </w:r>
      <w:r w:rsidRPr="00420166">
        <w:rPr>
          <w:sz w:val="16"/>
        </w:rPr>
        <w:t xml:space="preserve">(Fritz, Morris, Nolan, &amp; Singleton, 2007), memory-impaired populations (Camp, 2006; Schacter, Rich, &amp; Stampp, 1985), and even in rehabilitative regimens (Wilson, Baddeley, Evans, &amp; Sheil, 1994). They may be particularly useful for maintaining high levels of retention over long periods (Kang, Lindsey, Mozer, &amp; Pashler, 2014). However, care must be taken to ensure that the spacing of the tests corresponds at least roughly to the rate of forgetting; if a single test is too difficult, material that is not successfully remembered on that test is unlikely to be recovered on future tests or on the final test. This scheduling difficulty may underlie cases in which the benefits of an expanding schedule are not evident when compared with evenly spaced quizzes (Logan &amp; Balota, 2008). Another way in which the difficulty of a sequence of tests can be manipulated is through the difficulty of the questions. In foreign-language vocabulary learning, it is effective to decrease the use of “hints” to the correct word over a sequence of tests (Finley, Benjamin, Hays, Bjork, &amp; Kornell, 2011). An advantage of this technique over the expanding schedule of tests for classroom use is that it does not require complicated scheduling. In both cases, trying to tune the dif- ficulty of ongoing tests to the forgetting that is expected to occur helps to slow the rate of forgetting and enhance long- term memory. </w:t>
      </w:r>
      <w:r w:rsidRPr="00420166">
        <w:rPr>
          <w:rStyle w:val="Emphasis"/>
        </w:rPr>
        <w:t xml:space="preserve">Tests Improve Inference and Transfer Thus far, </w:t>
      </w:r>
      <w:r w:rsidRPr="00012247">
        <w:rPr>
          <w:rStyle w:val="Emphasis"/>
          <w:highlight w:val="yellow"/>
        </w:rPr>
        <w:t>we have only considered how tests benefit a stu- dent’s ability to remember material.</w:t>
      </w:r>
      <w:r w:rsidRPr="00420166">
        <w:rPr>
          <w:rStyle w:val="Emphasis"/>
        </w:rPr>
        <w:t xml:space="preserve"> Of course, remembering what is taught is only a small part of the process of becoming educated in a discipline. </w:t>
      </w:r>
      <w:r w:rsidRPr="00012247">
        <w:rPr>
          <w:rStyle w:val="Emphasis"/>
          <w:highlight w:val="yellow"/>
        </w:rPr>
        <w:t>Being able to generalize and draw new inferences on the basis of the learned material is criti- cally important if we want students to apply their learning to new situations</w:t>
      </w:r>
      <w:r w:rsidRPr="00012247">
        <w:rPr>
          <w:sz w:val="16"/>
          <w:highlight w:val="yellow"/>
        </w:rPr>
        <w:t>.</w:t>
      </w:r>
      <w:r w:rsidRPr="00420166">
        <w:rPr>
          <w:sz w:val="16"/>
        </w:rPr>
        <w:t xml:space="preserve"> And there is evidence that </w:t>
      </w:r>
      <w:r w:rsidRPr="00420166">
        <w:rPr>
          <w:rStyle w:val="StyleUnderline"/>
        </w:rPr>
        <w:t>quizzing facilitates the generalization and application of knowledge as well</w:t>
      </w:r>
      <w:r w:rsidRPr="00420166">
        <w:rPr>
          <w:sz w:val="16"/>
        </w:rPr>
        <w:t xml:space="preserve">. In one study (Chan, McDermott, &amp; Roediger, 2006), sub- jects read a set of passages and were either quizzed on their memory for selected facts from those passages or given extra study time. </w:t>
      </w:r>
      <w:r w:rsidRPr="00420166">
        <w:rPr>
          <w:rStyle w:val="StyleUnderline"/>
        </w:rPr>
        <w:t>Prior quizzing enhanced memory for the non- quizzed (as well as the quizzed) aspects of the texts when compared with re-studying</w:t>
      </w:r>
      <w:r w:rsidRPr="00420166">
        <w:rPr>
          <w:sz w:val="16"/>
        </w:rPr>
        <w:t xml:space="preserve">. The benefit persists after a rather long interval (7 days; Chan, 2010) and even when the final test material is quite distant from the original material being quizzed (Butler, 2010). In general, these benefits are most pronounced in cases in which the learners took what the authors called a broad approach to retrieving responses during the practice quiz: When they thought widely about lots of details relevant to the terms in the question—even if those details were not directly related to the sought-after answer—the benefits of quizzing on related but unquizzed material were most pro- nounced. So it appears that </w:t>
      </w:r>
      <w:r w:rsidRPr="00012247">
        <w:rPr>
          <w:rStyle w:val="Emphasis"/>
          <w:highlight w:val="yellow"/>
        </w:rPr>
        <w:t>testing</w:t>
      </w:r>
      <w:r w:rsidRPr="00420166">
        <w:rPr>
          <w:rStyle w:val="Emphasis"/>
        </w:rPr>
        <w:t xml:space="preserve"> </w:t>
      </w:r>
      <w:r w:rsidRPr="00012247">
        <w:rPr>
          <w:rStyle w:val="Emphasis"/>
          <w:highlight w:val="yellow"/>
        </w:rPr>
        <w:t>benefits</w:t>
      </w:r>
      <w:r w:rsidRPr="00420166">
        <w:rPr>
          <w:rStyle w:val="Emphasis"/>
        </w:rPr>
        <w:t xml:space="preserve"> </w:t>
      </w:r>
      <w:r w:rsidRPr="00012247">
        <w:rPr>
          <w:rStyle w:val="Emphasis"/>
          <w:highlight w:val="yellow"/>
        </w:rPr>
        <w:t>learning</w:t>
      </w:r>
      <w:r w:rsidRPr="00420166">
        <w:rPr>
          <w:rStyle w:val="Emphasis"/>
        </w:rPr>
        <w:t xml:space="preserve"> in part </w:t>
      </w:r>
      <w:r w:rsidRPr="00012247">
        <w:rPr>
          <w:rStyle w:val="Emphasis"/>
          <w:highlight w:val="yellow"/>
        </w:rPr>
        <w:t>because of the way that it motivates learners</w:t>
      </w:r>
      <w:r w:rsidRPr="00420166">
        <w:rPr>
          <w:rStyle w:val="Emphasis"/>
        </w:rPr>
        <w:t xml:space="preserve"> to think about relations among learned facts, and in part because it encour- ages effective reorganization.</w:t>
      </w:r>
      <w:r w:rsidRPr="00420166">
        <w:rPr>
          <w:sz w:val="16"/>
        </w:rPr>
        <w:t xml:space="preserve"> Such a result is consistent with the finding reviewed earlier that short-answer tests benefit learners more than do multiple-choice tests, as short-answer tests presumably offer more opportunities for broad thinking. It is also consistent with the well-accepted finding in educa- tion that asking and answering “deep questions”—ones that focus on relations, logic, and causation, for example—dra- matically benefit student learning (King, 1994). It is for these reasons that adjunct questions—the thought questions that appear in textbooks alongside the main text— have an overall beneficial effect on learning, even for matters not directly related to those questions (Hamaker, 1986). Furthermore, </w:t>
      </w:r>
      <w:r w:rsidRPr="007E4A0F">
        <w:rPr>
          <w:rStyle w:val="StyleUnderline"/>
          <w:highlight w:val="yellow"/>
        </w:rPr>
        <w:t>questions that encourage higher-order thinking</w:t>
      </w:r>
      <w:r w:rsidRPr="00420166">
        <w:rPr>
          <w:rStyle w:val="StyleUnderline"/>
        </w:rPr>
        <w:t xml:space="preserve"> (e.g., reasoning to a new situation) over simple fact retrieval </w:t>
      </w:r>
      <w:r w:rsidRPr="007E4A0F">
        <w:rPr>
          <w:rStyle w:val="StyleUnderline"/>
          <w:highlight w:val="yellow"/>
        </w:rPr>
        <w:t>enhance</w:t>
      </w:r>
      <w:r w:rsidRPr="00420166">
        <w:rPr>
          <w:rStyle w:val="StyleUnderline"/>
        </w:rPr>
        <w:t xml:space="preserve"> the benefits of </w:t>
      </w:r>
      <w:r w:rsidRPr="007E4A0F">
        <w:rPr>
          <w:rStyle w:val="StyleUnderline"/>
          <w:highlight w:val="yellow"/>
        </w:rPr>
        <w:t>adjunct questions</w:t>
      </w:r>
      <w:r w:rsidRPr="00420166">
        <w:rPr>
          <w:rStyle w:val="StyleUnderline"/>
        </w:rPr>
        <w:t xml:space="preserve"> yet further. </w:t>
      </w:r>
      <w:r w:rsidRPr="00420166">
        <w:rPr>
          <w:sz w:val="16"/>
        </w:rPr>
        <w:t xml:space="preserve">Presumably, one major limitation of adjunct questions—par- ticularly, difficult higher-order ones—is students’ willing- ness to engage them in the course of reading. Quizzing opportunities in the classroom have the potential to circum- vent this inclination. </w:t>
      </w:r>
      <w:r w:rsidRPr="007E4A0F">
        <w:rPr>
          <w:rStyle w:val="Emphasis"/>
          <w:highlight w:val="yellow"/>
        </w:rPr>
        <w:t>Testing also boosts our ability to learn concepts</w:t>
      </w:r>
      <w:r w:rsidRPr="007E4A0F">
        <w:rPr>
          <w:sz w:val="16"/>
          <w:highlight w:val="yellow"/>
        </w:rPr>
        <w:t>.</w:t>
      </w:r>
      <w:r w:rsidRPr="00420166">
        <w:rPr>
          <w:sz w:val="16"/>
        </w:rPr>
        <w:t xml:space="preserve"> In one example (Jacoby, Wahlheim, &amp; Coane, 2010), subjects were required to learn about different families of birds. One group was given four study blocks with pictures of birds and their family names; the other was given only one study block and three blocks on which they were shown only the picture and asked to retrieve the family name. Feedback was provided after their response. </w:t>
      </w:r>
      <w:r w:rsidRPr="00420166">
        <w:rPr>
          <w:rStyle w:val="StyleUnderline"/>
        </w:rPr>
        <w:t>The novel aspect of their procedure was a later test that included entirely new pictures of birds from the same families</w:t>
      </w:r>
      <w:r w:rsidRPr="00420166">
        <w:rPr>
          <w:sz w:val="16"/>
        </w:rPr>
        <w:t xml:space="preserve">. </w:t>
      </w:r>
      <w:r w:rsidRPr="007E4A0F">
        <w:rPr>
          <w:rStyle w:val="Emphasis"/>
          <w:highlight w:val="yellow"/>
        </w:rPr>
        <w:t>The group that had had quizzes was actu- ally better able to sort those new pictures of birds into the appropriate families,</w:t>
      </w:r>
      <w:r w:rsidRPr="00036A33">
        <w:rPr>
          <w:rStyle w:val="Emphasis"/>
        </w:rPr>
        <w:t xml:space="preserve"> indicating that quizzing had done more than simply enhance their memory for the previously studied birds. Rather, it seems to have actually improved their knowl- edge of the categories that differentiated among the bird</w:t>
      </w:r>
      <w:r w:rsidRPr="00420166">
        <w:rPr>
          <w:sz w:val="16"/>
        </w:rPr>
        <w:t>s. Tests encourage the kind of thinking that is essential not just for retention but also for mentally organizing the acquisition of new material.</w:t>
      </w:r>
    </w:p>
    <w:p w14:paraId="438FDB03" w14:textId="499AFDF2" w:rsidR="00537DAD" w:rsidRDefault="00866913" w:rsidP="00537DAD">
      <w:pPr>
        <w:pStyle w:val="Heading4"/>
      </w:pPr>
      <w:r>
        <w:t xml:space="preserve">3. </w:t>
      </w:r>
      <w:r w:rsidR="00537DAD">
        <w:t>Assumptions about erasing Eurocentric science and types of standardized testing in the way of the affirmative cement in deeper dichotomies and ignore important sociological breakthroughs</w:t>
      </w:r>
    </w:p>
    <w:p w14:paraId="00D1E7EC" w14:textId="77777777" w:rsidR="00537DAD" w:rsidRPr="006C190F" w:rsidRDefault="00537DAD" w:rsidP="00537DAD">
      <w:pPr>
        <w:rPr>
          <w:rStyle w:val="Style13ptBold"/>
          <w:b w:val="0"/>
        </w:rPr>
      </w:pPr>
      <w:r>
        <w:rPr>
          <w:rStyle w:val="Style13ptBold"/>
        </w:rPr>
        <w:t xml:space="preserve">Michaelsen &amp; Shershow 7 </w:t>
      </w:r>
      <w:r>
        <w:rPr>
          <w:rStyle w:val="Style13ptBold"/>
          <w:b w:val="0"/>
        </w:rPr>
        <w:t>(</w:t>
      </w:r>
      <w:r w:rsidRPr="006C190F">
        <w:rPr>
          <w:rStyle w:val="Style13ptBold"/>
          <w:b w:val="0"/>
        </w:rPr>
        <w:t>Scott Michaelsen</w:t>
      </w:r>
      <w:r>
        <w:rPr>
          <w:rStyle w:val="Style13ptBold"/>
          <w:b w:val="0"/>
        </w:rPr>
        <w:t xml:space="preserve"> </w:t>
      </w:r>
      <w:r w:rsidRPr="00FD3C1A">
        <w:rPr>
          <w:rStyle w:val="Style13ptBold"/>
          <w:b w:val="0"/>
        </w:rPr>
        <w:t>teaches in a number of different areas, including American literature, the literatures of the Americas, popular culture (science fiction, for example), and philosophy and theory in its relation to literature and society.</w:t>
      </w:r>
      <w:r>
        <w:rPr>
          <w:rStyle w:val="Style13ptBold"/>
          <w:b w:val="0"/>
        </w:rPr>
        <w:t xml:space="preserve"> </w:t>
      </w:r>
      <w:r w:rsidRPr="006C190F">
        <w:rPr>
          <w:rStyle w:val="Style13ptBold"/>
          <w:b w:val="0"/>
        </w:rPr>
        <w:t>Scott Cutler Shershow</w:t>
      </w:r>
      <w:r>
        <w:rPr>
          <w:rStyle w:val="Style13ptBold"/>
          <w:b w:val="0"/>
        </w:rPr>
        <w:t xml:space="preserve">, </w:t>
      </w:r>
      <w:r w:rsidRPr="0052762F">
        <w:rPr>
          <w:rStyle w:val="Style13ptBold"/>
          <w:b w:val="0"/>
        </w:rPr>
        <w:t>is Professor of English at the University of California, Davis.  He is the author, most recently, of Bread, from Bloomsbury’s “Object Lessons” series.</w:t>
      </w:r>
      <w:r>
        <w:rPr>
          <w:rStyle w:val="Style13ptBold"/>
          <w:b w:val="0"/>
        </w:rPr>
        <w:t xml:space="preserve"> “</w:t>
      </w:r>
      <w:r w:rsidRPr="007761E8">
        <w:rPr>
          <w:rStyle w:val="Style13ptBold"/>
          <w:b w:val="0"/>
        </w:rPr>
        <w:t>Rethinking Border Thinking</w:t>
      </w:r>
      <w:r>
        <w:rPr>
          <w:rStyle w:val="Style13ptBold"/>
          <w:b w:val="0"/>
        </w:rPr>
        <w:t>”, pp. 44-</w:t>
      </w:r>
      <w:proofErr w:type="gramStart"/>
      <w:r>
        <w:rPr>
          <w:rStyle w:val="Style13ptBold"/>
          <w:b w:val="0"/>
        </w:rPr>
        <w:t>48 )</w:t>
      </w:r>
      <w:proofErr w:type="gramEnd"/>
      <w:r>
        <w:rPr>
          <w:rStyle w:val="Style13ptBold"/>
          <w:b w:val="0"/>
        </w:rPr>
        <w:t xml:space="preserve"> TSB</w:t>
      </w:r>
    </w:p>
    <w:p w14:paraId="640ACBE9" w14:textId="128D1F40" w:rsidR="009A68EF" w:rsidRDefault="00537DAD" w:rsidP="00537DAD">
      <w:pPr>
        <w:rPr>
          <w:rStyle w:val="StyleUnderline"/>
        </w:rPr>
      </w:pPr>
      <w:r w:rsidRPr="006C190F">
        <w:t xml:space="preserve">As Derrida famously suggests, </w:t>
      </w:r>
      <w:r w:rsidRPr="007761E8">
        <w:rPr>
          <w:rStyle w:val="StyleUnderline"/>
        </w:rPr>
        <w:t xml:space="preserve">the European ten- dency to privilege speech over writing manifests a nostalgia for an imagined self-presence of the voice that writing dilutes or contaminates. At best, therefore, Mignolo’s third claim merely restates one more time that Amer-indian and European signifying practices are fundamentally di erent: in this case, because </w:t>
      </w:r>
      <w:r w:rsidRPr="007E4A0F">
        <w:rPr>
          <w:rStyle w:val="StyleUnderline"/>
          <w:highlight w:val="yellow"/>
        </w:rPr>
        <w:t>Amerindian signification is said to be somehow wild and natural</w:t>
      </w:r>
      <w:r w:rsidRPr="007761E8">
        <w:rPr>
          <w:rStyle w:val="StyleUnderline"/>
        </w:rPr>
        <w:t xml:space="preserve">—still in need of “taming”—while European signi cation is said to be somehow domesticated. </w:t>
      </w:r>
      <w:r w:rsidRPr="007761E8">
        <w:rPr>
          <w:rStyle w:val="StyleUnderline"/>
          <w:b/>
        </w:rPr>
        <w:t xml:space="preserve">At worst, however, </w:t>
      </w:r>
      <w:r w:rsidRPr="007E4A0F">
        <w:rPr>
          <w:rStyle w:val="StyleUnderline"/>
          <w:b/>
          <w:highlight w:val="yellow"/>
        </w:rPr>
        <w:t>one must suspect that Mignolo’s claim itself</w:t>
      </w:r>
      <w:r w:rsidRPr="007761E8">
        <w:rPr>
          <w:rStyle w:val="StyleUnderline"/>
          <w:b/>
        </w:rPr>
        <w:t xml:space="preserve"> </w:t>
      </w:r>
      <w:r w:rsidRPr="007E4A0F">
        <w:rPr>
          <w:rStyle w:val="StyleUnderline"/>
          <w:b/>
          <w:highlight w:val="yellow"/>
        </w:rPr>
        <w:t>springs</w:t>
      </w:r>
      <w:r w:rsidRPr="007761E8">
        <w:rPr>
          <w:rStyle w:val="StyleUnderline"/>
          <w:b/>
        </w:rPr>
        <w:t xml:space="preserve"> </w:t>
      </w:r>
      <w:r w:rsidRPr="007E4A0F">
        <w:rPr>
          <w:rStyle w:val="StyleUnderline"/>
          <w:b/>
          <w:highlight w:val="yellow"/>
        </w:rPr>
        <w:t>from</w:t>
      </w:r>
      <w:r w:rsidRPr="007761E8">
        <w:rPr>
          <w:rStyle w:val="StyleUnderline"/>
          <w:b/>
        </w:rPr>
        <w:t xml:space="preserve"> a kind of </w:t>
      </w:r>
      <w:r w:rsidRPr="007E4A0F">
        <w:rPr>
          <w:rStyle w:val="StyleUnderline"/>
          <w:b/>
          <w:highlight w:val="yellow"/>
        </w:rPr>
        <w:t>nostalgia</w:t>
      </w:r>
      <w:r w:rsidRPr="007761E8">
        <w:rPr>
          <w:rStyle w:val="StyleUnderline"/>
          <w:b/>
        </w:rPr>
        <w:t xml:space="preserve"> </w:t>
      </w:r>
      <w:r w:rsidRPr="007E4A0F">
        <w:rPr>
          <w:rStyle w:val="StyleUnderline"/>
          <w:b/>
          <w:highlight w:val="yellow"/>
        </w:rPr>
        <w:t>for</w:t>
      </w:r>
      <w:r w:rsidRPr="007761E8">
        <w:rPr>
          <w:rStyle w:val="StyleUnderline"/>
          <w:b/>
        </w:rPr>
        <w:t xml:space="preserve"> some </w:t>
      </w:r>
      <w:r w:rsidRPr="007E4A0F">
        <w:rPr>
          <w:rStyle w:val="StyleUnderline"/>
          <w:b/>
          <w:highlight w:val="yellow"/>
        </w:rPr>
        <w:t>unadul</w:t>
      </w:r>
      <w:r w:rsidRPr="007761E8">
        <w:rPr>
          <w:rStyle w:val="StyleUnderline"/>
          <w:b/>
        </w:rPr>
        <w:t xml:space="preserve">- </w:t>
      </w:r>
      <w:r w:rsidRPr="007E4A0F">
        <w:rPr>
          <w:rStyle w:val="StyleUnderline"/>
          <w:b/>
          <w:highlight w:val="yellow"/>
        </w:rPr>
        <w:t>terated</w:t>
      </w:r>
      <w:r w:rsidRPr="007761E8">
        <w:rPr>
          <w:rStyle w:val="StyleUnderline"/>
          <w:b/>
        </w:rPr>
        <w:t xml:space="preserve"> </w:t>
      </w:r>
      <w:r w:rsidRPr="007E4A0F">
        <w:rPr>
          <w:rStyle w:val="StyleUnderline"/>
          <w:b/>
          <w:highlight w:val="yellow"/>
        </w:rPr>
        <w:t>Amerindian</w:t>
      </w:r>
      <w:r w:rsidRPr="007761E8">
        <w:rPr>
          <w:rStyle w:val="StyleUnderline"/>
          <w:b/>
        </w:rPr>
        <w:t xml:space="preserve"> “</w:t>
      </w:r>
      <w:r w:rsidRPr="007E4A0F">
        <w:rPr>
          <w:rStyle w:val="StyleUnderline"/>
          <w:b/>
          <w:highlight w:val="yellow"/>
        </w:rPr>
        <w:t>voice</w:t>
      </w:r>
      <w:r w:rsidRPr="007761E8">
        <w:rPr>
          <w:rStyle w:val="StyleUnderline"/>
          <w:b/>
        </w:rPr>
        <w:t>” imagined as not yet disturbed in the plenitude of its self-presence and self-possession</w:t>
      </w:r>
      <w:r>
        <w:t xml:space="preserve">. As we have observed, this whole elaborate theoretical machinery de- pends on a single fundamental claim: that Amerindian systems of signi- cation were so distinctively di erent as to escape the problems Derrida described under the term logocentrism. </w:t>
      </w:r>
      <w:r w:rsidRPr="007761E8">
        <w:rPr>
          <w:rStyle w:val="StyleUnderline"/>
        </w:rPr>
        <w:t xml:space="preserve">Even on the surface of it, </w:t>
      </w:r>
      <w:r w:rsidRPr="007E4A0F">
        <w:rPr>
          <w:rStyle w:val="StyleUnderline"/>
          <w:highlight w:val="yellow"/>
        </w:rPr>
        <w:t>such a claim is founded in a contradiction so simple and obvious as to have eluded Mignolo himself.</w:t>
      </w:r>
      <w:r w:rsidRPr="007761E8">
        <w:rPr>
          <w:rStyle w:val="StyleUnderline"/>
        </w:rPr>
        <w:t xml:space="preserve"> On the one hand, Mignolo argues above all that these colonial subjects, who were declared to be a people “without writing” by their colonial conquerors (because they appeared to lack systems of pho- netic or alphabetic inscription) in fact do possess a variety of practices that can meaningfully be called “writing.” In this sense, the Amerindians were culturally the same as their conquerors: </w:t>
      </w:r>
      <w:r w:rsidRPr="007E4A0F">
        <w:rPr>
          <w:rStyle w:val="StyleUnderline"/>
          <w:highlight w:val="yellow"/>
        </w:rPr>
        <w:t>their signifying systems were in no sense “primitive” and should not be understood as merely the earlier stages of some alleged progression toward alphabetic writing.</w:t>
      </w:r>
      <w:r w:rsidRPr="007761E8">
        <w:rPr>
          <w:rStyle w:val="StyleUnderline"/>
        </w:rPr>
        <w:t xml:space="preserve"> On the other hand, Mignolo also argues that Amerindian signifying practices were in fact dis- tinctively di erent from European ones, for their “writing” was neither a phonetic representation of speech nor understood as a privileged realm of memory and authority in the Western manner. </w:t>
      </w:r>
      <w:r w:rsidRPr="007E4A0F">
        <w:rPr>
          <w:rStyle w:val="StyleUnderline"/>
          <w:highlight w:val="yellow"/>
        </w:rPr>
        <w:t>Mignolo is thus trying, as it were, to have his di erence and deny it too. He insists that Amerindians did have writing,</w:t>
      </w:r>
      <w:r w:rsidRPr="007761E8">
        <w:rPr>
          <w:rStyle w:val="StyleUnderline"/>
        </w:rPr>
        <w:t xml:space="preserve"> yet imagines the writing they</w:t>
      </w:r>
      <w:r>
        <w:t xml:space="preserve"> </w:t>
      </w:r>
      <w:r w:rsidRPr="007761E8">
        <w:rPr>
          <w:rStyle w:val="StyleUnderline"/>
        </w:rPr>
        <w:t>had as one that escapes all of writing’s problems and that exists in the form of an untamed “voice” not yet contaminated by the letter</w:t>
      </w:r>
      <w:r>
        <w:t xml:space="preserve">. The rst half of this self-contradictory argument also merely echoes a traditional anthropological critique of “evolutionary” Eurocentric con- ceptions of culture. True enough, both the Renaissance colonialists and humanists whom Mignolo discusses, and later thinkers such as Rousseau and Hegel, always assume that alphabetic writing is the inevitable telos of human cultural progress. The other contributors to Writing without Words frequently join Mignolo (and Derrida) in rightly critiquing such assump- tions. For example, Elizabeth Hill Boone, the coeditor of the volume, deplores how “the denial of pictographic writing systems as ‘real writing’ has generally been accompanied by an insidious pejorative tone.”8 Boone, however, enlists Derrida’s critique of logocentrism as an ally in reclaiming the pictographic systems of pre-Columbian as legitimate forms of “writ- ing.” What Boone calls the “semasiographic” writing systems of Meso- america do not primarily rely on a phonetic representation of speech and are “characterized by a high proportion of visual description,” but never- theless, “like other iconic systems they also use some arbitrary conven- tions,” and “phonetic elements may be present—especially in personal names and place names” (18). As Derrida himself always argues, </w:t>
      </w:r>
      <w:r w:rsidRPr="007761E8">
        <w:rPr>
          <w:rStyle w:val="StyleUnderline"/>
        </w:rPr>
        <w:t>no system of writing is either purely phonetic or purely pictographic; and “‘pho- netic’ and ‘nonphonetic’ are . . . never pure qualities of certain systems of writing, they are the abstract characteristics of typical elements, more or less numerous and dominant within all systems of signi cation in general” (Grammatology, 89). No departure from Derrida is therefore necessary to join Mignolo and his collaborators in this volume in simply concluding that, during the period of colonization</w:t>
      </w:r>
      <w:r w:rsidRPr="007761E8">
        <w:rPr>
          <w:rStyle w:val="Emphasis"/>
        </w:rPr>
        <w:t>, “</w:t>
      </w:r>
      <w:r w:rsidRPr="007E4A0F">
        <w:rPr>
          <w:rStyle w:val="Emphasis"/>
          <w:highlight w:val="yellow"/>
        </w:rPr>
        <w:t>the materiality and the ideology of Amerindian semiotic interactions were intermingled with or replaced by the materiality and ideology of Western reading and writing cultures”</w:t>
      </w:r>
      <w:r w:rsidRPr="007E4A0F">
        <w:rPr>
          <w:highlight w:val="yellow"/>
        </w:rPr>
        <w:t xml:space="preserve"> (</w:t>
      </w:r>
      <w:r>
        <w:t xml:space="preserve">Darker, 76) and that, in other words, European colonialists misinterpreted Amerindian practices in the light of their own cultural presuppositions, and imposed Western conceptions of writing on colonial subjects as part of a broader process of cultural and political subjugation. But </w:t>
      </w:r>
      <w:r w:rsidRPr="007761E8">
        <w:rPr>
          <w:rStyle w:val="StyleUnderline"/>
        </w:rPr>
        <w:t xml:space="preserve">the second half of Mignolo’s self-contradictory double claim—that Amerindian systems of signi cation escape the problems of logocen- trism—by no means follows from this conclusion. Consider, for example, how Boone suggests that one advantage of semasiographic systems is that “Aztec (Nahuatl-speaking) scribes from Central Mexico could . . . read the Mixtec histories of southern Oaxaca, giving them voice in their own lan- guage” </w:t>
      </w:r>
      <w:r>
        <w:t xml:space="preserve">(19). And she concludes: </w:t>
      </w:r>
      <w:r w:rsidRPr="007E4A0F">
        <w:rPr>
          <w:rStyle w:val="Emphasis"/>
          <w:highlight w:val="yellow"/>
        </w:rPr>
        <w:t>One</w:t>
      </w:r>
      <w:r w:rsidRPr="007761E8">
        <w:rPr>
          <w:rStyle w:val="Emphasis"/>
        </w:rPr>
        <w:t xml:space="preserve"> </w:t>
      </w:r>
      <w:r w:rsidRPr="007E4A0F">
        <w:rPr>
          <w:rStyle w:val="Emphasis"/>
          <w:highlight w:val="yellow"/>
        </w:rPr>
        <w:t>thing</w:t>
      </w:r>
      <w:r w:rsidRPr="007761E8">
        <w:rPr>
          <w:rStyle w:val="Emphasis"/>
        </w:rPr>
        <w:t xml:space="preserve"> </w:t>
      </w:r>
      <w:r w:rsidRPr="007E4A0F">
        <w:rPr>
          <w:rStyle w:val="Emphasis"/>
          <w:highlight w:val="yellow"/>
        </w:rPr>
        <w:t>shared</w:t>
      </w:r>
      <w:r w:rsidRPr="007761E8">
        <w:rPr>
          <w:rStyle w:val="Emphasis"/>
        </w:rPr>
        <w:t xml:space="preserve"> </w:t>
      </w:r>
      <w:r w:rsidRPr="007E4A0F">
        <w:rPr>
          <w:rStyle w:val="Emphasis"/>
          <w:highlight w:val="yellow"/>
        </w:rPr>
        <w:t>by</w:t>
      </w:r>
      <w:r w:rsidRPr="007761E8">
        <w:rPr>
          <w:rStyle w:val="Emphasis"/>
        </w:rPr>
        <w:t xml:space="preserve"> all </w:t>
      </w:r>
      <w:r w:rsidRPr="007E4A0F">
        <w:rPr>
          <w:rStyle w:val="Emphasis"/>
          <w:highlight w:val="yellow"/>
        </w:rPr>
        <w:t>these</w:t>
      </w:r>
      <w:r w:rsidRPr="007761E8">
        <w:rPr>
          <w:rStyle w:val="Emphasis"/>
        </w:rPr>
        <w:t xml:space="preserve"> </w:t>
      </w:r>
      <w:r w:rsidRPr="007E4A0F">
        <w:rPr>
          <w:rStyle w:val="Emphasis"/>
          <w:highlight w:val="yellow"/>
        </w:rPr>
        <w:t>indigenous</w:t>
      </w:r>
      <w:r w:rsidRPr="007761E8">
        <w:rPr>
          <w:rStyle w:val="Emphasis"/>
        </w:rPr>
        <w:t xml:space="preserve"> New World </w:t>
      </w:r>
      <w:r w:rsidRPr="007E4A0F">
        <w:rPr>
          <w:rStyle w:val="Emphasis"/>
          <w:highlight w:val="yellow"/>
        </w:rPr>
        <w:t>systems</w:t>
      </w:r>
      <w:r w:rsidRPr="007761E8">
        <w:rPr>
          <w:rStyle w:val="Emphasis"/>
        </w:rPr>
        <w:t xml:space="preserve"> </w:t>
      </w:r>
      <w:r w:rsidRPr="007E4A0F">
        <w:rPr>
          <w:rStyle w:val="Emphasis"/>
          <w:highlight w:val="yellow"/>
        </w:rPr>
        <w:t>is</w:t>
      </w:r>
      <w:r w:rsidRPr="007761E8">
        <w:rPr>
          <w:rStyle w:val="Emphasis"/>
        </w:rPr>
        <w:t xml:space="preserve"> that </w:t>
      </w:r>
      <w:r w:rsidRPr="007E4A0F">
        <w:rPr>
          <w:rStyle w:val="Emphasis"/>
          <w:highlight w:val="yellow"/>
        </w:rPr>
        <w:t>they</w:t>
      </w:r>
      <w:r w:rsidRPr="007761E8">
        <w:rPr>
          <w:rStyle w:val="Emphasis"/>
        </w:rPr>
        <w:t xml:space="preserve"> </w:t>
      </w:r>
      <w:r w:rsidRPr="007E4A0F">
        <w:rPr>
          <w:rStyle w:val="Emphasis"/>
          <w:highlight w:val="yellow"/>
        </w:rPr>
        <w:t>give</w:t>
      </w:r>
      <w:r w:rsidRPr="007761E8">
        <w:rPr>
          <w:rStyle w:val="Emphasis"/>
        </w:rPr>
        <w:t xml:space="preserve"> </w:t>
      </w:r>
      <w:r w:rsidRPr="007E4A0F">
        <w:rPr>
          <w:rStyle w:val="Emphasis"/>
          <w:highlight w:val="yellow"/>
        </w:rPr>
        <w:t>accountability</w:t>
      </w:r>
      <w:r w:rsidRPr="007761E8">
        <w:rPr>
          <w:rStyle w:val="Emphasis"/>
        </w:rPr>
        <w:t xml:space="preserve">. Because </w:t>
      </w:r>
      <w:r w:rsidRPr="007E4A0F">
        <w:rPr>
          <w:rStyle w:val="Emphasis"/>
          <w:highlight w:val="yellow"/>
        </w:rPr>
        <w:t>they</w:t>
      </w:r>
      <w:r w:rsidRPr="007761E8">
        <w:rPr>
          <w:rStyle w:val="Emphasis"/>
        </w:rPr>
        <w:t xml:space="preserve"> </w:t>
      </w:r>
      <w:r w:rsidRPr="007E4A0F">
        <w:rPr>
          <w:rStyle w:val="Emphasis"/>
          <w:highlight w:val="yellow"/>
        </w:rPr>
        <w:t>are</w:t>
      </w:r>
      <w:r w:rsidRPr="007761E8">
        <w:rPr>
          <w:rStyle w:val="Emphasis"/>
        </w:rPr>
        <w:t xml:space="preserve"> </w:t>
      </w:r>
      <w:r w:rsidRPr="007E4A0F">
        <w:rPr>
          <w:rStyle w:val="Emphasis"/>
          <w:highlight w:val="yellow"/>
        </w:rPr>
        <w:t>permanent</w:t>
      </w:r>
      <w:r w:rsidRPr="007761E8">
        <w:rPr>
          <w:rStyle w:val="Emphasis"/>
        </w:rPr>
        <w:t xml:space="preserve">, or relatively so, </w:t>
      </w:r>
      <w:r w:rsidRPr="007E4A0F">
        <w:rPr>
          <w:rStyle w:val="Emphasis"/>
          <w:highlight w:val="yellow"/>
        </w:rPr>
        <w:t>they</w:t>
      </w:r>
      <w:r w:rsidRPr="007761E8">
        <w:rPr>
          <w:rStyle w:val="Emphasis"/>
        </w:rPr>
        <w:t xml:space="preserve"> </w:t>
      </w:r>
      <w:r w:rsidRPr="007E4A0F">
        <w:rPr>
          <w:rStyle w:val="Emphasis"/>
          <w:highlight w:val="yellow"/>
        </w:rPr>
        <w:t>functioned for their</w:t>
      </w:r>
      <w:r w:rsidRPr="007761E8">
        <w:rPr>
          <w:rStyle w:val="Emphasis"/>
        </w:rPr>
        <w:t xml:space="preserve"> </w:t>
      </w:r>
      <w:r w:rsidRPr="007E4A0F">
        <w:rPr>
          <w:rStyle w:val="Emphasis"/>
          <w:highlight w:val="yellow"/>
        </w:rPr>
        <w:t>societies to</w:t>
      </w:r>
      <w:r w:rsidRPr="007761E8">
        <w:rPr>
          <w:rStyle w:val="Emphasis"/>
        </w:rPr>
        <w:t xml:space="preserve"> document and to </w:t>
      </w:r>
      <w:r w:rsidRPr="007E4A0F">
        <w:rPr>
          <w:rStyle w:val="Emphasis"/>
          <w:highlight w:val="yellow"/>
        </w:rPr>
        <w:t>establish ideas.</w:t>
      </w:r>
      <w:r w:rsidRPr="007761E8">
        <w:rPr>
          <w:rStyle w:val="Emphasis"/>
        </w:rPr>
        <w:t xml:space="preserve"> As records, they are memory that can be inspected by others. The hieroglyphic text and the pictorial-iconic presentation could be read or interpreted by many people other than their creator</w:t>
      </w:r>
      <w:r>
        <w:t xml:space="preserve">. (22, emphases original) One must join Boone here in highlighting, as de nitive characteristics of any of these New World systems of inscription, the functions of account- ability, memory, and interpretability. Such characteristics would pertain in even the relatively extreme case of the Peruvian quipus, insofar as their pat- terns of knots and cords functioned, in any sense, to record or document information (and even if, as some have claimed, these were no more than personal mnemonic devices). Similarly, Peter L. van der Loo, discussing in the same volume a pre-Columbian pictorial manuscript known as the Bor- gia Group, explains that “these manuscripts can be read as text. Because the message is put down in a pictorial mode, the actual spoken text may di er from reader to reader, but the main content of the message will remain the same to all.”9 As </w:t>
      </w:r>
      <w:r w:rsidRPr="007761E8">
        <w:rPr>
          <w:rStyle w:val="StyleUnderline"/>
        </w:rPr>
        <w:t xml:space="preserve">described here, this nonphonetic “writing” nevertheless is said to be linked to some semiotic “message” or “content” that both precedes and survives its inscription, that is reproducible as “voice” or “reading” in its wake, and that thus anchors or limits the varied readings or voicing of the inscribed signs. Is this, too, merely a Eurocentric misreading of pre-Columbian practices? Or is there, rather, no other way to “read” or to “write” except as a perpetually un nished process of deferred presence? </w:t>
      </w:r>
      <w:r w:rsidRPr="007E4A0F">
        <w:rPr>
          <w:rStyle w:val="StyleUnderline"/>
          <w:highlight w:val="yellow"/>
        </w:rPr>
        <w:t>What else could this “content” or “voice” be than what Derrida calls the “trace,” the “arche-writing” that is “before the letter” not in some historical or evolutionary sense but, rather, as the mark of a consciousness and an “experience</w:t>
      </w:r>
      <w:r w:rsidRPr="007E4A0F">
        <w:rPr>
          <w:highlight w:val="yellow"/>
        </w:rPr>
        <w:t>”</w:t>
      </w:r>
      <w:r>
        <w:t xml:space="preserve"> lived only in signs and in time, and therefore in an intermi- nable process of self-di ering and self-deferring? </w:t>
      </w:r>
      <w:r w:rsidRPr="007761E8">
        <w:rPr>
          <w:rStyle w:val="StyleUnderline"/>
        </w:rPr>
        <w:t>As soon as there is, in any sense, record, account, or document, as soon as inscription of any kind o ers itself as at once a supplement and a substitute for a memory that already supplements and substitutes for the trace, one is already, as these ethno- graphic descriptions themselves clearly attest, within the strange economy of what Derrida famously calls di érance</w:t>
      </w:r>
      <w:r>
        <w:t xml:space="preserve">. </w:t>
      </w:r>
      <w:r w:rsidRPr="007761E8">
        <w:rPr>
          <w:rStyle w:val="Emphasis"/>
        </w:rPr>
        <w:t xml:space="preserve">But </w:t>
      </w:r>
      <w:r w:rsidRPr="007E4A0F">
        <w:rPr>
          <w:rStyle w:val="Emphasis"/>
          <w:highlight w:val="yellow"/>
        </w:rPr>
        <w:t>Mignolo himself, as we have already observed, wants both to re- claim these New World practices as “writing” and to free them from all such economies</w:t>
      </w:r>
      <w:r>
        <w:t>. In The Darker Side, Mignolo observes repeatedly that it is possible to have “writing without books,” pointing to, for example, the graphic inscriptions on the walls of temples in ancient Egypt and ancient Mesoamerica. He fails to acknowledge that such observations have always accompanied the very discourses whose ethnocentric biases he wants to expose. For example, Hegel, whose Aesthetics is perhaps the supreme Euro- pean statement of an “evolutionary” approach to language, observes in this same text that Egyptian temples “can be regarded like the pages of a book.”10 Mignolo’s speci c observations also remain suspended between the two rather di erent arguments that we have already summarized</w:t>
      </w:r>
      <w:r w:rsidRPr="007761E8">
        <w:rPr>
          <w:rStyle w:val="StyleUnderline"/>
        </w:rPr>
        <w:t xml:space="preserve">. He suggests that </w:t>
      </w:r>
      <w:r w:rsidRPr="007E4A0F">
        <w:rPr>
          <w:rStyle w:val="StyleUnderline"/>
          <w:highlight w:val="yellow"/>
        </w:rPr>
        <w:t>Amerindians possessed sophisticated writing practices</w:t>
      </w:r>
      <w:r w:rsidRPr="007761E8">
        <w:rPr>
          <w:rStyle w:val="StyleUnderline"/>
        </w:rPr>
        <w:t xml:space="preserve"> that were misunderstood by their conquerors, but then goes on to claim—or at least to hint— that the </w:t>
      </w:r>
      <w:r w:rsidRPr="007E4A0F">
        <w:rPr>
          <w:rStyle w:val="StyleUnderline"/>
          <w:highlight w:val="yellow"/>
        </w:rPr>
        <w:t>Amerindians grasped the very relation between presence and representation in a manner somehow radically di erent from Europeans.</w:t>
      </w:r>
    </w:p>
    <w:p w14:paraId="2D0A4D16" w14:textId="1BD1C3F1" w:rsidR="007E4A0F" w:rsidRDefault="007E4A0F" w:rsidP="007E4A0F">
      <w:pPr>
        <w:pStyle w:val="Heading4"/>
      </w:pPr>
      <w:r>
        <w:t>4.</w:t>
      </w:r>
      <w:r>
        <w:t xml:space="preserve"> Epistemic delinking is a ruse: the idealism of it turns the potential benefits </w:t>
      </w:r>
    </w:p>
    <w:p w14:paraId="7F3C17A2" w14:textId="77777777" w:rsidR="007E4A0F" w:rsidRDefault="007E4A0F" w:rsidP="007E4A0F">
      <w:pPr>
        <w:rPr>
          <w:rStyle w:val="Style13ptBold"/>
          <w:b w:val="0"/>
          <w:sz w:val="16"/>
          <w:szCs w:val="16"/>
        </w:rPr>
      </w:pPr>
      <w:r>
        <w:rPr>
          <w:rStyle w:val="Style13ptBold"/>
        </w:rPr>
        <w:t xml:space="preserve">Cheah 6 </w:t>
      </w:r>
      <w:r w:rsidRPr="004E4BB7">
        <w:rPr>
          <w:rStyle w:val="Style13ptBold"/>
          <w:b w:val="0"/>
          <w:sz w:val="16"/>
          <w:szCs w:val="16"/>
        </w:rPr>
        <w:t>(Peang Cheah, Professor of Rhetoric and Chair of the Center for Southeast Asia Studies at the University of California, Berkeley. “The Limits of Thinking in Decolonial Strategies”, ownsendcenter.berkeley.edu/publications/limits-thinking-decolonial-strategies) TSB</w:t>
      </w:r>
    </w:p>
    <w:p w14:paraId="3F63AF77" w14:textId="77777777" w:rsidR="007E4A0F" w:rsidRDefault="007E4A0F" w:rsidP="007E4A0F">
      <w:pPr>
        <w:rPr>
          <w:rStyle w:val="Style13ptBold"/>
          <w:b w:val="0"/>
          <w:szCs w:val="26"/>
        </w:rPr>
      </w:pPr>
      <w:r>
        <w:rPr>
          <w:rStyle w:val="Style13ptBold"/>
          <w:b w:val="0"/>
          <w:szCs w:val="26"/>
        </w:rPr>
        <w:t>---Link to Foucalt</w:t>
      </w:r>
    </w:p>
    <w:p w14:paraId="6E4F4DC1" w14:textId="77777777" w:rsidR="007E4A0F" w:rsidRPr="004E4BB7" w:rsidRDefault="007E4A0F" w:rsidP="007E4A0F">
      <w:pPr>
        <w:rPr>
          <w:rStyle w:val="Style13ptBold"/>
          <w:b w:val="0"/>
          <w:szCs w:val="26"/>
        </w:rPr>
      </w:pPr>
      <w:r>
        <w:rPr>
          <w:rStyle w:val="Style13ptBold"/>
          <w:b w:val="0"/>
          <w:szCs w:val="26"/>
        </w:rPr>
        <w:t xml:space="preserve">--Case card that works well with the Cap K </w:t>
      </w:r>
    </w:p>
    <w:p w14:paraId="7366EA09" w14:textId="77777777" w:rsidR="007E4A0F" w:rsidRDefault="007E4A0F" w:rsidP="007E4A0F">
      <w:pPr>
        <w:rPr>
          <w:rStyle w:val="Emphasis"/>
        </w:rPr>
      </w:pPr>
      <w:r>
        <w:t xml:space="preserve">What I would like to focus on are not the details </w:t>
      </w:r>
      <w:r w:rsidRPr="004E4BB7">
        <w:rPr>
          <w:rStyle w:val="StyleUnderline"/>
        </w:rPr>
        <w:t xml:space="preserve">of </w:t>
      </w:r>
      <w:r w:rsidRPr="00DD2C25">
        <w:rPr>
          <w:rStyle w:val="StyleUnderline"/>
          <w:highlight w:val="yellow"/>
        </w:rPr>
        <w:t>Mignolo’s polemical criticisms</w:t>
      </w:r>
      <w:r w:rsidRPr="004E4BB7">
        <w:rPr>
          <w:rStyle w:val="StyleUnderline"/>
        </w:rPr>
        <w:t>,</w:t>
      </w:r>
      <w:r>
        <w:t xml:space="preserve"> but instead the account of power implied by his understanding of the epistemic. What is </w:t>
      </w:r>
      <w:r w:rsidRPr="004E4BB7">
        <w:rPr>
          <w:rStyle w:val="StyleUnderline"/>
        </w:rPr>
        <w:t xml:space="preserve">put forward here </w:t>
      </w:r>
      <w:r w:rsidRPr="00DD2C25">
        <w:rPr>
          <w:rStyle w:val="StyleUnderline"/>
          <w:highlight w:val="yellow"/>
        </w:rPr>
        <w:t>is a logocentrism of power</w:t>
      </w:r>
      <w:r>
        <w:t xml:space="preserve">. For Mignolo, power, whether it is oppressive or liberatory, has a logic that we can chart, decipher, and ultimately correct. There is a logic of coloniality and it has to be counteracted by a logic of decoloniality. Delinking from the colonial matrix of power does not seek to reject modernity and its conceptual system because this is so widespread. It requires instead, </w:t>
      </w:r>
      <w:r w:rsidRPr="004E4BB7">
        <w:rPr>
          <w:rStyle w:val="StyleUnderline"/>
        </w:rPr>
        <w:t>Mignolo believes</w:t>
      </w:r>
      <w:r>
        <w:t xml:space="preserve">, “border thinking or border epistemology in the precise sense that the Western foundation of modernity and of knowledge is, on the one hand, unavoidable and, on the other, highly limited and dangerous.” </w:t>
      </w:r>
      <w:r w:rsidRPr="00DD2C25">
        <w:rPr>
          <w:rStyle w:val="StyleUnderline"/>
          <w:highlight w:val="yellow"/>
        </w:rPr>
        <w:t>Coloniality</w:t>
      </w:r>
      <w:r w:rsidRPr="004E4BB7">
        <w:rPr>
          <w:rStyle w:val="StyleUnderline"/>
        </w:rPr>
        <w:t xml:space="preserve"> </w:t>
      </w:r>
      <w:r w:rsidRPr="00DD2C25">
        <w:rPr>
          <w:rStyle w:val="StyleUnderline"/>
          <w:highlight w:val="yellow"/>
        </w:rPr>
        <w:t>is</w:t>
      </w:r>
      <w:r w:rsidRPr="004E4BB7">
        <w:rPr>
          <w:rStyle w:val="StyleUnderline"/>
        </w:rPr>
        <w:t xml:space="preserve"> ultimately always a </w:t>
      </w:r>
      <w:r w:rsidRPr="00DD2C25">
        <w:rPr>
          <w:rStyle w:val="StyleUnderline"/>
          <w:highlight w:val="yellow"/>
        </w:rPr>
        <w:t>failure</w:t>
      </w:r>
      <w:r w:rsidRPr="004E4BB7">
        <w:rPr>
          <w:rStyle w:val="StyleUnderline"/>
        </w:rPr>
        <w:t xml:space="preserve"> </w:t>
      </w:r>
      <w:r w:rsidRPr="00DD2C25">
        <w:rPr>
          <w:rStyle w:val="StyleUnderline"/>
          <w:highlight w:val="yellow"/>
        </w:rPr>
        <w:t>of</w:t>
      </w:r>
      <w:r w:rsidRPr="004E4BB7">
        <w:rPr>
          <w:rStyle w:val="StyleUnderline"/>
        </w:rPr>
        <w:t xml:space="preserve"> </w:t>
      </w:r>
      <w:r w:rsidRPr="00DD2C25">
        <w:rPr>
          <w:rStyle w:val="StyleUnderline"/>
          <w:highlight w:val="yellow"/>
        </w:rPr>
        <w:t>thought</w:t>
      </w:r>
      <w:r w:rsidRPr="004E4BB7">
        <w:rPr>
          <w:rStyle w:val="StyleUnderline"/>
        </w:rPr>
        <w:t>, of knowledge, or of a logic that is dangerous. This is also, in many respects, a top-down theory of power, where power is repressive and emanates from a totalizing source according to a logical design or plan</w:t>
      </w:r>
      <w:r>
        <w:t xml:space="preserve">. Events and occurrences up to and including the present are grounded in a logic that is dangerous or mistaken and that needs to be corrected by the intervention of other logics that emanate from the various subjects that have been excluded and subjugated by coloniality. It is at this point that the question of the re-embodiment and relocation of knowledge becomes crucial. For </w:t>
      </w:r>
      <w:r w:rsidRPr="00DD2C25">
        <w:rPr>
          <w:rStyle w:val="Emphasis"/>
          <w:highlight w:val="yellow"/>
        </w:rPr>
        <w:t>Mignolo</w:t>
      </w:r>
      <w:r w:rsidRPr="004E4BB7">
        <w:rPr>
          <w:rStyle w:val="Emphasis"/>
        </w:rPr>
        <w:t xml:space="preserve"> </w:t>
      </w:r>
      <w:r w:rsidRPr="00DD2C25">
        <w:rPr>
          <w:rStyle w:val="Emphasis"/>
          <w:highlight w:val="yellow"/>
        </w:rPr>
        <w:t>admits</w:t>
      </w:r>
      <w:r w:rsidRPr="004E4BB7">
        <w:rPr>
          <w:rStyle w:val="Emphasis"/>
        </w:rPr>
        <w:t xml:space="preserve"> </w:t>
      </w:r>
      <w:r w:rsidRPr="00DD2C25">
        <w:rPr>
          <w:rStyle w:val="Emphasis"/>
          <w:highlight w:val="yellow"/>
        </w:rPr>
        <w:t>that</w:t>
      </w:r>
      <w:r w:rsidRPr="004E4BB7">
        <w:rPr>
          <w:rStyle w:val="Emphasis"/>
        </w:rPr>
        <w:t xml:space="preserve"> the project of </w:t>
      </w:r>
      <w:r w:rsidRPr="00DD2C25">
        <w:rPr>
          <w:rStyle w:val="Emphasis"/>
          <w:highlight w:val="yellow"/>
        </w:rPr>
        <w:t>epistemic</w:t>
      </w:r>
      <w:r w:rsidRPr="004E4BB7">
        <w:rPr>
          <w:rStyle w:val="Emphasis"/>
        </w:rPr>
        <w:t xml:space="preserve"> </w:t>
      </w:r>
      <w:r w:rsidRPr="00DD2C25">
        <w:rPr>
          <w:rStyle w:val="Emphasis"/>
          <w:highlight w:val="yellow"/>
        </w:rPr>
        <w:t>delinking</w:t>
      </w:r>
      <w:r w:rsidRPr="004E4BB7">
        <w:rPr>
          <w:rStyle w:val="Emphasis"/>
        </w:rPr>
        <w:t xml:space="preserve"> may </w:t>
      </w:r>
      <w:r w:rsidRPr="00DD2C25">
        <w:rPr>
          <w:rStyle w:val="Emphasis"/>
          <w:highlight w:val="yellow"/>
        </w:rPr>
        <w:t>sound</w:t>
      </w:r>
      <w:r w:rsidRPr="004E4BB7">
        <w:rPr>
          <w:rStyle w:val="Emphasis"/>
        </w:rPr>
        <w:t xml:space="preserve"> “somewhat </w:t>
      </w:r>
      <w:r w:rsidRPr="00DD2C25">
        <w:rPr>
          <w:rStyle w:val="Emphasis"/>
          <w:highlight w:val="yellow"/>
        </w:rPr>
        <w:t>messianic</w:t>
      </w:r>
      <w:r w:rsidRPr="004E4BB7">
        <w:rPr>
          <w:rStyle w:val="Emphasis"/>
        </w:rPr>
        <w:t>.” I would say perhaps “</w:t>
      </w:r>
      <w:r w:rsidRPr="00DD2C25">
        <w:rPr>
          <w:rStyle w:val="Emphasis"/>
          <w:highlight w:val="yellow"/>
        </w:rPr>
        <w:t>idealistic</w:t>
      </w:r>
      <w:r w:rsidRPr="004E4BB7">
        <w:rPr>
          <w:rStyle w:val="Emphasis"/>
        </w:rPr>
        <w:t xml:space="preserve">” </w:t>
      </w:r>
      <w:r w:rsidRPr="00DD2C25">
        <w:rPr>
          <w:rStyle w:val="Emphasis"/>
          <w:highlight w:val="yellow"/>
        </w:rPr>
        <w:t>in</w:t>
      </w:r>
      <w:r w:rsidRPr="004E4BB7">
        <w:rPr>
          <w:rStyle w:val="Emphasis"/>
        </w:rPr>
        <w:t xml:space="preserve"> </w:t>
      </w:r>
      <w:r w:rsidRPr="00DD2C25">
        <w:rPr>
          <w:rStyle w:val="Emphasis"/>
          <w:highlight w:val="yellow"/>
        </w:rPr>
        <w:t>the</w:t>
      </w:r>
      <w:r w:rsidRPr="004E4BB7">
        <w:rPr>
          <w:rStyle w:val="Emphasis"/>
        </w:rPr>
        <w:t xml:space="preserve"> </w:t>
      </w:r>
      <w:r w:rsidRPr="00DD2C25">
        <w:rPr>
          <w:rStyle w:val="Emphasis"/>
          <w:highlight w:val="yellow"/>
        </w:rPr>
        <w:t>colloquial</w:t>
      </w:r>
      <w:r w:rsidRPr="004E4BB7">
        <w:rPr>
          <w:rStyle w:val="Emphasis"/>
        </w:rPr>
        <w:t xml:space="preserve"> </w:t>
      </w:r>
      <w:r w:rsidRPr="00DD2C25">
        <w:rPr>
          <w:rStyle w:val="Emphasis"/>
          <w:highlight w:val="yellow"/>
        </w:rPr>
        <w:t>sense</w:t>
      </w:r>
      <w:r w:rsidRPr="004E4BB7">
        <w:rPr>
          <w:rStyle w:val="Emphasis"/>
        </w:rPr>
        <w:t xml:space="preserve">. </w:t>
      </w:r>
      <w:r>
        <w:t xml:space="preserve">However, he immediately asserts that it is “an orientation that in the first decade of the 21st century has shown its potential and its viability,” for example, in the various World Social Forums. Many historical examples of liberation are also adduced: </w:t>
      </w:r>
      <w:proofErr w:type="gramStart"/>
      <w:r>
        <w:t>the</w:t>
      </w:r>
      <w:proofErr w:type="gramEnd"/>
      <w:r>
        <w:t xml:space="preserve"> Amaru rising in Peru, the Hatian revolution and decolonization in Asia and Africa. As opposed to the false other that modernity has invented as its exteriority or outside, the outside that it has excluded in order to create itself, these truly other voices introduce “other cosmologies into the dominance and hegemony of Western cosmological variations within the same rhetoric of modernity and logic of coloniality.” The logic of decoloniality was then explicitly thematized in the thought of radical Arabo-Islamic thinkers in the 1960s and 1970s such as Ayatollah Khomeini and by philosophy of liberation in Latin America and by first-nation intellectuals. Th</w:t>
      </w:r>
      <w:r w:rsidRPr="004E4BB7">
        <w:rPr>
          <w:rStyle w:val="StyleUnderline"/>
        </w:rPr>
        <w:t xml:space="preserve">e </w:t>
      </w:r>
      <w:r w:rsidRPr="00DD2C25">
        <w:rPr>
          <w:rStyle w:val="StyleUnderline"/>
          <w:highlight w:val="yellow"/>
        </w:rPr>
        <w:t>stress</w:t>
      </w:r>
      <w:r w:rsidRPr="004E4BB7">
        <w:rPr>
          <w:rStyle w:val="StyleUnderline"/>
        </w:rPr>
        <w:t xml:space="preserve"> is placed on the importance of “other” languages that </w:t>
      </w:r>
      <w:r w:rsidRPr="00DD2C25">
        <w:rPr>
          <w:rStyle w:val="StyleUnderline"/>
          <w:highlight w:val="yellow"/>
        </w:rPr>
        <w:t>have</w:t>
      </w:r>
      <w:r w:rsidRPr="004E4BB7">
        <w:rPr>
          <w:rStyle w:val="StyleUnderline"/>
        </w:rPr>
        <w:t xml:space="preserve"> </w:t>
      </w:r>
      <w:r w:rsidRPr="00DD2C25">
        <w:rPr>
          <w:rStyle w:val="StyleUnderline"/>
          <w:highlight w:val="yellow"/>
        </w:rPr>
        <w:t>been</w:t>
      </w:r>
      <w:r w:rsidRPr="004E4BB7">
        <w:rPr>
          <w:rStyle w:val="StyleUnderline"/>
        </w:rPr>
        <w:t xml:space="preserve"> </w:t>
      </w:r>
      <w:r w:rsidRPr="00DD2C25">
        <w:rPr>
          <w:rStyle w:val="StyleUnderline"/>
          <w:highlight w:val="yellow"/>
        </w:rPr>
        <w:t>negated</w:t>
      </w:r>
      <w:r w:rsidRPr="004E4BB7">
        <w:rPr>
          <w:rStyle w:val="StyleUnderline"/>
        </w:rPr>
        <w:t xml:space="preserve"> </w:t>
      </w:r>
      <w:r w:rsidRPr="00DD2C25">
        <w:rPr>
          <w:rStyle w:val="StyleUnderline"/>
          <w:highlight w:val="yellow"/>
        </w:rPr>
        <w:t>by</w:t>
      </w:r>
      <w:r w:rsidRPr="004E4BB7">
        <w:rPr>
          <w:rStyle w:val="StyleUnderline"/>
        </w:rPr>
        <w:t xml:space="preserve"> </w:t>
      </w:r>
      <w:r w:rsidRPr="00DD2C25">
        <w:rPr>
          <w:rStyle w:val="StyleUnderline"/>
          <w:highlight w:val="yellow"/>
        </w:rPr>
        <w:t>colonial</w:t>
      </w:r>
      <w:r w:rsidRPr="004E4BB7">
        <w:rPr>
          <w:rStyle w:val="StyleUnderline"/>
        </w:rPr>
        <w:t xml:space="preserve"> </w:t>
      </w:r>
      <w:r w:rsidRPr="00DD2C25">
        <w:rPr>
          <w:rStyle w:val="StyleUnderline"/>
          <w:highlight w:val="yellow"/>
        </w:rPr>
        <w:t>modernity</w:t>
      </w:r>
      <w:r w:rsidRPr="004E4BB7">
        <w:rPr>
          <w:rStyle w:val="StyleUnderline"/>
        </w:rPr>
        <w:t>.</w:t>
      </w:r>
      <w:r>
        <w:t xml:space="preserve"> The argument here is similar to the epistemology of location in feminist theory and critical race theory (for example, Luce Irigaray). I would like to end by posing two questions concerning the two main limbs of Mignolo’s argument: the primacy of the epistemic and the urgency of embodying and locating knowledge. First, </w:t>
      </w:r>
      <w:r w:rsidRPr="00DD2C25">
        <w:rPr>
          <w:rStyle w:val="StyleUnderline"/>
          <w:highlight w:val="yellow"/>
        </w:rPr>
        <w:t>does power</w:t>
      </w:r>
      <w:r w:rsidRPr="004E4BB7">
        <w:rPr>
          <w:rStyle w:val="StyleUnderline"/>
        </w:rPr>
        <w:t xml:space="preserve"> in fact </w:t>
      </w:r>
      <w:r w:rsidRPr="00DD2C25">
        <w:rPr>
          <w:rStyle w:val="StyleUnderline"/>
          <w:highlight w:val="yellow"/>
        </w:rPr>
        <w:t>operate according to a logic</w:t>
      </w:r>
      <w:r w:rsidRPr="004E4BB7">
        <w:rPr>
          <w:rStyle w:val="StyleUnderline"/>
        </w:rPr>
        <w:t xml:space="preserve"> and from a totalizing source that represses </w:t>
      </w:r>
      <w:r w:rsidRPr="00DD2C25">
        <w:rPr>
          <w:rStyle w:val="StyleUnderline"/>
          <w:highlight w:val="yellow"/>
        </w:rPr>
        <w:t>and subjugates those</w:t>
      </w:r>
      <w:r w:rsidRPr="004E4BB7">
        <w:rPr>
          <w:rStyle w:val="StyleUnderline"/>
        </w:rPr>
        <w:t xml:space="preserve"> it has </w:t>
      </w:r>
      <w:r w:rsidRPr="00DD2C25">
        <w:rPr>
          <w:rStyle w:val="StyleUnderline"/>
          <w:highlight w:val="yellow"/>
        </w:rPr>
        <w:t>excluded in contemporary</w:t>
      </w:r>
      <w:r w:rsidRPr="004E4BB7">
        <w:rPr>
          <w:rStyle w:val="StyleUnderline"/>
        </w:rPr>
        <w:t xml:space="preserve"> </w:t>
      </w:r>
      <w:r w:rsidRPr="00DD2C25">
        <w:rPr>
          <w:rStyle w:val="StyleUnderline"/>
          <w:highlight w:val="yellow"/>
        </w:rPr>
        <w:t>globalization?</w:t>
      </w:r>
      <w:r w:rsidRPr="004E4BB7">
        <w:rPr>
          <w:rStyle w:val="StyleUnderline"/>
        </w:rPr>
        <w:t xml:space="preserve"> Is the link between modernity and coloniality primarily epistemic in character? It is interesting to note from this perspective that when Mignolo attempts to establish the epistemic link between modernity and coloniality, he relies on a historical biography and the fiction of a collective will or intention to dominate and colonize: “</w:t>
      </w:r>
      <w:r w:rsidRPr="00DD2C25">
        <w:rPr>
          <w:rStyle w:val="StyleUnderline"/>
          <w:highlight w:val="yellow"/>
        </w:rPr>
        <w:t>The</w:t>
      </w:r>
      <w:r w:rsidRPr="004E4BB7">
        <w:rPr>
          <w:rStyle w:val="StyleUnderline"/>
        </w:rPr>
        <w:t xml:space="preserve"> </w:t>
      </w:r>
      <w:r w:rsidRPr="00DD2C25">
        <w:rPr>
          <w:rStyle w:val="StyleUnderline"/>
          <w:highlight w:val="yellow"/>
        </w:rPr>
        <w:t>rhetoric</w:t>
      </w:r>
      <w:r w:rsidRPr="004E4BB7">
        <w:rPr>
          <w:rStyle w:val="StyleUnderline"/>
        </w:rPr>
        <w:t xml:space="preserve"> </w:t>
      </w:r>
      <w:r w:rsidRPr="00DD2C25">
        <w:rPr>
          <w:rStyle w:val="StyleUnderline"/>
          <w:highlight w:val="yellow"/>
        </w:rPr>
        <w:t>of</w:t>
      </w:r>
      <w:r w:rsidRPr="004E4BB7">
        <w:rPr>
          <w:rStyle w:val="StyleUnderline"/>
        </w:rPr>
        <w:t xml:space="preserve"> </w:t>
      </w:r>
      <w:r w:rsidRPr="00DD2C25">
        <w:rPr>
          <w:rStyle w:val="StyleUnderline"/>
          <w:highlight w:val="yellow"/>
        </w:rPr>
        <w:t>modernity</w:t>
      </w:r>
      <w:r w:rsidRPr="004E4BB7">
        <w:rPr>
          <w:rStyle w:val="StyleUnderline"/>
        </w:rPr>
        <w:t xml:space="preserve"> </w:t>
      </w:r>
      <w:r w:rsidRPr="00DD2C25">
        <w:rPr>
          <w:rStyle w:val="StyleUnderline"/>
          <w:highlight w:val="yellow"/>
        </w:rPr>
        <w:t>has</w:t>
      </w:r>
      <w:r w:rsidRPr="004E4BB7">
        <w:rPr>
          <w:rStyle w:val="StyleUnderline"/>
        </w:rPr>
        <w:t xml:space="preserve"> been </w:t>
      </w:r>
      <w:r w:rsidRPr="00DD2C25">
        <w:rPr>
          <w:rStyle w:val="StyleUnderline"/>
          <w:highlight w:val="yellow"/>
        </w:rPr>
        <w:t>predominantly</w:t>
      </w:r>
      <w:r w:rsidRPr="004E4BB7">
        <w:rPr>
          <w:rStyle w:val="StyleUnderline"/>
        </w:rPr>
        <w:t xml:space="preserve"> </w:t>
      </w:r>
      <w:r w:rsidRPr="00DD2C25">
        <w:rPr>
          <w:rStyle w:val="StyleUnderline"/>
          <w:highlight w:val="yellow"/>
        </w:rPr>
        <w:t>put</w:t>
      </w:r>
      <w:r w:rsidRPr="004E4BB7">
        <w:rPr>
          <w:rStyle w:val="StyleUnderline"/>
        </w:rPr>
        <w:t xml:space="preserve"> </w:t>
      </w:r>
      <w:r w:rsidRPr="00DD2C25">
        <w:rPr>
          <w:rStyle w:val="StyleUnderline"/>
          <w:highlight w:val="yellow"/>
        </w:rPr>
        <w:t>forward</w:t>
      </w:r>
      <w:r w:rsidRPr="004E4BB7">
        <w:rPr>
          <w:rStyle w:val="StyleUnderline"/>
        </w:rPr>
        <w:t xml:space="preserve"> </w:t>
      </w:r>
      <w:r w:rsidRPr="00DD2C25">
        <w:rPr>
          <w:rStyle w:val="StyleUnderline"/>
          <w:highlight w:val="yellow"/>
        </w:rPr>
        <w:t>by</w:t>
      </w:r>
      <w:r w:rsidRPr="004E4BB7">
        <w:rPr>
          <w:rStyle w:val="StyleUnderline"/>
        </w:rPr>
        <w:t xml:space="preserve"> </w:t>
      </w:r>
      <w:r w:rsidRPr="00DD2C25">
        <w:rPr>
          <w:rStyle w:val="StyleUnderline"/>
          <w:highlight w:val="yellow"/>
        </w:rPr>
        <w:t>European</w:t>
      </w:r>
      <w:r w:rsidRPr="004E4BB7">
        <w:rPr>
          <w:rStyle w:val="StyleUnderline"/>
        </w:rPr>
        <w:t xml:space="preserve"> </w:t>
      </w:r>
      <w:r w:rsidRPr="00DD2C25">
        <w:rPr>
          <w:rStyle w:val="StyleUnderline"/>
          <w:highlight w:val="yellow"/>
        </w:rPr>
        <w:t>men</w:t>
      </w:r>
      <w:r w:rsidRPr="004E4BB7">
        <w:rPr>
          <w:rStyle w:val="StyleUnderline"/>
        </w:rPr>
        <w:t xml:space="preserve"> of letters, philosophers, intellectuals, officers of the state</w:t>
      </w:r>
      <w:r>
        <w:t>. The modern/colonial power differential was, of course, structured at all levels (economic, political, epistemological, militarily), but it was at the epistemological level that the rhetoric of modernity gained currency. If we had time to go into the biography of the main voices that conceived ‘modernity’ as the series of historical events</w:t>
      </w:r>
      <w:proofErr w:type="gramStart"/>
      <w:r>
        <w:t>….all</w:t>
      </w:r>
      <w:proofErr w:type="gramEnd"/>
      <w:r>
        <w:t xml:space="preserve"> of them would originate in one of the six European countries leading the Renaissance, the colonial expansion and capitalist formation, and the European Enlightenment.” </w:t>
      </w:r>
      <w:r w:rsidRPr="004E4BB7">
        <w:rPr>
          <w:rStyle w:val="Emphasis"/>
        </w:rPr>
        <w:t xml:space="preserve">In this view, </w:t>
      </w:r>
      <w:r w:rsidRPr="00DD2C25">
        <w:rPr>
          <w:rStyle w:val="Emphasis"/>
          <w:highlight w:val="yellow"/>
        </w:rPr>
        <w:t>development in the</w:t>
      </w:r>
      <w:r w:rsidRPr="004E4BB7">
        <w:rPr>
          <w:rStyle w:val="Emphasis"/>
        </w:rPr>
        <w:t xml:space="preserve"> </w:t>
      </w:r>
      <w:r w:rsidRPr="00DD2C25">
        <w:rPr>
          <w:rStyle w:val="Emphasis"/>
          <w:highlight w:val="yellow"/>
        </w:rPr>
        <w:t>postcolonial world would be an ideological ruse of the logic of coloniality that forecloses the voices of marginalized</w:t>
      </w:r>
      <w:r w:rsidRPr="004E4BB7">
        <w:rPr>
          <w:rStyle w:val="Emphasis"/>
        </w:rPr>
        <w:t xml:space="preserve"> peoples. </w:t>
      </w:r>
      <w:r w:rsidRPr="00DD2C25">
        <w:rPr>
          <w:rStyle w:val="Emphasis"/>
          <w:highlight w:val="yellow"/>
        </w:rPr>
        <w:t>Yet, one might argue that exploitative development in contemporary globalization operates not by racist techniques of exclusion and marginalization, but precisely by including, integrating, and assimilating every being into the circuit of the international division of labor.</w:t>
      </w:r>
      <w:r w:rsidRPr="004E4BB7">
        <w:rPr>
          <w:rStyle w:val="Emphasis"/>
        </w:rPr>
        <w:t xml:space="preserve"> This is done by transforming them into reserve labor power through techniques of what Foucault called biopower. But we would here need to understand biopower in a different way from Mignolo’s understanding of biopolitics or body-politics, a difference that he also acknowledges</w:t>
      </w:r>
      <w:r>
        <w:t xml:space="preserve">. </w:t>
      </w:r>
      <w:r w:rsidRPr="004E4BB7">
        <w:rPr>
          <w:rStyle w:val="StyleUnderline"/>
        </w:rPr>
        <w:t>This different understanding of power as productive as opposed to repressive seems especially important in contemporary globalization where the flows of transnational capital fabricate the economic well-being of nation-states and their individual citizens.</w:t>
      </w:r>
      <w:r>
        <w:t xml:space="preserve"> First, at the macrological level of global political economy, states undertake aggressive policy initiatives to open up their markets and attract foreign capital. Second, at the level of the biopolitical production of the individual and the population, techniques of discipline and government craft the bodies of individuals as bodies capable of work and create their needs and interests as members of a population. Third, at the level of social reproduction, </w:t>
      </w:r>
      <w:r w:rsidRPr="004E4BB7">
        <w:rPr>
          <w:rStyle w:val="StyleUnderline"/>
        </w:rPr>
        <w:t>global mass consumer culture also leads to the proliferation of sophisticated consumer needs and desires. These processes constitute the conditions of possibility of the political and economic self-determination and sovereignty of collective subjects and the self-mastery and security of individual subjects. In other words, the current state of power relations is an effect of multiple processes that are dynamic, heterogeneous, and unstable, processes that cannot be reduced to a single logic of coloniality</w:t>
      </w:r>
      <w:r>
        <w:t xml:space="preserve">, although </w:t>
      </w:r>
      <w:r w:rsidRPr="004E4BB7">
        <w:rPr>
          <w:rStyle w:val="StyleUnderline"/>
        </w:rPr>
        <w:t>the latter can emerge as their effect. What is the relation between these two different conceptions of biopolitics? Do they contradict each other?</w:t>
      </w:r>
      <w:r>
        <w:t xml:space="preserve"> How would the wretched of the earth fit into this alternative cartography of global power that I have sketched? This leads me to my second question. </w:t>
      </w:r>
      <w:r w:rsidRPr="00DD2C25">
        <w:rPr>
          <w:rStyle w:val="Emphasis"/>
          <w:highlight w:val="yellow"/>
        </w:rPr>
        <w:t>The focus on re-embodying knowledges and knowledges in other languages can very easily lead to an idealization of bodily experiences and the concrete and the linguistic other.</w:t>
      </w:r>
      <w:r>
        <w:t xml:space="preserve"> First, do concrete corporeal experiences offer a genuinely other perspective if the concrete bodily needs of individuals are crafted by the techniques of biopower as they are incorporated into the </w:t>
      </w:r>
      <w:r w:rsidRPr="00B253AA">
        <w:rPr>
          <w:rStyle w:val="StyleUnderline"/>
        </w:rPr>
        <w:t>international division of labor? Second, indigenous languages are not inherently egalitarian or liberating just because they are non-European. Non-European languages can have hierarchical, conservative, or reactionary forms of address. Third, how are we to account for the startling similarity between Mignolo’s account of pluriversality and intercultural communication and the kind of cultural pluralism espoused by UNESCO?</w:t>
      </w:r>
      <w:r>
        <w:t xml:space="preserve"> </w:t>
      </w:r>
      <w:r w:rsidRPr="00B253AA">
        <w:rPr>
          <w:rStyle w:val="Emphasis"/>
        </w:rPr>
        <w:t xml:space="preserve">Here, </w:t>
      </w:r>
      <w:r w:rsidRPr="00233789">
        <w:rPr>
          <w:rStyle w:val="Emphasis"/>
          <w:highlight w:val="yellow"/>
        </w:rPr>
        <w:t>one</w:t>
      </w:r>
      <w:r w:rsidRPr="00B253AA">
        <w:rPr>
          <w:rStyle w:val="Emphasis"/>
        </w:rPr>
        <w:t xml:space="preserve"> </w:t>
      </w:r>
      <w:r w:rsidRPr="00233789">
        <w:rPr>
          <w:rStyle w:val="Emphasis"/>
          <w:highlight w:val="yellow"/>
        </w:rPr>
        <w:t>should</w:t>
      </w:r>
      <w:r w:rsidRPr="00B253AA">
        <w:rPr>
          <w:rStyle w:val="Emphasis"/>
        </w:rPr>
        <w:t xml:space="preserve"> also </w:t>
      </w:r>
      <w:r w:rsidRPr="00233789">
        <w:rPr>
          <w:rStyle w:val="Emphasis"/>
          <w:highlight w:val="yellow"/>
        </w:rPr>
        <w:t>note</w:t>
      </w:r>
      <w:r w:rsidRPr="00B253AA">
        <w:rPr>
          <w:rStyle w:val="Emphasis"/>
        </w:rPr>
        <w:t xml:space="preserve"> the </w:t>
      </w:r>
      <w:r w:rsidRPr="00233789">
        <w:rPr>
          <w:rStyle w:val="Emphasis"/>
          <w:highlight w:val="yellow"/>
        </w:rPr>
        <w:t>importance</w:t>
      </w:r>
      <w:r w:rsidRPr="00B253AA">
        <w:rPr>
          <w:rStyle w:val="Emphasis"/>
        </w:rPr>
        <w:t xml:space="preserve"> </w:t>
      </w:r>
      <w:r w:rsidRPr="00233789">
        <w:rPr>
          <w:rStyle w:val="Emphasis"/>
          <w:highlight w:val="yellow"/>
        </w:rPr>
        <w:t>of</w:t>
      </w:r>
      <w:r w:rsidRPr="00B253AA">
        <w:rPr>
          <w:rStyle w:val="Emphasis"/>
        </w:rPr>
        <w:t xml:space="preserve"> </w:t>
      </w:r>
      <w:r w:rsidRPr="00233789">
        <w:rPr>
          <w:rStyle w:val="Emphasis"/>
          <w:highlight w:val="yellow"/>
        </w:rPr>
        <w:t>language</w:t>
      </w:r>
      <w:r w:rsidRPr="00B253AA">
        <w:rPr>
          <w:rStyle w:val="Emphasis"/>
        </w:rPr>
        <w:t xml:space="preserve"> learning and multiculturalism to the operations of multinational capital. </w:t>
      </w:r>
      <w:r w:rsidRPr="00233789">
        <w:rPr>
          <w:rStyle w:val="Emphasis"/>
          <w:highlight w:val="yellow"/>
        </w:rPr>
        <w:t>These</w:t>
      </w:r>
      <w:r w:rsidRPr="00B253AA">
        <w:rPr>
          <w:rStyle w:val="Emphasis"/>
        </w:rPr>
        <w:t xml:space="preserve"> </w:t>
      </w:r>
      <w:r w:rsidRPr="00233789">
        <w:rPr>
          <w:rStyle w:val="Emphasis"/>
          <w:highlight w:val="yellow"/>
        </w:rPr>
        <w:t>are</w:t>
      </w:r>
      <w:r w:rsidRPr="00B253AA">
        <w:rPr>
          <w:rStyle w:val="Emphasis"/>
        </w:rPr>
        <w:t xml:space="preserve"> all </w:t>
      </w:r>
      <w:r w:rsidRPr="00233789">
        <w:rPr>
          <w:rStyle w:val="Emphasis"/>
          <w:highlight w:val="yellow"/>
        </w:rPr>
        <w:t>forms</w:t>
      </w:r>
      <w:r w:rsidRPr="00B253AA">
        <w:rPr>
          <w:rStyle w:val="Emphasis"/>
        </w:rPr>
        <w:t xml:space="preserve"> </w:t>
      </w:r>
      <w:r w:rsidRPr="00233789">
        <w:rPr>
          <w:rStyle w:val="Emphasis"/>
          <w:highlight w:val="yellow"/>
        </w:rPr>
        <w:t>of</w:t>
      </w:r>
      <w:r w:rsidRPr="00B253AA">
        <w:rPr>
          <w:rStyle w:val="Emphasis"/>
        </w:rPr>
        <w:t xml:space="preserve"> </w:t>
      </w:r>
      <w:r w:rsidRPr="00233789">
        <w:rPr>
          <w:rStyle w:val="Emphasis"/>
          <w:highlight w:val="yellow"/>
        </w:rPr>
        <w:t>bio</w:t>
      </w:r>
      <w:r w:rsidRPr="00B253AA">
        <w:rPr>
          <w:rStyle w:val="Emphasis"/>
        </w:rPr>
        <w:t>-</w:t>
      </w:r>
      <w:r w:rsidRPr="00233789">
        <w:rPr>
          <w:rStyle w:val="Emphasis"/>
          <w:highlight w:val="yellow"/>
        </w:rPr>
        <w:t>power</w:t>
      </w:r>
      <w:r w:rsidRPr="00B253AA">
        <w:rPr>
          <w:rStyle w:val="Emphasis"/>
        </w:rPr>
        <w:t xml:space="preserve"> </w:t>
      </w:r>
      <w:r w:rsidRPr="00233789">
        <w:rPr>
          <w:rStyle w:val="Emphasis"/>
          <w:highlight w:val="yellow"/>
        </w:rPr>
        <w:t>in the Foucauldian sense.</w:t>
      </w:r>
      <w:r w:rsidRPr="00B253AA">
        <w:rPr>
          <w:rStyle w:val="Emphasis"/>
        </w:rPr>
        <w:t xml:space="preserve"> </w:t>
      </w:r>
      <w:r w:rsidRPr="00233789">
        <w:rPr>
          <w:rStyle w:val="Emphasis"/>
          <w:highlight w:val="yellow"/>
        </w:rPr>
        <w:t>How does one distinguish this</w:t>
      </w:r>
      <w:r w:rsidRPr="00B253AA">
        <w:rPr>
          <w:rStyle w:val="Emphasis"/>
        </w:rPr>
        <w:t xml:space="preserve"> from Mignolo’s sense of bio- or body-politics? </w:t>
      </w:r>
      <w:r w:rsidRPr="00233789">
        <w:rPr>
          <w:rStyle w:val="Emphasis"/>
          <w:highlight w:val="yellow"/>
        </w:rPr>
        <w:t>The problem might well be that we cannot do so.</w:t>
      </w:r>
      <w:r w:rsidRPr="00B253AA">
        <w:rPr>
          <w:rStyle w:val="Emphasis"/>
        </w:rPr>
        <w:t xml:space="preserve"> </w:t>
      </w:r>
      <w:r w:rsidRPr="00233789">
        <w:rPr>
          <w:rStyle w:val="Emphasis"/>
          <w:highlight w:val="yellow"/>
        </w:rPr>
        <w:t>One would need to look at the true heterogeneit</w:t>
      </w:r>
      <w:r w:rsidRPr="00B253AA">
        <w:rPr>
          <w:rStyle w:val="Emphasis"/>
        </w:rPr>
        <w:t xml:space="preserve">y of the outside </w:t>
      </w:r>
      <w:r w:rsidRPr="00233789">
        <w:rPr>
          <w:rStyle w:val="Emphasis"/>
          <w:highlight w:val="yellow"/>
        </w:rPr>
        <w:t>and the complex and multifarious technologies</w:t>
      </w:r>
      <w:r w:rsidRPr="00B253AA">
        <w:rPr>
          <w:rStyle w:val="Emphasis"/>
        </w:rPr>
        <w:t xml:space="preserve"> that fabricate these various outsides, not just at the level of a racist rhetoric of exclusion, but at the most concrete level of the production of the bodily needs and interests of subjects claiming alterity.</w:t>
      </w:r>
    </w:p>
    <w:p w14:paraId="2EDFB416" w14:textId="048CEA6F" w:rsidR="003B3425" w:rsidRDefault="003B3425" w:rsidP="007E4A0F">
      <w:pPr>
        <w:pStyle w:val="Heading4"/>
      </w:pPr>
      <w:r w:rsidRPr="003B3425">
        <w:rPr>
          <w:rStyle w:val="Emphasis"/>
          <w:b/>
          <w:sz w:val="26"/>
          <w:u w:val="none"/>
        </w:rPr>
        <w:t xml:space="preserve">5. </w:t>
      </w:r>
      <w:r>
        <w:t>U</w:t>
      </w:r>
      <w:r w:rsidRPr="003B3425">
        <w:t>niversalism is valuable for science education—it does not indicate a colonizing of education but rather a small type of focus which is inevitable in any type of education: pluriversality won’t solve for science education</w:t>
      </w:r>
    </w:p>
    <w:p w14:paraId="570C736D" w14:textId="77777777" w:rsidR="003B3425" w:rsidRDefault="003B3425" w:rsidP="003B3425">
      <w:pPr>
        <w:rPr>
          <w:rStyle w:val="Style13ptBold"/>
          <w:b w:val="0"/>
          <w:sz w:val="22"/>
        </w:rPr>
      </w:pPr>
      <w:r>
        <w:rPr>
          <w:rStyle w:val="Style13ptBold"/>
        </w:rPr>
        <w:t>Siegel 01 (</w:t>
      </w:r>
      <w:r w:rsidRPr="00A7109F">
        <w:rPr>
          <w:rStyle w:val="Style13ptBold"/>
          <w:b w:val="0"/>
          <w:sz w:val="22"/>
        </w:rPr>
        <w:t>Harvey Siegel, Department of Philosophy, University of Miami, Coral Gables,</w:t>
      </w:r>
    </w:p>
    <w:p w14:paraId="13B508B9" w14:textId="77777777" w:rsidR="003B3425" w:rsidRPr="00113684" w:rsidRDefault="003B3425" w:rsidP="003B3425">
      <w:pPr>
        <w:rPr>
          <w:rStyle w:val="Style13ptBold"/>
          <w:b w:val="0"/>
          <w:sz w:val="22"/>
        </w:rPr>
      </w:pPr>
      <w:r>
        <w:rPr>
          <w:rStyle w:val="Style13ptBold"/>
          <w:b w:val="0"/>
          <w:sz w:val="22"/>
        </w:rPr>
        <w:t>WMS=western material science, “</w:t>
      </w:r>
      <w:r w:rsidRPr="00113684">
        <w:rPr>
          <w:rStyle w:val="Style13ptBold"/>
          <w:b w:val="0"/>
          <w:sz w:val="22"/>
        </w:rPr>
        <w:t>Multiculturalism, Universalism, and Science Education: In Search of Common Ground</w:t>
      </w:r>
      <w:r>
        <w:rPr>
          <w:rStyle w:val="Style13ptBold"/>
          <w:b w:val="0"/>
          <w:sz w:val="22"/>
        </w:rPr>
        <w:t>”, Culture and Comparative Studies,</w:t>
      </w:r>
      <w:r w:rsidRPr="00113684">
        <w:t xml:space="preserve"> </w:t>
      </w:r>
      <w:hyperlink r:id="rId11" w:history="1">
        <w:r w:rsidRPr="00A02494">
          <w:rPr>
            <w:rStyle w:val="Hyperlink"/>
          </w:rPr>
          <w:t>http://onlinelibrary.wiley.com/store/10.1002/sce.1052/asset/1052_ftp.pdf?v=1&amp;t=j5ekxu5m&amp;s=fc3acb08137a84e0bb919b833a4b89efc0f05aac</w:t>
        </w:r>
      </w:hyperlink>
      <w:r>
        <w:rPr>
          <w:rStyle w:val="Style13ptBold"/>
          <w:b w:val="0"/>
          <w:sz w:val="22"/>
        </w:rPr>
        <w:t xml:space="preserve">) TSB </w:t>
      </w:r>
    </w:p>
    <w:p w14:paraId="30FC921A" w14:textId="12B35364" w:rsidR="00310785" w:rsidRPr="00A61BD4" w:rsidRDefault="003B3425" w:rsidP="00A61BD4">
      <w:pPr>
        <w:rPr>
          <w:rStyle w:val="Emphasis"/>
          <w:b w:val="0"/>
          <w:iCs w:val="0"/>
          <w:u w:val="none"/>
        </w:rPr>
      </w:pPr>
      <w:r w:rsidRPr="00113684">
        <w:rPr>
          <w:rStyle w:val="StyleUnderline"/>
        </w:rPr>
        <w:t>The Natural World is Knowable.</w:t>
      </w:r>
      <w:r w:rsidRPr="00113684">
        <w:rPr>
          <w:rStyle w:val="Style13ptBold"/>
          <w:b w:val="0"/>
          <w:sz w:val="22"/>
        </w:rPr>
        <w:t xml:space="preserve"> </w:t>
      </w:r>
      <w:proofErr w:type="gramStart"/>
      <w:r w:rsidRPr="00113684">
        <w:rPr>
          <w:rStyle w:val="Style13ptBold"/>
          <w:b w:val="0"/>
          <w:sz w:val="22"/>
        </w:rPr>
        <w:t>Asnotedabove,</w:t>
      </w:r>
      <w:r w:rsidRPr="00113684">
        <w:rPr>
          <w:rStyle w:val="StyleUnderline"/>
        </w:rPr>
        <w:t>universalistsprizenotanyoldknowl</w:t>
      </w:r>
      <w:proofErr w:type="gramEnd"/>
      <w:r w:rsidRPr="00113684">
        <w:rPr>
          <w:rStyle w:val="StyleUnderline"/>
        </w:rPr>
        <w:t xml:space="preserve">- edge of the natural world, but knowledge which is (a) characterized in the form of theories which are (b) testable, (c) genuinely predictive (especially of novelty), (d) revealing of underlying unobservable entities and the relations and causal mechanisms (and/or stochas- tic regularities) in which they are involved, and is in their terms (e) genuinely and deeply explanatory. The production of such knowledge is the ultimate aim of scientific inquiry. It is difficult, but not impossible, to achieve. (There is no algorithm which guarantees its achievement; that requires hard work, creative insight, and often quite a bit of luck.) It is sometimes suggested that conceiving of scientific knowledge in this way—and thus, in effect, demeaning as second rate “mere” observational knowledge—“not only dimin- ishes the legitimacy of knowledge derived through generations of naturalistic observation and insight, it simultaneously devalues those cultures which traditionally rely heavily on naturalistic observation and insight” (Kawagley, Norris-Tull, &amp; Norris-Tull, 1998, p. 134, cited in Coburn &amp; Loving, 2001, p. 52). </w:t>
      </w:r>
      <w:r w:rsidRPr="00113684">
        <w:rPr>
          <w:rStyle w:val="Emphasis"/>
        </w:rPr>
        <w:t xml:space="preserve">This criticism is unfair, I think, because </w:t>
      </w:r>
      <w:r w:rsidRPr="007E4A0F">
        <w:rPr>
          <w:rStyle w:val="Emphasis"/>
          <w:highlight w:val="yellow"/>
        </w:rPr>
        <w:t>there is no question that observation is essential to</w:t>
      </w:r>
      <w:r w:rsidRPr="00113684">
        <w:rPr>
          <w:rStyle w:val="Emphasis"/>
        </w:rPr>
        <w:t xml:space="preserve"> (and has been </w:t>
      </w:r>
      <w:r w:rsidRPr="007E4A0F">
        <w:rPr>
          <w:rStyle w:val="Emphasis"/>
          <w:highlight w:val="yellow"/>
        </w:rPr>
        <w:t>thoroughly</w:t>
      </w:r>
      <w:r w:rsidRPr="00113684">
        <w:rPr>
          <w:rStyle w:val="Emphasis"/>
        </w:rPr>
        <w:t xml:space="preserve"> </w:t>
      </w:r>
      <w:r w:rsidRPr="007E4A0F">
        <w:rPr>
          <w:rStyle w:val="Emphasis"/>
          <w:highlight w:val="yellow"/>
        </w:rPr>
        <w:t>explored</w:t>
      </w:r>
      <w:r w:rsidRPr="00113684">
        <w:rPr>
          <w:rStyle w:val="Emphasis"/>
        </w:rPr>
        <w:t xml:space="preserve"> and </w:t>
      </w:r>
      <w:r w:rsidRPr="007E4A0F">
        <w:rPr>
          <w:rStyle w:val="Emphasis"/>
          <w:highlight w:val="yellow"/>
        </w:rPr>
        <w:t>problema</w:t>
      </w:r>
      <w:r w:rsidRPr="00113684">
        <w:rPr>
          <w:rStyle w:val="Emphasis"/>
        </w:rPr>
        <w:t xml:space="preserve">- tized in the last few decades by philosophers of science in the development </w:t>
      </w:r>
      <w:proofErr w:type="gramStart"/>
      <w:r w:rsidRPr="00113684">
        <w:rPr>
          <w:rStyle w:val="Emphasis"/>
        </w:rPr>
        <w:t>of )</w:t>
      </w:r>
      <w:proofErr w:type="gramEnd"/>
      <w:r w:rsidRPr="00113684">
        <w:rPr>
          <w:rStyle w:val="Emphasis"/>
        </w:rPr>
        <w:t xml:space="preserve"> universalist conceptions of science</w:t>
      </w:r>
      <w:r w:rsidRPr="00113684">
        <w:rPr>
          <w:rStyle w:val="StyleUnderline"/>
        </w:rPr>
        <w:t>.</w:t>
      </w:r>
      <w:r w:rsidRPr="00113684">
        <w:rPr>
          <w:rStyle w:val="Style13ptBold"/>
          <w:b w:val="0"/>
          <w:sz w:val="22"/>
        </w:rPr>
        <w:t xml:space="preserve"> There is, nevertheless, a large grain of truth in the complaint: it cannot be denied that the sort of knowledge prized by WMS goes beyond the observational, in that it seeks (as the criteria just mentioned indicate) theories which are testable, and which predict and explain naturalistic observations. </w:t>
      </w:r>
      <w:r w:rsidRPr="007E4A0F">
        <w:rPr>
          <w:rStyle w:val="StyleUnderline"/>
          <w:highlight w:val="yellow"/>
        </w:rPr>
        <w:t>Do these criteria</w:t>
      </w:r>
      <w:r w:rsidRPr="00113684">
        <w:rPr>
          <w:rStyle w:val="StyleUnderline"/>
        </w:rPr>
        <w:t xml:space="preserve"> then </w:t>
      </w:r>
      <w:r w:rsidRPr="007E4A0F">
        <w:rPr>
          <w:rStyle w:val="StyleUnderline"/>
          <w:highlight w:val="yellow"/>
        </w:rPr>
        <w:t>diminish</w:t>
      </w:r>
      <w:r w:rsidRPr="00113684">
        <w:rPr>
          <w:rStyle w:val="StyleUnderline"/>
        </w:rPr>
        <w:t xml:space="preserve"> the </w:t>
      </w:r>
      <w:r w:rsidRPr="007E4A0F">
        <w:rPr>
          <w:rStyle w:val="StyleUnderline"/>
          <w:highlight w:val="yellow"/>
        </w:rPr>
        <w:t>legitimacy</w:t>
      </w:r>
      <w:r w:rsidRPr="00113684">
        <w:rPr>
          <w:rStyle w:val="StyleUnderline"/>
        </w:rPr>
        <w:t xml:space="preserve"> </w:t>
      </w:r>
      <w:r w:rsidRPr="007E4A0F">
        <w:rPr>
          <w:rStyle w:val="StyleUnderline"/>
          <w:highlight w:val="yellow"/>
        </w:rPr>
        <w:t>of</w:t>
      </w:r>
      <w:r w:rsidRPr="00113684">
        <w:rPr>
          <w:rStyle w:val="StyleUnderline"/>
        </w:rPr>
        <w:t xml:space="preserve"> </w:t>
      </w:r>
      <w:r w:rsidRPr="007E4A0F">
        <w:rPr>
          <w:rStyle w:val="StyleUnderline"/>
          <w:highlight w:val="yellow"/>
        </w:rPr>
        <w:t>naturalistic</w:t>
      </w:r>
      <w:r w:rsidRPr="00113684">
        <w:rPr>
          <w:rStyle w:val="StyleUnderline"/>
        </w:rPr>
        <w:t xml:space="preserve"> observational </w:t>
      </w:r>
      <w:r w:rsidRPr="007E4A0F">
        <w:rPr>
          <w:rStyle w:val="StyleUnderline"/>
          <w:highlight w:val="yellow"/>
        </w:rPr>
        <w:t>knowledge</w:t>
      </w:r>
      <w:r w:rsidRPr="00113684">
        <w:rPr>
          <w:rStyle w:val="StyleUnderline"/>
        </w:rPr>
        <w:t xml:space="preserve">? I think not. Rather, they make plain that, for WMS, scientific knowledge is not limited strictly to the observational or descriptive, and that the most impressive and prized sort of scientific knowledge is that provided by theories which predict and (especially) explain such observations. </w:t>
      </w:r>
      <w:r w:rsidRPr="007E4A0F">
        <w:rPr>
          <w:rStyle w:val="StyleUnderline"/>
          <w:highlight w:val="yellow"/>
        </w:rPr>
        <w:t>Do these criteria devalue cultures which traditionally rely upon naturalistic observation?</w:t>
      </w:r>
      <w:r w:rsidRPr="00113684">
        <w:rPr>
          <w:rStyle w:val="StyleUnderline"/>
        </w:rPr>
        <w:t xml:space="preserve"> Again, </w:t>
      </w:r>
      <w:r w:rsidRPr="007E4A0F">
        <w:rPr>
          <w:rStyle w:val="StyleUnderline"/>
          <w:highlight w:val="yellow"/>
        </w:rPr>
        <w:t>I think not</w:t>
      </w:r>
      <w:r w:rsidRPr="007E4A0F">
        <w:rPr>
          <w:rStyle w:val="Style13ptBold"/>
          <w:b w:val="0"/>
          <w:sz w:val="22"/>
          <w:highlight w:val="yellow"/>
        </w:rPr>
        <w:t>.</w:t>
      </w:r>
      <w:r w:rsidRPr="00113684">
        <w:rPr>
          <w:rStyle w:val="Style13ptBold"/>
          <w:b w:val="0"/>
          <w:sz w:val="22"/>
        </w:rPr>
        <w:t xml:space="preserve"> Rather, </w:t>
      </w:r>
      <w:r w:rsidRPr="00113684">
        <w:rPr>
          <w:rStyle w:val="StyleUnderline"/>
        </w:rPr>
        <w:t xml:space="preserve">they make plain that, however valuable such cultures are, their naturalistic observations and insights do not provide the predictive and explanatory power sought and prized by WMS. </w:t>
      </w:r>
      <w:r w:rsidRPr="007E4A0F">
        <w:rPr>
          <w:rStyle w:val="Emphasis"/>
          <w:highlight w:val="yellow"/>
        </w:rPr>
        <w:t>To say that a given culture’s science does not so provide is not to devalue that culture, any more than to say that Western science does not provide spiritual or animistic accounts of nature is to devalue the associated cultures of the West.</w:t>
      </w:r>
      <w:r w:rsidRPr="00113684">
        <w:rPr>
          <w:rStyle w:val="StyleUnderline"/>
        </w:rPr>
        <w:t xml:space="preserve"> I</w:t>
      </w:r>
      <w:r w:rsidRPr="00113684">
        <w:rPr>
          <w:rStyle w:val="Style13ptBold"/>
          <w:b w:val="0"/>
          <w:sz w:val="22"/>
        </w:rPr>
        <w:t xml:space="preserve">t is true that culturally-specific approaches to the understanding of the natural world which consist mainly of naturalistic observation differ significantly from approaches which go beyond such observation in a quest for predictive and explanatory power. This </w:t>
      </w:r>
      <w:r w:rsidRPr="00113684">
        <w:rPr>
          <w:rStyle w:val="Emphasis"/>
        </w:rPr>
        <w:t>is a truth which demeans or devalues no culture. Rather, it is a truth that is crucial for multicultural science education to convey.</w:t>
      </w:r>
      <w:r w:rsidRPr="00113684">
        <w:rPr>
          <w:rStyle w:val="Style13ptBold"/>
          <w:b w:val="0"/>
          <w:sz w:val="22"/>
        </w:rPr>
        <w:t xml:space="preserve"> (For further discussion of the allegedly hegemonic or devaluational character of the criteria of WMS, see Siegel, 2001.) This last point—that culturally-specific, “local” understandings of nature which rest content with naturalistic observation and eschew the further step of constructing testable, predictive, and explanatory theories concerning such observation, are, insofar, less adequate as scientific understandings than those of WMS—leads inevitably to the next. WMS is Scientifically Superior to ‘‘Ethnic Science.” </w:t>
      </w:r>
      <w:r w:rsidRPr="00113684">
        <w:rPr>
          <w:rStyle w:val="StyleUnderline"/>
        </w:rPr>
        <w:t>Universalists can and should happily acknowledge the many successes that “ethnic sciences” have enjoyed. Neverthe- less, they also hold that in terms of criteria (a)–(e) just listed, WMS is superior to them in the sense that it has produced a deeper understanding of the natural world, in terms of its production of testable, predictive, and explanatory theories concerning the underlying causal mechanisms and stochastic regularities which account for the features of the world we observe. Universalists need not, and should not, deny that many instances of IK, TEK, and “local,” “</w:t>
      </w:r>
      <w:r w:rsidRPr="007E4A0F">
        <w:rPr>
          <w:rStyle w:val="StyleUnderline"/>
          <w:highlight w:val="yellow"/>
        </w:rPr>
        <w:t>ethnic sciences” are correct, useful, or important</w:t>
      </w:r>
      <w:r w:rsidRPr="00113684">
        <w:rPr>
          <w:rStyle w:val="StyleUnderline"/>
        </w:rPr>
        <w:t xml:space="preserve">. On the contrary, the various cultural traditions in which such knowledge resides are important repositories of obser- vations, inferences, perspectives, and practices concerning various aspects of nature and their interrelationships. Especially impressive are the many examples of local ecological knowledge detailed by Snively and Corsiglia. As they argue, </w:t>
      </w:r>
      <w:r w:rsidRPr="007E4A0F">
        <w:rPr>
          <w:rStyle w:val="StyleUnderline"/>
          <w:highlight w:val="yellow"/>
        </w:rPr>
        <w:t>these local traditions often have “their own systems of managing resources”</w:t>
      </w:r>
      <w:r w:rsidRPr="00113684">
        <w:rPr>
          <w:rStyle w:val="StyleUnderline"/>
        </w:rPr>
        <w:t xml:space="preserve"> (Snively and Corsiglia, 2001, p. 17), many of which at least have been and continue to be highly successful. However, TEK and IK are not only apparently limited to matters ecological and environmental (Snively &amp; Corsiglia, 2001, p. 17); they are also not particularly concerned with the predictions, explanations or experimentation, the construction of theories, or the discovery of underlying causal mecha- nisms, characteristic of WMS. Consequently, they fail to satisfy the criteria of good science to which WMS aspires (and which it sometimes spectacularly meets</w:t>
      </w:r>
      <w:r w:rsidRPr="007E4A0F">
        <w:rPr>
          <w:rStyle w:val="Emphasis"/>
        </w:rPr>
        <w:t xml:space="preserve">). </w:t>
      </w:r>
      <w:r w:rsidRPr="007E4A0F">
        <w:rPr>
          <w:rStyle w:val="Emphasis"/>
          <w:highlight w:val="yellow"/>
        </w:rPr>
        <w:t>To say that WMS is superior to local alternatives to it in the ways just mentioned is not to say that it is superior in any other sense</w:t>
      </w:r>
      <w:r w:rsidRPr="00113684">
        <w:rPr>
          <w:rStyle w:val="Style13ptBold"/>
          <w:b w:val="0"/>
          <w:sz w:val="22"/>
        </w:rPr>
        <w:t xml:space="preserve">. Moreover, it is obviously far from perfect. It does not tell people how they should live; it does not always provide useful advice concerning practical problems, including crucially important ones concerning, e.g., managing precious resources (here the many examples offered by Snively and Corsiglia are telling); it is un- fortunately subject to all manner of political and economic abuse; it manifestly does not resolve fundamental questions of value. The prospect of combining WMS and local, ethnic alternatives in order to produce a more rounded and complete understanding of the natural world and the cultures which produce it, as described and defended by Snively and Corsiglia, is a tantalizing and immensely promising one which universalists should welcome. Still, </w:t>
      </w:r>
      <w:r w:rsidRPr="007E4A0F">
        <w:rPr>
          <w:rStyle w:val="StyleUnderline"/>
          <w:highlight w:val="yellow"/>
        </w:rPr>
        <w:t>if we want to teach</w:t>
      </w:r>
      <w:r w:rsidRPr="00113684">
        <w:rPr>
          <w:rStyle w:val="StyleUnderline"/>
        </w:rPr>
        <w:t xml:space="preserve"> students in science classes (a) </w:t>
      </w:r>
      <w:r w:rsidRPr="007E4A0F">
        <w:rPr>
          <w:rStyle w:val="StyleUnderline"/>
          <w:highlight w:val="yellow"/>
        </w:rPr>
        <w:t>the deepest available under- standing of the natural world</w:t>
      </w:r>
      <w:r w:rsidRPr="00113684">
        <w:rPr>
          <w:rStyle w:val="StyleUnderline"/>
        </w:rPr>
        <w:t xml:space="preserve">, in terms of testable and confirmed theories which enjoy both explanatory and predictive power, (b) </w:t>
      </w:r>
      <w:r w:rsidRPr="007E4A0F">
        <w:rPr>
          <w:rStyle w:val="StyleUnderline"/>
          <w:highlight w:val="yellow"/>
        </w:rPr>
        <w:t>an appreciation of the power and limitations of the methods</w:t>
      </w:r>
      <w:r w:rsidRPr="00113684">
        <w:rPr>
          <w:rStyle w:val="StyleUnderline"/>
        </w:rPr>
        <w:t xml:space="preserve"> which scientists have utilized in order to yield that understanding, and continue to utilize in an effort to improve it, and (c) </w:t>
      </w:r>
      <w:r w:rsidRPr="007E4A0F">
        <w:rPr>
          <w:rStyle w:val="StyleUnderline"/>
          <w:highlight w:val="yellow"/>
        </w:rPr>
        <w:t>an appreciation of the character and limitations</w:t>
      </w:r>
      <w:r w:rsidRPr="00113684">
        <w:rPr>
          <w:rStyle w:val="StyleUnderline"/>
        </w:rPr>
        <w:t xml:space="preserve"> (especially the tentativeness and fallibility) of all such theorizing and understanding, and the cultural and other circumstances in which it is embedded and by which it is influenced— aims of science education which I hope both universalists and localists endorse—</w:t>
      </w:r>
      <w:r w:rsidRPr="007E4A0F">
        <w:rPr>
          <w:rStyle w:val="Emphasis"/>
          <w:highlight w:val="yellow"/>
        </w:rPr>
        <w:t>we have no realistic alternative to the privileging of WMS in the science curriculum</w:t>
      </w:r>
      <w:r w:rsidRPr="00113684">
        <w:rPr>
          <w:rStyle w:val="StyleUnderline"/>
        </w:rPr>
        <w:t>.</w:t>
      </w:r>
      <w:r w:rsidRPr="00113684">
        <w:rPr>
          <w:rStyle w:val="Style13ptBold"/>
          <w:b w:val="0"/>
          <w:sz w:val="22"/>
        </w:rPr>
        <w:t xml:space="preserve"> This does not mean that we should not in the science classroom discuss other, “local” or “ethnic” alterna- tive approaches to or understandings of the natural world, or that we should shy away from considering challenges to WMS made from the perspective of those alternative approaches. But it does mean that we should endeavor to make clear to science students the features of WMS which enable it to achieve the limited sort of superiority just noted.2 It seems to me that Stanley and Brickhouse are free to embrace these tenets of universal- ism. They clearly endorse the first. As far as I can see they are free to embrace the second. I hope they are able to accept the third, especially in light of the fact that all such knowledge is inevitably “located.” And, in light of the restricted and limited way in which universalists are committed to the superiority of WMS, I hope they can embrace the fourth as well. If so, despite appearances to the contrary, there is actually considerable agreement between Stanley and Brickhouse and their universalist opponents, at least concerning epistemic universalism and its place in science education. I believe that Stanley and Brickhouse’s rejection of such universalism stems mainly from their (mis)characterization of that view; the version of it they reject is rejected by universalists—at least by this one—as firmly as Stanley and Brickhouse reject it themselves. </w:t>
      </w:r>
      <w:r w:rsidRPr="00855729">
        <w:rPr>
          <w:rStyle w:val="StyleUnderline"/>
        </w:rPr>
        <w:t xml:space="preserve">The </w:t>
      </w:r>
      <w:r w:rsidRPr="007E4A0F">
        <w:rPr>
          <w:rStyle w:val="StyleUnderline"/>
          <w:highlight w:val="yellow"/>
        </w:rPr>
        <w:t>features of universalism which I and other universalists endorse, on the other hand, are largely endorsed</w:t>
      </w:r>
      <w:r w:rsidRPr="00855729">
        <w:rPr>
          <w:rStyle w:val="StyleUnderline"/>
        </w:rPr>
        <w:t xml:space="preserve">, or at least endorsable, by Stanley and Brickhouse and their fellow localists. </w:t>
      </w:r>
      <w:r w:rsidRPr="007E4A0F">
        <w:rPr>
          <w:rStyle w:val="StyleUnderline"/>
          <w:highlight w:val="yellow"/>
        </w:rPr>
        <w:t>There</w:t>
      </w:r>
      <w:r w:rsidRPr="00855729">
        <w:rPr>
          <w:rStyle w:val="StyleUnderline"/>
        </w:rPr>
        <w:t xml:space="preserve"> </w:t>
      </w:r>
      <w:r w:rsidRPr="007E4A0F">
        <w:rPr>
          <w:rStyle w:val="StyleUnderline"/>
          <w:highlight w:val="yellow"/>
        </w:rPr>
        <w:t>is</w:t>
      </w:r>
      <w:r w:rsidRPr="00855729">
        <w:rPr>
          <w:rStyle w:val="StyleUnderline"/>
        </w:rPr>
        <w:t xml:space="preserve"> </w:t>
      </w:r>
      <w:r w:rsidRPr="007E4A0F">
        <w:rPr>
          <w:rStyle w:val="StyleUnderline"/>
          <w:highlight w:val="yellow"/>
        </w:rPr>
        <w:t>more</w:t>
      </w:r>
      <w:r w:rsidRPr="00855729">
        <w:rPr>
          <w:rStyle w:val="StyleUnderline"/>
        </w:rPr>
        <w:t xml:space="preserve"> </w:t>
      </w:r>
      <w:r w:rsidRPr="007E4A0F">
        <w:rPr>
          <w:rStyle w:val="StyleUnderline"/>
          <w:highlight w:val="yellow"/>
        </w:rPr>
        <w:t>common</w:t>
      </w:r>
      <w:r w:rsidRPr="00855729">
        <w:rPr>
          <w:rStyle w:val="StyleUnderline"/>
        </w:rPr>
        <w:t xml:space="preserve"> </w:t>
      </w:r>
      <w:r w:rsidRPr="007E4A0F">
        <w:rPr>
          <w:rStyle w:val="StyleUnderline"/>
          <w:highlight w:val="yellow"/>
        </w:rPr>
        <w:t>ground</w:t>
      </w:r>
      <w:r w:rsidRPr="00855729">
        <w:rPr>
          <w:rStyle w:val="StyleUnderline"/>
        </w:rPr>
        <w:t xml:space="preserve"> </w:t>
      </w:r>
      <w:r w:rsidRPr="007E4A0F">
        <w:rPr>
          <w:rStyle w:val="StyleUnderline"/>
          <w:highlight w:val="yellow"/>
        </w:rPr>
        <w:t>here</w:t>
      </w:r>
      <w:r w:rsidRPr="00855729">
        <w:rPr>
          <w:rStyle w:val="StyleUnderline"/>
        </w:rPr>
        <w:t xml:space="preserve"> than is commonly recognized by the participants in this debate</w:t>
      </w:r>
      <w:r w:rsidRPr="00113684">
        <w:rPr>
          <w:rStyle w:val="Style13ptBold"/>
          <w:b w:val="0"/>
          <w:sz w:val="22"/>
        </w:rPr>
        <w:t xml:space="preserve">. I turn next to disagreement concerning another sort of universalism: that, not of a univer- salist conception of science and scientific knowledge, but rather of a universalist conception of the multiculturalist imperative itself. </w:t>
      </w:r>
    </w:p>
    <w:p w14:paraId="2E6AC644" w14:textId="025BF366" w:rsidR="0040320D" w:rsidRPr="007F4547" w:rsidRDefault="0040320D" w:rsidP="0040320D">
      <w:pPr>
        <w:pStyle w:val="Heading4"/>
        <w:rPr>
          <w:rStyle w:val="Style13ptBold"/>
          <w:b/>
        </w:rPr>
      </w:pPr>
      <w:r>
        <w:rPr>
          <w:rStyle w:val="Style13ptBold"/>
          <w:b/>
        </w:rPr>
        <w:t xml:space="preserve">6. </w:t>
      </w:r>
      <w:r w:rsidRPr="007F4547">
        <w:rPr>
          <w:rStyle w:val="Style13ptBold"/>
          <w:b/>
        </w:rPr>
        <w:t xml:space="preserve">Settler colonialism is a theory constructed from white scholarship – belief in its system inevitably recreates colonialism </w:t>
      </w:r>
    </w:p>
    <w:p w14:paraId="5144EECD" w14:textId="77777777" w:rsidR="0040320D" w:rsidRPr="007D4736" w:rsidRDefault="0040320D" w:rsidP="0040320D">
      <w:pPr>
        <w:rPr>
          <w:sz w:val="16"/>
          <w:szCs w:val="16"/>
        </w:rPr>
      </w:pPr>
      <w:r w:rsidRPr="007D4736">
        <w:rPr>
          <w:rStyle w:val="Style13ptBold"/>
        </w:rPr>
        <w:t>Macoun and Strakosch 13</w:t>
      </w:r>
      <w:r>
        <w:t xml:space="preserve"> </w:t>
      </w:r>
      <w:r w:rsidRPr="007D4736">
        <w:rPr>
          <w:sz w:val="16"/>
          <w:szCs w:val="16"/>
        </w:rPr>
        <w:t xml:space="preserve">(Elizabeth &amp; Alissa, Indigenous Studies Research Network ‘The ethical demands of settler colonial theory,’ Settler Colonial Studies, Volume 3, Issue 3, pp. 426-443, </w:t>
      </w:r>
      <w:hyperlink r:id="rId12" w:history="1">
        <w:r w:rsidRPr="001435A2">
          <w:rPr>
            <w:rStyle w:val="Hyperlink"/>
            <w:sz w:val="16"/>
            <w:szCs w:val="16"/>
          </w:rPr>
          <w:t>https://eprints.qut.edu.au/63908/1/63908.pdf</w:t>
        </w:r>
      </w:hyperlink>
      <w:r w:rsidRPr="007D4736">
        <w:rPr>
          <w:sz w:val="16"/>
          <w:szCs w:val="16"/>
        </w:rPr>
        <w:t>)</w:t>
      </w:r>
      <w:r>
        <w:rPr>
          <w:sz w:val="16"/>
          <w:szCs w:val="16"/>
        </w:rPr>
        <w:t xml:space="preserve"> lz</w:t>
      </w:r>
    </w:p>
    <w:p w14:paraId="5C8A0EFB" w14:textId="77777777" w:rsidR="0040320D" w:rsidRPr="007A2850" w:rsidRDefault="0040320D" w:rsidP="0040320D">
      <w:pPr>
        <w:rPr>
          <w:sz w:val="14"/>
        </w:rPr>
      </w:pPr>
      <w:r w:rsidRPr="00736E2D">
        <w:rPr>
          <w:sz w:val="14"/>
        </w:rPr>
        <w:t>However, as others have noted</w:t>
      </w:r>
      <w:r w:rsidRPr="00B87549">
        <w:rPr>
          <w:sz w:val="14"/>
          <w:highlight w:val="yellow"/>
        </w:rPr>
        <w:t xml:space="preserve">, </w:t>
      </w:r>
      <w:r w:rsidRPr="00B87549">
        <w:rPr>
          <w:b/>
          <w:highlight w:val="yellow"/>
          <w:u w:val="single"/>
        </w:rPr>
        <w:t>SCT</w:t>
      </w:r>
      <w:r w:rsidRPr="00736E2D">
        <w:rPr>
          <w:sz w:val="14"/>
        </w:rPr>
        <w:t xml:space="preserve"> seems unable to transcend itself, in the sense that it posits a structural inevitability to the settler colonial relationship. </w:t>
      </w:r>
      <w:r w:rsidRPr="00736E2D">
        <w:rPr>
          <w:rStyle w:val="StyleUnderline"/>
        </w:rPr>
        <w:t xml:space="preserve">We suggest that this structuralism </w:t>
      </w:r>
      <w:r w:rsidRPr="00B87549">
        <w:rPr>
          <w:rStyle w:val="StyleUnderline"/>
          <w:highlight w:val="yellow"/>
        </w:rPr>
        <w:t>can be mobilized by settler scholars in ways that delegitimize Indigenous resistance and reinforce violent colonial relationships</w:t>
      </w:r>
      <w:r w:rsidRPr="00736E2D">
        <w:rPr>
          <w:rStyle w:val="StyleUnderline"/>
        </w:rPr>
        <w:t xml:space="preserve">. </w:t>
      </w:r>
      <w:r w:rsidRPr="00736E2D">
        <w:rPr>
          <w:sz w:val="14"/>
        </w:rPr>
        <w:t xml:space="preserve">But while settlers come to stay and to erase Indigenous political existence, this does not mean that these intentions will be realized or must remain fixed. Non‐Indigenous scholars should challenge the politically convenient conflation of settler desires and reality, and of the political present and the future. This article highlights these issues in order to begin to unlock the transformative potential of SCT, engaging settler scholars as political actors and arguing that this approach has the potential to facilitate conversations and alliances with Indigenous people. It is precisely by using the strengths of SCT that we can challenge its limitations; the theory itself places ethical demands on us as settlers, including the demand that we actively refuse its potential to re‐empower our own academic voices and to marginalize Indigenous resistance. </w:t>
      </w:r>
      <w:r w:rsidRPr="00736E2D">
        <w:rPr>
          <w:rStyle w:val="StyleUnderline"/>
        </w:rPr>
        <w:t xml:space="preserve">For many decades, </w:t>
      </w:r>
      <w:r w:rsidRPr="00B87549">
        <w:rPr>
          <w:rStyle w:val="StyleUnderline"/>
          <w:highlight w:val="yellow"/>
        </w:rPr>
        <w:t>postcolonial theory</w:t>
      </w:r>
      <w:r w:rsidRPr="00736E2D">
        <w:rPr>
          <w:rStyle w:val="StyleUnderline"/>
        </w:rPr>
        <w:t xml:space="preserve"> has shaped global scholarship of colonialism, and this has </w:t>
      </w:r>
      <w:r w:rsidRPr="00B87549">
        <w:rPr>
          <w:rStyle w:val="StyleUnderline"/>
          <w:highlight w:val="yellow"/>
        </w:rPr>
        <w:t>tended to obscure the ongoing hierarchies of settler states</w:t>
      </w:r>
      <w:r w:rsidRPr="00736E2D">
        <w:rPr>
          <w:rStyle w:val="StyleUnderline"/>
        </w:rPr>
        <w:t>.</w:t>
      </w:r>
      <w:r w:rsidRPr="00736E2D">
        <w:rPr>
          <w:sz w:val="14"/>
        </w:rPr>
        <w:t xml:space="preserve">1 However, building on the theoretical contributions of Patrick Wolfe and Lorenzo Veracini, increasing numbers of scholars are beginning to think about settler colonialism as a specific political formation. Importantly, this work draws a distinction between settler states and formally decolonized societies, and acknowledges that postcolonial does not ‘mean the same thing as post‐settler colonial’.2 While this movement may be animated by and in sympathy with major developments in critical Indigenous theory and global Indigenous activism,3 </w:t>
      </w:r>
      <w:proofErr w:type="gramStart"/>
      <w:r w:rsidRPr="00B87549">
        <w:rPr>
          <w:rStyle w:val="StyleUnderline"/>
          <w:highlight w:val="yellow"/>
        </w:rPr>
        <w:t>settler</w:t>
      </w:r>
      <w:proofErr w:type="gramEnd"/>
      <w:r w:rsidRPr="00B87549">
        <w:rPr>
          <w:rStyle w:val="StyleUnderline"/>
          <w:highlight w:val="yellow"/>
        </w:rPr>
        <w:t xml:space="preserve"> colonial theory</w:t>
      </w:r>
      <w:r w:rsidRPr="00736E2D">
        <w:rPr>
          <w:rStyle w:val="StyleUnderline"/>
        </w:rPr>
        <w:t xml:space="preserve"> (SCT) </w:t>
      </w:r>
      <w:r w:rsidRPr="00B87549">
        <w:rPr>
          <w:rStyle w:val="StyleUnderline"/>
          <w:highlight w:val="yellow"/>
        </w:rPr>
        <w:t>remains a largely White attempt to think through contemporary colonial relationships</w:t>
      </w:r>
      <w:r w:rsidRPr="00736E2D">
        <w:rPr>
          <w:rStyle w:val="StyleUnderline"/>
        </w:rPr>
        <w:t>.</w:t>
      </w:r>
      <w:r w:rsidRPr="00736E2D">
        <w:rPr>
          <w:rStyle w:val="StyleUnderline"/>
          <w:sz w:val="14"/>
          <w:u w:val="none"/>
        </w:rPr>
        <w:t xml:space="preserve"> Like us, most settlers who use the theoretical framework are concerned to disturb rather than re‐enact colonial hierarchies, and seek to contribute to Indigenous political struggles. </w:t>
      </w:r>
      <w:r w:rsidRPr="00736E2D">
        <w:rPr>
          <w:sz w:val="14"/>
        </w:rPr>
        <w:t>However</w:t>
      </w:r>
      <w:r w:rsidRPr="00736E2D">
        <w:rPr>
          <w:rStyle w:val="StyleUnderline"/>
          <w:sz w:val="14"/>
          <w:u w:val="none"/>
        </w:rPr>
        <w:t xml:space="preserve">, </w:t>
      </w:r>
      <w:r w:rsidRPr="00736E2D">
        <w:rPr>
          <w:rStyle w:val="StyleUnderline"/>
        </w:rPr>
        <w:t>Indigenous scholars have not always embraced the theory and it has been met with scepticism by some engaged in challenging colonialism</w:t>
      </w:r>
      <w:r w:rsidRPr="00736E2D">
        <w:rPr>
          <w:sz w:val="14"/>
        </w:rPr>
        <w:t xml:space="preserve">.4 This article seeks to make explicit SCT’s current location as a primarily settler framework, and to explore its strengths and limitations in this context. </w:t>
      </w:r>
      <w:r w:rsidRPr="00736E2D">
        <w:rPr>
          <w:rStyle w:val="StyleUnderline"/>
          <w:sz w:val="14"/>
          <w:u w:val="none"/>
        </w:rPr>
        <w:t>While we do not suggest that SCT can only ever be used by settlers,</w:t>
      </w:r>
      <w:r w:rsidRPr="00736E2D">
        <w:rPr>
          <w:rStyle w:val="StyleUnderline"/>
        </w:rPr>
        <w:t xml:space="preserve"> we frame our discussion in relation to the current political and theoretical dynamics of its use.</w:t>
      </w:r>
      <w:r w:rsidRPr="00736E2D">
        <w:rPr>
          <w:rStyle w:val="StyleUnderline"/>
          <w:sz w:val="14"/>
          <w:u w:val="none"/>
        </w:rPr>
        <w:t xml:space="preserve"> </w:t>
      </w:r>
      <w:r w:rsidRPr="00736E2D">
        <w:rPr>
          <w:sz w:val="14"/>
        </w:rPr>
        <w:t xml:space="preserve">In the Australian context, SCT is an appealing interpretive framework for academics seeking to understand the state’s increasingly coercive approach to Indigenous people. It has had a particularly significant presence in Australian academic debates over the Commonwealth </w:t>
      </w:r>
      <w:proofErr w:type="gramStart"/>
      <w:r w:rsidRPr="00736E2D">
        <w:rPr>
          <w:sz w:val="14"/>
        </w:rPr>
        <w:t>government’s</w:t>
      </w:r>
      <w:proofErr w:type="gramEnd"/>
      <w:r w:rsidRPr="00736E2D">
        <w:rPr>
          <w:sz w:val="14"/>
        </w:rPr>
        <w:t xml:space="preserve"> Northern Territory (NT) Emergency Response (widely known as ‘the intervention’). Adopted with bipartisan support in 2007 following allegations of widespread abuse of children in remote Aboriginal communities, the intervention involves the imposition of controversial and coercive measures such as racially based welfare quarantining, alcohol and pornography bans, and the imposition of compulsory leases over Aboriginal land. The policy essentially understands Aboriginal communities as ‘insufficiently colonised zones’,5 and its introduction required the suspension of the Racial Discrimination Act 1975. This pathologizing of Aboriginal communities links Aboriginality to child abuse, prescribes additional interaction with the state and mainstream economy, and establishes a political debate about the nature and future of Aboriginality in which Indigenous perspectives are problematized.6 Given the policy’s articulation through language of ‘stabilizing’ and ‘normalizing’ Aboriginal communities,7 as well as obvious resonances with previous policies of segregation and assimilation, it is not surprising that a range of scholars have found settler colonialism to be a compelling framework for analysis.8 The intervention has also sparked debate about the role of non‐Indigenous academics, and the ethical and political implications of contributions by ‘outsiders’ to questions concerning the experiences and futures of Aboriginal people.9 In this paper, we draw on recent Australian academic debates surrounding the NT intervention to assess the contributions of SCT and to investigate some of the ethical and political implications of its use.   We contend that </w:t>
      </w:r>
      <w:r w:rsidRPr="00B87549">
        <w:rPr>
          <w:rStyle w:val="StyleUnderline"/>
          <w:highlight w:val="yellow"/>
        </w:rPr>
        <w:t>SCT</w:t>
      </w:r>
      <w:r w:rsidRPr="00736E2D">
        <w:rPr>
          <w:rStyle w:val="StyleUnderline"/>
        </w:rPr>
        <w:t xml:space="preserve"> makes major contributions to current mainstream scholarship, but that its analytic and explanatory power also </w:t>
      </w:r>
      <w:r w:rsidRPr="00B87549">
        <w:rPr>
          <w:rStyle w:val="StyleUnderline"/>
          <w:highlight w:val="yellow"/>
        </w:rPr>
        <w:t>presents a range of political and ethical risks</w:t>
      </w:r>
      <w:r w:rsidRPr="00736E2D">
        <w:rPr>
          <w:rStyle w:val="StyleUnderline"/>
        </w:rPr>
        <w:t>. Exposing colonization as ‘a structure not an event’10 confronts settlers with an account of contemporary colonialism that is difficult to avoid, exposing underlying similarities between conservative and progressive approaches to contemporary Indigenous policy</w:t>
      </w:r>
      <w:r w:rsidRPr="00736E2D">
        <w:rPr>
          <w:sz w:val="14"/>
        </w:rPr>
        <w:t xml:space="preserve"> and revealing intimate connections between settler emotions, practices, knowledges and institutions. However, </w:t>
      </w:r>
      <w:r w:rsidRPr="00B87549">
        <w:rPr>
          <w:rStyle w:val="StyleUnderline"/>
          <w:highlight w:val="yellow"/>
        </w:rPr>
        <w:t>emphasizing continuities in colonial relationships</w:t>
      </w:r>
      <w:r w:rsidRPr="00736E2D">
        <w:rPr>
          <w:rStyle w:val="StyleUnderline"/>
        </w:rPr>
        <w:t xml:space="preserve"> between the past </w:t>
      </w:r>
      <w:r w:rsidRPr="00B87549">
        <w:rPr>
          <w:rStyle w:val="StyleUnderline"/>
          <w:highlight w:val="yellow"/>
        </w:rPr>
        <w:t>and</w:t>
      </w:r>
      <w:r w:rsidRPr="00736E2D">
        <w:rPr>
          <w:rStyle w:val="StyleUnderline"/>
        </w:rPr>
        <w:t xml:space="preserve"> the present </w:t>
      </w:r>
      <w:r w:rsidRPr="00B87549">
        <w:rPr>
          <w:rStyle w:val="StyleUnderline"/>
          <w:highlight w:val="yellow"/>
        </w:rPr>
        <w:t>can tend to construct existing political relationships as inevitable and unchanging</w:t>
      </w:r>
      <w:r w:rsidRPr="00736E2D">
        <w:rPr>
          <w:rStyle w:val="StyleUnderline"/>
        </w:rPr>
        <w:t>.</w:t>
      </w:r>
      <w:r w:rsidRPr="00736E2D">
        <w:rPr>
          <w:sz w:val="14"/>
        </w:rPr>
        <w:t xml:space="preserve"> When deployed with a neutral descriptive authority, </w:t>
      </w:r>
      <w:r w:rsidRPr="00B87549">
        <w:rPr>
          <w:rStyle w:val="StyleUnderline"/>
          <w:highlight w:val="yellow"/>
        </w:rPr>
        <w:t>SCT can also re‐inscribe settler academics’ political authority and re‐enact the foundational settler fantasy</w:t>
      </w:r>
      <w:r w:rsidRPr="00736E2D">
        <w:rPr>
          <w:rStyle w:val="StyleUnderline"/>
        </w:rPr>
        <w:t xml:space="preserve"> that we constitute, comprehend and control the whole political space of our relationships with Indigenous people.</w:t>
      </w:r>
      <w:r w:rsidRPr="00736E2D">
        <w:rPr>
          <w:sz w:val="14"/>
        </w:rPr>
        <w:t xml:space="preserve"> In order to counter this potential, we suggest that while settler ways of thinking structure and dominate much of our contemporary reality, they are not equivalent to it. </w:t>
      </w:r>
      <w:r w:rsidRPr="00736E2D">
        <w:rPr>
          <w:rStyle w:val="StyleUnderline"/>
        </w:rPr>
        <w:t>SCT makes visible our own frames of reference, thus revealing possibilities and political visions that lie outside them.</w:t>
      </w:r>
      <w:r w:rsidRPr="00736E2D">
        <w:rPr>
          <w:sz w:val="14"/>
        </w:rPr>
        <w:t xml:space="preserve"> From this standpoint, the fact that settler colonialism struggles to narrate its own ending does not mean that it cannot end. Ultimately, we contend that this approach has the potential to facilitate new conversations and relationships with Indigenous people but, in order to unlock this transformative potential, settler scholars must remain attentive to our own positions within colonial relationships.</w:t>
      </w:r>
    </w:p>
    <w:p w14:paraId="68193883" w14:textId="05B8AC74" w:rsidR="00DA7B0E" w:rsidRDefault="00DA7B0E" w:rsidP="00DA7B0E">
      <w:pPr>
        <w:pStyle w:val="Heading2"/>
      </w:pPr>
      <w:r>
        <w:t>1NC-Advantage (Afro-centrism)</w:t>
      </w:r>
    </w:p>
    <w:p w14:paraId="178C90A8" w14:textId="42ABD60F" w:rsidR="00DA7B0E" w:rsidRDefault="00866913" w:rsidP="00DA7B0E">
      <w:pPr>
        <w:pStyle w:val="Heading4"/>
      </w:pPr>
      <w:r>
        <w:t xml:space="preserve">1. </w:t>
      </w:r>
      <w:r w:rsidR="00DA7B0E">
        <w:t xml:space="preserve">Afrocentrism is riddled with internal contradictons—cultural exclusivitity makes it reactive, too broad a focus on specific intellectuals, and doesn’t reject the framework of Eurocentric thought but instead replaces it with new content that serves to replicate the structural harms it criticizes. </w:t>
      </w:r>
    </w:p>
    <w:p w14:paraId="069638C1" w14:textId="77777777" w:rsidR="00DA7B0E" w:rsidRPr="009B1B46" w:rsidRDefault="00DA7B0E" w:rsidP="00DA7B0E">
      <w:pPr>
        <w:rPr>
          <w:rStyle w:val="Style13ptBold"/>
          <w:b w:val="0"/>
        </w:rPr>
      </w:pPr>
      <w:r>
        <w:rPr>
          <w:rStyle w:val="Style13ptBold"/>
        </w:rPr>
        <w:t xml:space="preserve">Appiah 93 </w:t>
      </w:r>
      <w:r>
        <w:rPr>
          <w:rStyle w:val="Style13ptBold"/>
          <w:b w:val="0"/>
        </w:rPr>
        <w:t xml:space="preserve">(Kwame Appiah, </w:t>
      </w:r>
      <w:r w:rsidRPr="009B1B46">
        <w:rPr>
          <w:rStyle w:val="Style13ptBold"/>
          <w:b w:val="0"/>
        </w:rPr>
        <w:t xml:space="preserve">philosopher, cultural theorist, and novelist whose interests include political and moral theory, the philosophy of language and mind, and African intellectual history. Appiah was the Laurance S. Rockefeller University Professor of Philosophy at Princeton </w:t>
      </w:r>
      <w:r>
        <w:rPr>
          <w:rStyle w:val="Style13ptBold"/>
          <w:b w:val="0"/>
        </w:rPr>
        <w:t xml:space="preserve">University. </w:t>
      </w:r>
      <w:r w:rsidRPr="009B1B46">
        <w:rPr>
          <w:rStyle w:val="Style13ptBold"/>
          <w:b w:val="0"/>
        </w:rPr>
        <w:t>He currently holds an appointment at the NYU Department of Philosophy and NYU's School of Law</w:t>
      </w:r>
      <w:r>
        <w:rPr>
          <w:rStyle w:val="Style13ptBold"/>
          <w:b w:val="0"/>
        </w:rPr>
        <w:t>, “</w:t>
      </w:r>
      <w:r w:rsidRPr="009B1B46">
        <w:rPr>
          <w:rStyle w:val="Style13ptBold"/>
          <w:b w:val="0"/>
        </w:rPr>
        <w:t>Fallacies of Eurocentrism and Afrocentrism</w:t>
      </w:r>
      <w:r>
        <w:rPr>
          <w:rStyle w:val="Style13ptBold"/>
          <w:b w:val="0"/>
        </w:rPr>
        <w:t xml:space="preserve">”, May 10, 1993, </w:t>
      </w:r>
      <w:hyperlink r:id="rId13" w:history="1">
        <w:r w:rsidRPr="00A02494">
          <w:rPr>
            <w:rStyle w:val="Hyperlink"/>
            <w:sz w:val="26"/>
          </w:rPr>
          <w:t>http://www.aei.org/publication/fallacies-of-eurocentrism-and-afrocentrism/</w:t>
        </w:r>
      </w:hyperlink>
      <w:r>
        <w:rPr>
          <w:rStyle w:val="Style13ptBold"/>
          <w:b w:val="0"/>
        </w:rPr>
        <w:t>) TSB</w:t>
      </w:r>
    </w:p>
    <w:p w14:paraId="4C0BEEAC" w14:textId="77777777" w:rsidR="00DA7B0E" w:rsidRPr="0053533F" w:rsidRDefault="00DA7B0E" w:rsidP="00DA7B0E">
      <w:pPr>
        <w:rPr>
          <w:rStyle w:val="StyleUnderline"/>
          <w:sz w:val="16"/>
          <w:u w:val="none"/>
        </w:rPr>
      </w:pPr>
      <w:r w:rsidRPr="007E4A0F">
        <w:rPr>
          <w:rStyle w:val="Emphasis"/>
          <w:highlight w:val="yellow"/>
        </w:rPr>
        <w:t>This negative thesis is argued</w:t>
      </w:r>
      <w:r w:rsidRPr="009B1B46">
        <w:rPr>
          <w:rStyle w:val="Emphasis"/>
        </w:rPr>
        <w:t xml:space="preserve"> as the prolegomenon </w:t>
      </w:r>
      <w:r w:rsidRPr="007E4A0F">
        <w:rPr>
          <w:rStyle w:val="Emphasis"/>
          <w:highlight w:val="yellow"/>
        </w:rPr>
        <w:t>to an alternative, positive, “Afrocentric” view</w:t>
      </w:r>
      <w:r w:rsidRPr="009B1B46">
        <w:rPr>
          <w:rStyle w:val="Emphasis"/>
        </w:rPr>
        <w:t xml:space="preserve">, in </w:t>
      </w:r>
      <w:r w:rsidRPr="007E4A0F">
        <w:rPr>
          <w:rStyle w:val="Emphasis"/>
          <w:highlight w:val="yellow"/>
        </w:rPr>
        <w:t>which African cultural creativity is</w:t>
      </w:r>
      <w:r w:rsidRPr="009B1B46">
        <w:rPr>
          <w:rStyle w:val="Emphasis"/>
        </w:rPr>
        <w:t xml:space="preserve"> discovered to have been </w:t>
      </w:r>
      <w:r w:rsidRPr="007E4A0F">
        <w:rPr>
          <w:rStyle w:val="Emphasis"/>
          <w:highlight w:val="yellow"/>
        </w:rPr>
        <w:t>at the origin of Western civilization,</w:t>
      </w:r>
      <w:r w:rsidRPr="009B1B46">
        <w:rPr>
          <w:rStyle w:val="Emphasis"/>
        </w:rPr>
        <w:t xml:space="preserve"> and Western civilization, especially in modernity, is either asserted or implied to be intrinsically morally depraved; incapable, in particular, of living peacefully with others.</w:t>
      </w:r>
      <w:r w:rsidRPr="0053533F">
        <w:rPr>
          <w:sz w:val="16"/>
        </w:rPr>
        <w:t xml:space="preserve"> </w:t>
      </w:r>
      <w:r w:rsidRPr="007F4547">
        <w:rPr>
          <w:rStyle w:val="StyleUnderline"/>
          <w:highlight w:val="yellow"/>
        </w:rPr>
        <w:t>We</w:t>
      </w:r>
      <w:r w:rsidRPr="009B1B46">
        <w:rPr>
          <w:rStyle w:val="StyleUnderline"/>
        </w:rPr>
        <w:t xml:space="preserve"> </w:t>
      </w:r>
      <w:r w:rsidRPr="0053533F">
        <w:rPr>
          <w:sz w:val="16"/>
        </w:rPr>
        <w:t>(sometimes all of us, sometimes just those of us who are black</w:t>
      </w:r>
      <w:r w:rsidRPr="007F4547">
        <w:rPr>
          <w:sz w:val="16"/>
          <w:highlight w:val="yellow"/>
        </w:rPr>
        <w:t xml:space="preserve">) </w:t>
      </w:r>
      <w:r w:rsidRPr="007F4547">
        <w:rPr>
          <w:rStyle w:val="Emphasis"/>
          <w:highlight w:val="yellow"/>
        </w:rPr>
        <w:t>are urged,</w:t>
      </w:r>
      <w:r w:rsidRPr="009B1B46">
        <w:rPr>
          <w:rStyle w:val="Emphasis"/>
        </w:rPr>
        <w:t xml:space="preserve"> then, </w:t>
      </w:r>
      <w:r w:rsidRPr="007F4547">
        <w:rPr>
          <w:rStyle w:val="Emphasis"/>
          <w:highlight w:val="yellow"/>
        </w:rPr>
        <w:t>to center on African history</w:t>
      </w:r>
      <w:r w:rsidRPr="009B1B46">
        <w:rPr>
          <w:rStyle w:val="Emphasis"/>
        </w:rPr>
        <w:t xml:space="preserve"> (and particularly the history of the Egypt of the pharaohs) and return to African values. The Afrocentric paradigm is not just the source of a lively body of writing; it is the basis, too, of a movement in the United States to revise the teaching of African-American children, to provide them with an Afrocentric education.</w:t>
      </w:r>
      <w:r w:rsidRPr="0053533F">
        <w:rPr>
          <w:sz w:val="16"/>
        </w:rPr>
        <w:t xml:space="preserve"> Here </w:t>
      </w:r>
      <w:r w:rsidRPr="009B1B46">
        <w:rPr>
          <w:rStyle w:val="StyleUnderline"/>
        </w:rPr>
        <w:t>the argument is that the Eurocentricity of what is taught in American schools, at best, fails to nurture, and, at worst, actively damages, the self-esteem of black children, and that what these children need instead is a diet of celebratory African history (also beginning in Egypt and insisting that its civilization was black) and the transmission of African values.</w:t>
      </w:r>
      <w:r w:rsidRPr="0053533F">
        <w:rPr>
          <w:sz w:val="16"/>
        </w:rPr>
        <w:t xml:space="preserve"> These values are often taught now in the version developed by Dr. Maulana Karenga and associated with the invention of a feast called “Kwanzaa,” designed to provide an African celebration to go with Christmas and Hanukkah. (American children are taught Swahili words, naming various allegedly African virtues, as their proper inheritance. There is something of an irony in the use of Swahili as an Afrocentric language, since hardly any of the slaves brought to the New World can have known the language, while it was in fact being used in a culture in which slave trading to the Arabian peninsula was a major element of the economy.) This particular brand of Afrocentrism goes under the label of “Kemetism” (“Kemet” being a name for ancient Egypt); and the whole package can be found in a recent work by Molefi Kete Asante, one of the intellectual leaders of the movement, entitled Kemet, Afrocentricity, and Knowledge. </w:t>
      </w:r>
      <w:r w:rsidRPr="009B1B46">
        <w:rPr>
          <w:rStyle w:val="StyleUnderline"/>
        </w:rPr>
        <w:t xml:space="preserve">At least as important as published work is a body of Afrocentric lore transmitted in public lectures and in discussion groups by figures who have tended in recent years to combine the Afrocentric paradigm </w:t>
      </w:r>
      <w:r w:rsidRPr="0053533F">
        <w:rPr>
          <w:sz w:val="16"/>
        </w:rPr>
        <w:t xml:space="preserve">with a peculiar anti-semitism, which seems preoccupied with placing especial responsibility for the ills of the black world on a Jewish conspiracy. Many of the leading rap stars seem to subscribe to this package of views, combining it with their well-known misogyny and homophobia, to produce a cultural brew as noxious as any currently available in popular culture. The diagnosis of this particular cultural pathology is the subject of much current speculation among observers of the African-American cultural scene. The Afrocentric paradigm–the scholarly end of the movement–has one major hero: Cheikh Anta Diop, the Senegalese man-of-letters, after whom the university in Dakar, Senegal is now named. Diop argued over many years (beginning in the 1950s) for the thesis of the African origins of Greek civilization. In such works as L’unite culturelle de l’Afrique noire, Anteriorite des civilisations negres, Nations negres et culture, Fondements economiques et culturels d’un etat federal d’Afrique noir, and Parente genetique de l’egyptien pharaonique et des langues negro–Africaines, he pursued a complex agenda, in which the splendors of Egypt were a basis for contemporary African pride and the cultural unity derived from a common African source could be the basis for modern African political unity. Like most cultural movements at full flood, </w:t>
      </w:r>
      <w:r w:rsidRPr="007F4547">
        <w:rPr>
          <w:rStyle w:val="Emphasis"/>
          <w:highlight w:val="yellow"/>
        </w:rPr>
        <w:t>this Afrocentric turn is a composite of truth</w:t>
      </w:r>
      <w:r w:rsidRPr="009B1B46">
        <w:rPr>
          <w:rStyle w:val="Emphasis"/>
        </w:rPr>
        <w:t xml:space="preserve"> and error, insight and illusion, moral generosity and meanness. But if </w:t>
      </w:r>
      <w:r w:rsidRPr="007F4547">
        <w:rPr>
          <w:rStyle w:val="Emphasis"/>
          <w:highlight w:val="yellow"/>
        </w:rPr>
        <w:t>there</w:t>
      </w:r>
      <w:r w:rsidRPr="009B1B46">
        <w:rPr>
          <w:rStyle w:val="Emphasis"/>
        </w:rPr>
        <w:t xml:space="preserve"> </w:t>
      </w:r>
      <w:r w:rsidRPr="007F4547">
        <w:rPr>
          <w:rStyle w:val="Emphasis"/>
          <w:highlight w:val="yellow"/>
        </w:rPr>
        <w:t>is</w:t>
      </w:r>
      <w:r w:rsidRPr="009B1B46">
        <w:rPr>
          <w:rStyle w:val="Emphasis"/>
        </w:rPr>
        <w:t xml:space="preserve"> </w:t>
      </w:r>
      <w:r w:rsidRPr="007F4547">
        <w:rPr>
          <w:rStyle w:val="Emphasis"/>
          <w:highlight w:val="yellow"/>
        </w:rPr>
        <w:t>one thing that strikes</w:t>
      </w:r>
      <w:r w:rsidRPr="009B1B46">
        <w:rPr>
          <w:rStyle w:val="Emphasis"/>
        </w:rPr>
        <w:t xml:space="preserve"> me </w:t>
      </w:r>
      <w:r w:rsidRPr="007F4547">
        <w:rPr>
          <w:rStyle w:val="Emphasis"/>
          <w:highlight w:val="yellow"/>
        </w:rPr>
        <w:t>more about it</w:t>
      </w:r>
      <w:r w:rsidRPr="009B1B46">
        <w:rPr>
          <w:rStyle w:val="Emphasis"/>
        </w:rPr>
        <w:t xml:space="preserve"> than any other, </w:t>
      </w:r>
      <w:r w:rsidRPr="007F4547">
        <w:rPr>
          <w:rStyle w:val="Emphasis"/>
          <w:highlight w:val="yellow"/>
        </w:rPr>
        <w:t>it is how</w:t>
      </w:r>
      <w:r w:rsidRPr="009B1B46">
        <w:rPr>
          <w:rStyle w:val="Emphasis"/>
        </w:rPr>
        <w:t xml:space="preserve"> thoroughly </w:t>
      </w:r>
      <w:r w:rsidRPr="007F4547">
        <w:rPr>
          <w:rStyle w:val="Emphasis"/>
          <w:highlight w:val="yellow"/>
        </w:rPr>
        <w:t>at home it is in the frameworks of nineteenth century European thought.</w:t>
      </w:r>
      <w:r w:rsidRPr="0053533F">
        <w:rPr>
          <w:sz w:val="16"/>
        </w:rPr>
        <w:t xml:space="preserve"> (One of the symptomatic features of much Afrocentric writing is that the antagonists it identifies are largely dead.) Afrocentrism, in short, seems very much to share the presuppositions of the Victorian ideologies against which it is reacting. Take, for example, the preoccupation with the ancient world. The academic curriculum of the nineteenth century traced Western civilization to roots in ancient Greece, following a history of progress from the excellent beginnings mapped out by the heirs of Homer. Our Afrocentrists have bought into this way of doing cultural history, and have only challenged the priority of the (white) Greeks replacing it with the priority of the (black) Egyptians. There are, of course, genuine issues for discussion here about the relations between different parts of the ancient Mediterranean and the Greek “miracle.” Martin Bernal (not, by my accounts an Afrocentrist, because he doesn’t support the positive agenda of the movement) is a hero for Afrocentrists because he has taken on, in Black Athena, the challenge of refuting the modern view that the Greeks owed nothing of importance to Egypt. So far as I can see, there seems to be a consensus, now, that Bernal convincingly demonstrates the role of prejudice against blacks and Jews in classical scholarship in the Enlightenment and since, while not establishing decisively his own positive account of ancient history. But it is not this perfectly interesting and potentially genteel academic debate that has drawn Bernal to the Afrocentrists’ attention. For their purposes it is essential not only to agree with Bernal’s account of ancient intellectual history but also to insist, in Diop’s words, that “Ancient Egypt was a Negro civilization [and]…the moral fruit of their civilization is to be counted among the assets of the Black world …” And on this matter Bernal has little to say. Fortunately he did not have to argue for this secondary thesis, since it is taken to be implicit in his title. African Athena or Egyptian Athena (titles he himself favored) would have left the racial issue open: Black Athena (the publisher’s idea) does not. </w:t>
      </w:r>
      <w:r w:rsidRPr="007F4547">
        <w:rPr>
          <w:rStyle w:val="StyleUnderline"/>
          <w:highlight w:val="yellow"/>
        </w:rPr>
        <w:t>It is this preoccupation with racial matters that is so much a response to the nineteenth-century framing of the issues.</w:t>
      </w:r>
      <w:r w:rsidRPr="009B1B46">
        <w:rPr>
          <w:rStyle w:val="StyleUnderline"/>
        </w:rPr>
        <w:t xml:space="preserve"> What was added in the nineteenth century to the classicism of the Enlightenment was the thought that the Western heritage was a racial possession. This story neglects not only Egyptian influences on the Greeks but such minor embarrassments as the centrality of Jewish contributions to Western high culture, and the key role of the Arabs in maintaining the intellectual tradition that linked Plato to the Renaissance. And </w:t>
      </w:r>
      <w:r w:rsidRPr="007F4547">
        <w:rPr>
          <w:rStyle w:val="StyleUnderline"/>
          <w:highlight w:val="yellow"/>
        </w:rPr>
        <w:t>it</w:t>
      </w:r>
      <w:r w:rsidRPr="009B1B46">
        <w:rPr>
          <w:rStyle w:val="StyleUnderline"/>
        </w:rPr>
        <w:t xml:space="preserve"> </w:t>
      </w:r>
      <w:r w:rsidRPr="007F4547">
        <w:rPr>
          <w:rStyle w:val="StyleUnderline"/>
          <w:highlight w:val="yellow"/>
        </w:rPr>
        <w:t>depends</w:t>
      </w:r>
      <w:r w:rsidRPr="009B1B46">
        <w:rPr>
          <w:rStyle w:val="StyleUnderline"/>
        </w:rPr>
        <w:t xml:space="preserve"> </w:t>
      </w:r>
      <w:r w:rsidRPr="007F4547">
        <w:rPr>
          <w:rStyle w:val="StyleUnderline"/>
          <w:highlight w:val="yellow"/>
        </w:rPr>
        <w:t>on a way of thinking</w:t>
      </w:r>
      <w:r w:rsidRPr="009B1B46">
        <w:rPr>
          <w:rStyle w:val="StyleUnderline"/>
        </w:rPr>
        <w:t xml:space="preserve"> </w:t>
      </w:r>
      <w:r w:rsidRPr="007F4547">
        <w:rPr>
          <w:rStyle w:val="StyleUnderline"/>
          <w:highlight w:val="yellow"/>
        </w:rPr>
        <w:t>of</w:t>
      </w:r>
      <w:r w:rsidRPr="009B1B46">
        <w:rPr>
          <w:rStyle w:val="StyleUnderline"/>
        </w:rPr>
        <w:t xml:space="preserve"> </w:t>
      </w:r>
      <w:r w:rsidRPr="007F4547">
        <w:rPr>
          <w:rStyle w:val="StyleUnderline"/>
          <w:highlight w:val="yellow"/>
        </w:rPr>
        <w:t>culture</w:t>
      </w:r>
      <w:r w:rsidRPr="009B1B46">
        <w:rPr>
          <w:rStyle w:val="StyleUnderline"/>
        </w:rPr>
        <w:t xml:space="preserve"> </w:t>
      </w:r>
      <w:r w:rsidRPr="007F4547">
        <w:rPr>
          <w:rStyle w:val="StyleUnderline"/>
          <w:highlight w:val="yellow"/>
        </w:rPr>
        <w:t>and</w:t>
      </w:r>
      <w:r w:rsidRPr="009B1B46">
        <w:rPr>
          <w:rStyle w:val="StyleUnderline"/>
        </w:rPr>
        <w:t xml:space="preserve"> </w:t>
      </w:r>
      <w:r w:rsidRPr="007F4547">
        <w:rPr>
          <w:rStyle w:val="StyleUnderline"/>
          <w:highlight w:val="yellow"/>
        </w:rPr>
        <w:t>biology</w:t>
      </w:r>
      <w:r w:rsidRPr="009B1B46">
        <w:rPr>
          <w:rStyle w:val="StyleUnderline"/>
        </w:rPr>
        <w:t xml:space="preserve"> which is bound to be </w:t>
      </w:r>
      <w:r w:rsidRPr="007F4547">
        <w:rPr>
          <w:rStyle w:val="StyleUnderline"/>
          <w:highlight w:val="yellow"/>
        </w:rPr>
        <w:t>discomfited</w:t>
      </w:r>
      <w:r w:rsidRPr="009B1B46">
        <w:rPr>
          <w:rStyle w:val="StyleUnderline"/>
        </w:rPr>
        <w:t xml:space="preserve"> </w:t>
      </w:r>
      <w:r w:rsidRPr="007F4547">
        <w:rPr>
          <w:rStyle w:val="StyleUnderline"/>
          <w:highlight w:val="yellow"/>
        </w:rPr>
        <w:t>by</w:t>
      </w:r>
      <w:r w:rsidRPr="009B1B46">
        <w:rPr>
          <w:rStyle w:val="StyleUnderline"/>
        </w:rPr>
        <w:t xml:space="preserve"> </w:t>
      </w:r>
      <w:r w:rsidRPr="007F4547">
        <w:rPr>
          <w:rStyle w:val="StyleUnderline"/>
          <w:highlight w:val="yellow"/>
        </w:rPr>
        <w:t>those</w:t>
      </w:r>
      <w:r w:rsidRPr="009B1B46">
        <w:rPr>
          <w:rStyle w:val="StyleUnderline"/>
        </w:rPr>
        <w:t xml:space="preserve"> </w:t>
      </w:r>
      <w:r w:rsidRPr="007F4547">
        <w:rPr>
          <w:rStyle w:val="StyleUnderline"/>
          <w:highlight w:val="yellow"/>
        </w:rPr>
        <w:t>scholars</w:t>
      </w:r>
      <w:r w:rsidRPr="009B1B46">
        <w:rPr>
          <w:rStyle w:val="StyleUnderline"/>
        </w:rPr>
        <w:t xml:space="preserve">, black, brown, and yellow, who have taken possession of </w:t>
      </w:r>
      <w:r w:rsidRPr="007F4547">
        <w:rPr>
          <w:rStyle w:val="StyleUnderline"/>
          <w:highlight w:val="yellow"/>
        </w:rPr>
        <w:t>Western culture</w:t>
      </w:r>
      <w:r w:rsidRPr="009B1B46">
        <w:rPr>
          <w:rStyle w:val="StyleUnderline"/>
        </w:rPr>
        <w:t xml:space="preserve"> in the twentieth century </w:t>
      </w:r>
      <w:r w:rsidRPr="007F4547">
        <w:rPr>
          <w:rStyle w:val="StyleUnderline"/>
          <w:highlight w:val="yellow"/>
        </w:rPr>
        <w:t>and mastered it,</w:t>
      </w:r>
      <w:r w:rsidRPr="009B1B46">
        <w:rPr>
          <w:rStyle w:val="StyleUnderline"/>
        </w:rPr>
        <w:t xml:space="preserve"> at the very same time as many of the supposed racial heirs of the West have been immersed in a popular culture “contaminated” with African rhythms. But in our day racialism surely does not need arguing against in serious company. Do we not all know that there is biology and there is culture; that their interconnections and interdependencies are complex; that the old simplicities of racialism have not stood the test of exposure to the evidence? Perhaps. But, then again, perhaps not. After all, the </w:t>
      </w:r>
      <w:r w:rsidRPr="007F4547">
        <w:rPr>
          <w:rStyle w:val="StyleUnderline"/>
          <w:highlight w:val="yellow"/>
        </w:rPr>
        <w:t>Afrocentrist</w:t>
      </w:r>
      <w:r w:rsidRPr="009B1B46">
        <w:rPr>
          <w:rStyle w:val="StyleUnderline"/>
        </w:rPr>
        <w:t xml:space="preserve"> </w:t>
      </w:r>
      <w:r w:rsidRPr="007F4547">
        <w:rPr>
          <w:rStyle w:val="StyleUnderline"/>
          <w:highlight w:val="yellow"/>
        </w:rPr>
        <w:t>interest</w:t>
      </w:r>
      <w:r w:rsidRPr="009B1B46">
        <w:rPr>
          <w:rStyle w:val="StyleUnderline"/>
        </w:rPr>
        <w:t xml:space="preserve"> in the color of the ancient Egyptians presumably </w:t>
      </w:r>
      <w:r w:rsidRPr="007F4547">
        <w:rPr>
          <w:rStyle w:val="StyleUnderline"/>
          <w:highlight w:val="yellow"/>
        </w:rPr>
        <w:t>derives</w:t>
      </w:r>
      <w:r w:rsidRPr="009B1B46">
        <w:rPr>
          <w:rStyle w:val="StyleUnderline"/>
        </w:rPr>
        <w:t xml:space="preserve"> </w:t>
      </w:r>
      <w:r w:rsidRPr="007F4547">
        <w:rPr>
          <w:rStyle w:val="StyleUnderline"/>
          <w:highlight w:val="yellow"/>
        </w:rPr>
        <w:t>from</w:t>
      </w:r>
      <w:r w:rsidRPr="009B1B46">
        <w:rPr>
          <w:rStyle w:val="StyleUnderline"/>
        </w:rPr>
        <w:t xml:space="preserve"> </w:t>
      </w:r>
      <w:r w:rsidRPr="007F4547">
        <w:rPr>
          <w:rStyle w:val="StyleUnderline"/>
          <w:highlight w:val="yellow"/>
        </w:rPr>
        <w:t>the</w:t>
      </w:r>
      <w:r w:rsidRPr="009B1B46">
        <w:rPr>
          <w:rStyle w:val="StyleUnderline"/>
        </w:rPr>
        <w:t xml:space="preserve"> </w:t>
      </w:r>
      <w:r w:rsidRPr="007F4547">
        <w:rPr>
          <w:rStyle w:val="StyleUnderline"/>
          <w:highlight w:val="yellow"/>
        </w:rPr>
        <w:t>thought</w:t>
      </w:r>
      <w:r w:rsidRPr="009B1B46">
        <w:rPr>
          <w:rStyle w:val="StyleUnderline"/>
        </w:rPr>
        <w:t xml:space="preserve"> </w:t>
      </w:r>
      <w:r w:rsidRPr="007F4547">
        <w:rPr>
          <w:rStyle w:val="StyleUnderline"/>
          <w:highlight w:val="yellow"/>
        </w:rPr>
        <w:t>that</w:t>
      </w:r>
      <w:r w:rsidRPr="009B1B46">
        <w:rPr>
          <w:rStyle w:val="StyleUnderline"/>
        </w:rPr>
        <w:t xml:space="preserve"> if they were black then </w:t>
      </w:r>
      <w:r w:rsidRPr="007F4547">
        <w:rPr>
          <w:rStyle w:val="StyleUnderline"/>
          <w:highlight w:val="yellow"/>
        </w:rPr>
        <w:t>they were of the same race as contemporary black Africans</w:t>
      </w:r>
      <w:r w:rsidRPr="009B1B46">
        <w:rPr>
          <w:rStyle w:val="StyleUnderline"/>
        </w:rPr>
        <w:t xml:space="preserve"> and their New World cousins. (It is, indeed, a standard feature of Afrocentric argument to go through a series of claims about the physical anthropological evidence for the priority in various domains of the African.) </w:t>
      </w:r>
      <w:r w:rsidRPr="007F4547">
        <w:rPr>
          <w:rStyle w:val="StyleUnderline"/>
          <w:highlight w:val="yellow"/>
        </w:rPr>
        <w:t>And why, if you do not conflate biology and culture, should that matter?</w:t>
      </w:r>
      <w:r w:rsidRPr="0053533F">
        <w:rPr>
          <w:sz w:val="16"/>
        </w:rPr>
        <w:t xml:space="preserve"> It is hard to find in the Afrocentrist literature a clearer answer to this question than the passage from Diop I quoted earlier. Racial identity with the Egyptians makes their achievements one of the moral assets of contemporary blacks. (Of course, if Greece grew out of Egypt and “the West” grew out of Greece, then the West is one of the moral assets of contemporary blacks: and its legacy of ethnocentrism is presumably one of our moral liabilities. But I digress.) </w:t>
      </w:r>
      <w:r w:rsidRPr="009B1B46">
        <w:rPr>
          <w:rStyle w:val="Emphasis"/>
        </w:rPr>
        <w:t xml:space="preserve">Perhaps </w:t>
      </w:r>
      <w:r w:rsidRPr="007F4547">
        <w:rPr>
          <w:rStyle w:val="Emphasis"/>
          <w:highlight w:val="yellow"/>
        </w:rPr>
        <w:t>this is why Black Athena and African Origins of Civilization–</w:t>
      </w:r>
      <w:r w:rsidRPr="009B1B46">
        <w:rPr>
          <w:rStyle w:val="Emphasis"/>
        </w:rPr>
        <w:t xml:space="preserve">which contain translated selections from Diop’s Anteriorite des civilisations negres–sell so well on the streets of Harlem. And if it is, this </w:t>
      </w:r>
      <w:r w:rsidRPr="007F4547">
        <w:rPr>
          <w:rStyle w:val="Emphasis"/>
          <w:highlight w:val="yellow"/>
        </w:rPr>
        <w:t>is a reason that would have been entirely congenial to the nineteenth century Eurocentrists whom Afrocentricity aims to refute</w:t>
      </w:r>
      <w:r w:rsidRPr="0053533F">
        <w:rPr>
          <w:sz w:val="16"/>
        </w:rPr>
        <w:t xml:space="preserve">. </w:t>
      </w:r>
      <w:r w:rsidRPr="009B1B46">
        <w:rPr>
          <w:rStyle w:val="Emphasis"/>
        </w:rPr>
        <w:t xml:space="preserve">Once we see the essentially reactive structure of Afrocentrism–it is, to borrow Marx’s account of his relation to Hegel, </w:t>
      </w:r>
      <w:r w:rsidRPr="007F4547">
        <w:rPr>
          <w:rStyle w:val="Emphasis"/>
          <w:highlight w:val="yellow"/>
        </w:rPr>
        <w:t>simply Eurocentrism turned upside down–we can understand where its intellectual weaknesses will lie.</w:t>
      </w:r>
      <w:r w:rsidRPr="009B1B46">
        <w:rPr>
          <w:rStyle w:val="Emphasis"/>
        </w:rPr>
        <w:t xml:space="preserve"> It is not surprising, for example, that in </w:t>
      </w:r>
      <w:r w:rsidRPr="007F4547">
        <w:rPr>
          <w:rStyle w:val="Emphasis"/>
          <w:highlight w:val="yellow"/>
        </w:rPr>
        <w:t>choosing to talk about Egypt and to ignore the rest of Africa and African history, Afrocentrism shares the European prejudice</w:t>
      </w:r>
      <w:r w:rsidRPr="009B1B46">
        <w:rPr>
          <w:rStyle w:val="Emphasis"/>
        </w:rPr>
        <w:t xml:space="preserve"> against cultures without writing. </w:t>
      </w:r>
      <w:r w:rsidRPr="007F4547">
        <w:rPr>
          <w:rStyle w:val="Emphasis"/>
          <w:highlight w:val="yellow"/>
        </w:rPr>
        <w:t>Eurocentrism,</w:t>
      </w:r>
      <w:r w:rsidRPr="009B1B46">
        <w:rPr>
          <w:rStyle w:val="Emphasis"/>
        </w:rPr>
        <w:t xml:space="preserve"> finding a literate culture and significant architecture, set about claiming that Egypt could not be black. Afrocentrism chooses Egypt because Eurocentrism had already made a claim on it.</w:t>
      </w:r>
      <w:r w:rsidRPr="0053533F">
        <w:rPr>
          <w:sz w:val="16"/>
        </w:rPr>
        <w:t xml:space="preserve"> Similarly, we shall not be surprised at what is one of the most tiresome features of Afrocentrism, namely its persistence in what the Beninois philosopher (and current Minister of Culture) Paulin Hountondji has called “unanimism:” the view that there is an African culture to which to appeal. </w:t>
      </w:r>
      <w:r w:rsidRPr="009B1B46">
        <w:rPr>
          <w:rStyle w:val="StyleUnderline"/>
        </w:rPr>
        <w:t>It is surely prima facie preposterous to suppose that there is an African culture, shared by everyone from the civilizations of the upper Nile thousands of years ago to the thousand or so language-zones of contemporary Africa. Here too, in aiming to identify some common core of African civilization, the Afrocentrists seem to be responding to earlier attempts to identify a common core of Western culture.</w:t>
      </w:r>
      <w:r w:rsidRPr="0053533F">
        <w:rPr>
          <w:sz w:val="16"/>
        </w:rPr>
        <w:t xml:space="preserve"> Wandering, as I have, from Venice to Venice Beach, California, or from York to New York, one can be forgiven for wondering how unitary the West really is today. But it was always a strange idea that Alexander and Alfred and Frederick the Greats had something deeply in common with each other and with the least of their subjects which could be called Western culture. </w:t>
      </w:r>
      <w:r w:rsidRPr="0053533F">
        <w:rPr>
          <w:rStyle w:val="StyleUnderline"/>
        </w:rPr>
        <w:t>And in Africa, where whatever continuity there has been through all this time, has not been mediated by even the sort of broken textual tradition that in some sense unites something called Western culture, it is not only a strange idea but a silly one. A final irony is worth pointing out: Afrocentrism, which is offered in the name of black solidarity, has, by and large, entirely ignored the work of African scholars other than Diop</w:t>
      </w:r>
      <w:r w:rsidRPr="0053533F">
        <w:rPr>
          <w:sz w:val="16"/>
        </w:rPr>
        <w:t>. (This fact tends to be concealed because African-American scholars like Asante and Karenga have adopted African names.) Thus, much play has been given to another major source book for the Afrocentric, Jahnheinz Jahn’s Muntu: African Cultures and the Western World, a work that first appeared in the United States with great eclat in the early 1960s. The book revolves around the concept of NTU. (This is the stem of the Kinyaruanda-Bantu words “Muntu” (Person), “Kintu” (thing), “Hantu” (place and time) and “Kuntu”(modality) and it is a morpheme that does not occur unprefixed in Kinyaruanda.) “NTU,” Jahn wrote with the gravitas of revelation, “is the universal force as such.”</w:t>
      </w:r>
    </w:p>
    <w:p w14:paraId="4AF9A9FE" w14:textId="77777777" w:rsidR="007F4547" w:rsidRDefault="00866913" w:rsidP="007F4547">
      <w:pPr>
        <w:pStyle w:val="Heading4"/>
      </w:pPr>
      <w:r>
        <w:t xml:space="preserve">2. </w:t>
      </w:r>
      <w:r w:rsidR="007F4547">
        <w:t>Assumptions about erasing Eurocentric science and types of standardized testing in the way of the affirmative cement in deeper dichotomies and ignore important sociological breakthroughs</w:t>
      </w:r>
    </w:p>
    <w:p w14:paraId="66FB649D" w14:textId="77777777" w:rsidR="007F4547" w:rsidRPr="006C190F" w:rsidRDefault="007F4547" w:rsidP="007F4547">
      <w:pPr>
        <w:rPr>
          <w:rStyle w:val="Style13ptBold"/>
          <w:b w:val="0"/>
        </w:rPr>
      </w:pPr>
      <w:r>
        <w:rPr>
          <w:rStyle w:val="Style13ptBold"/>
        </w:rPr>
        <w:t xml:space="preserve">Michaelsen &amp; Shershow 7 </w:t>
      </w:r>
      <w:r>
        <w:rPr>
          <w:rStyle w:val="Style13ptBold"/>
          <w:b w:val="0"/>
        </w:rPr>
        <w:t>(</w:t>
      </w:r>
      <w:r w:rsidRPr="006C190F">
        <w:rPr>
          <w:rStyle w:val="Style13ptBold"/>
          <w:b w:val="0"/>
        </w:rPr>
        <w:t>Scott Michaelsen</w:t>
      </w:r>
      <w:r>
        <w:rPr>
          <w:rStyle w:val="Style13ptBold"/>
          <w:b w:val="0"/>
        </w:rPr>
        <w:t xml:space="preserve"> </w:t>
      </w:r>
      <w:r w:rsidRPr="00FD3C1A">
        <w:rPr>
          <w:rStyle w:val="Style13ptBold"/>
          <w:b w:val="0"/>
        </w:rPr>
        <w:t>teaches in a number of different areas, including American literature, the literatures of the Americas, popular culture (science fiction, for example), and philosophy and theory in its relation to literature and society.</w:t>
      </w:r>
      <w:r>
        <w:rPr>
          <w:rStyle w:val="Style13ptBold"/>
          <w:b w:val="0"/>
        </w:rPr>
        <w:t xml:space="preserve"> </w:t>
      </w:r>
      <w:r w:rsidRPr="006C190F">
        <w:rPr>
          <w:rStyle w:val="Style13ptBold"/>
          <w:b w:val="0"/>
        </w:rPr>
        <w:t>Scott Cutler Shershow</w:t>
      </w:r>
      <w:r>
        <w:rPr>
          <w:rStyle w:val="Style13ptBold"/>
          <w:b w:val="0"/>
        </w:rPr>
        <w:t xml:space="preserve">, </w:t>
      </w:r>
      <w:r w:rsidRPr="0052762F">
        <w:rPr>
          <w:rStyle w:val="Style13ptBold"/>
          <w:b w:val="0"/>
        </w:rPr>
        <w:t>is Professor of English at the University of California, Davis.  He is the author, most recently, of Bread, from Bloomsbury’s “Object Lessons” series.</w:t>
      </w:r>
      <w:r>
        <w:rPr>
          <w:rStyle w:val="Style13ptBold"/>
          <w:b w:val="0"/>
        </w:rPr>
        <w:t xml:space="preserve"> “</w:t>
      </w:r>
      <w:r w:rsidRPr="007761E8">
        <w:rPr>
          <w:rStyle w:val="Style13ptBold"/>
          <w:b w:val="0"/>
        </w:rPr>
        <w:t>Rethinking Border Thinking</w:t>
      </w:r>
      <w:r>
        <w:rPr>
          <w:rStyle w:val="Style13ptBold"/>
          <w:b w:val="0"/>
        </w:rPr>
        <w:t>”, pp. 44-</w:t>
      </w:r>
      <w:proofErr w:type="gramStart"/>
      <w:r>
        <w:rPr>
          <w:rStyle w:val="Style13ptBold"/>
          <w:b w:val="0"/>
        </w:rPr>
        <w:t>48 )</w:t>
      </w:r>
      <w:proofErr w:type="gramEnd"/>
      <w:r>
        <w:rPr>
          <w:rStyle w:val="Style13ptBold"/>
          <w:b w:val="0"/>
        </w:rPr>
        <w:t xml:space="preserve"> TSB</w:t>
      </w:r>
    </w:p>
    <w:p w14:paraId="554FD817" w14:textId="77777777" w:rsidR="007F4547" w:rsidRDefault="007F4547" w:rsidP="007F4547">
      <w:pPr>
        <w:rPr>
          <w:rStyle w:val="StyleUnderline"/>
        </w:rPr>
      </w:pPr>
      <w:r w:rsidRPr="006C190F">
        <w:t xml:space="preserve">As Derrida famously suggests, </w:t>
      </w:r>
      <w:r w:rsidRPr="007761E8">
        <w:rPr>
          <w:rStyle w:val="StyleUnderline"/>
        </w:rPr>
        <w:t xml:space="preserve">the European ten- dency to privilege speech over writing manifests a nostalgia for an imagined self-presence of the voice that writing dilutes or contaminates. At best, therefore, Mignolo’s third claim merely restates one more time that Amer-indian and European signifying practices are fundamentally di erent: in this case, because </w:t>
      </w:r>
      <w:r w:rsidRPr="007E4A0F">
        <w:rPr>
          <w:rStyle w:val="StyleUnderline"/>
          <w:highlight w:val="yellow"/>
        </w:rPr>
        <w:t>Amerindian signification is said to be somehow wild and natural</w:t>
      </w:r>
      <w:r w:rsidRPr="007761E8">
        <w:rPr>
          <w:rStyle w:val="StyleUnderline"/>
        </w:rPr>
        <w:t xml:space="preserve">—still in need of “taming”—while European signi cation is said to be somehow domesticated. </w:t>
      </w:r>
      <w:r w:rsidRPr="007761E8">
        <w:rPr>
          <w:rStyle w:val="StyleUnderline"/>
          <w:b/>
        </w:rPr>
        <w:t xml:space="preserve">At worst, however, </w:t>
      </w:r>
      <w:r w:rsidRPr="007E4A0F">
        <w:rPr>
          <w:rStyle w:val="StyleUnderline"/>
          <w:b/>
          <w:highlight w:val="yellow"/>
        </w:rPr>
        <w:t>one must suspect that Mignolo’s claim itself</w:t>
      </w:r>
      <w:r w:rsidRPr="007761E8">
        <w:rPr>
          <w:rStyle w:val="StyleUnderline"/>
          <w:b/>
        </w:rPr>
        <w:t xml:space="preserve"> </w:t>
      </w:r>
      <w:r w:rsidRPr="007E4A0F">
        <w:rPr>
          <w:rStyle w:val="StyleUnderline"/>
          <w:b/>
          <w:highlight w:val="yellow"/>
        </w:rPr>
        <w:t>springs</w:t>
      </w:r>
      <w:r w:rsidRPr="007761E8">
        <w:rPr>
          <w:rStyle w:val="StyleUnderline"/>
          <w:b/>
        </w:rPr>
        <w:t xml:space="preserve"> </w:t>
      </w:r>
      <w:r w:rsidRPr="007E4A0F">
        <w:rPr>
          <w:rStyle w:val="StyleUnderline"/>
          <w:b/>
          <w:highlight w:val="yellow"/>
        </w:rPr>
        <w:t>from</w:t>
      </w:r>
      <w:r w:rsidRPr="007761E8">
        <w:rPr>
          <w:rStyle w:val="StyleUnderline"/>
          <w:b/>
        </w:rPr>
        <w:t xml:space="preserve"> a kind of </w:t>
      </w:r>
      <w:r w:rsidRPr="007E4A0F">
        <w:rPr>
          <w:rStyle w:val="StyleUnderline"/>
          <w:b/>
          <w:highlight w:val="yellow"/>
        </w:rPr>
        <w:t>nostalgia</w:t>
      </w:r>
      <w:r w:rsidRPr="007761E8">
        <w:rPr>
          <w:rStyle w:val="StyleUnderline"/>
          <w:b/>
        </w:rPr>
        <w:t xml:space="preserve"> </w:t>
      </w:r>
      <w:r w:rsidRPr="007E4A0F">
        <w:rPr>
          <w:rStyle w:val="StyleUnderline"/>
          <w:b/>
          <w:highlight w:val="yellow"/>
        </w:rPr>
        <w:t>for</w:t>
      </w:r>
      <w:r w:rsidRPr="007761E8">
        <w:rPr>
          <w:rStyle w:val="StyleUnderline"/>
          <w:b/>
        </w:rPr>
        <w:t xml:space="preserve"> some </w:t>
      </w:r>
      <w:r w:rsidRPr="007E4A0F">
        <w:rPr>
          <w:rStyle w:val="StyleUnderline"/>
          <w:b/>
          <w:highlight w:val="yellow"/>
        </w:rPr>
        <w:t>unadul</w:t>
      </w:r>
      <w:r w:rsidRPr="007761E8">
        <w:rPr>
          <w:rStyle w:val="StyleUnderline"/>
          <w:b/>
        </w:rPr>
        <w:t xml:space="preserve">- </w:t>
      </w:r>
      <w:r w:rsidRPr="007E4A0F">
        <w:rPr>
          <w:rStyle w:val="StyleUnderline"/>
          <w:b/>
          <w:highlight w:val="yellow"/>
        </w:rPr>
        <w:t>terated</w:t>
      </w:r>
      <w:r w:rsidRPr="007761E8">
        <w:rPr>
          <w:rStyle w:val="StyleUnderline"/>
          <w:b/>
        </w:rPr>
        <w:t xml:space="preserve"> </w:t>
      </w:r>
      <w:r w:rsidRPr="007E4A0F">
        <w:rPr>
          <w:rStyle w:val="StyleUnderline"/>
          <w:b/>
          <w:highlight w:val="yellow"/>
        </w:rPr>
        <w:t>Amerindian</w:t>
      </w:r>
      <w:r w:rsidRPr="007761E8">
        <w:rPr>
          <w:rStyle w:val="StyleUnderline"/>
          <w:b/>
        </w:rPr>
        <w:t xml:space="preserve"> “</w:t>
      </w:r>
      <w:r w:rsidRPr="007E4A0F">
        <w:rPr>
          <w:rStyle w:val="StyleUnderline"/>
          <w:b/>
          <w:highlight w:val="yellow"/>
        </w:rPr>
        <w:t>voice</w:t>
      </w:r>
      <w:r w:rsidRPr="007761E8">
        <w:rPr>
          <w:rStyle w:val="StyleUnderline"/>
          <w:b/>
        </w:rPr>
        <w:t>” imagined as not yet disturbed in the plenitude of its self-presence and self-possession</w:t>
      </w:r>
      <w:r>
        <w:t xml:space="preserve">. As we have observed, this whole elaborate theoretical machinery de- pends on a single fundamental claim: that Amerindian systems of signi- cation were so distinctively di erent as to escape the problems Derrida described under the term logocentrism. </w:t>
      </w:r>
      <w:r w:rsidRPr="007761E8">
        <w:rPr>
          <w:rStyle w:val="StyleUnderline"/>
        </w:rPr>
        <w:t xml:space="preserve">Even on the surface of it, </w:t>
      </w:r>
      <w:r w:rsidRPr="007E4A0F">
        <w:rPr>
          <w:rStyle w:val="StyleUnderline"/>
          <w:highlight w:val="yellow"/>
        </w:rPr>
        <w:t>such a claim is founded in a contradiction so simple and obvious as to have eluded Mignolo himself.</w:t>
      </w:r>
      <w:r w:rsidRPr="007761E8">
        <w:rPr>
          <w:rStyle w:val="StyleUnderline"/>
        </w:rPr>
        <w:t xml:space="preserve"> On the one hand, Mignolo argues above all that these colonial subjects, who were declared to be a people “without writing” by their colonial conquerors (because they appeared to lack systems of pho- netic or alphabetic inscription) in fact do possess a variety of practices that can meaningfully be called “writing.” In this sense, the Amerindians were culturally the same as their conquerors: </w:t>
      </w:r>
      <w:r w:rsidRPr="007E4A0F">
        <w:rPr>
          <w:rStyle w:val="StyleUnderline"/>
          <w:highlight w:val="yellow"/>
        </w:rPr>
        <w:t>their signifying systems were in no sense “primitive” and should not be understood as merely the earlier stages of some alleged progression toward alphabetic writing.</w:t>
      </w:r>
      <w:r w:rsidRPr="007761E8">
        <w:rPr>
          <w:rStyle w:val="StyleUnderline"/>
        </w:rPr>
        <w:t xml:space="preserve"> On the other hand, Mignolo also argues that Amerindian signifying practices were in fact dis- tinctively di erent from European ones, for their “writing” was neither a phonetic representation of speech nor understood as a privileged realm of memory and authority in the Western manner. </w:t>
      </w:r>
      <w:r w:rsidRPr="007E4A0F">
        <w:rPr>
          <w:rStyle w:val="StyleUnderline"/>
          <w:highlight w:val="yellow"/>
        </w:rPr>
        <w:t>Mignolo is thus trying, as it were, to have his di erence and deny it too. He insists that Amerindians did have writing,</w:t>
      </w:r>
      <w:r w:rsidRPr="007761E8">
        <w:rPr>
          <w:rStyle w:val="StyleUnderline"/>
        </w:rPr>
        <w:t xml:space="preserve"> yet imagines the writing they</w:t>
      </w:r>
      <w:r>
        <w:t xml:space="preserve"> </w:t>
      </w:r>
      <w:r w:rsidRPr="007761E8">
        <w:rPr>
          <w:rStyle w:val="StyleUnderline"/>
        </w:rPr>
        <w:t>had as one that escapes all of writing’s problems and that exists in the form of an untamed “voice” not yet contaminated by the letter</w:t>
      </w:r>
      <w:r>
        <w:t xml:space="preserve">. The rst half of this self-contradictory argument also merely echoes a traditional anthropological critique of “evolutionary” Eurocentric con- ceptions of culture. True enough, both the Renaissance colonialists and humanists whom Mignolo discusses, and later thinkers such as Rousseau and Hegel, always assume that alphabetic writing is the inevitable telos of human cultural progress. The other contributors to Writing without Words frequently join Mignolo (and Derrida) in rightly critiquing such assump- tions. For example, Elizabeth Hill Boone, the coeditor of the volume, deplores how “the denial of pictographic writing systems as ‘real writing’ has generally been accompanied by an insidious pejorative tone.”8 Boone, however, enlists Derrida’s critique of logocentrism as an ally in reclaiming the pictographic systems of pre-Columbian as legitimate forms of “writ- ing.” What Boone calls the “semasiographic” writing systems of Meso- america do not primarily rely on a phonetic representation of speech and are “characterized by a high proportion of visual description,” but never- theless, “like other iconic systems they also use some arbitrary conven- tions,” and “phonetic elements may be present—especially in personal names and place names” (18). As Derrida himself always argues, </w:t>
      </w:r>
      <w:r w:rsidRPr="007761E8">
        <w:rPr>
          <w:rStyle w:val="StyleUnderline"/>
        </w:rPr>
        <w:t>no system of writing is either purely phonetic or purely pictographic; and “‘pho- netic’ and ‘nonphonetic’ are . . . never pure qualities of certain systems of writing, they are the abstract characteristics of typical elements, more or less numerous and dominant within all systems of signi cation in general” (Grammatology, 89). No departure from Derrida is therefore necessary to join Mignolo and his collaborators in this volume in simply concluding that, during the period of colonization</w:t>
      </w:r>
      <w:r w:rsidRPr="007761E8">
        <w:rPr>
          <w:rStyle w:val="Emphasis"/>
        </w:rPr>
        <w:t>, “</w:t>
      </w:r>
      <w:r w:rsidRPr="007E4A0F">
        <w:rPr>
          <w:rStyle w:val="Emphasis"/>
          <w:highlight w:val="yellow"/>
        </w:rPr>
        <w:t>the materiality and the ideology of Amerindian semiotic interactions were intermingled with or replaced by the materiality and ideology of Western reading and writing cultures”</w:t>
      </w:r>
      <w:r w:rsidRPr="007E4A0F">
        <w:rPr>
          <w:highlight w:val="yellow"/>
        </w:rPr>
        <w:t xml:space="preserve"> (</w:t>
      </w:r>
      <w:r>
        <w:t xml:space="preserve">Darker, 76) and that, in other words, European colonialists misinterpreted Amerindian practices in the light of their own cultural presuppositions, and imposed Western conceptions of writing on colonial subjects as part of a broader process of cultural and political subjugation. But </w:t>
      </w:r>
      <w:r w:rsidRPr="007761E8">
        <w:rPr>
          <w:rStyle w:val="StyleUnderline"/>
        </w:rPr>
        <w:t xml:space="preserve">the second half of Mignolo’s self-contradictory double claim—that Amerindian systems of signi cation escape the problems of logocen- trism—by no means follows from this conclusion. Consider, for example, how Boone suggests that one advantage of semasiographic systems is that “Aztec (Nahuatl-speaking) scribes from Central Mexico could . . . read the Mixtec histories of southern Oaxaca, giving them voice in their own lan- guage” </w:t>
      </w:r>
      <w:r>
        <w:t xml:space="preserve">(19). And she concludes: </w:t>
      </w:r>
      <w:r w:rsidRPr="007E4A0F">
        <w:rPr>
          <w:rStyle w:val="Emphasis"/>
          <w:highlight w:val="yellow"/>
        </w:rPr>
        <w:t>One</w:t>
      </w:r>
      <w:r w:rsidRPr="007761E8">
        <w:rPr>
          <w:rStyle w:val="Emphasis"/>
        </w:rPr>
        <w:t xml:space="preserve"> </w:t>
      </w:r>
      <w:r w:rsidRPr="007E4A0F">
        <w:rPr>
          <w:rStyle w:val="Emphasis"/>
          <w:highlight w:val="yellow"/>
        </w:rPr>
        <w:t>thing</w:t>
      </w:r>
      <w:r w:rsidRPr="007761E8">
        <w:rPr>
          <w:rStyle w:val="Emphasis"/>
        </w:rPr>
        <w:t xml:space="preserve"> </w:t>
      </w:r>
      <w:r w:rsidRPr="007E4A0F">
        <w:rPr>
          <w:rStyle w:val="Emphasis"/>
          <w:highlight w:val="yellow"/>
        </w:rPr>
        <w:t>shared</w:t>
      </w:r>
      <w:r w:rsidRPr="007761E8">
        <w:rPr>
          <w:rStyle w:val="Emphasis"/>
        </w:rPr>
        <w:t xml:space="preserve"> </w:t>
      </w:r>
      <w:r w:rsidRPr="007E4A0F">
        <w:rPr>
          <w:rStyle w:val="Emphasis"/>
          <w:highlight w:val="yellow"/>
        </w:rPr>
        <w:t>by</w:t>
      </w:r>
      <w:r w:rsidRPr="007761E8">
        <w:rPr>
          <w:rStyle w:val="Emphasis"/>
        </w:rPr>
        <w:t xml:space="preserve"> all </w:t>
      </w:r>
      <w:r w:rsidRPr="007E4A0F">
        <w:rPr>
          <w:rStyle w:val="Emphasis"/>
          <w:highlight w:val="yellow"/>
        </w:rPr>
        <w:t>these</w:t>
      </w:r>
      <w:r w:rsidRPr="007761E8">
        <w:rPr>
          <w:rStyle w:val="Emphasis"/>
        </w:rPr>
        <w:t xml:space="preserve"> </w:t>
      </w:r>
      <w:r w:rsidRPr="007E4A0F">
        <w:rPr>
          <w:rStyle w:val="Emphasis"/>
          <w:highlight w:val="yellow"/>
        </w:rPr>
        <w:t>indigenous</w:t>
      </w:r>
      <w:r w:rsidRPr="007761E8">
        <w:rPr>
          <w:rStyle w:val="Emphasis"/>
        </w:rPr>
        <w:t xml:space="preserve"> New World </w:t>
      </w:r>
      <w:r w:rsidRPr="007E4A0F">
        <w:rPr>
          <w:rStyle w:val="Emphasis"/>
          <w:highlight w:val="yellow"/>
        </w:rPr>
        <w:t>systems</w:t>
      </w:r>
      <w:r w:rsidRPr="007761E8">
        <w:rPr>
          <w:rStyle w:val="Emphasis"/>
        </w:rPr>
        <w:t xml:space="preserve"> </w:t>
      </w:r>
      <w:r w:rsidRPr="007E4A0F">
        <w:rPr>
          <w:rStyle w:val="Emphasis"/>
          <w:highlight w:val="yellow"/>
        </w:rPr>
        <w:t>is</w:t>
      </w:r>
      <w:r w:rsidRPr="007761E8">
        <w:rPr>
          <w:rStyle w:val="Emphasis"/>
        </w:rPr>
        <w:t xml:space="preserve"> that </w:t>
      </w:r>
      <w:r w:rsidRPr="007E4A0F">
        <w:rPr>
          <w:rStyle w:val="Emphasis"/>
          <w:highlight w:val="yellow"/>
        </w:rPr>
        <w:t>they</w:t>
      </w:r>
      <w:r w:rsidRPr="007761E8">
        <w:rPr>
          <w:rStyle w:val="Emphasis"/>
        </w:rPr>
        <w:t xml:space="preserve"> </w:t>
      </w:r>
      <w:r w:rsidRPr="007E4A0F">
        <w:rPr>
          <w:rStyle w:val="Emphasis"/>
          <w:highlight w:val="yellow"/>
        </w:rPr>
        <w:t>give</w:t>
      </w:r>
      <w:r w:rsidRPr="007761E8">
        <w:rPr>
          <w:rStyle w:val="Emphasis"/>
        </w:rPr>
        <w:t xml:space="preserve"> </w:t>
      </w:r>
      <w:r w:rsidRPr="007E4A0F">
        <w:rPr>
          <w:rStyle w:val="Emphasis"/>
          <w:highlight w:val="yellow"/>
        </w:rPr>
        <w:t>accountability</w:t>
      </w:r>
      <w:r w:rsidRPr="007761E8">
        <w:rPr>
          <w:rStyle w:val="Emphasis"/>
        </w:rPr>
        <w:t xml:space="preserve">. Because </w:t>
      </w:r>
      <w:r w:rsidRPr="007E4A0F">
        <w:rPr>
          <w:rStyle w:val="Emphasis"/>
          <w:highlight w:val="yellow"/>
        </w:rPr>
        <w:t>they</w:t>
      </w:r>
      <w:r w:rsidRPr="007761E8">
        <w:rPr>
          <w:rStyle w:val="Emphasis"/>
        </w:rPr>
        <w:t xml:space="preserve"> </w:t>
      </w:r>
      <w:r w:rsidRPr="007E4A0F">
        <w:rPr>
          <w:rStyle w:val="Emphasis"/>
          <w:highlight w:val="yellow"/>
        </w:rPr>
        <w:t>are</w:t>
      </w:r>
      <w:r w:rsidRPr="007761E8">
        <w:rPr>
          <w:rStyle w:val="Emphasis"/>
        </w:rPr>
        <w:t xml:space="preserve"> </w:t>
      </w:r>
      <w:r w:rsidRPr="007E4A0F">
        <w:rPr>
          <w:rStyle w:val="Emphasis"/>
          <w:highlight w:val="yellow"/>
        </w:rPr>
        <w:t>permanent</w:t>
      </w:r>
      <w:r w:rsidRPr="007761E8">
        <w:rPr>
          <w:rStyle w:val="Emphasis"/>
        </w:rPr>
        <w:t xml:space="preserve">, or relatively so, </w:t>
      </w:r>
      <w:r w:rsidRPr="007E4A0F">
        <w:rPr>
          <w:rStyle w:val="Emphasis"/>
          <w:highlight w:val="yellow"/>
        </w:rPr>
        <w:t>they</w:t>
      </w:r>
      <w:r w:rsidRPr="007761E8">
        <w:rPr>
          <w:rStyle w:val="Emphasis"/>
        </w:rPr>
        <w:t xml:space="preserve"> </w:t>
      </w:r>
      <w:r w:rsidRPr="007E4A0F">
        <w:rPr>
          <w:rStyle w:val="Emphasis"/>
          <w:highlight w:val="yellow"/>
        </w:rPr>
        <w:t>functioned for their</w:t>
      </w:r>
      <w:r w:rsidRPr="007761E8">
        <w:rPr>
          <w:rStyle w:val="Emphasis"/>
        </w:rPr>
        <w:t xml:space="preserve"> </w:t>
      </w:r>
      <w:r w:rsidRPr="007E4A0F">
        <w:rPr>
          <w:rStyle w:val="Emphasis"/>
          <w:highlight w:val="yellow"/>
        </w:rPr>
        <w:t>societies to</w:t>
      </w:r>
      <w:r w:rsidRPr="007761E8">
        <w:rPr>
          <w:rStyle w:val="Emphasis"/>
        </w:rPr>
        <w:t xml:space="preserve"> document and to </w:t>
      </w:r>
      <w:r w:rsidRPr="007E4A0F">
        <w:rPr>
          <w:rStyle w:val="Emphasis"/>
          <w:highlight w:val="yellow"/>
        </w:rPr>
        <w:t>establish ideas.</w:t>
      </w:r>
      <w:r w:rsidRPr="007761E8">
        <w:rPr>
          <w:rStyle w:val="Emphasis"/>
        </w:rPr>
        <w:t xml:space="preserve"> As records, they are memory that can be inspected by others. The hieroglyphic text and the pictorial-iconic presentation could be read or interpreted by many people other than their creator</w:t>
      </w:r>
      <w:r>
        <w:t xml:space="preserve">. (22, emphases original) One must join Boone here in highlighting, as de nitive characteristics of any of these New World systems of inscription, the functions of account- ability, memory, and interpretability. Such characteristics would pertain in even the relatively extreme case of the Peruvian quipus, insofar as their pat- terns of knots and cords functioned, in any sense, to record or document information (and even if, as some have claimed, these were no more than personal mnemonic devices). Similarly, Peter L. van der Loo, discussing in the same volume a pre-Columbian pictorial manuscript known as the Bor- gia Group, explains that “these manuscripts can be read as text. Because the message is put down in a pictorial mode, the actual spoken text may di er from reader to reader, but the main content of the message will remain the same to all.”9 As </w:t>
      </w:r>
      <w:r w:rsidRPr="007761E8">
        <w:rPr>
          <w:rStyle w:val="StyleUnderline"/>
        </w:rPr>
        <w:t xml:space="preserve">described here, this nonphonetic “writing” nevertheless is said to be linked to some semiotic “message” or “content” that both precedes and survives its inscription, that is reproducible as “voice” or “reading” in its wake, and that thus anchors or limits the varied readings or voicing of the inscribed signs. Is this, too, merely a Eurocentric misreading of pre-Columbian practices? Or is there, rather, no other way to “read” or to “write” except as a perpetually un nished process of deferred presence? </w:t>
      </w:r>
      <w:r w:rsidRPr="007E4A0F">
        <w:rPr>
          <w:rStyle w:val="StyleUnderline"/>
          <w:highlight w:val="yellow"/>
        </w:rPr>
        <w:t>What else could this “content” or “voice” be than what Derrida calls the “trace,” the “arche-writing” that is “before the letter” not in some historical or evolutionary sense but, rather, as the mark of a consciousness and an “experience</w:t>
      </w:r>
      <w:r w:rsidRPr="007E4A0F">
        <w:rPr>
          <w:highlight w:val="yellow"/>
        </w:rPr>
        <w:t>”</w:t>
      </w:r>
      <w:r>
        <w:t xml:space="preserve"> lived only in signs and in time, and therefore in an intermi- nable process of self-di ering and self-deferring? </w:t>
      </w:r>
      <w:r w:rsidRPr="007761E8">
        <w:rPr>
          <w:rStyle w:val="StyleUnderline"/>
        </w:rPr>
        <w:t>As soon as there is, in any sense, record, account, or document, as soon as inscription of any kind o ers itself as at once a supplement and a substitute for a memory that already supplements and substitutes for the trace, one is already, as these ethno- graphic descriptions themselves clearly attest, within the strange economy of what Derrida famously calls di érance</w:t>
      </w:r>
      <w:r>
        <w:t xml:space="preserve">. </w:t>
      </w:r>
      <w:r w:rsidRPr="007761E8">
        <w:rPr>
          <w:rStyle w:val="Emphasis"/>
        </w:rPr>
        <w:t xml:space="preserve">But </w:t>
      </w:r>
      <w:r w:rsidRPr="007E4A0F">
        <w:rPr>
          <w:rStyle w:val="Emphasis"/>
          <w:highlight w:val="yellow"/>
        </w:rPr>
        <w:t>Mignolo himself, as we have already observed, wants both to re- claim these New World practices as “writing” and to free them from all such economies</w:t>
      </w:r>
      <w:r>
        <w:t>. In The Darker Side, Mignolo observes repeatedly that it is possible to have “writing without books,” pointing to, for example, the graphic inscriptions on the walls of temples in ancient Egypt and ancient Mesoamerica. He fails to acknowledge that such observations have always accompanied the very discourses whose ethnocentric biases he wants to expose. For example, Hegel, whose Aesthetics is perhaps the supreme Euro- pean statement of an “evolutionary” approach to language, observes in this same text that Egyptian temples “can be regarded like the pages of a book.”10 Mignolo’s speci c observations also remain suspended between the two rather di erent arguments that we have already summarized</w:t>
      </w:r>
      <w:r w:rsidRPr="007761E8">
        <w:rPr>
          <w:rStyle w:val="StyleUnderline"/>
        </w:rPr>
        <w:t xml:space="preserve">. He suggests that </w:t>
      </w:r>
      <w:r w:rsidRPr="007E4A0F">
        <w:rPr>
          <w:rStyle w:val="StyleUnderline"/>
          <w:highlight w:val="yellow"/>
        </w:rPr>
        <w:t>Amerindians possessed sophisticated writing practices</w:t>
      </w:r>
      <w:r w:rsidRPr="007761E8">
        <w:rPr>
          <w:rStyle w:val="StyleUnderline"/>
        </w:rPr>
        <w:t xml:space="preserve"> that were misunderstood by their conquerors, but then goes on to claim—or at least to hint— that the </w:t>
      </w:r>
      <w:r w:rsidRPr="007E4A0F">
        <w:rPr>
          <w:rStyle w:val="StyleUnderline"/>
          <w:highlight w:val="yellow"/>
        </w:rPr>
        <w:t>Amerindians grasped the very relation between presence and representation in a manner somehow radically di erent from Europeans.</w:t>
      </w:r>
    </w:p>
    <w:p w14:paraId="74598EFB" w14:textId="68C60359" w:rsidR="003B3425" w:rsidRPr="00A61BD4" w:rsidRDefault="007F4547" w:rsidP="007F4547">
      <w:pPr>
        <w:pStyle w:val="Heading4"/>
        <w:rPr>
          <w:rStyle w:val="StyleUnderline"/>
          <w:bCs/>
          <w:sz w:val="26"/>
        </w:rPr>
      </w:pPr>
      <w:r>
        <w:rPr>
          <w:rStyle w:val="StyleUnderline"/>
          <w:sz w:val="26"/>
          <w:u w:val="none"/>
        </w:rPr>
        <w:t>3</w:t>
      </w:r>
      <w:r w:rsidR="00A61BD4" w:rsidRPr="00A61BD4">
        <w:rPr>
          <w:rStyle w:val="StyleUnderline"/>
          <w:sz w:val="26"/>
          <w:u w:val="none"/>
        </w:rPr>
        <w:t xml:space="preserve">. </w:t>
      </w:r>
      <w:r w:rsidR="003B3425" w:rsidRPr="00A61BD4">
        <w:rPr>
          <w:rStyle w:val="StyleUnderline"/>
          <w:sz w:val="26"/>
          <w:u w:val="none"/>
        </w:rPr>
        <w:t>Focusing on the wrong thing—their conceptualization of colonialism is wrong and bankrupt</w:t>
      </w:r>
    </w:p>
    <w:p w14:paraId="2ACF2321" w14:textId="77777777" w:rsidR="003B3425" w:rsidRPr="0061045F" w:rsidRDefault="003B3425" w:rsidP="003B3425">
      <w:pPr>
        <w:rPr>
          <w:rStyle w:val="Style13ptBold"/>
          <w:b w:val="0"/>
        </w:rPr>
      </w:pPr>
      <w:r>
        <w:rPr>
          <w:rStyle w:val="Style13ptBold"/>
        </w:rPr>
        <w:t>Lazarus 11 (</w:t>
      </w:r>
      <w:r>
        <w:rPr>
          <w:rStyle w:val="Style13ptBold"/>
          <w:b w:val="0"/>
        </w:rPr>
        <w:t>Neil Lazarus, What postcolonial theory doesn’t say</w:t>
      </w:r>
      <w:proofErr w:type="gramStart"/>
      <w:r>
        <w:rPr>
          <w:rStyle w:val="Style13ptBold"/>
          <w:b w:val="0"/>
        </w:rPr>
        <w:t>, )</w:t>
      </w:r>
      <w:proofErr w:type="gramEnd"/>
      <w:r>
        <w:rPr>
          <w:rStyle w:val="Style13ptBold"/>
          <w:b w:val="0"/>
        </w:rPr>
        <w:t xml:space="preserve"> </w:t>
      </w:r>
    </w:p>
    <w:p w14:paraId="67836AD9" w14:textId="77777777" w:rsidR="003B3425" w:rsidRDefault="003B3425" w:rsidP="003B3425">
      <w:r>
        <w:t xml:space="preserve">The idea here is </w:t>
      </w:r>
      <w:r w:rsidRPr="0061045F">
        <w:rPr>
          <w:rStyle w:val="StyleUnderline"/>
        </w:rPr>
        <w:t xml:space="preserve">of Europe as a counter-hegemonic work in progress, a strictly contemporary project negatively motivated by the recognition that the effects of all of the previous projections of ‘Europe’ </w:t>
      </w:r>
      <w:r>
        <w:t xml:space="preserve">– that took themselves to be gestures of civilisational self-assertion – have been catastrophic.65 Yet, even </w:t>
      </w:r>
      <w:r w:rsidRPr="007F4547">
        <w:rPr>
          <w:highlight w:val="yellow"/>
        </w:rPr>
        <w:t>t</w:t>
      </w:r>
      <w:r w:rsidRPr="007F4547">
        <w:rPr>
          <w:rStyle w:val="Emphasis"/>
          <w:highlight w:val="yellow"/>
        </w:rPr>
        <w:t>his</w:t>
      </w:r>
      <w:r w:rsidRPr="0061045F">
        <w:rPr>
          <w:rStyle w:val="Emphasis"/>
        </w:rPr>
        <w:t xml:space="preserve"> </w:t>
      </w:r>
      <w:r w:rsidRPr="007F4547">
        <w:rPr>
          <w:rStyle w:val="Emphasis"/>
          <w:highlight w:val="yellow"/>
        </w:rPr>
        <w:t>carefully</w:t>
      </w:r>
      <w:r w:rsidRPr="0061045F">
        <w:rPr>
          <w:rStyle w:val="Emphasis"/>
        </w:rPr>
        <w:t xml:space="preserve"> </w:t>
      </w:r>
      <w:r w:rsidRPr="007F4547">
        <w:rPr>
          <w:rStyle w:val="Emphasis"/>
          <w:highlight w:val="yellow"/>
        </w:rPr>
        <w:t>his- toricised and radically contingent construction</w:t>
      </w:r>
      <w:r w:rsidRPr="007F4547">
        <w:rPr>
          <w:rStyle w:val="Emphasis"/>
        </w:rPr>
        <w:t>66</w:t>
      </w:r>
      <w:r w:rsidRPr="0061045F">
        <w:rPr>
          <w:rStyle w:val="Emphasis"/>
        </w:rPr>
        <w:t xml:space="preserve"> </w:t>
      </w:r>
      <w:r w:rsidRPr="007F4547">
        <w:rPr>
          <w:rStyle w:val="Emphasis"/>
          <w:highlight w:val="yellow"/>
        </w:rPr>
        <w:t xml:space="preserve">might be susceptible to criticism on the grounds that it generalises </w:t>
      </w:r>
      <w:r w:rsidRPr="007F4547">
        <w:rPr>
          <w:rStyle w:val="Emphasis"/>
        </w:rPr>
        <w:t>unwarrantedly</w:t>
      </w:r>
      <w:r w:rsidRPr="007F4547">
        <w:rPr>
          <w:rStyle w:val="Emphasis"/>
          <w:highlight w:val="yellow"/>
        </w:rPr>
        <w:t xml:space="preserve"> from the modern experience of the historically</w:t>
      </w:r>
      <w:r w:rsidRPr="0061045F">
        <w:rPr>
          <w:rStyle w:val="Emphasis"/>
        </w:rPr>
        <w:t xml:space="preserve"> </w:t>
      </w:r>
      <w:r w:rsidRPr="007F4547">
        <w:rPr>
          <w:rStyle w:val="Emphasis"/>
          <w:highlight w:val="yellow"/>
        </w:rPr>
        <w:t xml:space="preserve">dominant </w:t>
      </w:r>
      <w:r w:rsidRPr="007F4547">
        <w:rPr>
          <w:rStyle w:val="Emphasis"/>
        </w:rPr>
        <w:t xml:space="preserve">European nations to all of </w:t>
      </w:r>
      <w:r w:rsidRPr="007F4547">
        <w:rPr>
          <w:rStyle w:val="Emphasis"/>
          <w:highlight w:val="yellow"/>
        </w:rPr>
        <w:t>Europe</w:t>
      </w:r>
      <w:r w:rsidRPr="007F4547">
        <w:rPr>
          <w:highlight w:val="yellow"/>
        </w:rPr>
        <w:t>.</w:t>
      </w:r>
      <w:r>
        <w:t xml:space="preserve"> Thus, a latent </w:t>
      </w:r>
      <w:r w:rsidRPr="007F4547">
        <w:rPr>
          <w:rStyle w:val="StyleUnderline"/>
          <w:highlight w:val="yellow"/>
        </w:rPr>
        <w:t>essen- tialism seems to lurk in the background</w:t>
      </w:r>
      <w:r w:rsidRPr="0061045F">
        <w:rPr>
          <w:rStyle w:val="StyleUnderline"/>
        </w:rPr>
        <w:t xml:space="preserve"> of Habermas’s refunctioning of the cat- egory of ‘core Europe’ (‘Kerneuropa’) and his suggestion that this ‘avant-gardist core of Europe’ must play the role of ‘locomotive’, powering the generation of a new, pan-European consciousness and politics</w:t>
      </w:r>
      <w:r>
        <w:t>.67 While we certainly appreciate the necessity of defending France and Germany (whose governments opposed the rush to war against Iraq) from the wrath of the Bush administration, t</w:t>
      </w:r>
      <w:r w:rsidRPr="0061045F">
        <w:rPr>
          <w:rStyle w:val="StyleUnderline"/>
        </w:rPr>
        <w:t xml:space="preserve">he meta- phor of ‘core’ and, presumably, ‘peripheral’ Europe, like that of ‘old’ and ‘new’ Europe,68 seems both impolitic and high-handed. Hence, presumably, the anger directed at Habermas’s manifesto by certain commentators, not only in ‘East’ and ‘Central’ Europe, but also in Scandinavia and the Iberian peninsula, unwilling to accept his apparent marginalisation of them as ‘non-core’ Europeans.69 Rey Chow’s article ‘The old/new question of comparison in literary studies: a post-European perspective’ appeared two years before Susan Bassnett’s. Chow writes self-consciously from what Bassnett calls the ‘perspective of the Southern hemisphere’; indeed, she might be seen as offering a ‘Third Worldist’ critique of precisely the model of comparative literary scholarship that Bassnett both cham- pions and seeks to represent. Chow begins, thus, </w:t>
      </w:r>
      <w:r w:rsidRPr="007F4547">
        <w:rPr>
          <w:rStyle w:val="StyleUnderline"/>
          <w:highlight w:val="yellow"/>
        </w:rPr>
        <w:t>by identifying the performa- tive contradiction</w:t>
      </w:r>
      <w:r w:rsidRPr="0061045F">
        <w:rPr>
          <w:rStyle w:val="StyleUnderline"/>
        </w:rPr>
        <w:t xml:space="preserve"> represented by comparative literature’s ‘cosmopolitanism’ or ‘universalism’ whenever the focus is shifted from the European to the world stage. On the one hand, </w:t>
      </w:r>
      <w:r w:rsidRPr="007F4547">
        <w:rPr>
          <w:rStyle w:val="StyleUnderline"/>
          <w:highlight w:val="yellow"/>
        </w:rPr>
        <w:t>the commitment to comparativism in the discipline ges- tures towards intercultural reciprocity:</w:t>
      </w:r>
      <w:r w:rsidRPr="0061045F">
        <w:rPr>
          <w:rStyle w:val="StyleUnderline"/>
        </w:rPr>
        <w:t xml:space="preserve"> </w:t>
      </w:r>
      <w:r>
        <w:t xml:space="preserve">As part of a cluster of concepts that sees linguistic cosmopolitanism and the peaceful coexistence of national and cultural traditions as its telos, compari- son in comparative literature is understandably grounded, as the etymology of the word suggests, in the notion of parity – in the possibility of peer-like equality and mutuality among those being compared ... Hence ... compara- tive literature often proceeds with investigating multiple literary traditions on the assumption that there ought to be a degree of commonality and Neil Lazarus: What postcolonial theory doesn’t say 21 equivalence – and thus comparability – among them; that they are, somehow, on a par with one another despite their obvious differences.70 On the other hand, </w:t>
      </w:r>
      <w:r w:rsidRPr="007F4547">
        <w:rPr>
          <w:highlight w:val="yellow"/>
        </w:rPr>
        <w:t>t</w:t>
      </w:r>
      <w:r w:rsidRPr="007F4547">
        <w:rPr>
          <w:rStyle w:val="Emphasis"/>
          <w:highlight w:val="yellow"/>
        </w:rPr>
        <w:t>his ‘mutuality’ proves to be highly selective</w:t>
      </w:r>
      <w:r w:rsidRPr="0061045F">
        <w:rPr>
          <w:rStyle w:val="Emphasis"/>
        </w:rPr>
        <w:t xml:space="preserve">. It operates only between ‘European’ literatures and cultures, never between ‘Europe’ and its ‘Others’. </w:t>
      </w:r>
      <w:r w:rsidRPr="007F4547">
        <w:rPr>
          <w:rStyle w:val="Emphasis"/>
          <w:highlight w:val="yellow"/>
        </w:rPr>
        <w:t>Chow quotes as exemplary in this respect René Wellek and Austin Warren’s formulation</w:t>
      </w:r>
      <w:r w:rsidRPr="0061045F">
        <w:rPr>
          <w:rStyle w:val="Emphasis"/>
        </w:rPr>
        <w:t>, in their canonical Theory of Literature (1949</w:t>
      </w:r>
      <w:r w:rsidRPr="007F4547">
        <w:rPr>
          <w:rStyle w:val="Emphasis"/>
          <w:highlight w:val="yellow"/>
        </w:rPr>
        <w:t>), of the basic predicate of comparative literature</w:t>
      </w:r>
      <w:r w:rsidRPr="0061045F">
        <w:rPr>
          <w:rStyle w:val="Emphasis"/>
        </w:rPr>
        <w:t xml:space="preserve"> as a discipline: it is important to think of literature as a totality and to trace the growth and development of literature without regard to linguistic distinctions ... Western literature, at least, forms a unity, a whole ... and, </w:t>
      </w:r>
      <w:r w:rsidRPr="007F4547">
        <w:rPr>
          <w:rStyle w:val="Emphasis"/>
          <w:highlight w:val="yellow"/>
        </w:rPr>
        <w:t>without minimizing the importance of Oriental influences,</w:t>
      </w:r>
      <w:r w:rsidRPr="0061045F">
        <w:rPr>
          <w:rStyle w:val="Emphasis"/>
        </w:rPr>
        <w:t xml:space="preserve"> especially that of the Bible, one must recog- nize a close unity which includes all Europe, Russia, the United States, and the Latin American literatures.71 </w:t>
      </w:r>
      <w:r w:rsidRPr="007F4547">
        <w:rPr>
          <w:rStyle w:val="Emphasis"/>
          <w:highlight w:val="yellow"/>
        </w:rPr>
        <w:t>One might have expected Chow to criticise the essentialism evident in Wellek and Warren’s formula,</w:t>
      </w:r>
      <w:r w:rsidRPr="0061045F">
        <w:rPr>
          <w:rStyle w:val="Emphasis"/>
        </w:rPr>
        <w:t xml:space="preserve"> their insistence on the singularity and specificity of what they call ‘western’ culture</w:t>
      </w:r>
      <w:r>
        <w:t xml:space="preserve">. </w:t>
      </w:r>
      <w:r w:rsidRPr="0061045F">
        <w:rPr>
          <w:rStyle w:val="StyleUnderline"/>
        </w:rPr>
        <w:t>But she does not. Nor does she comment on the fact their their formulation is altogether blind to the radically discrepant and incon- gruent histories of the ideas of ‘Europe’ and ‘the West’. The mere facts, for instance, that significant sections of the Russian intelligentsia have consistently defined themselves in explicit opposition to the category of ‘the West’ (while insisting on their fidelity to ‘Europe’), while significant sections of the US intel- ligentsia have consistently defined themselves in explicit opposition to the cat- egory of ‘Europe’</w:t>
      </w:r>
      <w:r>
        <w:t xml:space="preserve"> (while insisting on their fidelity to ‘the West’), ought surely to have given Wellek and Warren pause, especially in 1949. But Chow focuses instead on Wellek and Warren’s bracketing of the ‘non-West’ and the implica- tions that derive (in her view, with iron logic) from it: Wellek and Warren’s formulation of comparison, which may be named ‘Europe and Its Others,’ remains a common norm of comparative literary studies in North America today. In this formulation, the rationale for comparing hinges on the conjunction and; the and, moreover ... signals a form of supplementation that authorizes the first term</w:t>
      </w:r>
      <w:r w:rsidRPr="0061045F">
        <w:rPr>
          <w:rStyle w:val="Emphasis"/>
        </w:rPr>
        <w:t xml:space="preserve">, </w:t>
      </w:r>
      <w:r w:rsidRPr="007F4547">
        <w:rPr>
          <w:rStyle w:val="Emphasis"/>
          <w:highlight w:val="yellow"/>
        </w:rPr>
        <w:t>Europe, as the grid of reference, to which may be added others in a subsequent and subordinate fashion</w:t>
      </w:r>
      <w:r w:rsidRPr="0061045F">
        <w:rPr>
          <w:rStyle w:val="Emphasis"/>
        </w:rPr>
        <w:t xml:space="preserve"> ... The and thus instigates not only comparison but also a politics of comparison: on the one side, </w:t>
      </w:r>
      <w:r w:rsidRPr="007F4547">
        <w:rPr>
          <w:rStyle w:val="Emphasis"/>
          <w:highlight w:val="yellow"/>
        </w:rPr>
        <w:t>the infinite opening of histories</w:t>
      </w:r>
      <w:r w:rsidRPr="0061045F">
        <w:rPr>
          <w:rStyle w:val="Emphasis"/>
        </w:rPr>
        <w:t xml:space="preserve">, cultures, languages </w:t>
      </w:r>
      <w:r w:rsidRPr="007F4547">
        <w:rPr>
          <w:rStyle w:val="Emphasis"/>
          <w:highlight w:val="yellow"/>
        </w:rPr>
        <w:t>in their internal vicissitudes i</w:t>
      </w:r>
      <w:r w:rsidRPr="0061045F">
        <w:rPr>
          <w:rStyle w:val="Emphasis"/>
        </w:rPr>
        <w:t xml:space="preserve">n such a manner </w:t>
      </w:r>
      <w:r w:rsidRPr="007F4547">
        <w:rPr>
          <w:rStyle w:val="Emphasis"/>
          <w:highlight w:val="yellow"/>
        </w:rPr>
        <w:t>as to enable their studies to become ever more nuanced and refined</w:t>
      </w:r>
      <w:r w:rsidRPr="0061045F">
        <w:rPr>
          <w:rStyle w:val="Emphasis"/>
        </w:rPr>
        <w:t>; on the other side</w:t>
      </w:r>
      <w:r w:rsidRPr="007F4547">
        <w:rPr>
          <w:rStyle w:val="Emphasis"/>
          <w:highlight w:val="yellow"/>
        </w:rPr>
        <w:t>, a crude lumping together of other histories</w:t>
      </w:r>
      <w:r w:rsidRPr="0061045F">
        <w:rPr>
          <w:rStyle w:val="Emphasis"/>
        </w:rPr>
        <w:t xml:space="preserve">, cultures, and lan- guages </w:t>
      </w:r>
      <w:r w:rsidRPr="007F4547">
        <w:rPr>
          <w:rStyle w:val="Emphasis"/>
          <w:highlight w:val="yellow"/>
        </w:rPr>
        <w:t>with scant regard to exactly the same kinds of details</w:t>
      </w:r>
      <w:r w:rsidRPr="0061045F">
        <w:rPr>
          <w:rStyle w:val="Emphasis"/>
        </w:rPr>
        <w:t xml:space="preserve"> and internal </w:t>
      </w:r>
      <w:r w:rsidRPr="007F4547">
        <w:rPr>
          <w:rStyle w:val="Emphasis"/>
          <w:highlight w:val="yellow"/>
        </w:rPr>
        <w:t>dynamics of thought that,</w:t>
      </w:r>
      <w:r w:rsidRPr="0061045F">
        <w:rPr>
          <w:rStyle w:val="Emphasis"/>
        </w:rPr>
        <w:t xml:space="preserve"> theoretically speaking, </w:t>
      </w:r>
      <w:r w:rsidRPr="007F4547">
        <w:rPr>
          <w:rStyle w:val="Emphasis"/>
          <w:highlight w:val="yellow"/>
        </w:rPr>
        <w:t>should be part of the study of any tradition.</w:t>
      </w:r>
      <w:r>
        <w:t xml:space="preserve"> These other histories, cultures, and languages remain by default undifferentiated – and thus never genuinely on a par with Europe – within an ostensibly comparative framework.72</w:t>
      </w:r>
    </w:p>
    <w:p w14:paraId="3A33C0D5" w14:textId="77777777" w:rsidR="007F4547" w:rsidRPr="008311CA" w:rsidRDefault="007F4547" w:rsidP="007F4547">
      <w:pPr>
        <w:pStyle w:val="Heading4"/>
      </w:pPr>
      <w:r>
        <w:t>4</w:t>
      </w:r>
      <w:r w:rsidR="00A61BD4">
        <w:t xml:space="preserve">. </w:t>
      </w:r>
      <w:r>
        <w:rPr>
          <w:rStyle w:val="StyleUnderline"/>
          <w:sz w:val="26"/>
          <w:u w:val="none"/>
        </w:rPr>
        <w:t>Localization DA: Decolonial theory risks an abandonment of local specific areas</w:t>
      </w:r>
    </w:p>
    <w:p w14:paraId="6E797721" w14:textId="77777777" w:rsidR="007F4547" w:rsidRDefault="007F4547" w:rsidP="007F4547">
      <w:pPr>
        <w:rPr>
          <w:rStyle w:val="Style13ptBold"/>
          <w:b w:val="0"/>
        </w:rPr>
      </w:pPr>
      <w:r>
        <w:rPr>
          <w:rStyle w:val="Style13ptBold"/>
        </w:rPr>
        <w:t>Wanzer-Serrano (THEIR Author) 12</w:t>
      </w:r>
      <w:r>
        <w:rPr>
          <w:rStyle w:val="Style13ptBold"/>
          <w:b w:val="0"/>
        </w:rPr>
        <w:t xml:space="preserve"> (“Young Lords and the Rhetoic of Decoloniality”, Temple University Press, </w:t>
      </w:r>
      <w:hyperlink r:id="rId14" w:history="1">
        <w:r w:rsidRPr="00A02494">
          <w:rPr>
            <w:rStyle w:val="Hyperlink"/>
            <w:sz w:val="26"/>
          </w:rPr>
          <w:t>http://www.temple.edu/tempress/chapters_1800/2346_ch1.pdf</w:t>
        </w:r>
      </w:hyperlink>
      <w:r>
        <w:rPr>
          <w:rStyle w:val="Style13ptBold"/>
          <w:b w:val="0"/>
        </w:rPr>
        <w:t>) TSB</w:t>
      </w:r>
    </w:p>
    <w:p w14:paraId="44DC1F54" w14:textId="77777777" w:rsidR="007F4547" w:rsidRPr="008311CA" w:rsidRDefault="007F4547" w:rsidP="007F4547">
      <w:pPr>
        <w:rPr>
          <w:rStyle w:val="Style13ptBold"/>
          <w:b w:val="0"/>
        </w:rPr>
      </w:pPr>
      <w:r>
        <w:rPr>
          <w:rStyle w:val="Style13ptBold"/>
          <w:b w:val="0"/>
        </w:rPr>
        <w:t>-- proves inconsistency</w:t>
      </w:r>
    </w:p>
    <w:p w14:paraId="4BAABA8C" w14:textId="0C11C239" w:rsidR="007F4547" w:rsidRDefault="007F4547" w:rsidP="007F4547">
      <w:r>
        <w:t xml:space="preserve">In my reading of contemporary decolonial scholarship, </w:t>
      </w:r>
      <w:r w:rsidRPr="000D2627">
        <w:rPr>
          <w:rStyle w:val="StyleUnderline"/>
          <w:highlight w:val="yellow"/>
        </w:rPr>
        <w:t>people</w:t>
      </w:r>
      <w:r w:rsidRPr="008311CA">
        <w:rPr>
          <w:rStyle w:val="StyleUnderline"/>
        </w:rPr>
        <w:t xml:space="preserve"> seem to </w:t>
      </w:r>
      <w:r w:rsidRPr="000D2627">
        <w:rPr>
          <w:rStyle w:val="StyleUnderline"/>
          <w:highlight w:val="yellow"/>
        </w:rPr>
        <w:t>risk slipping into</w:t>
      </w:r>
      <w:r w:rsidRPr="008311CA">
        <w:rPr>
          <w:rStyle w:val="StyleUnderline"/>
        </w:rPr>
        <w:t xml:space="preserve"> one of a </w:t>
      </w:r>
      <w:r w:rsidRPr="000D2627">
        <w:rPr>
          <w:rStyle w:val="StyleUnderline"/>
          <w:highlight w:val="yellow"/>
        </w:rPr>
        <w:t>couple of related problems</w:t>
      </w:r>
      <w:r w:rsidRPr="008311CA">
        <w:rPr>
          <w:rStyle w:val="StyleUnderline"/>
        </w:rPr>
        <w:t xml:space="preserve"> in negotiating such a ne line.</w:t>
      </w:r>
      <w:r>
        <w:t xml:space="preserve"> On the one hand, you have scholars like </w:t>
      </w:r>
      <w:r w:rsidRPr="008311CA">
        <w:rPr>
          <w:rStyle w:val="Emphasis"/>
        </w:rPr>
        <w:t>Maldonado-Torres</w:t>
      </w:r>
      <w:r>
        <w:t xml:space="preserve"> and Enrique Dussel who </w:t>
      </w:r>
      <w:r w:rsidRPr="008311CA">
        <w:rPr>
          <w:rStyle w:val="StyleUnderline"/>
        </w:rPr>
        <w:t>resist an overreaction to coloniality in theory by drawing from and recovering ideas located within Western philosophy in order to support rethinking our epistemological commitments and decentering the West</w:t>
      </w:r>
      <w:r>
        <w:t xml:space="preserve">.44 In doing so, however, </w:t>
      </w:r>
      <w:r w:rsidRPr="008311CA">
        <w:rPr>
          <w:rStyle w:val="Emphasis"/>
        </w:rPr>
        <w:t xml:space="preserve">these </w:t>
      </w:r>
      <w:r w:rsidRPr="000D2627">
        <w:rPr>
          <w:rStyle w:val="Emphasis"/>
          <w:highlight w:val="yellow"/>
        </w:rPr>
        <w:t>scholars direct less</w:t>
      </w:r>
      <w:r w:rsidRPr="008311CA">
        <w:rPr>
          <w:rStyle w:val="Emphasis"/>
        </w:rPr>
        <w:t xml:space="preserve"> </w:t>
      </w:r>
      <w:r w:rsidRPr="000D2627">
        <w:rPr>
          <w:rStyle w:val="Emphasis"/>
          <w:highlight w:val="yellow"/>
        </w:rPr>
        <w:t>attention</w:t>
      </w:r>
      <w:r w:rsidRPr="008311CA">
        <w:rPr>
          <w:rStyle w:val="Emphasis"/>
        </w:rPr>
        <w:t xml:space="preserve"> </w:t>
      </w:r>
      <w:r w:rsidRPr="000D2627">
        <w:rPr>
          <w:rStyle w:val="Emphasis"/>
          <w:highlight w:val="yellow"/>
        </w:rPr>
        <w:t>to</w:t>
      </w:r>
      <w:r w:rsidRPr="008311CA">
        <w:rPr>
          <w:rStyle w:val="Emphasis"/>
        </w:rPr>
        <w:t xml:space="preserve"> actual, </w:t>
      </w:r>
      <w:r w:rsidRPr="000D2627">
        <w:rPr>
          <w:rStyle w:val="Emphasis"/>
          <w:highlight w:val="yellow"/>
        </w:rPr>
        <w:t>geographically</w:t>
      </w:r>
      <w:r w:rsidRPr="008311CA">
        <w:rPr>
          <w:rStyle w:val="Emphasis"/>
        </w:rPr>
        <w:t xml:space="preserve"> located and embodied grassroots discourses and actions</w:t>
      </w:r>
      <w:r>
        <w:t xml:space="preserve">. ey philosophically justify doing so (which is their goal, after all) but provide readers with a lim- ited sense for what decoloniality looks like in geographically speci c and sociohistorically contingent contexts. On the other hand, you have scholars like </w:t>
      </w:r>
      <w:r w:rsidRPr="000D2627">
        <w:rPr>
          <w:rStyle w:val="Emphasis"/>
          <w:highlight w:val="yellow"/>
        </w:rPr>
        <w:t>Mignolo who disengage from Western philosophical discourses nearly altogeth- er but in the process risk propagating a kind of determinism of perspective</w:t>
      </w:r>
      <w:r>
        <w:t xml:space="preserve">.45 While I do not think this is his intention, </w:t>
      </w:r>
      <w:r w:rsidRPr="008311CA">
        <w:rPr>
          <w:rStyle w:val="StyleUnderline"/>
        </w:rPr>
        <w:t>Mignolo can come across to some readers as othering a totalizing discourse that minimizes room for resistance</w:t>
      </w:r>
      <w:r>
        <w:t xml:space="preserve">. While concepts like “border thinking” seem designed to remedy this, there are ways in which </w:t>
      </w:r>
      <w:r w:rsidRPr="000D2627">
        <w:rPr>
          <w:rStyle w:val="Emphasis"/>
          <w:highlight w:val="yellow"/>
        </w:rPr>
        <w:t>Mignolo’s</w:t>
      </w:r>
      <w:r w:rsidRPr="008311CA">
        <w:rPr>
          <w:rStyle w:val="Emphasis"/>
        </w:rPr>
        <w:t xml:space="preserve"> </w:t>
      </w:r>
      <w:r w:rsidRPr="000D2627">
        <w:rPr>
          <w:rStyle w:val="Emphasis"/>
          <w:highlight w:val="yellow"/>
        </w:rPr>
        <w:t>position</w:t>
      </w:r>
      <w:r w:rsidRPr="008311CA">
        <w:rPr>
          <w:rStyle w:val="Emphasis"/>
        </w:rPr>
        <w:t xml:space="preserve"> </w:t>
      </w:r>
      <w:r w:rsidRPr="000D2627">
        <w:rPr>
          <w:rStyle w:val="Emphasis"/>
          <w:highlight w:val="yellow"/>
        </w:rPr>
        <w:t>is so damning of modernity/coloniality— for instance, his critique of “the logic that sustains all branches of Western knowledge”</w:t>
      </w:r>
      <w:r w:rsidRPr="008311CA">
        <w:rPr>
          <w:rStyle w:val="Emphasis"/>
        </w:rPr>
        <w:t xml:space="preserve"> cited in the last paragraph—that </w:t>
      </w:r>
      <w:r w:rsidRPr="000D2627">
        <w:rPr>
          <w:rStyle w:val="Emphasis"/>
          <w:highlight w:val="yellow"/>
        </w:rPr>
        <w:t>there seems to be little chance</w:t>
      </w:r>
      <w:r w:rsidRPr="008311CA">
        <w:rPr>
          <w:rStyle w:val="Emphasis"/>
        </w:rPr>
        <w:t xml:space="preserve"> </w:t>
      </w:r>
      <w:r w:rsidRPr="000D2627">
        <w:rPr>
          <w:rStyle w:val="Emphasis"/>
          <w:highlight w:val="yellow"/>
        </w:rPr>
        <w:t>for those</w:t>
      </w:r>
      <w:r w:rsidRPr="008311CA">
        <w:rPr>
          <w:rStyle w:val="Emphasis"/>
        </w:rPr>
        <w:t xml:space="preserve"> inside that system </w:t>
      </w:r>
      <w:r w:rsidRPr="000D2627">
        <w:rPr>
          <w:rStyle w:val="Emphasis"/>
          <w:highlight w:val="yellow"/>
        </w:rPr>
        <w:t>to</w:t>
      </w:r>
      <w:r w:rsidRPr="008311CA">
        <w:rPr>
          <w:rStyle w:val="Emphasis"/>
        </w:rPr>
        <w:t xml:space="preserve"> </w:t>
      </w:r>
      <w:r w:rsidRPr="000D2627">
        <w:rPr>
          <w:rStyle w:val="Emphasis"/>
          <w:highlight w:val="yellow"/>
        </w:rPr>
        <w:t>challenge</w:t>
      </w:r>
      <w:r w:rsidRPr="008311CA">
        <w:rPr>
          <w:rStyle w:val="Emphasis"/>
        </w:rPr>
        <w:t xml:space="preserve"> </w:t>
      </w:r>
      <w:r w:rsidRPr="000D2627">
        <w:rPr>
          <w:rStyle w:val="Emphasis"/>
          <w:highlight w:val="yellow"/>
        </w:rPr>
        <w:t>it</w:t>
      </w:r>
      <w:r w:rsidRPr="000D2627">
        <w:rPr>
          <w:highlight w:val="yellow"/>
        </w:rPr>
        <w:t>.</w:t>
      </w:r>
      <w:r>
        <w:t xml:space="preserve">46 When he does turn to examples (e.g., the Zapatistas in Mexico or the emergence of a concept of “the communal” in South America), </w:t>
      </w:r>
      <w:r w:rsidRPr="008311CA">
        <w:rPr>
          <w:rStyle w:val="StyleUnderline"/>
        </w:rPr>
        <w:t>they seem exemplary of a wholesale rejection of modernity/ coloniality: a stepping outside that, despite the way Mignolo explicitly quali es his argument, implies that (a) resistance is generally futile</w:t>
      </w:r>
      <w:r>
        <w:t>, (b) the only prac- tical solution is wholesale rejection, and/or (c) the scholar’s only option is demysti cation/debunking</w:t>
      </w:r>
      <w:r w:rsidRPr="008311CA">
        <w:rPr>
          <w:rStyle w:val="Emphasis"/>
        </w:rPr>
        <w:t xml:space="preserve">. </w:t>
      </w:r>
      <w:r w:rsidRPr="000D2627">
        <w:rPr>
          <w:rStyle w:val="Emphasis"/>
          <w:highlight w:val="yellow"/>
        </w:rPr>
        <w:t>Often stuck</w:t>
      </w:r>
      <w:r w:rsidRPr="008311CA">
        <w:rPr>
          <w:rStyle w:val="Emphasis"/>
        </w:rPr>
        <w:t xml:space="preserve"> </w:t>
      </w:r>
      <w:r w:rsidRPr="000D2627">
        <w:rPr>
          <w:rStyle w:val="Emphasis"/>
          <w:highlight w:val="yellow"/>
        </w:rPr>
        <w:t>making bigger theoretical arguments</w:t>
      </w:r>
      <w:r w:rsidRPr="008311CA">
        <w:rPr>
          <w:rStyle w:val="Emphasis"/>
        </w:rPr>
        <w:t xml:space="preserve"> justifying their shi s in perspective, </w:t>
      </w:r>
      <w:r w:rsidRPr="008F46BB">
        <w:rPr>
          <w:rStyle w:val="Emphasis"/>
          <w:highlight w:val="yellow"/>
        </w:rPr>
        <w:t>decolonial theorists</w:t>
      </w:r>
      <w:r w:rsidRPr="008311CA">
        <w:rPr>
          <w:rStyle w:val="Emphasis"/>
        </w:rPr>
        <w:t xml:space="preserve"> can </w:t>
      </w:r>
      <w:r w:rsidRPr="008F46BB">
        <w:rPr>
          <w:rStyle w:val="Emphasis"/>
          <w:highlight w:val="yellow"/>
        </w:rPr>
        <w:t>lack a level of</w:t>
      </w:r>
      <w:r w:rsidRPr="008311CA">
        <w:rPr>
          <w:rStyle w:val="Emphasis"/>
        </w:rPr>
        <w:t xml:space="preserve"> </w:t>
      </w:r>
      <w:r w:rsidRPr="008F46BB">
        <w:rPr>
          <w:rStyle w:val="Emphasis"/>
          <w:highlight w:val="yellow"/>
        </w:rPr>
        <w:t>rhetorical speci city</w:t>
      </w:r>
      <w:r w:rsidRPr="008311CA">
        <w:rPr>
          <w:rStyle w:val="Emphasis"/>
        </w:rPr>
        <w:t xml:space="preserve"> that, ironically, makes it harder to explore the geographic and embodied discourses they see as paramoun</w:t>
      </w:r>
      <w:r>
        <w:t xml:space="preserve">t. ere are some exceptions, but in general, </w:t>
      </w:r>
      <w:r w:rsidRPr="008311CA">
        <w:rPr>
          <w:rStyle w:val="StyleUnderline"/>
        </w:rPr>
        <w:t>the discon- nect between theory and practice is pronounced.</w:t>
      </w:r>
      <w:r>
        <w:t xml:space="preserve">47 </w:t>
      </w:r>
    </w:p>
    <w:p w14:paraId="6F77FA3B" w14:textId="51C122ED" w:rsidR="0040320D" w:rsidRPr="007F4547" w:rsidRDefault="0040320D" w:rsidP="0040320D">
      <w:pPr>
        <w:pStyle w:val="Heading4"/>
        <w:rPr>
          <w:rStyle w:val="Style13ptBold"/>
          <w:b/>
        </w:rPr>
      </w:pPr>
      <w:r>
        <w:rPr>
          <w:rStyle w:val="Style13ptBold"/>
          <w:b/>
        </w:rPr>
        <w:t xml:space="preserve">5. </w:t>
      </w:r>
      <w:r w:rsidRPr="007F4547">
        <w:rPr>
          <w:rStyle w:val="Style13ptBold"/>
          <w:b/>
        </w:rPr>
        <w:t xml:space="preserve">Settler colonialism is a theory constructed from white scholarship – belief in its system inevitably recreates colonialism </w:t>
      </w:r>
    </w:p>
    <w:p w14:paraId="68C7A85C" w14:textId="77777777" w:rsidR="0040320D" w:rsidRPr="007D4736" w:rsidRDefault="0040320D" w:rsidP="0040320D">
      <w:pPr>
        <w:rPr>
          <w:sz w:val="16"/>
          <w:szCs w:val="16"/>
        </w:rPr>
      </w:pPr>
      <w:r w:rsidRPr="007D4736">
        <w:rPr>
          <w:rStyle w:val="Style13ptBold"/>
        </w:rPr>
        <w:t>Macoun and Strakosch 13</w:t>
      </w:r>
      <w:r>
        <w:t xml:space="preserve"> </w:t>
      </w:r>
      <w:r w:rsidRPr="007D4736">
        <w:rPr>
          <w:sz w:val="16"/>
          <w:szCs w:val="16"/>
        </w:rPr>
        <w:t xml:space="preserve">(Elizabeth &amp; Alissa, Indigenous Studies Research Network ‘The ethical demands of settler colonial theory,’ Settler Colonial Studies, Volume 3, Issue 3, pp. 426-443, </w:t>
      </w:r>
      <w:hyperlink r:id="rId15" w:history="1">
        <w:r w:rsidRPr="001435A2">
          <w:rPr>
            <w:rStyle w:val="Hyperlink"/>
            <w:sz w:val="16"/>
            <w:szCs w:val="16"/>
          </w:rPr>
          <w:t>https://eprints.qut.edu.au/63908/1/63908.pdf</w:t>
        </w:r>
      </w:hyperlink>
      <w:r w:rsidRPr="007D4736">
        <w:rPr>
          <w:sz w:val="16"/>
          <w:szCs w:val="16"/>
        </w:rPr>
        <w:t>)</w:t>
      </w:r>
      <w:r>
        <w:rPr>
          <w:sz w:val="16"/>
          <w:szCs w:val="16"/>
        </w:rPr>
        <w:t xml:space="preserve"> lz</w:t>
      </w:r>
    </w:p>
    <w:p w14:paraId="4E92C63C" w14:textId="77777777" w:rsidR="0040320D" w:rsidRPr="007A2850" w:rsidRDefault="0040320D" w:rsidP="0040320D">
      <w:pPr>
        <w:rPr>
          <w:sz w:val="14"/>
        </w:rPr>
      </w:pPr>
      <w:r w:rsidRPr="00736E2D">
        <w:rPr>
          <w:sz w:val="14"/>
        </w:rPr>
        <w:t>However, as others have noted</w:t>
      </w:r>
      <w:r w:rsidRPr="00B87549">
        <w:rPr>
          <w:sz w:val="14"/>
          <w:highlight w:val="yellow"/>
        </w:rPr>
        <w:t xml:space="preserve">, </w:t>
      </w:r>
      <w:r w:rsidRPr="00B87549">
        <w:rPr>
          <w:b/>
          <w:highlight w:val="yellow"/>
          <w:u w:val="single"/>
        </w:rPr>
        <w:t>SCT</w:t>
      </w:r>
      <w:r w:rsidRPr="00736E2D">
        <w:rPr>
          <w:sz w:val="14"/>
        </w:rPr>
        <w:t xml:space="preserve"> seems unable to transcend itself, in the sense that it posits a structural inevitability to the settler colonial relationship. </w:t>
      </w:r>
      <w:r w:rsidRPr="00736E2D">
        <w:rPr>
          <w:rStyle w:val="StyleUnderline"/>
        </w:rPr>
        <w:t xml:space="preserve">We suggest that this structuralism </w:t>
      </w:r>
      <w:r w:rsidRPr="00B87549">
        <w:rPr>
          <w:rStyle w:val="StyleUnderline"/>
          <w:highlight w:val="yellow"/>
        </w:rPr>
        <w:t>can be mobilized by settler scholars in ways that delegitimize Indigenous resistance and reinforce violent colonial relationships</w:t>
      </w:r>
      <w:r w:rsidRPr="00736E2D">
        <w:rPr>
          <w:rStyle w:val="StyleUnderline"/>
        </w:rPr>
        <w:t xml:space="preserve">. </w:t>
      </w:r>
      <w:r w:rsidRPr="00736E2D">
        <w:rPr>
          <w:sz w:val="14"/>
        </w:rPr>
        <w:t xml:space="preserve">But while settlers come to stay and to erase Indigenous political existence, this does not mean that these intentions will be realized or must remain fixed. Non‐Indigenous scholars should challenge the politically convenient conflation of settler desires and reality, and of the political present and the future. This article highlights these issues in order to begin to unlock the transformative potential of SCT, engaging settler scholars as political actors and arguing that this approach has the potential to facilitate conversations and alliances with Indigenous people. It is precisely by using the strengths of SCT that we can challenge its limitations; the theory itself places ethical demands on us as settlers, including the demand that we actively refuse its potential to re‐empower our own academic voices and to marginalize Indigenous resistance. </w:t>
      </w:r>
      <w:r w:rsidRPr="00736E2D">
        <w:rPr>
          <w:rStyle w:val="StyleUnderline"/>
        </w:rPr>
        <w:t xml:space="preserve">For many decades, </w:t>
      </w:r>
      <w:r w:rsidRPr="00B87549">
        <w:rPr>
          <w:rStyle w:val="StyleUnderline"/>
          <w:highlight w:val="yellow"/>
        </w:rPr>
        <w:t>postcolonial theory</w:t>
      </w:r>
      <w:r w:rsidRPr="00736E2D">
        <w:rPr>
          <w:rStyle w:val="StyleUnderline"/>
        </w:rPr>
        <w:t xml:space="preserve"> has shaped global scholarship of colonialism, and this has </w:t>
      </w:r>
      <w:r w:rsidRPr="00B87549">
        <w:rPr>
          <w:rStyle w:val="StyleUnderline"/>
          <w:highlight w:val="yellow"/>
        </w:rPr>
        <w:t>tended to obscure the ongoing hierarchies of settler states</w:t>
      </w:r>
      <w:r w:rsidRPr="00736E2D">
        <w:rPr>
          <w:rStyle w:val="StyleUnderline"/>
        </w:rPr>
        <w:t>.</w:t>
      </w:r>
      <w:r w:rsidRPr="00736E2D">
        <w:rPr>
          <w:sz w:val="14"/>
        </w:rPr>
        <w:t xml:space="preserve">1 However, building on the theoretical contributions of Patrick Wolfe and Lorenzo Veracini, increasing numbers of scholars are beginning to think about settler colonialism as a specific political formation. Importantly, this work draws a distinction between settler states and formally decolonized societies, and acknowledges that postcolonial does not ‘mean the same thing as post‐settler colonial’.2 While this movement may be animated by and in sympathy with major developments in critical Indigenous theory and global Indigenous activism,3 </w:t>
      </w:r>
      <w:proofErr w:type="gramStart"/>
      <w:r w:rsidRPr="00B87549">
        <w:rPr>
          <w:rStyle w:val="StyleUnderline"/>
          <w:highlight w:val="yellow"/>
        </w:rPr>
        <w:t>settler</w:t>
      </w:r>
      <w:proofErr w:type="gramEnd"/>
      <w:r w:rsidRPr="00B87549">
        <w:rPr>
          <w:rStyle w:val="StyleUnderline"/>
          <w:highlight w:val="yellow"/>
        </w:rPr>
        <w:t xml:space="preserve"> colonial theory</w:t>
      </w:r>
      <w:r w:rsidRPr="00736E2D">
        <w:rPr>
          <w:rStyle w:val="StyleUnderline"/>
        </w:rPr>
        <w:t xml:space="preserve"> (SCT) </w:t>
      </w:r>
      <w:r w:rsidRPr="00B87549">
        <w:rPr>
          <w:rStyle w:val="StyleUnderline"/>
          <w:highlight w:val="yellow"/>
        </w:rPr>
        <w:t>remains a largely White attempt to think through contemporary colonial relationships</w:t>
      </w:r>
      <w:r w:rsidRPr="00736E2D">
        <w:rPr>
          <w:rStyle w:val="StyleUnderline"/>
        </w:rPr>
        <w:t>.</w:t>
      </w:r>
      <w:r w:rsidRPr="00736E2D">
        <w:rPr>
          <w:rStyle w:val="StyleUnderline"/>
          <w:sz w:val="14"/>
          <w:u w:val="none"/>
        </w:rPr>
        <w:t xml:space="preserve"> Like us, most settlers who use the theoretical framework are concerned to disturb rather than re‐enact colonial hierarchies, and seek to contribute to Indigenous political struggles. </w:t>
      </w:r>
      <w:r w:rsidRPr="00736E2D">
        <w:rPr>
          <w:sz w:val="14"/>
        </w:rPr>
        <w:t>However</w:t>
      </w:r>
      <w:r w:rsidRPr="00736E2D">
        <w:rPr>
          <w:rStyle w:val="StyleUnderline"/>
          <w:sz w:val="14"/>
          <w:u w:val="none"/>
        </w:rPr>
        <w:t xml:space="preserve">, </w:t>
      </w:r>
      <w:r w:rsidRPr="00736E2D">
        <w:rPr>
          <w:rStyle w:val="StyleUnderline"/>
        </w:rPr>
        <w:t>Indigenous scholars have not always embraced the theory and it has been met with scepticism by some engaged in challenging colonialism</w:t>
      </w:r>
      <w:r w:rsidRPr="00736E2D">
        <w:rPr>
          <w:sz w:val="14"/>
        </w:rPr>
        <w:t xml:space="preserve">.4 This article seeks to make explicit SCT’s current location as a primarily settler framework, and to explore its strengths and limitations in this context. </w:t>
      </w:r>
      <w:r w:rsidRPr="00736E2D">
        <w:rPr>
          <w:rStyle w:val="StyleUnderline"/>
          <w:sz w:val="14"/>
          <w:u w:val="none"/>
        </w:rPr>
        <w:t>While we do not suggest that SCT can only ever be used by settlers,</w:t>
      </w:r>
      <w:r w:rsidRPr="00736E2D">
        <w:rPr>
          <w:rStyle w:val="StyleUnderline"/>
        </w:rPr>
        <w:t xml:space="preserve"> we frame our discussion in relation to the current political and theoretical dynamics of its use.</w:t>
      </w:r>
      <w:r w:rsidRPr="00736E2D">
        <w:rPr>
          <w:rStyle w:val="StyleUnderline"/>
          <w:sz w:val="14"/>
          <w:u w:val="none"/>
        </w:rPr>
        <w:t xml:space="preserve"> </w:t>
      </w:r>
      <w:r w:rsidRPr="00736E2D">
        <w:rPr>
          <w:sz w:val="14"/>
        </w:rPr>
        <w:t xml:space="preserve">In the Australian context, SCT is an appealing interpretive framework for academics seeking to understand the state’s increasingly coercive approach to Indigenous people. It has had a particularly significant presence in Australian academic debates over the Commonwealth </w:t>
      </w:r>
      <w:proofErr w:type="gramStart"/>
      <w:r w:rsidRPr="00736E2D">
        <w:rPr>
          <w:sz w:val="14"/>
        </w:rPr>
        <w:t>government’s</w:t>
      </w:r>
      <w:proofErr w:type="gramEnd"/>
      <w:r w:rsidRPr="00736E2D">
        <w:rPr>
          <w:sz w:val="14"/>
        </w:rPr>
        <w:t xml:space="preserve"> Northern Territory (NT) Emergency Response (widely known as ‘the intervention’). Adopted with bipartisan support in 2007 following allegations of widespread abuse of children in remote Aboriginal communities, the intervention involves the imposition of controversial and coercive measures such as racially based welfare quarantining, alcohol and pornography bans, and the imposition of compulsory leases over Aboriginal land. The policy essentially understands Aboriginal communities as ‘insufficiently colonised zones’,5 and its introduction required the suspension of the Racial Discrimination Act 1975. This pathologizing of Aboriginal communities links Aboriginality to child abuse, prescribes additional interaction with the state and mainstream economy, and establishes a political debate about the nature and future of Aboriginality in which Indigenous perspectives are problematized.6 Given the policy’s articulation through language of ‘stabilizing’ and ‘normalizing’ Aboriginal communities,7 as well as obvious resonances with previous policies of segregation and assimilation, it is not surprising that a range of scholars have found settler colonialism to be a compelling framework for analysis.8 The intervention has also sparked debate about the role of non‐Indigenous academics, and the ethical and political implications of contributions by ‘outsiders’ to questions concerning the experiences and futures of Aboriginal people.9 In this paper, we draw on recent Australian academic debates surrounding the NT intervention to assess the contributions of SCT and to investigate some of the ethical and political implications of its use.   We contend that </w:t>
      </w:r>
      <w:r w:rsidRPr="00B87549">
        <w:rPr>
          <w:rStyle w:val="StyleUnderline"/>
          <w:highlight w:val="yellow"/>
        </w:rPr>
        <w:t>SCT</w:t>
      </w:r>
      <w:r w:rsidRPr="00736E2D">
        <w:rPr>
          <w:rStyle w:val="StyleUnderline"/>
        </w:rPr>
        <w:t xml:space="preserve"> makes major contributions to current mainstream scholarship, but that its analytic and explanatory power also </w:t>
      </w:r>
      <w:r w:rsidRPr="00B87549">
        <w:rPr>
          <w:rStyle w:val="StyleUnderline"/>
          <w:highlight w:val="yellow"/>
        </w:rPr>
        <w:t>presents a range of political and ethical risks</w:t>
      </w:r>
      <w:r w:rsidRPr="00736E2D">
        <w:rPr>
          <w:rStyle w:val="StyleUnderline"/>
        </w:rPr>
        <w:t>. Exposing colonization as ‘a structure not an event’10 confronts settlers with an account of contemporary colonialism that is difficult to avoid, exposing underlying similarities between conservative and progressive approaches to contemporary Indigenous policy</w:t>
      </w:r>
      <w:r w:rsidRPr="00736E2D">
        <w:rPr>
          <w:sz w:val="14"/>
        </w:rPr>
        <w:t xml:space="preserve"> and revealing intimate connections between settler emotions, practices, knowledges and institutions. However, </w:t>
      </w:r>
      <w:r w:rsidRPr="00B87549">
        <w:rPr>
          <w:rStyle w:val="StyleUnderline"/>
          <w:highlight w:val="yellow"/>
        </w:rPr>
        <w:t>emphasizing continuities in colonial relationships</w:t>
      </w:r>
      <w:r w:rsidRPr="00736E2D">
        <w:rPr>
          <w:rStyle w:val="StyleUnderline"/>
        </w:rPr>
        <w:t xml:space="preserve"> between the past </w:t>
      </w:r>
      <w:r w:rsidRPr="00B87549">
        <w:rPr>
          <w:rStyle w:val="StyleUnderline"/>
          <w:highlight w:val="yellow"/>
        </w:rPr>
        <w:t>and</w:t>
      </w:r>
      <w:r w:rsidRPr="00736E2D">
        <w:rPr>
          <w:rStyle w:val="StyleUnderline"/>
        </w:rPr>
        <w:t xml:space="preserve"> the present </w:t>
      </w:r>
      <w:r w:rsidRPr="00B87549">
        <w:rPr>
          <w:rStyle w:val="StyleUnderline"/>
          <w:highlight w:val="yellow"/>
        </w:rPr>
        <w:t>can tend to construct existing political relationships as inevitable and unchanging</w:t>
      </w:r>
      <w:r w:rsidRPr="00736E2D">
        <w:rPr>
          <w:rStyle w:val="StyleUnderline"/>
        </w:rPr>
        <w:t>.</w:t>
      </w:r>
      <w:r w:rsidRPr="00736E2D">
        <w:rPr>
          <w:sz w:val="14"/>
        </w:rPr>
        <w:t xml:space="preserve"> When deployed with a neutral descriptive authority, </w:t>
      </w:r>
      <w:r w:rsidRPr="00B87549">
        <w:rPr>
          <w:rStyle w:val="StyleUnderline"/>
          <w:highlight w:val="yellow"/>
        </w:rPr>
        <w:t>SCT can also re‐inscribe settler academics’ political authority and re‐enact the foundational settler fantasy</w:t>
      </w:r>
      <w:r w:rsidRPr="00736E2D">
        <w:rPr>
          <w:rStyle w:val="StyleUnderline"/>
        </w:rPr>
        <w:t xml:space="preserve"> that we constitute, comprehend and control the whole political space of our relationships with Indigenous people.</w:t>
      </w:r>
      <w:r w:rsidRPr="00736E2D">
        <w:rPr>
          <w:sz w:val="14"/>
        </w:rPr>
        <w:t xml:space="preserve"> In order to counter this potential, we suggest that while settler ways of thinking structure and dominate much of our contemporary reality, they are not equivalent to it. </w:t>
      </w:r>
      <w:r w:rsidRPr="00736E2D">
        <w:rPr>
          <w:rStyle w:val="StyleUnderline"/>
        </w:rPr>
        <w:t>SCT makes visible our own frames of reference, thus revealing possibilities and political visions that lie outside them.</w:t>
      </w:r>
      <w:r w:rsidRPr="00736E2D">
        <w:rPr>
          <w:sz w:val="14"/>
        </w:rPr>
        <w:t xml:space="preserve"> From this standpoint, the fact that settler colonialism struggles to narrate its own ending does not mean that it cannot end. Ultimately, we contend that this approach has the potential to facilitate new conversations and relationships with Indigenous people but, in order to unlock this transformative potential, settler scholars must remain attentive to our own positions within colonial relationships.</w:t>
      </w:r>
    </w:p>
    <w:p w14:paraId="60698010" w14:textId="6AF0FD56" w:rsidR="00537DAD" w:rsidRDefault="00537DAD" w:rsidP="007F4547">
      <w:pPr>
        <w:pStyle w:val="Heading1"/>
      </w:pPr>
      <w:bookmarkStart w:id="0" w:name="_GoBack"/>
      <w:bookmarkEnd w:id="0"/>
      <w:r>
        <w:t>1NC OFF-CASE</w:t>
      </w:r>
    </w:p>
    <w:p w14:paraId="450D4182" w14:textId="5E150544" w:rsidR="0071387E" w:rsidRDefault="0071387E" w:rsidP="0071387E">
      <w:pPr>
        <w:pStyle w:val="Heading2"/>
      </w:pPr>
      <w:r>
        <w:t>1NC-Pain K</w:t>
      </w:r>
    </w:p>
    <w:p w14:paraId="37168052" w14:textId="0CDCC770" w:rsidR="00A51FB8" w:rsidRDefault="00866913" w:rsidP="00A51FB8">
      <w:pPr>
        <w:pStyle w:val="Heading4"/>
      </w:pPr>
      <w:r>
        <w:t xml:space="preserve">1. </w:t>
      </w:r>
      <w:r w:rsidR="00A51FB8">
        <w:t>The affirmative’s repres</w:t>
      </w:r>
      <w:r w:rsidR="00DA7B0E">
        <w:t xml:space="preserve">entation of the trauma felt by black and Latino people in education </w:t>
      </w:r>
      <w:r w:rsidR="00A51FB8">
        <w:t>is a form of ignoring context for true trauma and papers over local struggles felt by the people they try to help</w:t>
      </w:r>
    </w:p>
    <w:p w14:paraId="754587D4" w14:textId="6DC323C0" w:rsidR="00A51FB8" w:rsidRPr="00AA0248" w:rsidRDefault="00A51FB8" w:rsidP="00A51FB8">
      <w:pPr>
        <w:rPr>
          <w:rStyle w:val="Style13ptBold"/>
          <w:b w:val="0"/>
        </w:rPr>
      </w:pPr>
      <w:r>
        <w:rPr>
          <w:rStyle w:val="Style13ptBold"/>
        </w:rPr>
        <w:t xml:space="preserve">Andermahr 15 </w:t>
      </w:r>
      <w:r>
        <w:rPr>
          <w:rStyle w:val="Style13ptBold"/>
          <w:b w:val="0"/>
        </w:rPr>
        <w:t xml:space="preserve">(Sonya Andermahr, </w:t>
      </w:r>
      <w:r w:rsidRPr="00AA0248">
        <w:rPr>
          <w:rStyle w:val="Style13ptBold"/>
          <w:b w:val="0"/>
        </w:rPr>
        <w:t>School of the Arts, University of Northampton</w:t>
      </w:r>
      <w:r>
        <w:rPr>
          <w:rStyle w:val="Style13ptBold"/>
          <w:b w:val="0"/>
        </w:rPr>
        <w:t xml:space="preserve">, </w:t>
      </w:r>
      <w:r w:rsidRPr="00AA0248">
        <w:rPr>
          <w:rStyle w:val="Style13ptBold"/>
          <w:b w:val="0"/>
        </w:rPr>
        <w:t>“Decolonizing Trauma Studi</w:t>
      </w:r>
      <w:r>
        <w:rPr>
          <w:rStyle w:val="Style13ptBold"/>
          <w:b w:val="0"/>
        </w:rPr>
        <w:t xml:space="preserve">es: Trauma and Postcolonialism”, Humanities Vol. 4 Issue </w:t>
      </w:r>
      <w:proofErr w:type="gramStart"/>
      <w:r>
        <w:rPr>
          <w:rStyle w:val="Style13ptBold"/>
          <w:b w:val="0"/>
        </w:rPr>
        <w:t xml:space="preserve">4,  </w:t>
      </w:r>
      <w:r w:rsidRPr="00AA0248">
        <w:rPr>
          <w:rStyle w:val="Style13ptBold"/>
          <w:b w:val="0"/>
        </w:rPr>
        <w:t>http://www.mdpi.com/2076-0787/4/4/500/htm</w:t>
      </w:r>
      <w:proofErr w:type="gramEnd"/>
      <w:r w:rsidR="00310785">
        <w:rPr>
          <w:rStyle w:val="Style13ptBold"/>
          <w:b w:val="0"/>
        </w:rPr>
        <w:t>)</w:t>
      </w:r>
    </w:p>
    <w:p w14:paraId="0778B925" w14:textId="77777777" w:rsidR="00A51FB8" w:rsidRDefault="00A51FB8" w:rsidP="00A51FB8">
      <w:pPr>
        <w:rPr>
          <w:rStyle w:val="StyleUnderline"/>
        </w:rPr>
      </w:pPr>
      <w:r>
        <w:t xml:space="preserve">Drawing on the pioneering work of Frantz Fanon, and more recent theories of “insidious trauma” [8] and “postcolonial syndrome” [9] among others, Craps </w:t>
      </w:r>
      <w:r w:rsidRPr="00303F88">
        <w:rPr>
          <w:rStyle w:val="StyleUnderline"/>
        </w:rPr>
        <w:t>develops a supplementary model of trauma, which addresses the normative, quotidian, and persistent nature of racialized trauma. If the ethical aspirations of the field are to be realized, he concludes, there is an urgent need to decolonize trauma studies by recognizing the globalized contexts of traumatic events, the specific forms traumatic suffering takes, and the myriad ways in which it is represented in literary works. Eschewing neither psychoanalysis nor deconstruction, this model seeks to “take account of the specific social and historical contexts in which trauma narratives are produced and received, and be open and attentive to the diverse strategies of representation and resistance that these contexts invite or necessitate</w:t>
      </w:r>
      <w:r>
        <w:t xml:space="preserve">” ([1], p. 5). Such a decolonized trauma theory would, firstly, redress the marginalization of non-Western and minority traumas; secondly, it would challenge the supposed universal validity of Western definitions of trauma; thirdly, provide alternatives to dominant trauma aesthetics; and lastly, address the underexplored relationship between so-called First and Third World traumas. Work in comparative literature and memory studies has contributed significantly to the process of decolonizing trauma theory, particularly in this last respect. For example, the work of Michael Rothberg on ‘multidirectional memory’ provides an indispensable conceptual model for this kind of cross-cultural analysis. In his essay, “From Gaza to Warsaw”, Rothberg asks the salient question: ‘What </w:t>
      </w:r>
      <w:r w:rsidRPr="00303F88">
        <w:rPr>
          <w:rStyle w:val="StyleUnderline"/>
        </w:rPr>
        <w:t>happens when different histories of extreme violence confront each other in the public sphere?’ ([10], p. 523). His work is concerned with challenging the hierarchical and/or exclusivist approach to chronicling collective traumas—“either mine or yours”—and he is at pains to point out how, “Collective memories of seemingly distinct histories—such as those of slavery, the Holocaust, and colonialism—are not so easily separable.”</w:t>
      </w:r>
      <w:r>
        <w:t xml:space="preserve"> ([10], p. 524). In his earlier book, Multidirectional Memory, Rothberg developed the concept at length: </w:t>
      </w:r>
      <w:r w:rsidRPr="00303F88">
        <w:rPr>
          <w:rStyle w:val="StyleUnderline"/>
        </w:rPr>
        <w:t>Against the framework that understands collective memory as competitive memory—as a zero-sum struggle over scarce resources—I suggest that we consider memory as multidirectional: as subject to ongoing negotiation, cross-referencing, and borrowing; as productive and not private. […] This interaction of different historical memories illustrates the productive, intercultural dynamic that I call multidirectional memory</w:t>
      </w:r>
      <w:r>
        <w:t xml:space="preserve">. ([11], p. 3) In particular, </w:t>
      </w:r>
      <w:r w:rsidRPr="00303F88">
        <w:rPr>
          <w:rStyle w:val="Emphasis"/>
        </w:rPr>
        <w:t>he suggests the usefulness of the term for thinking about how minority subjects in the present come to terms with and think about their and our collective histories</w:t>
      </w:r>
      <w:r>
        <w:t xml:space="preserve">. In recent years, moreover, there have been a number of publications such as The Future of Trauma Theory [12] and Contemporary Approaches in Literary Trauma Theory [13] which seek to move beyond the dominant Eurocentric model of trauma theory, to explore </w:t>
      </w:r>
      <w:r w:rsidRPr="00303F88">
        <w:rPr>
          <w:rStyle w:val="StyleUnderline"/>
        </w:rPr>
        <w:t>the underexplored link between trauma and postcolonialism, and to suggest new avenues of research. This Special Issue aims to contribute to such a reshaping of the field. Its authors responded to the challenge to rethink trauma studies from a postcolonial and globalized perspective with gusto and ambition</w:t>
      </w:r>
      <w:r>
        <w:t xml:space="preserve">. They represent an international field of scholars working on a wide range of writers and artists from numerous postcolonial contexts. Of particular note is Irene Visser’s essay “Decolonizing Trauma Theory: Retrospects and Prospects”, which develops her work on the ongoing dialogue between trauma theory and postcolonialism, and sets out what she sees as the achievements and continuing challenges of the decolonizing project. In her view, an interrogation of Western secular modes of thought and a greater openness towards non-Western belief systems and indigenous healing rituals is required if trauma theory is to achieve its goal of inclusiveness. Dolores Herrero, another critic who has advocated a more socially nuanced and culturally-specific approach to trauma, also contributes to this Special Issue in an essay exploring the trauma of the ‘Stolen Generations’ through its representation in Jim Loach’s film Oranges and Sunshine (2010). In addition to the individual essays, this Special Issue includes the transcript of a round-table discussion that took place at the “Decolonizing Trauma Studies” Symposium held at the University of Northampton on 15 May 2015, which featured contributions from the Symposium’s three Keynote speakers: Professor Stef Craps from the University of Ghent), Professor Bryan Cheyette (University of Reading), and Dr Alan Gibbs (University College Cork) [14]. The speakers were asked to address five key questions facing contemporary trauma studies: (1) does trauma studies suffer from psychological universalism and what is the relationship between individual and collective traumas when we are discussing non-Western and minority cultural groups? (2) Are there signs that trauma studies </w:t>
      </w:r>
      <w:proofErr w:type="gramStart"/>
      <w:r>
        <w:t>is</w:t>
      </w:r>
      <w:proofErr w:type="gramEnd"/>
      <w:r>
        <w:t xml:space="preserve"> becoming less Eurocentric? (3) What are the implications and challenges of a decolonized trauma theory for our understanding of our own disciplines and their relations to others? (4) What are the implications for pedagogy particularly thinking around the ethics of detachment and identification? (5) How do you see the field of trauma studies developing in the future? In his contribution to the discussion, Alan Gibbs spoke engagingly about the increasingly compelling challenges, coming from a variety of voices, to the dominant model of trauma as it is encoded in the American Psychological Association’s definition of PTSD [15]. Gibbs underlined the point that not only is this model problematic in a postcolonial context but that it frequently fails to account for the range of traumas experienced by Western subjects within Western societies themselves. As </w:t>
      </w:r>
      <w:r w:rsidRPr="00310785">
        <w:rPr>
          <w:rStyle w:val="StyleUnderline"/>
        </w:rPr>
        <w:t>he argues in his book Contemporary American Trauma Narratives, the dominant trauma paradigm does not even adequately reflect or explain contemporary American contexts [16]. However, Gibbs is optimistic that the field of trauma studies is showing signs of moving in a new direction; in particular, he identifies a greater awareness of ‘the variety of manifestations of trauma’ and a greater “sensitivity to localized variations in causes and symptomatology and treatment and the representation of trauma”</w:t>
      </w:r>
      <w:r>
        <w:t xml:space="preserve"> [17]. </w:t>
      </w:r>
      <w:r w:rsidRPr="00303F88">
        <w:rPr>
          <w:rStyle w:val="StyleUnderline"/>
        </w:rPr>
        <w:t>In addressing the issue of the relationship between so-called Western and non-Western cultural traumas, Bryan Cheyette challenges the long-standing binary opposition between “the West and Rest”. He calls into question the oft-made assumption that the Holocaust is an exclusively European cultural trauma and argues, like Rothberg, for a more complex examination of the overlapping histories of anti-semitism and colonialism</w:t>
      </w:r>
      <w:r>
        <w:t>, including an exploration of the colonial precedents for the genocidal practices associated with the Holocaust. Cheyette also argued for the decolonization not just of trauma theory, but of all disciplinary subjects and all forms of cultural enquiry including postcolonial studies itself. In answering the central question about future directions of field, Stef Craps made the point that while work to date has done much to challenge the “</w:t>
      </w:r>
      <w:r w:rsidRPr="00303F88">
        <w:rPr>
          <w:rStyle w:val="StyleUnderline"/>
        </w:rPr>
        <w:t>inappropriateness and the injustice of applying western frameworks to a colonial or postcolonial situation” [18], scholars have been less concerned with producing a concrete alternative. For him, more work needs to be done on the practical development of alternatives to the dominant trauma discourse</w:t>
      </w:r>
      <w:r>
        <w:t xml:space="preserve">. As he comments, this requires “specialized knowledge of other cultures and languages, of the different media and forms of expression they use, and of local beliefs about suffering and healing” [18]. </w:t>
      </w:r>
      <w:r w:rsidRPr="00303F88">
        <w:rPr>
          <w:rStyle w:val="Emphasis"/>
        </w:rPr>
        <w:t xml:space="preserve">His view is echoed by the editors of another recent study of postcolonial trauma fiction, who argue that theory needs to be enriched by a knowledge of social context, combining “the psychological and the cultural, in an interdisciplinary approach that draws on psychoanalysis, sociology, philosophy, and history in the study of the aesthetic representation of trauma” </w:t>
      </w:r>
      <w:r>
        <w:t xml:space="preserve">([19], p. xiv). In </w:t>
      </w:r>
      <w:r w:rsidRPr="00303F88">
        <w:rPr>
          <w:rStyle w:val="Emphasis"/>
        </w:rPr>
        <w:t>other words, while trauma theory has undergone a transformation in the light of postcolonial critique, the challenge now is to apply these insights in our practice. This might in turn necessitate a shift in power from the (Western) metropolitan centers of academe to more localized sites of knowledge</w:t>
      </w:r>
      <w:r>
        <w:t xml:space="preserve">. The fact that this Special Issue includes contributors from non-Western locales is a sign that this work is at least underway. In his concluding remarks to the round-table discussion, Professor Craps refers to Michael Rothberg’s acknowledgement, in the preface to The Future of Trauma Theory, that </w:t>
      </w:r>
      <w:r w:rsidRPr="00303F88">
        <w:rPr>
          <w:rStyle w:val="Emphasis"/>
        </w:rPr>
        <w:t>trauma is not always the only or best lens for exploring complex global problems, let alone solving them. Therefore, while we undoubtedly need to “pluralize” and reconceptualise trauma theory, we also have to “recognise the limits of its applicability</w:t>
      </w:r>
      <w:r>
        <w:t xml:space="preserve">” [20]. With that caveat in mind, I am hopeful that this Special Issue demonstrates that the theoretical tools developed by trauma studies are capable of </w:t>
      </w:r>
      <w:r w:rsidRPr="00303F88">
        <w:rPr>
          <w:rStyle w:val="StyleUnderline"/>
        </w:rPr>
        <w:t>expanding our knowledge and understanding of the representation of individual and collective suffering of subjects experiencing heterogeneous kinds of trauma in a variety of post-colonial, non-Western and/or minority cultural contexts.</w:t>
      </w:r>
    </w:p>
    <w:p w14:paraId="5A3B0075" w14:textId="029583BB" w:rsidR="003B3425" w:rsidRPr="003B3425" w:rsidRDefault="00BE0762" w:rsidP="003B3425">
      <w:pPr>
        <w:pStyle w:val="Heading4"/>
        <w:rPr>
          <w:sz w:val="24"/>
          <w:szCs w:val="24"/>
        </w:rPr>
      </w:pPr>
      <w:r>
        <w:rPr>
          <w:rStyle w:val="StyleUnderline"/>
          <w:sz w:val="24"/>
          <w:szCs w:val="24"/>
          <w:u w:val="none"/>
        </w:rPr>
        <w:t xml:space="preserve">2. </w:t>
      </w:r>
      <w:r w:rsidR="003B3425">
        <w:t xml:space="preserve">The alternative is to speak from our social location by reclaiming the act of speaking:  our discourse is important for theorizing how social location affects imperialistic structures—key to empower both ourselves and the people the aff speaks about </w:t>
      </w:r>
    </w:p>
    <w:p w14:paraId="248D72C1" w14:textId="77777777" w:rsidR="003B3425" w:rsidRPr="003666C0" w:rsidRDefault="003B3425" w:rsidP="003B3425">
      <w:pPr>
        <w:rPr>
          <w:rStyle w:val="Style13ptBold"/>
          <w:b w:val="0"/>
        </w:rPr>
      </w:pPr>
      <w:r>
        <w:rPr>
          <w:rStyle w:val="Style13ptBold"/>
        </w:rPr>
        <w:t>Alcoff 92 (</w:t>
      </w:r>
      <w:r>
        <w:rPr>
          <w:rStyle w:val="Style13ptBold"/>
          <w:b w:val="0"/>
        </w:rPr>
        <w:t xml:space="preserve">Linda Alcoff, </w:t>
      </w:r>
      <w:r w:rsidRPr="003666C0">
        <w:rPr>
          <w:rStyle w:val="Style13ptBold"/>
          <w:b w:val="0"/>
        </w:rPr>
        <w:t xml:space="preserve">Cultural Critique, </w:t>
      </w:r>
      <w:r>
        <w:rPr>
          <w:rStyle w:val="Style13ptBold"/>
          <w:b w:val="0"/>
        </w:rPr>
        <w:t>No. 20 (Winter, 199l-1992),5-32, University of Minnesota Press) TSB</w:t>
      </w:r>
    </w:p>
    <w:p w14:paraId="61781F51" w14:textId="77777777" w:rsidR="003B3425" w:rsidRPr="00FD10A2" w:rsidRDefault="003B3425" w:rsidP="003B3425">
      <w:pPr>
        <w:rPr>
          <w:sz w:val="16"/>
        </w:rPr>
      </w:pPr>
      <w:r w:rsidRPr="003666C0">
        <w:rPr>
          <w:rStyle w:val="StyleUnderline"/>
        </w:rPr>
        <w:t xml:space="preserve">Spivak's arguments, however, suggest that the simple solution is not for the oppressed or less privileged to be able to speak for themselves, since their speech will not necessarily be either libera- tory or reflective of their "true interests," if such exist. I would agree with her here, yet it can still be argued, as I think she herself concludes, that ignoring the subaltern's or oppressed person's speech is "to continue the imperialist project" (298). But if a priv- ileging of the oppressed's speech cahnot be made on the grounds that its content will necessarily be liberator¡ it can be made on the grounds of the very act of speaking itself. </w:t>
      </w:r>
      <w:r w:rsidRPr="003666C0">
        <w:rPr>
          <w:rStyle w:val="Emphasis"/>
        </w:rPr>
        <w:t>Speaking constitutes a subject that challenges and subverts the opposition between the knowing agent and the object of knowledge, an opposition that is key in the reproduction of imperialist mode of discourse; the problem with speaking for others exists in the very structure itself that needs alteration</w:t>
      </w:r>
      <w:r w:rsidRPr="004021F0">
        <w:rPr>
          <w:sz w:val="16"/>
        </w:rPr>
        <w:t>. Rhetorical</w:t>
      </w:r>
      <w:r w:rsidRPr="004021F0">
        <w:rPr>
          <w:rStyle w:val="StyleUnderline"/>
        </w:rPr>
        <w:t xml:space="preserve"> discursive context, location of speakers and hearers, and so forth. When any of these elements is changed, a new evaluation is called for. </w:t>
      </w:r>
      <w:r w:rsidRPr="004021F0">
        <w:rPr>
          <w:sz w:val="16"/>
        </w:rPr>
        <w:t xml:space="preserve">Let me illustrate this by apnlying it to the examples I gave at the beginning. In </w:t>
      </w:r>
      <w:r w:rsidRPr="004021F0">
        <w:rPr>
          <w:rStyle w:val="StyleUnderline"/>
        </w:rPr>
        <w:t xml:space="preserve">the case of Cameron, if the effects of her books are truly disempowering for Native Canadian women, they áre counterproductive to Cameron's own stated intentions, and she should indeed "move over." In the case of the white male theorist who discussed architecture instead of the politics of postmodern- ism, the effect of his refusal was that he offered no contribution to an important issue and all of us there lost an opportunity to dis- cuss and explore it. Now let me turn to President Bush. When Bush claims that Noriega is a corrupt dictator who stands in the way of democracy in Panama, he repeats a claim that has been made almost word for word by the Opposition movement in Panama. Yet </w:t>
      </w:r>
      <w:r w:rsidRPr="004021F0">
        <w:rPr>
          <w:rStyle w:val="Emphasis"/>
        </w:rPr>
        <w:t>the effects of the two statements are vastly different because the full meaning of the claim changes radically depending on who states</w:t>
      </w:r>
      <w:r w:rsidRPr="004021F0">
        <w:rPr>
          <w:sz w:val="16"/>
        </w:rPr>
        <w:t xml:space="preserve"> it. </w:t>
      </w:r>
      <w:r w:rsidRPr="004021F0">
        <w:rPr>
          <w:rStyle w:val="StyleUnderline"/>
        </w:rPr>
        <w:t>When the president of the United States stands before the world passing judgement on a Third World government, and criticizingitofÌh€. basis of corruption and a lack of democrac¡ the full meaning of úl¿dr statement, as opposed to the Opposition's, is to reinforce the prominent Anglo view that Latin American corruption is the pri- mary cause of the region's poverty and lack of democracy, that the United States is on the side of democracy in the region, and that the United States condemns corruption and tyranny. Thus, the effect of the president's speaking for Latin America is to re- consolidate U.S. imperialism by obscuring its true role in the region in torturing and murdering hundreds and thousands of people who have tried to bring democratic and progressive gov- ernments into existence.</w:t>
      </w:r>
      <w:r w:rsidRPr="004021F0">
        <w:rPr>
          <w:sz w:val="16"/>
        </w:rPr>
        <w:t xml:space="preserve"> And this will continue to be its effect unless and until he radically alters U.S. foreign policy and admits its history of international mass murder.</w:t>
      </w:r>
    </w:p>
    <w:p w14:paraId="071C0D68" w14:textId="77777777" w:rsidR="003B3425" w:rsidRPr="003B3425" w:rsidRDefault="003B3425" w:rsidP="003B3425"/>
    <w:p w14:paraId="34D5303F" w14:textId="77777777" w:rsidR="00BE0762" w:rsidRPr="00BE0762" w:rsidRDefault="00BE0762" w:rsidP="00BE0762"/>
    <w:p w14:paraId="7332F019" w14:textId="77777777" w:rsidR="003136F6" w:rsidRDefault="003136F6" w:rsidP="00A51FB8">
      <w:pPr>
        <w:rPr>
          <w:rStyle w:val="StyleUnderline"/>
        </w:rPr>
      </w:pPr>
    </w:p>
    <w:p w14:paraId="6022EE22" w14:textId="77777777" w:rsidR="00A51FB8" w:rsidRPr="00A51FB8" w:rsidRDefault="00A51FB8" w:rsidP="00A51FB8"/>
    <w:p w14:paraId="261A6803" w14:textId="58532087" w:rsidR="0071387E" w:rsidRDefault="0071387E" w:rsidP="0071387E">
      <w:pPr>
        <w:pStyle w:val="Heading2"/>
      </w:pPr>
      <w:r>
        <w:t>1NC-</w:t>
      </w:r>
      <w:r w:rsidR="00DA7B0E">
        <w:t>Cap Link</w:t>
      </w:r>
    </w:p>
    <w:p w14:paraId="38FA1FB6" w14:textId="0CDBCF42" w:rsidR="00DA7B0E" w:rsidRDefault="00866913" w:rsidP="00DA7B0E">
      <w:pPr>
        <w:pStyle w:val="Heading4"/>
      </w:pPr>
      <w:r>
        <w:t xml:space="preserve">1. </w:t>
      </w:r>
      <w:r w:rsidR="00DA7B0E">
        <w:t>Decolonization should be frames in terms of class struggle---prerequisite to Native American agency and subjectivity</w:t>
      </w:r>
    </w:p>
    <w:p w14:paraId="6E9F55FE" w14:textId="77777777" w:rsidR="00DA7B0E" w:rsidRPr="003D0AE8" w:rsidRDefault="00DA7B0E" w:rsidP="00DA7B0E">
      <w:pPr>
        <w:rPr>
          <w:sz w:val="16"/>
          <w:szCs w:val="16"/>
        </w:rPr>
      </w:pPr>
      <w:r>
        <w:rPr>
          <w:rStyle w:val="Style13ptBold"/>
        </w:rPr>
        <w:t xml:space="preserve">Rose 16 </w:t>
      </w:r>
      <w:r>
        <w:rPr>
          <w:rStyle w:val="Style13ptBold"/>
          <w:b w:val="0"/>
        </w:rPr>
        <w:t>(</w:t>
      </w:r>
      <w:r w:rsidRPr="00EF2E7C">
        <w:rPr>
          <w:rStyle w:val="Style13ptBold"/>
          <w:b w:val="0"/>
          <w:sz w:val="16"/>
          <w:szCs w:val="16"/>
        </w:rPr>
        <w:t>Samuel Rose, Researcher at University of Buffalo, “Marxism, indigenism, and the anthropology of Native North America: divergence a</w:t>
      </w:r>
      <w:r>
        <w:rPr>
          <w:rStyle w:val="Style13ptBold"/>
          <w:b w:val="0"/>
          <w:sz w:val="16"/>
          <w:szCs w:val="16"/>
        </w:rPr>
        <w:t>nd a possible future”, pp. 26-28</w:t>
      </w:r>
      <w:r w:rsidRPr="00EF2E7C">
        <w:rPr>
          <w:rStyle w:val="Style13ptBold"/>
          <w:b w:val="0"/>
          <w:sz w:val="16"/>
          <w:szCs w:val="16"/>
        </w:rPr>
        <w:t>, September 14 2016) TSB</w:t>
      </w:r>
    </w:p>
    <w:p w14:paraId="71B2D90C" w14:textId="77777777" w:rsidR="00DA7B0E" w:rsidRPr="00A36ABF" w:rsidRDefault="00DA7B0E" w:rsidP="00DA7B0E">
      <w:pPr>
        <w:rPr>
          <w:sz w:val="14"/>
        </w:rPr>
      </w:pPr>
      <w:r w:rsidRPr="003D0AE8">
        <w:rPr>
          <w:rStyle w:val="StyleUnderline"/>
        </w:rPr>
        <w:t xml:space="preserve">Marxist theory, and in particular the neotribal capitalism concept, allows one to make sense of this situation. Accomplished and implemented through a brokerage process with settler-colonial governments, the reorganization of indigenous political economies along the lines of business corporations (and in North America also including capitalist governments resembling small liberal republics) provided indigenous peoples with a bulwark against dispossession by outside forces. However, </w:t>
      </w:r>
      <w:r w:rsidRPr="003D0AE8">
        <w:rPr>
          <w:rStyle w:val="Emphasis"/>
        </w:rPr>
        <w:t>it accomplished this through internal dispossession: It provided indige- nous elites with the structural means to dispossess their own people from independent access to collective resources</w:t>
      </w:r>
      <w:r w:rsidRPr="00A36ABF">
        <w:rPr>
          <w:sz w:val="14"/>
        </w:rPr>
        <w:t xml:space="preserve">. </w:t>
      </w:r>
      <w:r w:rsidRPr="003D0AE8">
        <w:rPr>
          <w:rStyle w:val="Emphasis"/>
        </w:rPr>
        <w:t>It functionally dispossessed people from what they still nominally own</w:t>
      </w:r>
      <w:r w:rsidRPr="00A36ABF">
        <w:rPr>
          <w:sz w:val="14"/>
        </w:rPr>
        <w:t>. This is demonstrated masterfully by Dombrowski (2001, 2014) in his work on Southeast Alaska. It brought about new forms of dependency wherein, regardless of the relative wealth or impoverishment of an individual neotribe, the aim is to make their citizens dependent on the neotribes for all of the basic means of making a life including employment (either in tribal government or tribally owned businesses) and the provision of various social welfare programs provided directly by these governments.</w:t>
      </w:r>
    </w:p>
    <w:p w14:paraId="753D9139" w14:textId="77777777" w:rsidR="00DA7B0E" w:rsidRPr="00A36ABF" w:rsidRDefault="00DA7B0E" w:rsidP="00DA7B0E">
      <w:pPr>
        <w:rPr>
          <w:sz w:val="14"/>
        </w:rPr>
      </w:pPr>
      <w:r w:rsidRPr="00A36ABF">
        <w:rPr>
          <w:sz w:val="14"/>
        </w:rPr>
        <w:t>T</w:t>
      </w:r>
      <w:r w:rsidRPr="003D0AE8">
        <w:rPr>
          <w:rStyle w:val="StyleUnderline"/>
        </w:rPr>
        <w:t xml:space="preserve">his shift for the indigenous citizenry from dependency on ‘‘outside’’ actors to dependency on the neotribes is then lauded as liberatory and decolonizing. </w:t>
      </w:r>
      <w:r w:rsidRPr="00A36ABF">
        <w:rPr>
          <w:sz w:val="14"/>
        </w:rPr>
        <w:t xml:space="preserve">These formally collective resources are used for commodity production and other profit- making ventures, and often eventually in collaboration with other capitalist firms. </w:t>
      </w:r>
      <w:r w:rsidRPr="003D0AE8">
        <w:rPr>
          <w:rStyle w:val="Emphasis"/>
        </w:rPr>
        <w:t>Though ideologically a bulwark against the exploitation of indigenous-owned resources by ‘‘outside’’ entities, the operation of neotribal capitalism, and its neotraditionalist ideology, ends up providing a different means of facilitating exploitation and accumulation</w:t>
      </w:r>
      <w:r w:rsidRPr="00A36ABF">
        <w:rPr>
          <w:sz w:val="14"/>
        </w:rPr>
        <w:t xml:space="preserve"> (and increasingly intensified accumulation) by outsiders </w:t>
      </w:r>
      <w:r w:rsidRPr="003D0AE8">
        <w:rPr>
          <w:rStyle w:val="StyleUnderline"/>
        </w:rPr>
        <w:t>via collaborative partnerships and joint ventures between neotribes and other capitalist firms, which is framed and understood as empowering, liberatory, and decolonizing because it nominally affirms the sovereignty of the neotribes</w:t>
      </w:r>
      <w:r w:rsidRPr="00A36ABF">
        <w:rPr>
          <w:sz w:val="14"/>
        </w:rPr>
        <w:t xml:space="preserve"> (Rose 2014: 383–384).</w:t>
      </w:r>
    </w:p>
    <w:p w14:paraId="55F93F40" w14:textId="77777777" w:rsidR="00DA7B0E" w:rsidRPr="003D0AE8" w:rsidRDefault="00DA7B0E" w:rsidP="00DA7B0E">
      <w:pPr>
        <w:rPr>
          <w:rStyle w:val="Emphasis"/>
        </w:rPr>
      </w:pPr>
      <w:r w:rsidRPr="00A36ABF">
        <w:rPr>
          <w:sz w:val="14"/>
        </w:rPr>
        <w:t xml:space="preserve">These are frustrating contradictions, but they are fundamental and pervasive in indigenist framings of actually existing indigenous peoples, and it has not seen significant change over this timeframe. </w:t>
      </w:r>
      <w:r w:rsidRPr="003D0AE8">
        <w:rPr>
          <w:rStyle w:val="Emphasis"/>
        </w:rPr>
        <w:t>These contradictions are especially damaging to the indigenist cause because of their role in the co-optation of the populism of indigenism</w:t>
      </w:r>
      <w:r w:rsidRPr="00A36ABF">
        <w:rPr>
          <w:sz w:val="14"/>
        </w:rPr>
        <w:t xml:space="preserve">. By adopting this rhetoric of continuity, </w:t>
      </w:r>
      <w:r w:rsidRPr="003D0AE8">
        <w:rPr>
          <w:rStyle w:val="Emphasis"/>
        </w:rPr>
        <w:t>internal and external capitalist forces have been able to further implement the institutionalization and development of capitalism within indigenous societies (and exacerbate local inequalities) while</w:t>
      </w:r>
    </w:p>
    <w:p w14:paraId="55FC6AB7" w14:textId="77777777" w:rsidR="00DA7B0E" w:rsidRPr="008F13C2" w:rsidRDefault="00DA7B0E" w:rsidP="00DA7B0E">
      <w:pPr>
        <w:rPr>
          <w:rStyle w:val="Emphasis"/>
        </w:rPr>
      </w:pPr>
      <w:r w:rsidRPr="003D0AE8">
        <w:rPr>
          <w:rStyle w:val="Emphasis"/>
        </w:rPr>
        <w:t>maintaining the ideological cover of indigenous communitarian continuity</w:t>
      </w:r>
      <w:r w:rsidRPr="00A36ABF">
        <w:rPr>
          <w:sz w:val="14"/>
        </w:rPr>
        <w:t>. That is exactly the idea that Rata (2000: 33) describes when she says that ‘‘</w:t>
      </w:r>
      <w:r w:rsidRPr="003D0AE8">
        <w:rPr>
          <w:rStyle w:val="StyleUnderline"/>
        </w:rPr>
        <w:t>class relations of production are reified as communal social relations of production</w:t>
      </w:r>
      <w:r w:rsidRPr="00A36ABF">
        <w:rPr>
          <w:sz w:val="14"/>
        </w:rPr>
        <w:t xml:space="preserve">.’’ Delving into all of the differences of Marxism and indigenism, and especially with the failures and shortcomings of indigenism as a political movement, is clearly beyond the scope of this article. However, I included a brief discussion of these issues because they illuminate some of the key flaws of </w:t>
      </w:r>
      <w:r w:rsidRPr="008F13C2">
        <w:rPr>
          <w:rStyle w:val="Emphasis"/>
        </w:rPr>
        <w:t>indigenist frameworks and how their idealism, divorced from actually existing structural and material concerns and conditions, could be co-opted by capitalism—and thus demonstrating the need for Marxist perspectives in analyzing Native North America.</w:t>
      </w:r>
    </w:p>
    <w:p w14:paraId="4F96E0F8" w14:textId="77777777" w:rsidR="00DA7B0E" w:rsidRPr="00A36ABF" w:rsidRDefault="00DA7B0E" w:rsidP="00DA7B0E">
      <w:pPr>
        <w:rPr>
          <w:sz w:val="14"/>
        </w:rPr>
      </w:pPr>
      <w:r w:rsidRPr="00A36ABF">
        <w:rPr>
          <w:sz w:val="14"/>
        </w:rPr>
        <w:t xml:space="preserve">The analytical power of </w:t>
      </w:r>
      <w:r w:rsidRPr="008F13C2">
        <w:rPr>
          <w:rStyle w:val="StyleUnderline"/>
        </w:rPr>
        <w:t>neotribal capitalism is that it obliterates these indigenist- idealist obfuscations, and lays bare the structural principles upon which these social formations operate.</w:t>
      </w:r>
      <w:r w:rsidRPr="00A36ABF">
        <w:rPr>
          <w:sz w:val="14"/>
        </w:rPr>
        <w:t xml:space="preserve"> It demonstrates clearly that these principles and this economic base represent not mere aberrations or even articulations with the capitalist mode of production, but instead are full manifestations of capitalism. In emphasizing this point, Schro ̈der (2003: 451) states that ‘‘</w:t>
      </w:r>
      <w:r w:rsidRPr="008F13C2">
        <w:rPr>
          <w:rStyle w:val="StyleUnderline"/>
        </w:rPr>
        <w:t>only a political economic approach enables us to critically engage this social reality without continuing to exoticize [American] Indians.’</w:t>
      </w:r>
      <w:r w:rsidRPr="00A36ABF">
        <w:rPr>
          <w:sz w:val="14"/>
        </w:rPr>
        <w:t xml:space="preserve">’ </w:t>
      </w:r>
      <w:r w:rsidRPr="008F13C2">
        <w:rPr>
          <w:rStyle w:val="StyleUnderline"/>
        </w:rPr>
        <w:t>Even scholars who wish to emphasize ideas of agency and subjectivities in their work need to come to terms with the structural and material realities that actually produce and shape subjectivities and constrain and direct the agency of indigenous peoples: How people make a life under conditions not of their own choosing</w:t>
      </w:r>
      <w:r w:rsidRPr="00A36ABF">
        <w:rPr>
          <w:sz w:val="14"/>
        </w:rPr>
        <w:t xml:space="preserve">. The advantage to the application of Marxist concepts like neotribal capitalism over that of the spiritualism-idealism of even the most radical of indigenists is that their approach still necessarily romanticizes and exoticizes the indigenous past and present. </w:t>
      </w:r>
      <w:r w:rsidRPr="008F13C2">
        <w:rPr>
          <w:rStyle w:val="StyleUnderline"/>
        </w:rPr>
        <w:t>The capacity for real class analysis eludes the indigenists be</w:t>
      </w:r>
      <w:r w:rsidRPr="008F13C2">
        <w:rPr>
          <w:rStyle w:val="Emphasis"/>
        </w:rPr>
        <w:t>cause class cannot be observed (and is in fact obscured) by the conceptual lenses of idealism and the tendency toward exoticism and romanticism</w:t>
      </w:r>
      <w:r w:rsidRPr="00A36ABF">
        <w:rPr>
          <w:sz w:val="14"/>
        </w:rPr>
        <w:t>. Some might view what I am saying as a condemnation of indigenous peoples: That I am supposedly advocating for the disempowerment of indigenous peoples in stating the need to come to terms with and better theorize the materiality that has shaped the lives of indigenous peoples in the past and present. However, as Moore (1993a: 15) reminds us</w:t>
      </w:r>
    </w:p>
    <w:p w14:paraId="6A4178E9" w14:textId="77777777" w:rsidR="00DA7B0E" w:rsidRPr="00213CE8" w:rsidRDefault="00DA7B0E" w:rsidP="00DA7B0E">
      <w:pPr>
        <w:rPr>
          <w:rStyle w:val="Emphasis"/>
        </w:rPr>
      </w:pPr>
      <w:r w:rsidRPr="00213CE8">
        <w:rPr>
          <w:rStyle w:val="Emphasis"/>
        </w:rPr>
        <w:t>...Native American history is best understood not as a cultural conflict between Indians and European invaders, but as an economic conflict between precapitalist or communal modes of production and capitalist modes. That is, the most important fact about the invasion of North America is not so much that they were European foreigners, but that they were capitalist foreigners. It was the capitalist mode of production which determined the form of the conflict, not religion, culture or ethnicity. (emphasis in original)</w:t>
      </w:r>
    </w:p>
    <w:p w14:paraId="6CC87548" w14:textId="77777777" w:rsidR="00DA7B0E" w:rsidRPr="00A36ABF" w:rsidRDefault="00DA7B0E" w:rsidP="00DA7B0E">
      <w:pPr>
        <w:rPr>
          <w:sz w:val="14"/>
        </w:rPr>
      </w:pPr>
      <w:r w:rsidRPr="00A36ABF">
        <w:rPr>
          <w:sz w:val="14"/>
        </w:rPr>
        <w:t xml:space="preserve">To that, I would add the emphasis that it </w:t>
      </w:r>
      <w:r w:rsidRPr="00213CE8">
        <w:rPr>
          <w:rStyle w:val="Emphasis"/>
        </w:rPr>
        <w:t>is still the capitalist mode of production that determines the relations and workings within indigenous societies as well as their relations and conflicts with settler-colonial societies</w:t>
      </w:r>
      <w:r w:rsidRPr="00A36ABF">
        <w:rPr>
          <w:sz w:val="14"/>
        </w:rPr>
        <w:t xml:space="preserve">. As Clemmer (1995: 307) </w:t>
      </w:r>
      <w:r w:rsidRPr="00213CE8">
        <w:rPr>
          <w:rStyle w:val="StyleUnderline"/>
        </w:rPr>
        <w:t>states ‘‘acknowledging this point does not eliminate the possibilities of [native peoples] pursuing their own goals.’</w:t>
      </w:r>
      <w:r w:rsidRPr="00A36ABF">
        <w:rPr>
          <w:sz w:val="14"/>
        </w:rPr>
        <w:t xml:space="preserve">’ Rather, I believe the opposite is true: Native peoples are unlikely to be able to genuinely pursue their own goals without coming to terms socially, politically, and ideologically with the </w:t>
      </w:r>
    </w:p>
    <w:p w14:paraId="614847E9" w14:textId="77777777" w:rsidR="00DA7B0E" w:rsidRPr="00A36ABF" w:rsidRDefault="00DA7B0E" w:rsidP="00DA7B0E">
      <w:pPr>
        <w:rPr>
          <w:sz w:val="14"/>
        </w:rPr>
      </w:pPr>
      <w:r w:rsidRPr="00A36ABF">
        <w:rPr>
          <w:sz w:val="14"/>
        </w:rPr>
        <w:t xml:space="preserve"> realities of capitalism. </w:t>
      </w:r>
      <w:r w:rsidRPr="00213CE8">
        <w:rPr>
          <w:rStyle w:val="Emphasis"/>
        </w:rPr>
        <w:t>Acknowledging these structural and material dimensions would not only improve scholarly analysis, but also contribute to furthering the potential of radical indigenous movements, improve the livelihoods of the majority of indigenous people, and provide the grounds on which connections of solidarity could be built between indigenous and non-indigenous peoples along the lines of an expanded class analysis (</w:t>
      </w:r>
      <w:r w:rsidRPr="00A36ABF">
        <w:rPr>
          <w:sz w:val="14"/>
        </w:rPr>
        <w:t>Kalb 1998; Carrier and Kalb 2015).</w:t>
      </w:r>
    </w:p>
    <w:p w14:paraId="2CFBA01E" w14:textId="77777777" w:rsidR="00DA7B0E" w:rsidRPr="00A36ABF" w:rsidRDefault="00DA7B0E" w:rsidP="00DA7B0E">
      <w:pPr>
        <w:rPr>
          <w:sz w:val="14"/>
        </w:rPr>
      </w:pPr>
      <w:r w:rsidRPr="00213CE8">
        <w:rPr>
          <w:rStyle w:val="StyleUnderline"/>
        </w:rPr>
        <w:t xml:space="preserve">This capacity for engaging in class analysis within contemporary actually existing indigenous societies in order to attain a more substantive grasp of the workings of these social formations and the forces that have shaped and transformed them in the past and present is perhaps the most significant reason in support of the relevance of Marxism to the anthropology of Native North America. </w:t>
      </w:r>
      <w:r w:rsidRPr="00213CE8">
        <w:rPr>
          <w:rStyle w:val="Emphasis"/>
        </w:rPr>
        <w:t>Neotribal capitalism is a clear and concise manner of describing the actually existing structure and operation of indigenous societies in settler-colonial contexts within the neoliberal era. The concept (and Marxist analysis more broadly) provides for insight into and explanations for phenomena occurring within these societies that would otherwise be obscured and mystified by the theoretical limitations of idealism and postmodernism.</w:t>
      </w:r>
    </w:p>
    <w:p w14:paraId="64E825AC" w14:textId="77777777" w:rsidR="00DA7B0E" w:rsidRPr="00DA7B0E" w:rsidRDefault="00DA7B0E" w:rsidP="00DA7B0E"/>
    <w:p w14:paraId="6777FB29" w14:textId="400E9A28" w:rsidR="0071387E" w:rsidRDefault="0071387E" w:rsidP="0071387E">
      <w:pPr>
        <w:pStyle w:val="Heading2"/>
      </w:pPr>
      <w:r>
        <w:t>1NC-</w:t>
      </w:r>
      <w:r w:rsidR="00E955B4">
        <w:t xml:space="preserve">Reform </w:t>
      </w:r>
      <w:r>
        <w:t>Cultural Education CP</w:t>
      </w:r>
    </w:p>
    <w:p w14:paraId="225567BC" w14:textId="67AAD9F6" w:rsidR="00213CD3" w:rsidRDefault="00866913" w:rsidP="00213CD3">
      <w:pPr>
        <w:pStyle w:val="Heading4"/>
      </w:pPr>
      <w:r>
        <w:t xml:space="preserve">1. </w:t>
      </w:r>
      <w:r w:rsidR="00213CD3">
        <w:t xml:space="preserve">Text: The United States Federal Government should reform evidence based education to develop research for foreign language </w:t>
      </w:r>
    </w:p>
    <w:p w14:paraId="4179672C" w14:textId="20789B0B" w:rsidR="00213CD3" w:rsidRDefault="00866913" w:rsidP="00213CD3">
      <w:pPr>
        <w:pStyle w:val="Heading4"/>
      </w:pPr>
      <w:r>
        <w:t xml:space="preserve">2. </w:t>
      </w:r>
      <w:r w:rsidR="00213CD3">
        <w:t>Solves—easiest for multicultural education</w:t>
      </w:r>
    </w:p>
    <w:p w14:paraId="6977CE96" w14:textId="77777777" w:rsidR="00213CD3" w:rsidRPr="00284D7E" w:rsidRDefault="00213CD3" w:rsidP="00213CD3">
      <w:pPr>
        <w:rPr>
          <w:rStyle w:val="Style13ptBold"/>
          <w:b w:val="0"/>
        </w:rPr>
      </w:pPr>
      <w:r>
        <w:rPr>
          <w:rStyle w:val="Style13ptBold"/>
        </w:rPr>
        <w:t>Slavin 10 (</w:t>
      </w:r>
      <w:r w:rsidRPr="003869AC">
        <w:rPr>
          <w:rStyle w:val="Style13ptBold"/>
          <w:b w:val="0"/>
          <w:sz w:val="16"/>
          <w:szCs w:val="16"/>
        </w:rPr>
        <w:t xml:space="preserve">Robert Slavin is director of the Center for Research and Reform in Education at Johns Hopkins University, a part-time professor at the Institute for Effective Education at the University of York (England), and chairman of the Success for All Foundation. He received his B.A. in psychology from Reed College in 1972 and his Ph.D. in social relations in 1975 from Johns Hopkins University, .”Evidence Based Reform in Education”, </w:t>
      </w:r>
      <w:hyperlink r:id="rId16" w:history="1">
        <w:r w:rsidRPr="003869AC">
          <w:rPr>
            <w:rStyle w:val="Hyperlink"/>
            <w:sz w:val="16"/>
            <w:szCs w:val="16"/>
          </w:rPr>
          <w:t>http://citeseerx.ist.psu.edu/viewdoc/download?doi=10.1.1.939.294&amp;rep=rep1&amp;type=pdf</w:t>
        </w:r>
      </w:hyperlink>
      <w:r w:rsidRPr="003869AC">
        <w:rPr>
          <w:rStyle w:val="Style13ptBold"/>
          <w:b w:val="0"/>
          <w:sz w:val="16"/>
          <w:szCs w:val="16"/>
        </w:rPr>
        <w:t>) TSB</w:t>
      </w:r>
    </w:p>
    <w:p w14:paraId="343D34E6" w14:textId="77777777" w:rsidR="00213CD3" w:rsidRDefault="00213CD3" w:rsidP="00213CD3">
      <w:pPr>
        <w:rPr>
          <w:rStyle w:val="StyleUnderline"/>
        </w:rPr>
      </w:pPr>
      <w:r w:rsidRPr="003869AC">
        <w:rPr>
          <w:rStyle w:val="StyleUnderline"/>
        </w:rPr>
        <w:t>The design competition process that produced comprehensive school reform models could be applied to any subject and grade level. Imagine design teams working on the design and evaluation of programs capable of accelerating achievement in beginning reading, primary mathematics, algebra, and science, dropout-prevention, early childhood, and so on</w:t>
      </w:r>
      <w:r w:rsidRPr="003869AC">
        <w:rPr>
          <w:sz w:val="16"/>
        </w:rPr>
        <w:t>. In each case the goal would be to build on the best that currently exists, and to end up with numerous programs, all of which have been proven to increase achievement</w:t>
      </w:r>
      <w:r w:rsidRPr="003869AC">
        <w:rPr>
          <w:rStyle w:val="StyleUnderline"/>
        </w:rPr>
        <w:t xml:space="preserve">. These programs could be highly diverse. Some would involve technology, others not. Some would require extensive training, others less so. Some would challenge current conceptions of </w:t>
      </w:r>
      <w:proofErr w:type="gramStart"/>
      <w:r w:rsidRPr="003869AC">
        <w:rPr>
          <w:rStyle w:val="StyleUnderline"/>
        </w:rPr>
        <w:t>curriculum,</w:t>
      </w:r>
      <w:proofErr w:type="gramEnd"/>
      <w:r w:rsidRPr="003869AC">
        <w:rPr>
          <w:rStyle w:val="StyleUnderline"/>
        </w:rPr>
        <w:t xml:space="preserve"> others might be traditional. All that matters is that they are proven effective and are replicable in many schools</w:t>
      </w:r>
      <w:r w:rsidRPr="003869AC">
        <w:rPr>
          <w:sz w:val="16"/>
        </w:rPr>
        <w:t xml:space="preserve">. Evidence-Based Reform in Education A key issue in the design competition process is the design of the evaluation. Evaluations should use random assignment to conditions, should use national or state assessments as their outcome measures, and should be large enough (at least 10 schools) to avoid idiosyncrasies due to particular schools. </w:t>
      </w:r>
      <w:r w:rsidRPr="003869AC">
        <w:rPr>
          <w:rStyle w:val="StyleUnderline"/>
        </w:rPr>
        <w:t>The programs should be implemented under the realistic conditions that will exist in practice, without extra attention or non-replicable conditions. The evaluations may be done by developers or by third parties, but under close observation by the funding agency</w:t>
      </w:r>
      <w:r w:rsidRPr="003869AC">
        <w:rPr>
          <w:sz w:val="16"/>
        </w:rPr>
        <w:t xml:space="preserve">. This is the type of evaluation used, for example, in studies of the PROGRESA (now Oportunidades) financial incentive approach in Mexico (ATTANSIO, MEGHIR, &amp; SANTIAGO, 2005) and similar programs in Colombia, Ecuador, Costa Rica, and other countries see (SLAVIN, 2010). 4. REVIEWING WHAT WORKS Educators and policy makers need to have scientifically valid, fair, and clearly written summaries of the strength of the research evidence showing the effectiveness of education programs. </w:t>
      </w:r>
      <w:r w:rsidRPr="003869AC">
        <w:rPr>
          <w:rStyle w:val="StyleUnderline"/>
        </w:rPr>
        <w:t>Educators are unlikely to take the time to try to weigh competing evidence from many evaluations. They need information they can rely on in a summative form. There are several practical reviews of research on educational programs.</w:t>
      </w:r>
      <w:r w:rsidRPr="003869AC">
        <w:rPr>
          <w:sz w:val="16"/>
        </w:rPr>
        <w:t xml:space="preserve"> My colleagues and I have created one of the largest review project in education, the Best Evidence Encyclopedia (www.bestevidence.org), or the BEE. It reviews research on programs and practices for elementary and secondary schools. </w:t>
      </w:r>
      <w:r w:rsidRPr="003869AC">
        <w:rPr>
          <w:rStyle w:val="StyleUnderline"/>
        </w:rPr>
        <w:t>The BEE contains brief “educator’s summaries” in each area as well as full-scale reviews. It currently has extensive reviews in mathematics</w:t>
      </w:r>
      <w:r w:rsidRPr="003869AC">
        <w:rPr>
          <w:sz w:val="16"/>
        </w:rPr>
        <w:t xml:space="preserve"> (SLAVIN &amp; LAKE, 2008; SLAVIN, LAKE, &amp; GROFF, 2009), elementary reading (SLAVIN et al., 2009;) secondary reading (SLAVIN et al., 2008), programs for struggling readers (SLAVIN et al., in press), early childhood education (CHAMBERS et al., 2010), and comprehensive school reform (CSRQ, 2006a, b). Almost all of the full reports have also been published in selective journals, which provides an external check on the scientific value of the reviews. Other US review projects include the What Works Clearinghouse (www.whatworks.gov), Social Programs that Work (www.evidencebasedprograms.org), the Comprehensive School Reform Quality Center (www.csrq.org), and the Promising Practices Network (www.promisingpractices.net). The Best Evidence Encyclopedia links to 36 the education sections of other web sites, and is trying to facilitate access to reviews of research in education from all sources. </w:t>
      </w:r>
      <w:r w:rsidRPr="003869AC">
        <w:rPr>
          <w:rStyle w:val="StyleUnderline"/>
        </w:rPr>
        <w:t>Although there are controversies and difficulties in program effectiveness reviews (see Slavin, 2008c), this enterprise is moving forward rapidly on many fronts, and within a few years it is likely that there will be multiple</w:t>
      </w:r>
      <w:r w:rsidRPr="003869AC">
        <w:rPr>
          <w:sz w:val="16"/>
        </w:rPr>
        <w:t xml:space="preserve"> </w:t>
      </w:r>
      <w:r w:rsidRPr="003869AC">
        <w:rPr>
          <w:rStyle w:val="StyleUnderline"/>
        </w:rPr>
        <w:t>high-quality, reliable reviews available to English- speaking educators and policymakers. A similar approach could review research on programs and practices available to Spanish-speaking educators.</w:t>
      </w:r>
    </w:p>
    <w:p w14:paraId="4444E6C2" w14:textId="77777777" w:rsidR="00213CD3" w:rsidRPr="00213CD3" w:rsidRDefault="00213CD3" w:rsidP="00213CD3"/>
    <w:p w14:paraId="0A505F6C" w14:textId="107AF141" w:rsidR="0071387E" w:rsidRDefault="0071387E" w:rsidP="0071387E">
      <w:pPr>
        <w:pStyle w:val="Heading2"/>
      </w:pPr>
      <w:r>
        <w:t>1NC-Local Based Solutions CP</w:t>
      </w:r>
    </w:p>
    <w:p w14:paraId="2B231E51" w14:textId="4DE0C552" w:rsidR="00213CD3" w:rsidRPr="00213CD3" w:rsidRDefault="00866913" w:rsidP="00213CD3">
      <w:pPr>
        <w:pStyle w:val="Heading4"/>
      </w:pPr>
      <w:r>
        <w:t xml:space="preserve">1. </w:t>
      </w:r>
      <w:r w:rsidR="00213CD3">
        <w:t>Text: Local districts should consult with residents to decide curriculum in schools</w:t>
      </w:r>
    </w:p>
    <w:p w14:paraId="41107321" w14:textId="42FEA9D7" w:rsidR="0071387E" w:rsidRDefault="00866913" w:rsidP="0071387E">
      <w:pPr>
        <w:pStyle w:val="Heading4"/>
      </w:pPr>
      <w:r>
        <w:t xml:space="preserve">2. </w:t>
      </w:r>
      <w:r w:rsidR="0071387E">
        <w:t>Community based standard setting solves the aff – schools should adopt community standards instead of the standardized testing paradigm---allow choice rather than blanket rejection—most politically feasible and increases community engagement</w:t>
      </w:r>
    </w:p>
    <w:p w14:paraId="2F1D9F57" w14:textId="77777777" w:rsidR="0071387E" w:rsidRPr="00EC6717" w:rsidRDefault="0071387E" w:rsidP="0071387E">
      <w:pPr>
        <w:rPr>
          <w:rStyle w:val="Style13ptBold"/>
          <w:b w:val="0"/>
        </w:rPr>
      </w:pPr>
      <w:r>
        <w:rPr>
          <w:rStyle w:val="Style13ptBold"/>
        </w:rPr>
        <w:t xml:space="preserve">Heilig et al 13 </w:t>
      </w:r>
      <w:r>
        <w:rPr>
          <w:rStyle w:val="Style13ptBold"/>
          <w:b w:val="0"/>
        </w:rPr>
        <w:t>(</w:t>
      </w:r>
      <w:r w:rsidRPr="00EC6717">
        <w:rPr>
          <w:rStyle w:val="Style13ptBold"/>
          <w:b w:val="0"/>
          <w:sz w:val="16"/>
          <w:szCs w:val="16"/>
        </w:rPr>
        <w:t>Julian Vasquez Heilig is an award-winning researcher and teacher. He is currently a Professor of Educational Leadership and Policy Studies and the Director of the Doctorate in Educational Leadership at California State Sacramento., Dr. Muhammad Khalifa is an assistant professor in the Department of Educational Administration at Michigan State University., Linda C. Tillman is a</w:t>
      </w:r>
      <w:r>
        <w:rPr>
          <w:rStyle w:val="Style13ptBold"/>
          <w:b w:val="0"/>
          <w:sz w:val="16"/>
          <w:szCs w:val="16"/>
        </w:rPr>
        <w:t xml:space="preserve"> </w:t>
      </w:r>
      <w:r w:rsidRPr="00EC6717">
        <w:rPr>
          <w:rStyle w:val="Style13ptBold"/>
          <w:b w:val="0"/>
          <w:sz w:val="16"/>
          <w:szCs w:val="16"/>
        </w:rPr>
        <w:t>former public school educator with teaching and administrative experience and a</w:t>
      </w:r>
      <w:r>
        <w:rPr>
          <w:rStyle w:val="Style13ptBold"/>
          <w:b w:val="0"/>
          <w:sz w:val="16"/>
          <w:szCs w:val="16"/>
        </w:rPr>
        <w:t xml:space="preserve"> </w:t>
      </w:r>
      <w:r w:rsidRPr="00EC6717">
        <w:rPr>
          <w:rStyle w:val="Style13ptBold"/>
          <w:b w:val="0"/>
          <w:sz w:val="16"/>
          <w:szCs w:val="16"/>
        </w:rPr>
        <w:t xml:space="preserve">professor in the Educational Leadership program. “High-Stake Reforms and Urban Education”, </w:t>
      </w:r>
      <w:hyperlink r:id="rId17" w:history="1">
        <w:r w:rsidRPr="00EC6717">
          <w:rPr>
            <w:rStyle w:val="Hyperlink"/>
            <w:sz w:val="16"/>
            <w:szCs w:val="16"/>
          </w:rPr>
          <w:t>http://s3.amazonaws.com/academia.edu.documents/38902772/Chapter_27_Heilig.Khalifa.Tillman.pdf?AWSAccessKeyId=AKIAIWOWYYGZ2Y53UL3A&amp;Expires=1500683089&amp;Signature=iyNOHTu%2Fpfyg9usvkeUjIa7qMCw%3D&amp;response-content-disposition=inline%3B%20filename%3DHigh-Stake_Reforms_and_Urban_Education.pdf</w:t>
        </w:r>
      </w:hyperlink>
      <w:r w:rsidRPr="00EC6717">
        <w:rPr>
          <w:rStyle w:val="Style13ptBold"/>
          <w:b w:val="0"/>
          <w:sz w:val="16"/>
          <w:szCs w:val="16"/>
        </w:rPr>
        <w:t>) TSB</w:t>
      </w:r>
    </w:p>
    <w:p w14:paraId="1E76AB18" w14:textId="77777777" w:rsidR="0071387E" w:rsidRPr="00224846" w:rsidRDefault="0071387E" w:rsidP="0071387E">
      <w:pPr>
        <w:rPr>
          <w:sz w:val="16"/>
        </w:rPr>
      </w:pPr>
      <w:r w:rsidRPr="00EC6717">
        <w:rPr>
          <w:rStyle w:val="StyleUnderline"/>
        </w:rPr>
        <w:t xml:space="preserve">High-stakes testing and accountability continues as the dominant paradigm despite vocal dissatis- faction in urban communities across the nation. </w:t>
      </w:r>
      <w:r w:rsidRPr="00275729">
        <w:rPr>
          <w:sz w:val="16"/>
        </w:rPr>
        <w:t xml:space="preserve">Despite mounting opposition, clearly Tayloristic ef ciency models of systemic reform are ruling the day—such as data-driven schooling, educa- tion models derived from economic paradigms, and hierarchical administrative structures, to name just a few—and are institutionalized in U.S. schools (Labaree, 2005). In terms of ef ciency, the source and operationalization of modern educational theory has not only been invisibilized, but has been casted as impartial, ahistorical, and normal. This serves to permanently ostracize indigenous and empowerment-based educational models that are counterepistemic to the domi- nantWestern European“survival of the ttest”schooling approach—an approach that currently permeates accountability and high-stakes testing. In her use of Nandy’s work, Gandhi has cap- tured this well: This colonialism colonises minds in addition to bodies and it releases forces within colo- nised societies to alter their cultural priorities once and for all. In the process, it helps to generalise the concept of the modern West from a geographical and temporal entity to a psychological </w:t>
      </w:r>
      <w:proofErr w:type="gramStart"/>
      <w:r w:rsidRPr="00275729">
        <w:rPr>
          <w:sz w:val="16"/>
        </w:rPr>
        <w:t>category.The</w:t>
      </w:r>
      <w:proofErr w:type="gramEnd"/>
      <w:r w:rsidRPr="00275729">
        <w:rPr>
          <w:sz w:val="16"/>
        </w:rPr>
        <w:t xml:space="preserve"> West is now everywhere, within the West and outside, in struc- tures and in minds. (1983, as quoted in Ghandi, 1998, p. 15) </w:t>
      </w:r>
      <w:r w:rsidRPr="00EC6717">
        <w:rPr>
          <w:rStyle w:val="StyleUnderline"/>
          <w:b/>
        </w:rPr>
        <w:t xml:space="preserve">What is the alternative </w:t>
      </w:r>
      <w:r w:rsidRPr="00EC6717">
        <w:rPr>
          <w:rStyle w:val="StyleUnderline"/>
        </w:rPr>
        <w:t xml:space="preserve">to the dominant colonial paradigm? </w:t>
      </w:r>
      <w:r w:rsidRPr="00EC6717">
        <w:rPr>
          <w:rStyle w:val="StyleUnderline"/>
          <w:b/>
        </w:rPr>
        <w:t xml:space="preserve">The answer is a community empowered to be accountable to themselves and to the nation—an “indigenous” educational policy approach where communities democratically set achievement and outcome goals. </w:t>
      </w:r>
      <w:r w:rsidRPr="00EC6717">
        <w:rPr>
          <w:rStyle w:val="StyleUnderline"/>
        </w:rPr>
        <w:t xml:space="preserve">For some communities, maybe high-stakes test scores derived by the Pearson test score development company is the goal; or perhaps a community will choose to focus on a new, more valuable set of outcomes. In the current era, most states have reams of data that can be disaggregated in ways previously </w:t>
      </w:r>
      <w:proofErr w:type="gramStart"/>
      <w:r w:rsidRPr="00EC6717">
        <w:rPr>
          <w:rStyle w:val="StyleUnderline"/>
        </w:rPr>
        <w:t>unthinkable.We</w:t>
      </w:r>
      <w:proofErr w:type="gramEnd"/>
      <w:r w:rsidRPr="00EC6717">
        <w:rPr>
          <w:rStyle w:val="StyleUnderline"/>
        </w:rPr>
        <w:t xml:space="preserve"> can follow students from pre-kindergarten to any number of outcomes such as higher education, workforce, and incarceration.Thus, community-based accountability could involve a process where superintendents, school boards, school staff, parents, students, and com- munity stakeholders set short-term and long-term goals based on their priorities. Maybe those goals are higher ACT and SAT scores. Or a community may choose to focus on increasing the percentage of students enrolled and completing higher education. Perhaps the local priorities are employment and salary gains for their students. Each of these goal statements would serve as an alternative to the intense focus on state-sponsored test </w:t>
      </w:r>
      <w:proofErr w:type="gramStart"/>
      <w:r w:rsidRPr="00EC6717">
        <w:rPr>
          <w:rStyle w:val="StyleUnderline"/>
        </w:rPr>
        <w:t>scores.</w:t>
      </w:r>
      <w:r w:rsidRPr="00EC6717">
        <w:rPr>
          <w:rStyle w:val="StyleUnderline"/>
          <w:b/>
        </w:rPr>
        <w:t>This</w:t>
      </w:r>
      <w:proofErr w:type="gramEnd"/>
      <w:r w:rsidRPr="00EC6717">
        <w:rPr>
          <w:rStyle w:val="StyleUnderline"/>
          <w:b/>
        </w:rPr>
        <w:t xml:space="preserve"> new form of accountability would allow a district to drive locally based approaches that focus on the process of education for one-year, five-year, and ten-year terms</w:t>
      </w:r>
      <w:r w:rsidRPr="00EC6717">
        <w:rPr>
          <w:rStyle w:val="StyleUnderline"/>
        </w:rPr>
        <w:t>.</w:t>
      </w:r>
      <w:r w:rsidRPr="00275729">
        <w:rPr>
          <w:sz w:val="16"/>
        </w:rPr>
        <w:t xml:space="preserve"> One example of the focus on the process of education instead of on high-stakes testing outcomes is in San Antonio’s Café College resource centers. Mayor Julian Castro funded these college-knowledge information centers in response to the community making higher educa- tion enrollment and graduation a priority.As a result,the city has placed both its resources and its will behind that goal.This focus on the process rather than the outcomes is a stark contrast 533 High-Stake Reforms and Urban Education 6241-106-S7-027.indd 533 07-Aug-2013 6:26:54 PM Julian Vasquez Heilig, Muhammad Khalifa &amp; Linda C. Tillman to the current approaches observed in urban Texas high schools. </w:t>
      </w:r>
      <w:r w:rsidRPr="00275729">
        <w:rPr>
          <w:rStyle w:val="StyleUnderline"/>
        </w:rPr>
        <w:t xml:space="preserve">Due to the current high-stakes testing regime, high schools are spending their resources on double-blocking students in test- prep courses to focus on multiple choice worksheets for high-stakes exit exams instead of on the arts, band, PE, and other important courses that build 21st-century skills (Vasquez Heilig, 2011; Vasquez Heilig, Cole &amp; Aguilar, 2010). Notably, community-based accountability should appeal to political conservatives that espouse the ideals of local control and liberals that support community </w:t>
      </w:r>
      <w:proofErr w:type="gramStart"/>
      <w:r w:rsidRPr="00275729">
        <w:rPr>
          <w:rStyle w:val="StyleUnderline"/>
        </w:rPr>
        <w:t>empowerment</w:t>
      </w:r>
      <w:r w:rsidRPr="00275729">
        <w:rPr>
          <w:sz w:val="16"/>
        </w:rPr>
        <w:t>.The</w:t>
      </w:r>
      <w:proofErr w:type="gramEnd"/>
      <w:r w:rsidRPr="00275729">
        <w:rPr>
          <w:sz w:val="16"/>
        </w:rPr>
        <w:t xml:space="preserve"> state and federal government role would be relegated to calculating baselines for a set of 10–15 goals that communities set in a democratic process relative to the current levels of those particular outcomes. </w:t>
      </w:r>
      <w:r w:rsidRPr="00275729">
        <w:rPr>
          <w:rStyle w:val="StyleUnderline"/>
        </w:rPr>
        <w:t>This accountability goal-setting would seek to influence the process of schooling choices in each community and would then motivate policy makers from communities to lobby state and federal governments for the resources to achieve its accountability goals rather than focusing on high-stakes testing results</w:t>
      </w:r>
      <w:r w:rsidRPr="00275729">
        <w:rPr>
          <w:sz w:val="16"/>
        </w:rPr>
        <w:t xml:space="preserve">.This turn of events in the frame of accountability would be novel because politicians (local, state, and federal) would also be held accountable—they could be shamed and sanctioned—if resources to meet the community goals do not materialize. </w:t>
      </w:r>
      <w:r w:rsidRPr="00275729">
        <w:rPr>
          <w:rStyle w:val="Emphasis"/>
        </w:rPr>
        <w:t>Accountability would become a two-way street. Community-based accountability may also usher in a turn in community involvement in schools</w:t>
      </w:r>
      <w:r w:rsidRPr="00275729">
        <w:rPr>
          <w:sz w:val="16"/>
        </w:rPr>
        <w:t xml:space="preserve">. In the United States, our communities, our parents, our educators must see themselves as the solution rather than the problem. In conjunction with the aforementioned structural reforms that our nation continues to avoid by using Band-Aids (such as vouchers, charters schools, and Teach For America), this return to a community-based schooling approach would foment a multiple measures approach to community education outcomes—outcomes derived by the community—driven by a desire to see their children succeed, rather than a continuing focus on failed high-stakes testing and accountability policies persistently promoted in state capitols and Washington, DC. </w:t>
      </w:r>
      <w:r w:rsidRPr="00275729">
        <w:rPr>
          <w:rStyle w:val="StyleUnderline"/>
        </w:rPr>
        <w:t>As discussed above, our society is aware of the structural issues in education; however, policy makers continuously fail to address them because of the costs involved. Politicians in the United States are often focused on looking for “efficiency” in education, also known as inexpensive and/ or free policy solutions that can be “brought to scale.”</w:t>
      </w:r>
      <w:r w:rsidRPr="00275729">
        <w:rPr>
          <w:sz w:val="16"/>
        </w:rPr>
        <w:t xml:space="preserve"> Charter schools and vouchers are the pri- mary poster children of this inanity—an approach to educational policy that just “moves around the chairs.” </w:t>
      </w:r>
    </w:p>
    <w:p w14:paraId="1E085779" w14:textId="77777777" w:rsidR="0071387E" w:rsidRPr="0071387E" w:rsidRDefault="0071387E" w:rsidP="0071387E"/>
    <w:p w14:paraId="48697359" w14:textId="77777777" w:rsidR="0071387E" w:rsidRPr="0071387E" w:rsidRDefault="0071387E" w:rsidP="0071387E"/>
    <w:p w14:paraId="5BCD19DE" w14:textId="7E86895B" w:rsidR="0071387E" w:rsidRDefault="0071387E" w:rsidP="0071387E">
      <w:pPr>
        <w:pStyle w:val="Heading2"/>
      </w:pPr>
      <w:r>
        <w:t>1NC-Speaking for Others K</w:t>
      </w:r>
    </w:p>
    <w:p w14:paraId="2055125F" w14:textId="3EC668C9" w:rsidR="00213CD3" w:rsidRDefault="00866913" w:rsidP="00213CD3">
      <w:pPr>
        <w:pStyle w:val="Heading4"/>
      </w:pPr>
      <w:r>
        <w:t xml:space="preserve">1. </w:t>
      </w:r>
      <w:r w:rsidR="00213CD3">
        <w:t xml:space="preserve">Their speaking for others reproduces the relationship between colonizer and colonized—traps the aff while isolating the very people it tries to help </w:t>
      </w:r>
    </w:p>
    <w:p w14:paraId="7AAE9542" w14:textId="77777777" w:rsidR="00213CD3" w:rsidRDefault="00213CD3" w:rsidP="00213CD3">
      <w:r w:rsidRPr="00125DD1">
        <w:rPr>
          <w:rStyle w:val="Style13ptBold"/>
        </w:rPr>
        <w:t>Pappas 17 (</w:t>
      </w:r>
      <w:r w:rsidRPr="00125DD1">
        <w:t xml:space="preserve">Gregory Fernando Pappas, Texas A&amp;M </w:t>
      </w:r>
      <w:proofErr w:type="gramStart"/>
      <w:r w:rsidRPr="00125DD1">
        <w:t>University,  and</w:t>
      </w:r>
      <w:proofErr w:type="gramEnd"/>
      <w:r w:rsidRPr="00125DD1">
        <w:t xml:space="preserve"> Philosophy Documentation Center. “The Limitations and Dangers of Decolonial Philosophies in Advance.” Radical Philosophy Reviews, 2017) TSB</w:t>
      </w:r>
    </w:p>
    <w:p w14:paraId="16A10183" w14:textId="77777777" w:rsidR="00213CD3" w:rsidRPr="00ED50D1" w:rsidRDefault="00213CD3" w:rsidP="00213CD3">
      <w:pPr>
        <w:rPr>
          <w:sz w:val="16"/>
        </w:rPr>
      </w:pPr>
      <w:r w:rsidRPr="00ED50D1">
        <w:rPr>
          <w:sz w:val="16"/>
        </w:rPr>
        <w:t>O</w:t>
      </w:r>
      <w:r w:rsidRPr="00871AC3">
        <w:rPr>
          <w:rStyle w:val="Emphasis"/>
        </w:rPr>
        <w:t xml:space="preserve">ne danger is the misinterpretation of indigenous concepts since the philosophers in question belong to a different culture. </w:t>
      </w:r>
      <w:r w:rsidRPr="00ED50D1">
        <w:rPr>
          <w:sz w:val="16"/>
        </w:rPr>
        <w:t>When notions are taken out of their original cultural context and in the hands of people removed from those cultures the original meaning can be distorted. However, is there anything wrong or problematic about such borrowing, adoptions, and distortions? In fact, one can argue that the emergence of new great cultural products (including philosophies) are the result of borrowing and even distorting in the sense of transforming what was taken. But problems start to quickly emerge if the person or group doing the “taking” (1) do not admit or are explicit that they are transforming what</w:t>
      </w:r>
    </w:p>
    <w:p w14:paraId="39C3ADDF" w14:textId="77777777" w:rsidR="00213CD3" w:rsidRPr="00ED50D1" w:rsidRDefault="00213CD3" w:rsidP="00213CD3">
      <w:pPr>
        <w:rPr>
          <w:sz w:val="16"/>
        </w:rPr>
      </w:pPr>
      <w:r w:rsidRPr="00ED50D1">
        <w:rPr>
          <w:sz w:val="16"/>
        </w:rPr>
        <w:t xml:space="preserve"> 18</w:t>
      </w:r>
    </w:p>
    <w:p w14:paraId="22F20F18" w14:textId="77777777" w:rsidR="00213CD3" w:rsidRPr="00871AC3" w:rsidRDefault="00213CD3" w:rsidP="00213CD3">
      <w:pPr>
        <w:rPr>
          <w:rStyle w:val="Emphasis"/>
        </w:rPr>
      </w:pPr>
      <w:r w:rsidRPr="00ED50D1">
        <w:rPr>
          <w:sz w:val="16"/>
        </w:rPr>
        <w:t xml:space="preserve">they take, or worst, (2) when those who” take” do so in ways that are disrespectful and exploitative (e.g., take all the credit or benefits). </w:t>
      </w:r>
      <w:r w:rsidRPr="00871AC3">
        <w:rPr>
          <w:rStyle w:val="Emphasis"/>
        </w:rPr>
        <w:t>This same situation may even be more problematic when the one doing the taking, borrowing, and transforming is from the dominant culture known for historically doing the wrong sort of “taking” (colonialism).</w:t>
      </w:r>
    </w:p>
    <w:p w14:paraId="3B39BF58" w14:textId="77777777" w:rsidR="00213CD3" w:rsidRPr="00ED50D1" w:rsidRDefault="00213CD3" w:rsidP="00213CD3">
      <w:pPr>
        <w:rPr>
          <w:sz w:val="16"/>
        </w:rPr>
      </w:pPr>
      <w:r w:rsidRPr="00ED50D1">
        <w:rPr>
          <w:sz w:val="16"/>
        </w:rPr>
        <w:t xml:space="preserve">I do not wish here to lay out some criteria or rule about when using or taking indigenous ideas is wrong or problematic. For sure, absolute prohibitions or rules make no sense; context matters on this issue. The </w:t>
      </w:r>
      <w:r w:rsidRPr="00871AC3">
        <w:rPr>
          <w:rStyle w:val="StyleUnderline"/>
        </w:rPr>
        <w:t>only point to be made is that there is a danger of slipping into the sort of appropriation of indigenous thought that is problematic, especially when it comes from non-indigenous philosophers</w:t>
      </w:r>
      <w:r w:rsidRPr="00ED50D1">
        <w:rPr>
          <w:sz w:val="16"/>
        </w:rPr>
        <w:t>. From this is does not follow that only indigenous philosophers should do indigenous philosophy or that only they can do it well. This may be considered as ridiculous as claiming that only Blacks should play jazz or that there cannot great White jazz musicians or that all great jazz bands need a Black player for legitimacy.</w:t>
      </w:r>
    </w:p>
    <w:p w14:paraId="316E7294" w14:textId="77777777" w:rsidR="00213CD3" w:rsidRPr="00ED50D1" w:rsidRDefault="00213CD3" w:rsidP="00213CD3">
      <w:pPr>
        <w:rPr>
          <w:sz w:val="16"/>
        </w:rPr>
      </w:pPr>
      <w:r w:rsidRPr="00ED50D1">
        <w:rPr>
          <w:sz w:val="16"/>
        </w:rPr>
        <w:t>Let me return to Villoro and the decolonials. Are these cases of the objectionable sort of cultural appropriation? Is one view more susceptible than the other? There is nothing about their ideas or approaches that makes one more vulnerable than the other since this danger has more to do with the actual relationship between the “criollo” philosophers and the indigenous pueblos as well as the actual motives. In the case of Villoro, since his recent death, scholars are still investigating the biographical details of his relationships with the indigenous people in Chiapas. So far there is no evidence to suggest that he used indigenous thought or people in the objectionable ways suggested. On the contrary, the fact that he was accepted and celebrated as a Zapatista by the indigenous communities suggest that Villoro was not perceived as an outsider that communicated with them just to use their ideas. Moreover, in various publications he makes very clear that his goals were the autonomy of the indigenous communities and demonstrates to the rest of Mexico (criollos, mestizos) that “tenemos que aprender de ellos”xciii [“we have to learn from them”]</w:t>
      </w:r>
    </w:p>
    <w:p w14:paraId="752E68E9" w14:textId="77777777" w:rsidR="00213CD3" w:rsidRPr="00ED50D1" w:rsidRDefault="00213CD3" w:rsidP="00213CD3">
      <w:pPr>
        <w:rPr>
          <w:sz w:val="16"/>
        </w:rPr>
      </w:pPr>
      <w:r w:rsidRPr="00ED50D1">
        <w:rPr>
          <w:sz w:val="16"/>
        </w:rPr>
        <w:t>Have decolonials misinterpret or misappropriated indigenous thought? This is a difficult question to answer, and perhaps even unfair to ask, given the pluralism and changing character of the movement. But there is already some anecdotal and textual evidence that should make decolonials worry. I know someone that recently sent me an email saying: “I am thinking about writing a paper entitled “Decolonizing Nepantla" because a lot of decolonial border and queer studies help themselves to the notion of Nepantla. But it is simply not what the Mexica intended. I do find it rather scandalous, ironic and amusing that Mignolo would miss-appropriate a native concept as the name of his journal!” “Writing such an article will certainly make me a lot of enemies!” There are also stories of conferences where in the presence of indigenous scholars the non-indigenous decolonials are too quick to tell the indigenous speakers what they really meant to say in their paper. In once case, during the Q &amp; A for an indigenous thinker, the decolonials asked questions that attempted to frame, incorporate, and subsume the paper about being indigenous within Mignolo's philosophical framework. To some of the people present it seemed an attempt try to appropriate indigenous scholarship.</w:t>
      </w:r>
    </w:p>
    <w:p w14:paraId="107BA7FC" w14:textId="77777777" w:rsidR="00213CD3" w:rsidRPr="00ED50D1" w:rsidRDefault="00213CD3" w:rsidP="00213CD3">
      <w:pPr>
        <w:rPr>
          <w:sz w:val="16"/>
        </w:rPr>
      </w:pPr>
      <w:r w:rsidRPr="00ED50D1">
        <w:rPr>
          <w:sz w:val="16"/>
        </w:rPr>
        <w:t>While this may seem nothing more than anecdotal evidence, it at least makes vivid enough the presence of a danger. In any case, the more solid evidence of a potential problem for decolonials comes from the recently published work by Silvia Rivera Cusicanqui, an indigenous (Aymara) thinker. From her article “Ch’ixinakax utxiwa:</w:t>
      </w:r>
    </w:p>
    <w:p w14:paraId="72E83367" w14:textId="77777777" w:rsidR="00213CD3" w:rsidRPr="00ED50D1" w:rsidRDefault="00213CD3" w:rsidP="00213CD3">
      <w:pPr>
        <w:rPr>
          <w:sz w:val="16"/>
        </w:rPr>
      </w:pPr>
      <w:r w:rsidRPr="00ED50D1">
        <w:rPr>
          <w:sz w:val="16"/>
        </w:rPr>
        <w:t>19</w:t>
      </w:r>
    </w:p>
    <w:p w14:paraId="5108F3D9" w14:textId="77777777" w:rsidR="00213CD3" w:rsidRPr="00ED50D1" w:rsidRDefault="00213CD3" w:rsidP="00213CD3">
      <w:pPr>
        <w:rPr>
          <w:sz w:val="16"/>
        </w:rPr>
      </w:pPr>
    </w:p>
    <w:p w14:paraId="5F7FA85E" w14:textId="77777777" w:rsidR="00213CD3" w:rsidRPr="00ED50D1" w:rsidRDefault="00213CD3" w:rsidP="00213CD3">
      <w:pPr>
        <w:rPr>
          <w:sz w:val="16"/>
        </w:rPr>
      </w:pPr>
      <w:r w:rsidRPr="00ED50D1">
        <w:rPr>
          <w:sz w:val="16"/>
        </w:rPr>
        <w:t>A Reflection on the Practices and Discourses of Decolonization”xciv I have selected some of the most salient passages as evidence that the danger of appropriation is more than a vague speculative possibility:</w:t>
      </w:r>
    </w:p>
    <w:p w14:paraId="3F6B0480" w14:textId="77777777" w:rsidR="00213CD3" w:rsidRPr="00ED50D1" w:rsidRDefault="00213CD3" w:rsidP="00213CD3">
      <w:pPr>
        <w:rPr>
          <w:sz w:val="16"/>
        </w:rPr>
      </w:pPr>
      <w:r w:rsidRPr="00871AC3">
        <w:rPr>
          <w:rStyle w:val="StyleUnderline"/>
        </w:rPr>
        <w:t>“The cultural studies departments of North American universities have adopted the ideas of subaltern studies and launched debates in Latin America, thus creating a jargon, a conceptual apparatus, and forms of reference and counter reference that have isolated academic treatises from any obligation to or dialogue with insurgent social forces</w:t>
      </w:r>
      <w:r w:rsidRPr="00ED50D1">
        <w:rPr>
          <w:sz w:val="16"/>
        </w:rPr>
        <w:t>. Walter Mignolo and company have built a small empire within an empire, strategically appropriating the contributions of the subaltern studies school of India and the various Latin American variants of critical refection on colonization and decolonization.</w:t>
      </w:r>
    </w:p>
    <w:p w14:paraId="079880FD" w14:textId="77777777" w:rsidR="00213CD3" w:rsidRPr="00ED50D1" w:rsidRDefault="00213CD3" w:rsidP="00213CD3">
      <w:pPr>
        <w:rPr>
          <w:sz w:val="16"/>
        </w:rPr>
      </w:pPr>
      <w:r w:rsidRPr="00ED50D1">
        <w:rPr>
          <w:sz w:val="16"/>
        </w:rPr>
        <w:t xml:space="preserve">“At one point, Dr. </w:t>
      </w:r>
      <w:r w:rsidRPr="00ED50D1">
        <w:rPr>
          <w:rStyle w:val="StyleUnderline"/>
        </w:rPr>
        <w:t>Mignolo ... taking up my ideas about internal colonialism and the epistemology of oral history, he regurgitated them entangled in a discourse of alterity that was profoundly depoliticized.</w:t>
      </w:r>
      <w:r w:rsidRPr="00ED50D1">
        <w:rPr>
          <w:sz w:val="16"/>
        </w:rPr>
        <w:t xml:space="preserve"> He took on, out of context ...”</w:t>
      </w:r>
    </w:p>
    <w:p w14:paraId="00991F43" w14:textId="77777777" w:rsidR="00213CD3" w:rsidRPr="00ED50D1" w:rsidRDefault="00213CD3" w:rsidP="00213CD3">
      <w:pPr>
        <w:rPr>
          <w:rStyle w:val="StyleUnderline"/>
        </w:rPr>
      </w:pPr>
      <w:r w:rsidRPr="00ED50D1">
        <w:rPr>
          <w:sz w:val="16"/>
        </w:rPr>
        <w:t>“</w:t>
      </w:r>
      <w:r w:rsidRPr="00ED50D1">
        <w:rPr>
          <w:rStyle w:val="StyleUnderline"/>
        </w:rPr>
        <w:t>Neologisms such as decolonial, transmodernity, and eco- si-mía proliferate, and such language entangles and paralyzes their objects of study: the indigenous and African- descended people with whom these academics believe they are in dialogue. But they also create a new academic canon, using a world of references and counter references that establish hierarchies and adopt new gurus: Mignolo, Walsh, Enrique Dussel .... Equipped with cultural and symbolic capital, thanks to the recognition and certification from the academic centers of the United Sates, this new structure of academic power is realized in practice through a network of guest lectureships and visiting professorships between universities.”</w:t>
      </w:r>
    </w:p>
    <w:p w14:paraId="0D510D68" w14:textId="77777777" w:rsidR="00213CD3" w:rsidRPr="00ED50D1" w:rsidRDefault="00213CD3" w:rsidP="00213CD3">
      <w:pPr>
        <w:rPr>
          <w:rStyle w:val="Emphasis"/>
        </w:rPr>
      </w:pPr>
      <w:r w:rsidRPr="00ED50D1">
        <w:rPr>
          <w:sz w:val="16"/>
        </w:rPr>
        <w:t>“</w:t>
      </w:r>
      <w:r w:rsidRPr="00ED50D1">
        <w:rPr>
          <w:rStyle w:val="Emphasis"/>
        </w:rPr>
        <w:t>Through the game of who cites whom, hierarchies are structured, and we end up having to consume, in a regurgitated form, the very ideas regarding decolonization that we indigenous people and intellectuals of Bolivia, Peru, and Ecuador have produced independently.”</w:t>
      </w:r>
    </w:p>
    <w:p w14:paraId="797C0DDE" w14:textId="77777777" w:rsidR="00213CD3" w:rsidRDefault="00213CD3" w:rsidP="00213CD3">
      <w:pPr>
        <w:rPr>
          <w:rStyle w:val="Emphasis"/>
        </w:rPr>
      </w:pPr>
      <w:r w:rsidRPr="00ED50D1">
        <w:rPr>
          <w:rStyle w:val="Emphasis"/>
        </w:rPr>
        <w:t xml:space="preserve">Decolonials should be concerned with the danger of misappropriation. If they are not careful in how they use indigenous </w:t>
      </w:r>
      <w:proofErr w:type="gramStart"/>
      <w:r w:rsidRPr="00ED50D1">
        <w:rPr>
          <w:rStyle w:val="Emphasis"/>
        </w:rPr>
        <w:t>thought</w:t>
      </w:r>
      <w:proofErr w:type="gramEnd"/>
      <w:r w:rsidRPr="00ED50D1">
        <w:rPr>
          <w:rStyle w:val="Emphasis"/>
        </w:rPr>
        <w:t xml:space="preserve"> it may lead to the serious inconsistency that they are themselves colonizing indigenous thought.</w:t>
      </w:r>
    </w:p>
    <w:p w14:paraId="102B7630" w14:textId="0C7FFF7D" w:rsidR="006F7BBD" w:rsidRDefault="006F7BBD" w:rsidP="006F7BBD">
      <w:pPr>
        <w:pStyle w:val="Heading4"/>
      </w:pPr>
      <w:r>
        <w:t>2. The alternative is to speak from our social location by reclaiming the act of speaking:  our discourse is important for theorizing how social location affects imperialistic structures—key to empower both ourselves and</w:t>
      </w:r>
      <w:r w:rsidR="003B3425">
        <w:t xml:space="preserve"> the people the aff speaks about</w:t>
      </w:r>
      <w:r>
        <w:t xml:space="preserve"> </w:t>
      </w:r>
    </w:p>
    <w:p w14:paraId="6E61D2B8" w14:textId="77777777" w:rsidR="006F7BBD" w:rsidRPr="003666C0" w:rsidRDefault="006F7BBD" w:rsidP="006F7BBD">
      <w:pPr>
        <w:rPr>
          <w:rStyle w:val="Style13ptBold"/>
          <w:b w:val="0"/>
        </w:rPr>
      </w:pPr>
      <w:r>
        <w:rPr>
          <w:rStyle w:val="Style13ptBold"/>
        </w:rPr>
        <w:t>Alcoff 92 (</w:t>
      </w:r>
      <w:r>
        <w:rPr>
          <w:rStyle w:val="Style13ptBold"/>
          <w:b w:val="0"/>
        </w:rPr>
        <w:t xml:space="preserve">Linda Alcoff, </w:t>
      </w:r>
      <w:r w:rsidRPr="003666C0">
        <w:rPr>
          <w:rStyle w:val="Style13ptBold"/>
          <w:b w:val="0"/>
        </w:rPr>
        <w:t xml:space="preserve">Cultural Critique, </w:t>
      </w:r>
      <w:r>
        <w:rPr>
          <w:rStyle w:val="Style13ptBold"/>
          <w:b w:val="0"/>
        </w:rPr>
        <w:t>No. 20 (Winter, 199l-1992),5-32, University of Minnesota Press) TSB</w:t>
      </w:r>
    </w:p>
    <w:p w14:paraId="2B835962" w14:textId="2C84ED8C" w:rsidR="006F7BBD" w:rsidRPr="00FD10A2" w:rsidRDefault="006F7BBD" w:rsidP="00FD10A2">
      <w:pPr>
        <w:rPr>
          <w:sz w:val="16"/>
        </w:rPr>
      </w:pPr>
      <w:r w:rsidRPr="003666C0">
        <w:rPr>
          <w:rStyle w:val="StyleUnderline"/>
        </w:rPr>
        <w:t xml:space="preserve">Spivak's arguments, however, suggest that the simple solution is not for the oppressed or less privileged to be able to speak for themselves, since their speech will not necessarily be either libera- tory or reflective of their "true interests," if such exist. I would agree with her here, yet it can still be argued, as I think she herself concludes, that ignoring the subaltern's or oppressed person's speech is "to continue the imperialist project" (298). But if a priv- ileging of the oppressed's speech cahnot be made on the grounds that its content will necessarily be liberator¡ it can be made on the grounds of the very act of speaking itself. </w:t>
      </w:r>
      <w:r w:rsidRPr="003666C0">
        <w:rPr>
          <w:rStyle w:val="Emphasis"/>
        </w:rPr>
        <w:t>Speaking constitutes a subject that challenges and subverts the opposition between the knowing agent and the object of knowledge, an opposition that is key in the reproduction of imperialist mode of discourse; the problem with speaking for others exists in the very structure itself that needs alteration</w:t>
      </w:r>
      <w:r w:rsidRPr="004021F0">
        <w:rPr>
          <w:sz w:val="16"/>
        </w:rPr>
        <w:t>. Rhetorical</w:t>
      </w:r>
      <w:r w:rsidRPr="004021F0">
        <w:rPr>
          <w:rStyle w:val="StyleUnderline"/>
        </w:rPr>
        <w:t xml:space="preserve"> discursive context, location of speakers and hearers, and so forth. When any of these elements is changed, a new evaluation is called for. </w:t>
      </w:r>
      <w:r w:rsidRPr="004021F0">
        <w:rPr>
          <w:sz w:val="16"/>
        </w:rPr>
        <w:t xml:space="preserve">Let me illustrate this by apnlying it to the examples I gave at the beginning. In </w:t>
      </w:r>
      <w:r w:rsidRPr="004021F0">
        <w:rPr>
          <w:rStyle w:val="StyleUnderline"/>
        </w:rPr>
        <w:t xml:space="preserve">the case of Cameron, if the effects of her books are truly disempowering for Native Canadian women, they áre counterproductive to Cameron's own stated intentions, and she should indeed "move over." In the case of the white male theorist who discussed architecture instead of the politics of postmodern- ism, the effect of his refusal was that he offered no contribution to an important issue and all of us there lost an opportunity to dis- cuss and explore it. Now let me turn to President Bush. When Bush claims that Noriega is a corrupt dictator who stands in the way of democracy in Panama, he repeats a claim that has been made almost word for word by the Opposition movement in Panama. Yet </w:t>
      </w:r>
      <w:r w:rsidRPr="004021F0">
        <w:rPr>
          <w:rStyle w:val="Emphasis"/>
        </w:rPr>
        <w:t>the effects of the two statements are vastly different because the full meaning of the claim changes radically depending on who states</w:t>
      </w:r>
      <w:r w:rsidRPr="004021F0">
        <w:rPr>
          <w:sz w:val="16"/>
        </w:rPr>
        <w:t xml:space="preserve"> it. </w:t>
      </w:r>
      <w:r w:rsidRPr="004021F0">
        <w:rPr>
          <w:rStyle w:val="StyleUnderline"/>
        </w:rPr>
        <w:t>When the president of the United States stands before the world passing judgement on a Third World government, and criticizingitofÌh€. basis of corruption and a lack of democrac¡ the full meaning of úl¿dr statement, as opposed to the Opposition's, is to reinforce the prominent Anglo view that Latin American corruption is the pri- mary cause of the region's poverty and lack of democracy, that the United States is on the side of democracy in the region, and that the United States condemns corruption and tyranny. Thus, the effect of the president's speaking for Latin America is to re- consolidate U.S. imperialism by obscuring its true role in the region in torturing and murdering hundreds and thousands of people who have tried to bring democratic and progressive gov- ernments into existence.</w:t>
      </w:r>
      <w:r w:rsidRPr="004021F0">
        <w:rPr>
          <w:sz w:val="16"/>
        </w:rPr>
        <w:t xml:space="preserve"> And this will continue to be its effect unless and until he radically alters U.S. foreign policy and admits its history of international mass murder.</w:t>
      </w:r>
    </w:p>
    <w:p w14:paraId="5E7E92C2" w14:textId="1BF54C83" w:rsidR="0071387E" w:rsidRDefault="00852AC5" w:rsidP="00852AC5">
      <w:pPr>
        <w:pStyle w:val="Heading2"/>
      </w:pPr>
      <w:r>
        <w:t xml:space="preserve">1NC </w:t>
      </w:r>
      <w:r w:rsidR="00FD10A2">
        <w:t>Relationality Case Turn</w:t>
      </w:r>
    </w:p>
    <w:p w14:paraId="05F4133F" w14:textId="340A6D8C" w:rsidR="00852AC5" w:rsidRDefault="00866913" w:rsidP="00852AC5">
      <w:pPr>
        <w:pStyle w:val="Heading4"/>
      </w:pPr>
      <w:r>
        <w:t xml:space="preserve">1. </w:t>
      </w:r>
      <w:r w:rsidR="00852AC5">
        <w:t xml:space="preserve">The 1AC’s </w:t>
      </w:r>
      <w:r w:rsidR="00F21C3E">
        <w:t xml:space="preserve">form of relationality to their impacts causes even more inequaity and is a bad way of explaining the world—reject the connection between relationality and comparsion—the alternative is a relational system that incorporates all forms of knowledge rather than criticizing modernity. </w:t>
      </w:r>
    </w:p>
    <w:p w14:paraId="12BCCAF5" w14:textId="17D11796" w:rsidR="00852AC5" w:rsidRPr="00852AC5" w:rsidRDefault="0098168D" w:rsidP="00852AC5">
      <w:pPr>
        <w:rPr>
          <w:rStyle w:val="Style13ptBold"/>
          <w:b w:val="0"/>
        </w:rPr>
      </w:pPr>
      <w:r>
        <w:rPr>
          <w:rStyle w:val="Style13ptBold"/>
        </w:rPr>
        <w:t xml:space="preserve">Goldberg 95 </w:t>
      </w:r>
      <w:r w:rsidR="00852AC5" w:rsidRPr="0098168D">
        <w:rPr>
          <w:rStyle w:val="Style13ptBold"/>
          <w:b w:val="0"/>
          <w:sz w:val="22"/>
        </w:rPr>
        <w:t>(</w:t>
      </w:r>
      <w:r w:rsidRPr="0098168D">
        <w:rPr>
          <w:rStyle w:val="Style13ptBold"/>
          <w:b w:val="0"/>
          <w:sz w:val="22"/>
        </w:rPr>
        <w:t>David Theo Goldberg is a South African professor working in the United States, known for his work in critical race theory, and in more recent years, the digital humanities. “The Comparative and the Relational.” Encountering the Other) TSB</w:t>
      </w:r>
    </w:p>
    <w:p w14:paraId="4713F7F3" w14:textId="641C0D6D" w:rsidR="002A12C9" w:rsidRDefault="0098168D" w:rsidP="002A12C9">
      <w:pPr>
        <w:rPr>
          <w:rStyle w:val="StyleUnderline"/>
        </w:rPr>
      </w:pPr>
      <w:r w:rsidRPr="0098168D">
        <w:rPr>
          <w:rStyle w:val="StyleUnderline"/>
        </w:rPr>
        <w:t>I</w:t>
      </w:r>
      <w:r w:rsidR="00852AC5" w:rsidRPr="0098168D">
        <w:rPr>
          <w:rStyle w:val="StyleUnderline"/>
        </w:rPr>
        <w:t>t is easier to respond to rcmparativist criticisms than to relational accounts</w:t>
      </w:r>
      <w:r w:rsidR="00852AC5">
        <w:t xml:space="preserve">. </w:t>
      </w:r>
      <w:r w:rsidR="00852AC5" w:rsidRPr="0098168D">
        <w:rPr>
          <w:rStyle w:val="StyleUnderline"/>
        </w:rPr>
        <w:t xml:space="preserve">To object to a compararivist account requires simply poincing out disanalogies: for example, [hac Palestinian Israelis have many of [he rights Jewish Israelis do (of course, [hey don'[ have equal righrs, </w:t>
      </w:r>
      <w:r w:rsidR="00852AC5">
        <w:t>a point of [en side-stepped in [he name of secu riry); they vote for Knesset representation; they can own (some) property, etc. Often, the response takes on the indignation of the "how dare you compare," never "how dare you relate:" Israel couldn't possibly be like apartheid South Africa, ler alone azi Germany, as Israeli existence has been threatened as South Africa's never was; Jews were subject to the exterminating angel of Nazi final solution - another point of contextual comparison - while Israel is simply defending itself from the exterminating angel (once again)!</w:t>
      </w:r>
      <w:r>
        <w:t xml:space="preserve"> </w:t>
      </w:r>
      <w:r w:rsidR="00852AC5">
        <w:t xml:space="preserve">Evidence of this preference for the councer-comparativist resides in attempts co reduce relational critics to comperarivisr accounts (I am tempted to say accountings, intending both meanings of the term, the making up. a narration, and the ledger, the balance-sheet, of counting). me relancnalists will cite instances of Israel's own rrulitary officers urging [hac [he control of Palestinian refugee camps such as Jenin [acricaJly should follow or learn from [he Nazi vice-grip of [he Warsaw Gheuo, Ochers have long poinred our aparrheid $ouch Africa's supporr for Israel, milirarily and eco nomically, in reciprocating I rael's willinsness to consort with the apartheid State and in criticism of the </w:t>
      </w:r>
      <w:proofErr w:type="gramStart"/>
      <w:r w:rsidR="00852AC5">
        <w:t>A. .</w:t>
      </w:r>
      <w:proofErr w:type="gramEnd"/>
      <w:r w:rsidR="00852AC5">
        <w:t xml:space="preserve"> .'s longstanding support for the Palestinian cause. Relationisrs here are especially concerned co reveal how new formations look to older modes of</w:t>
      </w:r>
      <w:r>
        <w:t xml:space="preserve"> </w:t>
      </w:r>
      <w:r w:rsidR="00852AC5">
        <w:t xml:space="preserve">repression for resources of conrrol and domination, relating new circumstances [Q the epe r-i </w:t>
      </w:r>
      <w:proofErr w:type="gramStart"/>
      <w:r w:rsidR="00852AC5">
        <w:t>e.rrces</w:t>
      </w:r>
      <w:proofErr w:type="gramEnd"/>
      <w:r w:rsidR="00852AC5">
        <w:t xml:space="preserve"> of the tried and tested elsewhere, no matter the "pedigree." Their pro lrae L critics will react with horror, chiding them for comparing victims (</w:t>
      </w:r>
      <w:proofErr w:type="gramStart"/>
      <w:r w:rsidR="00852AC5">
        <w:t>Israelis,Jews</w:t>
      </w:r>
      <w:proofErr w:type="gramEnd"/>
      <w:r w:rsidR="00852AC5">
        <w:t>) (0 v i.l.La.i nous exrerrninarors and arch-racists. How dare you indeed.</w:t>
      </w:r>
      <w:r>
        <w:t xml:space="preserve"> </w:t>
      </w:r>
      <w:r w:rsidRPr="0087271E">
        <w:rPr>
          <w:rStyle w:val="StyleUnderline"/>
        </w:rPr>
        <w:t>For relat</w:t>
      </w:r>
      <w:r w:rsidR="00852AC5" w:rsidRPr="0087271E">
        <w:rPr>
          <w:rStyle w:val="StyleUnderline"/>
        </w:rPr>
        <w:t>ional accounts, accordingly, specificity is important, the micro-derails of me considerations related revealing of the conditions needing to be accounted for, to be explained. F</w:t>
      </w:r>
      <w:r w:rsidR="00852AC5" w:rsidRPr="0098168D">
        <w:rPr>
          <w:rStyle w:val="StyleUnderline"/>
        </w:rPr>
        <w:t xml:space="preserve">or comparativist accounts, the broad stroke is more likely revealing. If </w:t>
      </w:r>
      <w:proofErr w:type="gramStart"/>
      <w:r w:rsidR="00852AC5" w:rsidRPr="0098168D">
        <w:rPr>
          <w:rStyle w:val="StyleUnderline"/>
        </w:rPr>
        <w:t>cb.e</w:t>
      </w:r>
      <w:proofErr w:type="gramEnd"/>
      <w:r w:rsidR="00852AC5" w:rsidRPr="0098168D">
        <w:rPr>
          <w:rStyle w:val="StyleUnderline"/>
        </w:rPr>
        <w:t xml:space="preserve"> La.rcer works through drawing on impressions, the former reveals by showing lew- .rrao vernenr in one place ripples through impacts in another, and how structures iI one rime are taken lip and put to work in another elsewhere.</w:t>
      </w:r>
      <w:r w:rsidRPr="0098168D">
        <w:rPr>
          <w:rStyle w:val="StyleUnderline"/>
        </w:rPr>
        <w:t xml:space="preserve"> </w:t>
      </w:r>
      <w:r w:rsidR="00852AC5" w:rsidRPr="0098168D">
        <w:rPr>
          <w:rStyle w:val="StyleUnderline"/>
        </w:rPr>
        <w:t>Here, rr is not just that Gaza is like (or, depending on one's point of view, unlike) m.e ~arsa"W" Ghetto, a comparison point</w:t>
      </w:r>
      <w:r w:rsidR="00852AC5">
        <w:t xml:space="preserve">. Rather, that some Israeli military officers ee on record for explicitly invoking the Warsaw Ghetto, as a model for thinking aboue lno w [0 regulate the Palestinian refugee camps, suggests that the Warsaw Ghetto provides a model. Ir is an experiment the process of which can and has been taken up bv l.ace r repressive regimes to suppress an ethnoracially identified population </w:t>
      </w:r>
      <w:proofErr w:type="gramStart"/>
      <w:r w:rsidR="00852AC5">
        <w:t>consid !;ed</w:t>
      </w:r>
      <w:proofErr w:type="gramEnd"/>
      <w:r w:rsidR="00852AC5">
        <w:t xml:space="preserve"> dangerous and expendable. Just as early twentieth century British and German concencrarion camps in Africa - the British camp imprisoning Boer enemies during (he Anglo-Boer War, for instance, or the Germans rounding up Herero in German s,ouch Wesr Africa first to exploit their labor and then to exterminate them - became models for [he Nazis almost half a century later (Gilroy, 2000), Compara[ivisr meth oclological dispositions are unlikely to reveal this sort of connection, its efficacy and produccivicy in helping to produce the technologies of repression and control. Or </w:t>
      </w:r>
      <w:r w:rsidR="00852AC5" w:rsidRPr="0087271E">
        <w:rPr>
          <w:rStyle w:val="StyleUnderline"/>
        </w:rPr>
        <w:t>if rbey djd it would only be indirectly, as an inductive inference after the fact, at best, nor: a constitutive connection. That could only be composed and comprehended</w:t>
      </w:r>
      <w:r w:rsidRPr="0087271E">
        <w:rPr>
          <w:rStyle w:val="StyleUnderline"/>
        </w:rPr>
        <w:t xml:space="preserve"> </w:t>
      </w:r>
      <w:r w:rsidR="00852AC5" w:rsidRPr="0087271E">
        <w:rPr>
          <w:rStyle w:val="StyleUnderline"/>
        </w:rPr>
        <w:t>relacionally,</w:t>
      </w:r>
      <w:r w:rsidRPr="0087271E">
        <w:rPr>
          <w:rStyle w:val="StyleUnderline"/>
        </w:rPr>
        <w:t xml:space="preserve"> </w:t>
      </w:r>
      <w:r w:rsidR="00852AC5" w:rsidRPr="0087271E">
        <w:rPr>
          <w:rStyle w:val="StyleUnderline"/>
        </w:rPr>
        <w:t>Co.mparisons, as 1 say, are generated outwards from within the parameters - the</w:t>
      </w:r>
      <w:r w:rsidRPr="0087271E">
        <w:rPr>
          <w:rStyle w:val="StyleUnderline"/>
        </w:rPr>
        <w:t xml:space="preserve"> </w:t>
      </w:r>
      <w:r w:rsidR="00852AC5" w:rsidRPr="0087271E">
        <w:rPr>
          <w:rStyle w:val="StyleUnderline"/>
        </w:rPr>
        <w:t>bounded reference points - of states. Within these parameters, comparisons of course may be especially revealing. To take a different reference point, comparisons can indicate that average wealth of blacks in the US, say, is significantly less than that of whices ina given society or social domain, that blacks are unemployed traditionally ar cw ice the rate, charged more for insurance, automobile purchases, mortgages, suffer a. significantly shorter life expectancy, and so on. But all this tells us, as such, is the fact of inequality.</w:t>
      </w:r>
      <w:r w:rsidR="00852AC5">
        <w:t xml:space="preserve"> In order to determine whether there is discrimination at work, </w:t>
      </w:r>
      <w:proofErr w:type="gramStart"/>
      <w:r w:rsidR="00852AC5">
        <w:t>pat ,</w:t>
      </w:r>
      <w:proofErr w:type="gramEnd"/>
      <w:r>
        <w:t xml:space="preserve"> </w:t>
      </w:r>
      <w:r w:rsidR="00852AC5">
        <w:t>cer"DS would have to be established, a connection to interests or intentions, dispositions</w:t>
      </w:r>
      <w:r>
        <w:t xml:space="preserve"> </w:t>
      </w:r>
      <w:r w:rsidR="00852AC5">
        <w:t>to or reproductions of creating the racially differentiated differently. In short, the move frOID comparison to a conclusion regarding racial discrimination or racisms requires establishing certain sortS of patterns of relations.</w:t>
      </w:r>
      <w:r>
        <w:t xml:space="preserve"> </w:t>
      </w:r>
      <w:r w:rsidR="00852AC5">
        <w:t xml:space="preserve">To go back to drawing a revealing link between Auschwitz's Musselmanner and Gaza~s Muslims, rhen, reveals twO further considerations. First, 1 concede that com parisons of [his kind can be </w:t>
      </w:r>
      <w:proofErr w:type="gramStart"/>
      <w:r w:rsidR="00852AC5">
        <w:t>powe[</w:t>
      </w:r>
      <w:proofErr w:type="gramEnd"/>
      <w:r w:rsidR="00852AC5">
        <w:t xml:space="preserve">ful [hero[ically and morally. Ir is bard co remain unmoved by the degradation experienced in the Nazi death camps. Those unmoved are </w:t>
      </w:r>
      <w:proofErr w:type="gramStart"/>
      <w:r w:rsidR="00852AC5">
        <w:t>p[</w:t>
      </w:r>
      <w:proofErr w:type="gramEnd"/>
      <w:r w:rsidR="00852AC5">
        <w:t>obably in some mode of c1eep denial. An analogical comparison of a sec of</w:t>
      </w:r>
      <w:r>
        <w:t xml:space="preserve"> </w:t>
      </w:r>
      <w:r w:rsidR="00852AC5">
        <w:t>experiences at another time and place shown co be like the one at hand in relevant respects is likely co effect at least a critical response, to move co anion of some kind chose who feel the analogical force. Ie is revealing, perhaps, that for a related reason, if pulling in the opposite direccion, the analogy may be resisted: There can be no analogy here because rhe Nazi death camps were unique, the Holocaust exceptional. In a sense the denial is a resistance not simply to a comparison but to the taint of connection, of some sort of relation co exemplary evil. The larger point, one perhaps lost 10 the resistance co the analogy, as the case of (he Israeli military officers demon strates, IS chac comparisons like chis can also be caken up for their more nefarious lessons in "effective" repressive state apparatuses.</w:t>
      </w:r>
      <w:r>
        <w:t xml:space="preserve"> </w:t>
      </w:r>
      <w:r w:rsidR="00852AC5">
        <w:t xml:space="preserve">cond, there can be a thin line sometimes between comparison and relation, bridged perhaps by some other form of argumentation or insight. Thar rhe gherro of Gala roday may be (somewhat? sufficienclyj) like rhe one in Warsaw in rhe lare 1930s and early 19tiOs might be turned intO something more causally connected via say a group psychoanalytic account that attempts to explain the former as a consequence of lingering psychic trauma fixating on a fantasized sense of ongoing viccimization. I am less concerned here with the propriety or content of this argument than with its form, the way in which analogicality can be taken up as a mode of causality, com pararivisrn in the service of relarionaliry. That comparativism can service the relational rather than ehe reverse reveals that relational accounts even in their specificity offer a wider, more telling purview. The relational undercuts the reach of the comparative, outsrripping it. It subsumes comparison in a way the reverse cannot. </w:t>
      </w:r>
      <w:r w:rsidR="00852AC5" w:rsidRPr="0087271E">
        <w:rPr>
          <w:rStyle w:val="Emphasis"/>
        </w:rPr>
        <w:t>Comparison can reveal an initial insight likely hidden from view bur for the comparison. But it takes the relational to make evident the deeper connection ccnstirucively unavailable to comparison.</w:t>
      </w:r>
      <w:r w:rsidRPr="0087271E">
        <w:rPr>
          <w:rStyle w:val="Emphasis"/>
        </w:rPr>
        <w:t xml:space="preserve"> </w:t>
      </w:r>
      <w:r w:rsidR="00852AC5" w:rsidRPr="0087271E">
        <w:rPr>
          <w:rStyle w:val="Emphasis"/>
        </w:rPr>
        <w:t xml:space="preserve">The relational outstrips the comparative disposition precisely because it PUtS the elements in question into play, causally and productively, in relation to each other. </w:t>
      </w:r>
      <w:r w:rsidR="00852AC5" w:rsidRPr="0087271E">
        <w:rPr>
          <w:rStyle w:val="StyleUnderline"/>
        </w:rPr>
        <w:t>The comparative holds the elements apart, insisting upon because assuming their discreteness. In this, the relation of the comparative disposition co the relational is rerruruscenr of the differing elements</w:t>
      </w:r>
      <w:r w:rsidR="00852AC5">
        <w:t xml:space="preserve"> [0 which Descartes Famously drew attention in hIS Ducourse on iIlfllxxi. The firsr stage of philosophico-scienei6c merhod, Descarres insisted, was [Q decompose the constituent components of the object under analysis, breaking the object down inca its most basic discrete elements in order to comprehend chern in their simplest, barest formation (Descartes, 1637). In this, comparison con SISts of one to one (ra one, reiterative) assessments of relevant conditions or social arrangementS characteristic of each site. </w:t>
      </w:r>
      <w:r w:rsidR="00852AC5" w:rsidRPr="0098168D">
        <w:rPr>
          <w:rStyle w:val="Emphasis"/>
        </w:rPr>
        <w:t>Relationaliry, by methodological conrrast, Involves mapping conditions in their inceractivity, drawing our their transforming impacts. Relationality, in short, offers a cartography of reiterative impacts, of their transformations and redirections</w:t>
      </w:r>
      <w:r w:rsidR="00852AC5">
        <w:t>.</w:t>
      </w:r>
      <w:r>
        <w:t xml:space="preserve"> </w:t>
      </w:r>
      <w:r w:rsidR="00852AC5">
        <w:t>The supposed discrereness of rhe compared elemenes, as 1 have hineed, neverrheless is a produce of rhe arri6ce of narional (or local) boundaries. It is curious how rhe national continues to figure rhe analytic imaginary, to strucwre its possibilities, to limit analytiC capacity and force. The national or srate frame privileges comparison</w:t>
      </w:r>
      <w:r>
        <w:t xml:space="preserve"> </w:t>
      </w:r>
      <w:r w:rsidR="00852AC5">
        <w:t xml:space="preserve">over me relational perhaps because the compararivist frame analytically prese~es by presupposing established boundaries, the socio-scrucrural givens, in t~rn helPI~~ to fix t.lae.rra in place. </w:t>
      </w:r>
      <w:r w:rsidR="00852AC5" w:rsidRPr="0087271E">
        <w:rPr>
          <w:rStyle w:val="StyleUnderline"/>
        </w:rPr>
        <w:t xml:space="preserve">Likewise, comparativism and the positivity of reduct ively empir-ical </w:t>
      </w:r>
      <w:proofErr w:type="gramStart"/>
      <w:r w:rsidR="00852AC5" w:rsidRPr="0087271E">
        <w:rPr>
          <w:rStyle w:val="StyleUnderline"/>
        </w:rPr>
        <w:t>IZCCOunt::</w:t>
      </w:r>
      <w:proofErr w:type="gramEnd"/>
      <w:r w:rsidR="00852AC5" w:rsidRPr="0087271E">
        <w:rPr>
          <w:rStyle w:val="StyleUnderline"/>
        </w:rPr>
        <w:t>S of racial phenomena turn out to be mutually reinforcing, the boundary con-</w:t>
      </w:r>
      <w:r w:rsidRPr="0087271E">
        <w:rPr>
          <w:rStyle w:val="StyleUnderline"/>
        </w:rPr>
        <w:t xml:space="preserve"> </w:t>
      </w:r>
      <w:r w:rsidR="00852AC5" w:rsidRPr="0087271E">
        <w:rPr>
          <w:rStyle w:val="StyleUnderline"/>
        </w:rPr>
        <w:t>ditions of one mapping on co those of the other.</w:t>
      </w:r>
      <w:r w:rsidRPr="0087271E">
        <w:rPr>
          <w:rStyle w:val="StyleUnderline"/>
        </w:rPr>
        <w:t xml:space="preserve"> </w:t>
      </w:r>
      <w:r w:rsidR="00852AC5" w:rsidRPr="0087271E">
        <w:rPr>
          <w:rStyle w:val="StyleUnderline"/>
        </w:rPr>
        <w:t>.</w:t>
      </w:r>
      <w:r>
        <w:t xml:space="preserve"> </w:t>
      </w:r>
      <w:r w:rsidR="00852AC5">
        <w:t>In service to the relational, then, the comparative accordingly is put to productive ptLcpose, its iusigbrs extended, its inherent because presumptive and narrowin~ li.mits prised open. The comparative operates, at (its) best, at the level of first-</w:t>
      </w:r>
      <w:proofErr w:type="gramStart"/>
      <w:r w:rsidR="00852AC5">
        <w:t>o:der</w:t>
      </w:r>
      <w:proofErr w:type="gramEnd"/>
      <w:r w:rsidR="00852AC5">
        <w:t xml:space="preserve"> insight, mcove cirig what calls for extended exploration and ultimately what reqUlres. explana dora. On its own, the comparative stops short, at the border - of the nation-state,</w:t>
      </w:r>
      <w:r>
        <w:t xml:space="preserve"> </w:t>
      </w:r>
      <w:r w:rsidR="00852AC5">
        <w:t>I</w:t>
      </w:r>
      <w:proofErr w:type="gramStart"/>
      <w:r w:rsidR="00852AC5">
        <w:t>",haps</w:t>
      </w:r>
      <w:proofErr w:type="gramEnd"/>
      <w:r w:rsidR="00852AC5">
        <w:t xml:space="preserve"> of discipline and disciplinariry itself</w:t>
      </w:r>
      <w:r>
        <w:t xml:space="preserve"> </w:t>
      </w:r>
      <w:r w:rsidR="00852AC5">
        <w:t>..</w:t>
      </w:r>
      <w:r>
        <w:t xml:space="preserve"> </w:t>
      </w:r>
      <w:r w:rsidR="00852AC5">
        <w:t>.</w:t>
      </w:r>
      <w:r>
        <w:t xml:space="preserve"> </w:t>
      </w:r>
      <w:r w:rsidR="00852AC5">
        <w:t>.</w:t>
      </w:r>
      <w:r>
        <w:t xml:space="preserve"> </w:t>
      </w:r>
      <w:r w:rsidR="00852AC5">
        <w:t xml:space="preserve">W-har chen about the connection of the racial to the colonial raised 10 pasSlOg at [be outset? As a point of comparison, rhe contrast of say contemporary racism in the US, South Africa, Latin America, Europe or, yes, also Israel-Palestine with colo.nial nodalities of racial governance and control can tell us something about how rhings looked then and how they operate now. That can be revealing, as much about the differences as about the similarities. What a relational account adds, however, is not ris r the historical legacy. It enables one to see how the colonial shaped the contem ~rary, planted racisms' roots in place, designed its social conditions and cemented [£5 structural arrangements. It reveals how, what today social agents might take as given, as supposedly natural conditions of the social, were socially composed by the relatively powerful over the backs of the relatively powerless, how fat ~rom natural the became naturalized, cemented and retained in place by a mix of design, default, OO;OiOg social labor, habitus, and carelessness. </w:t>
      </w:r>
      <w:r w:rsidR="0087271E" w:rsidRPr="0087271E">
        <w:rPr>
          <w:rStyle w:val="Emphasis"/>
        </w:rPr>
        <w:t xml:space="preserve">By </w:t>
      </w:r>
      <w:proofErr w:type="gramStart"/>
      <w:r w:rsidR="0087271E" w:rsidRPr="0087271E">
        <w:rPr>
          <w:rStyle w:val="Emphasis"/>
        </w:rPr>
        <w:t>the .</w:t>
      </w:r>
      <w:proofErr w:type="gramEnd"/>
      <w:r w:rsidR="0087271E" w:rsidRPr="0087271E">
        <w:rPr>
          <w:rStyle w:val="Emphasis"/>
        </w:rPr>
        <w:t>(re)production of rela.</w:t>
      </w:r>
      <w:r w:rsidR="00852AC5" w:rsidRPr="0087271E">
        <w:rPr>
          <w:rStyle w:val="Emphasis"/>
        </w:rPr>
        <w:t>ionalities. The traces of those formations run very deep, both directly and by extension.</w:t>
      </w:r>
      <w:r w:rsidRPr="0087271E">
        <w:rPr>
          <w:rStyle w:val="Emphasis"/>
        </w:rPr>
        <w:t xml:space="preserve"> </w:t>
      </w:r>
      <w:r w:rsidR="00852AC5" w:rsidRPr="0087271E">
        <w:rPr>
          <w:rStyle w:val="Emphasis"/>
        </w:rPr>
        <w:t>This is not to say that contemporary racisms are colonial; it is to point by cont.rast (0 cheir constitutive connection even as racisms' immediate prompts and expressions rna: have morphed over time</w:t>
      </w:r>
      <w:r w:rsidR="00852AC5">
        <w:t xml:space="preserve">. To put it in the tegister of contemporary theoretical co~icmentS, it is to reveal bow the postcolonial in its varieties remains marked </w:t>
      </w:r>
      <w:proofErr w:type="gramStart"/>
      <w:r w:rsidR="00852AC5">
        <w:t>cODSt:icucively</w:t>
      </w:r>
      <w:proofErr w:type="gramEnd"/>
      <w:r w:rsidR="00852AC5">
        <w:t xml:space="preserve"> though not completely by its colonial underpinnings. </w:t>
      </w:r>
      <w:r w:rsidR="00852AC5" w:rsidRPr="0087271E">
        <w:rPr>
          <w:rStyle w:val="Emphasis"/>
        </w:rPr>
        <w:t>The postcolonial _ and one could add the posrracial in this vein tOO - does not signal the definitive and conclusive end of the colonial (or racial) so much as different, new modes of suueeural arrangements of exploitation and exclusion, disadvantage and disl~cation.</w:t>
      </w:r>
      <w:r w:rsidR="00852AC5">
        <w:t xml:space="preserve"> </w:t>
      </w:r>
      <w:r w:rsidR="0087271E">
        <w:t>Th</w:t>
      </w:r>
      <w:r w:rsidR="0087271E" w:rsidRPr="0087271E">
        <w:rPr>
          <w:rStyle w:val="StyleUnderline"/>
        </w:rPr>
        <w:t xml:space="preserve">is is to </w:t>
      </w:r>
      <w:r w:rsidR="00852AC5" w:rsidRPr="0087271E">
        <w:rPr>
          <w:rStyle w:val="StyleUnderline"/>
        </w:rPr>
        <w:t>insist that the hotizons of possibility were set in place a good whIle ago, [he modes of racial governance and the orders of racist exclusion, humiliation, and death deeply rooted in the sorts of disposition, social and personal, and their ordering by a subjugating gove</w:t>
      </w:r>
      <w:r w:rsidR="0087271E" w:rsidRPr="0087271E">
        <w:rPr>
          <w:rStyle w:val="StyleUnderline"/>
        </w:rPr>
        <w:t>rn-mentality to which coloniality. and historical racism</w:t>
      </w:r>
      <w:r w:rsidR="00852AC5" w:rsidRPr="0087271E">
        <w:rPr>
          <w:rStyle w:val="StyleUnderline"/>
        </w:rPr>
        <w:t xml:space="preserve"> gave</w:t>
      </w:r>
      <w:r w:rsidRPr="0087271E">
        <w:rPr>
          <w:rStyle w:val="StyleUnderline"/>
        </w:rPr>
        <w:t xml:space="preserve"> </w:t>
      </w:r>
      <w:r w:rsidR="00852AC5" w:rsidRPr="0087271E">
        <w:rPr>
          <w:rStyle w:val="StyleUnderline"/>
        </w:rPr>
        <w:t>_ and which is constitutive therefore also of the condiClOn(s) of postcoloDlality and rise</w:t>
      </w:r>
      <w:r w:rsidRPr="0087271E">
        <w:rPr>
          <w:rStyle w:val="StyleUnderline"/>
        </w:rPr>
        <w:t xml:space="preserve"> </w:t>
      </w:r>
      <w:r w:rsidR="00852AC5" w:rsidRPr="0087271E">
        <w:rPr>
          <w:rStyle w:val="StyleUnderline"/>
        </w:rPr>
        <w:t>me poscracial</w:t>
      </w:r>
      <w:proofErr w:type="gramStart"/>
      <w:r w:rsidR="00852AC5" w:rsidRPr="0087271E">
        <w:rPr>
          <w:rStyle w:val="StyleUnderline"/>
        </w:rPr>
        <w:t>.</w:t>
      </w:r>
      <w:r w:rsidRPr="0087271E">
        <w:rPr>
          <w:rStyle w:val="StyleUnderline"/>
        </w:rPr>
        <w:t xml:space="preserve"> </w:t>
      </w:r>
      <w:r w:rsidR="00852AC5" w:rsidRPr="0087271E">
        <w:rPr>
          <w:rStyle w:val="StyleUnderline"/>
        </w:rPr>
        <w:t>.</w:t>
      </w:r>
      <w:proofErr w:type="gramEnd"/>
      <w:r w:rsidR="00852AC5">
        <w:t xml:space="preserve"> ,</w:t>
      </w:r>
      <w:r>
        <w:t xml:space="preserve"> </w:t>
      </w:r>
      <w:r w:rsidR="00852AC5">
        <w:t>Today chis may rell uS only half rhe scory, rhe half caprured by rhe cliched phrase</w:t>
      </w:r>
      <w:r>
        <w:t xml:space="preserve"> </w:t>
      </w:r>
      <w:r w:rsidR="00852AC5">
        <w:t>""we are here because you were there." The "here" now especially across urban localities mosc everywhere nor leasr in the global norrh is composed in parr by rhe presence of che "[here" in it, whether "you were there" or nor. The often denied or resisted</w:t>
      </w:r>
      <w:r>
        <w:t xml:space="preserve"> </w:t>
      </w:r>
      <w:r w:rsidR="00852AC5">
        <w:t xml:space="preserve">hererogeneicies making up rhe urban embody the conneccivicies to elsewheres and ocher times. the local also constituted anew by the disranr in place and rime. "Home" is reinvented in the complex and mcrphing relations between the familiar and (he [range, the local and the distant, the here and the there, the now and the chen </w:t>
      </w:r>
      <w:proofErr w:type="gramStart"/>
      <w:r w:rsidR="00852AC5">
        <w:t>( imone</w:t>
      </w:r>
      <w:proofErr w:type="gramEnd"/>
      <w:r w:rsidR="00852AC5">
        <w:t>, 2008).</w:t>
      </w:r>
      <w:r>
        <w:t xml:space="preserve"> </w:t>
      </w:r>
      <w:r w:rsidR="00852AC5">
        <w:t xml:space="preserve">So comparativism alone can tell us little about contemporary racial Europeanization, for instance, about what has brought about rhe indignicie Europe's contemporary peoples or color - chose peoples once thought co have no history - continue CO suffer (through). </w:t>
      </w:r>
      <w:r w:rsidR="00852AC5" w:rsidRPr="0087271E">
        <w:rPr>
          <w:rStyle w:val="Emphasis"/>
        </w:rPr>
        <w:t>Why are Europe's peoples of color so readily reduced in imagination if ncr by explicit reference (though that too) co "non-Europeans?" Why do Europe's suppos edly "non- Europeans" continue co be so readily discriminated against in the employ menc and housing markets, and why are they relatively absent from its institutions of higher learning, as students, faculty, and staff? Perhaps the quickest and most direct way to make such connections is to point out that a people thought historically to have no history come to have thrust upon them relationally a history only racial fab rication can shape, a history - and so a comemporary - of racially ordered limitation and the exclusions expressed and reproduced in its name.</w:t>
      </w:r>
      <w:r w:rsidRPr="0087271E">
        <w:rPr>
          <w:rStyle w:val="Emphasis"/>
        </w:rPr>
        <w:t xml:space="preserve"> </w:t>
      </w:r>
      <w:r w:rsidR="00852AC5" w:rsidRPr="0087271E">
        <w:rPr>
          <w:rStyle w:val="Emphasis"/>
        </w:rPr>
        <w:t>Revealing relationaliries, thick and deep, then, uncovers constitutive and trans forming connections, circuits of mutual making that are never (totally) unidirectional</w:t>
      </w:r>
      <w:r w:rsidR="00852AC5">
        <w:t>. In this Joim making emerges the more likely prompts for co-habitation and mutuality than for resentment and rejection. The latter is a product of what we might character ize as a "politics of unrelation' rationalized by histories of antagonisms and violence cowards each other</w:t>
      </w:r>
      <w:r w:rsidR="00852AC5" w:rsidRPr="0087271E">
        <w:rPr>
          <w:rStyle w:val="StyleUnderline"/>
        </w:rPr>
        <w:t>. The former offers histories of complex co-constitution revealing possibil.ities in the face of challenge, the messy unsureries and insecurities that emerge and SWirl around the politics of making each other (LIp) through making rogerher rather than the violent predictabilities of the given and discrete. There is no guarantee here that the outcome will be viable, that the relations in question are nee constrain Ing. But the constitutive relations at work in any case are denied only at the extensive and damaging COSt of repressive and repressing violence</w:t>
      </w:r>
      <w:r w:rsidR="00852AC5">
        <w:t>.</w:t>
      </w:r>
      <w:r>
        <w:t xml:space="preserve"> </w:t>
      </w:r>
      <w:r w:rsidR="00852AC5">
        <w:t>The challenge, then, is to trace the inter-coursing connecrivities of the ethnoracial (Goldberg, 1 993) across their geographies and temporalities. It is to comprehend their comp~</w:t>
      </w:r>
      <w:proofErr w:type="gramStart"/>
      <w:r w:rsidR="00852AC5">
        <w:t>eJ(</w:t>
      </w:r>
      <w:proofErr w:type="gramEnd"/>
      <w:r w:rsidR="00852AC5">
        <w:t>itiesl the possibilities and challenges, the convivialities but also the dangers and Violence that heterogeneous socialities conjure and condition. And it is to sense the promptS and implications, fabrics and effects, fragilities and ambiguities that the transnational networks' ethnoracialities have long conceived and created.</w:t>
      </w:r>
      <w:r>
        <w:t xml:space="preserve"> </w:t>
      </w:r>
      <w:r w:rsidR="00852AC5">
        <w:t xml:space="preserve">I do not mean by all of this, either, to romanticize relationality, to cloak its coo stituuvely deep histOricity in an inevitable teleology of presumptive sameness, </w:t>
      </w:r>
      <w:r w:rsidR="00852AC5" w:rsidRPr="0087271E">
        <w:rPr>
          <w:rStyle w:val="Emphasis"/>
        </w:rPr>
        <w:t>The substantive knowledge I am suggesting relationalit</w:t>
      </w:r>
      <w:r w:rsidRPr="0087271E">
        <w:rPr>
          <w:rStyle w:val="Emphasis"/>
        </w:rPr>
        <w:t>y as a method is concerned to pr</w:t>
      </w:r>
      <w:r w:rsidR="00852AC5" w:rsidRPr="0087271E">
        <w:rPr>
          <w:rStyle w:val="Emphasis"/>
        </w:rPr>
        <w:t>oduce will nor be the same across different points or screams of connection, between different hIstories or their space-time loci.</w:t>
      </w:r>
      <w:r w:rsidR="00852AC5">
        <w:t xml:space="preserve"> That the abstract methodological form of relatlonahty - itS logic - may be common across cases (that's what method amountS co) does not entail that this is an instance of what Paul Gilroy, in a different theoreti cal COntext, has called the hanging arne (Gilroy, 1997). Prom </w:t>
      </w:r>
      <w:r w:rsidR="00852AC5" w:rsidRPr="0087271E">
        <w:rPr>
          <w:rStyle w:val="StyleUnderline"/>
        </w:rPr>
        <w:t>the fact that the form</w:t>
      </w:r>
      <w:r w:rsidRPr="0087271E">
        <w:rPr>
          <w:rStyle w:val="StyleUnderline"/>
        </w:rPr>
        <w:t xml:space="preserve"> </w:t>
      </w:r>
      <w:r w:rsidR="00852AC5" w:rsidRPr="0087271E">
        <w:rPr>
          <w:rStyle w:val="StyleUnderline"/>
        </w:rPr>
        <w:t>of knowledge formation is common, it does not follow that the substantive knowle</w:t>
      </w:r>
      <w:r w:rsidR="0087271E">
        <w:rPr>
          <w:rStyle w:val="StyleUnderline"/>
        </w:rPr>
        <w:t xml:space="preserve">dge that’ss produced, must be </w:t>
      </w:r>
      <w:proofErr w:type="gramStart"/>
      <w:r w:rsidR="0087271E">
        <w:rPr>
          <w:rStyle w:val="StyleUnderline"/>
        </w:rPr>
        <w:t xml:space="preserve">so </w:t>
      </w:r>
      <w:r w:rsidR="00852AC5">
        <w:t>.</w:t>
      </w:r>
      <w:proofErr w:type="gramEnd"/>
      <w:r w:rsidR="00852AC5">
        <w:t xml:space="preserve"> Knowledge, all knowledge, is a product of form and </w:t>
      </w:r>
      <w:proofErr w:type="gramStart"/>
      <w:r w:rsidR="00852AC5">
        <w:t>roucerir ,</w:t>
      </w:r>
      <w:proofErr w:type="gramEnd"/>
      <w:r w:rsidR="00852AC5">
        <w:t xml:space="preserve"> as Kant made so clear, and relationaliry complicates.</w:t>
      </w:r>
      <w:r>
        <w:t xml:space="preserve"> </w:t>
      </w:r>
      <w:r w:rsidR="00852AC5">
        <w:t xml:space="preserve">Comparison without relarionaliry, then, inevitably falls short, hypostatizes, sets rile analytic horizons close to the vest. A comparativity open to relational exce ns iori is in effect a different mode of comparativity. </w:t>
      </w:r>
      <w:r w:rsidR="00852AC5" w:rsidRPr="0087271E">
        <w:rPr>
          <w:rStyle w:val="StyleUnderline"/>
        </w:rPr>
        <w:t>Relationaliry reveals, pulls produccively together, connects prompting and causal conditions across otherwise seemingly discrete ioscances and "uneven permeabilities," offers a more telling descrip cion of «making the world up" and an explanatory account where otherwise there is Likely Done, in fiction as much as in non-fiction. Race critical theory thus calls for a more complexly nuanced relarionaliry as its method.</w:t>
      </w:r>
    </w:p>
    <w:p w14:paraId="233BFADF" w14:textId="4A81334A" w:rsidR="002A12C9" w:rsidRDefault="002A12C9" w:rsidP="002A12C9">
      <w:pPr>
        <w:pStyle w:val="Heading2"/>
      </w:pPr>
      <w:r>
        <w:t>1NC Choose PIC—</w:t>
      </w:r>
      <w:r w:rsidR="00BE0762">
        <w:t>for the “Decoloniality 1AC”</w:t>
      </w:r>
    </w:p>
    <w:p w14:paraId="18AE3A35" w14:textId="3B0CA385" w:rsidR="002A12C9" w:rsidRDefault="002A12C9" w:rsidP="002A12C9">
      <w:pPr>
        <w:pStyle w:val="Heading4"/>
        <w:rPr>
          <w:rFonts w:eastAsia="Times New Roman" w:cs="Times New Roman"/>
        </w:rPr>
      </w:pPr>
      <w:r>
        <w:t xml:space="preserve">Text: Thus, we choose to </w:t>
      </w:r>
      <w:r w:rsidRPr="004B5313">
        <w:rPr>
          <w:rFonts w:eastAsia="Times New Roman" w:cs="Times New Roman"/>
        </w:rPr>
        <w:t>to</w:t>
      </w:r>
      <w:r>
        <w:rPr>
          <w:rFonts w:eastAsia="Times New Roman" w:cs="Times New Roman"/>
          <w:i/>
          <w:u w:val="single"/>
        </w:rPr>
        <w:t xml:space="preserve"> re-conceptualize</w:t>
      </w:r>
      <w:r w:rsidRPr="004B5313">
        <w:rPr>
          <w:rFonts w:eastAsia="Times New Roman" w:cs="Times New Roman"/>
          <w:i/>
          <w:u w:val="single"/>
        </w:rPr>
        <w:t xml:space="preserve"> </w:t>
      </w:r>
      <w:r w:rsidRPr="004B5313">
        <w:rPr>
          <w:rFonts w:eastAsia="Times New Roman" w:cs="Times New Roman"/>
        </w:rPr>
        <w:t>what it means to be “ed</w:t>
      </w:r>
      <w:r>
        <w:rPr>
          <w:rFonts w:eastAsia="Times New Roman" w:cs="Times New Roman"/>
        </w:rPr>
        <w:t>ucated” —vote neg to engage in</w:t>
      </w:r>
      <w:r w:rsidRPr="004B5313">
        <w:rPr>
          <w:rFonts w:eastAsia="Times New Roman" w:cs="Times New Roman"/>
        </w:rPr>
        <w:t xml:space="preserve"> politics of delinking from colonized education</w:t>
      </w:r>
    </w:p>
    <w:p w14:paraId="046E2201" w14:textId="77777777" w:rsidR="00AC3484" w:rsidRPr="00AC3484" w:rsidRDefault="00AC3484" w:rsidP="00AC3484"/>
    <w:p w14:paraId="69A73E20" w14:textId="000466BE" w:rsidR="002A12C9" w:rsidRDefault="002A12C9" w:rsidP="002A12C9">
      <w:pPr>
        <w:pStyle w:val="Heading4"/>
      </w:pPr>
      <w:r>
        <w:rPr>
          <w:u w:val="single"/>
        </w:rPr>
        <w:t xml:space="preserve">Choice </w:t>
      </w:r>
      <w:r>
        <w:t>is important—it reflects human agency and decision-making in the future</w:t>
      </w:r>
    </w:p>
    <w:p w14:paraId="7AF29BEA" w14:textId="076D2EE4" w:rsidR="00EE7915" w:rsidRPr="00EE7915" w:rsidRDefault="00EE7915" w:rsidP="00EE7915">
      <w:pPr>
        <w:rPr>
          <w:rStyle w:val="Style13ptBold"/>
          <w:b w:val="0"/>
        </w:rPr>
      </w:pPr>
      <w:r>
        <w:rPr>
          <w:rStyle w:val="Style13ptBold"/>
        </w:rPr>
        <w:t xml:space="preserve">Paternoster &amp; Pogarsky 9 </w:t>
      </w:r>
      <w:r>
        <w:rPr>
          <w:rStyle w:val="Style13ptBold"/>
          <w:b w:val="0"/>
        </w:rPr>
        <w:t>(</w:t>
      </w:r>
      <w:r w:rsidRPr="00EE7915">
        <w:rPr>
          <w:rStyle w:val="Style13ptBold"/>
          <w:b w:val="0"/>
        </w:rPr>
        <w:t>Ray Paternoster completed his Ph.D. from Florida State University. He is interested in criminological theory, quantitative methods, offender decision making, and issue</w:t>
      </w:r>
      <w:r>
        <w:rPr>
          <w:rStyle w:val="Style13ptBold"/>
          <w:b w:val="0"/>
        </w:rPr>
        <w:t xml:space="preserve">s related to capital punishment. </w:t>
      </w:r>
      <w:r w:rsidRPr="00EE7915">
        <w:rPr>
          <w:rStyle w:val="Style13ptBold"/>
          <w:b w:val="0"/>
        </w:rPr>
        <w:t xml:space="preserve">Greg Pogarsky joined the faculty of the School of Criminal Justice in August, 2001.  He is an attorney and formerly practiced as a criminal public defender for the state of New Jersey.  Thereafter in 1998, he received a Ph.D. in Public Policy </w:t>
      </w:r>
      <w:r>
        <w:rPr>
          <w:rStyle w:val="Style13ptBold"/>
          <w:b w:val="0"/>
        </w:rPr>
        <w:t xml:space="preserve">from Carnegie Mellon University. “Rational Choice, Agency and Decision Making: </w:t>
      </w:r>
      <w:r w:rsidRPr="00EE7915">
        <w:rPr>
          <w:rStyle w:val="Style13ptBold"/>
          <w:b w:val="0"/>
        </w:rPr>
        <w:t>The Short and Long-Term Consequences of Making Good Choices</w:t>
      </w:r>
      <w:r>
        <w:rPr>
          <w:rStyle w:val="Style13ptBold"/>
          <w:b w:val="0"/>
        </w:rPr>
        <w:t>”. J Quant Criminol, March 10, 2009) TSB</w:t>
      </w:r>
    </w:p>
    <w:p w14:paraId="66273E5E" w14:textId="2B707E57" w:rsidR="00EE7915" w:rsidRDefault="002A12C9" w:rsidP="002A12C9">
      <w:r>
        <w:t xml:space="preserve">In this paper we </w:t>
      </w:r>
      <w:r w:rsidRPr="00600120">
        <w:rPr>
          <w:rStyle w:val="StyleUnderline"/>
        </w:rPr>
        <w:t>present more than a conceptual and theoretical account of thoughtful decision making and agency. We think that discussions of human agency have been too long divorced from the empirical world. We, therefore, offer both a conceptual and operational definition of what we mean by TRDM and, therefore, one element of human agency. TRDM allows persons to be better agents by providing them with the capacity to make good decisions, good because choices converge with preferences.</w:t>
      </w:r>
      <w:r>
        <w:t xml:space="preserve"> If what we argue about this kind of thoughtful and deliberative thinking is true, it should relate to both criminal and conventional behaviors. </w:t>
      </w:r>
      <w:r w:rsidRPr="00600120">
        <w:rPr>
          <w:rStyle w:val="Emphasis"/>
        </w:rPr>
        <w:t xml:space="preserve">More specifically, more thoughtfully reflective decision makers should be more effective agents and should make better quality decisions </w:t>
      </w:r>
      <w:r>
        <w:t xml:space="preserve">(Keckes 1976; Baron 2008). </w:t>
      </w:r>
      <w:r w:rsidRPr="00600120">
        <w:rPr>
          <w:rStyle w:val="Emphasis"/>
        </w:rPr>
        <w:t>This should be manifested in more successful life outcomes, the accumulation of social, personal, and cultural capital, and a reduced risk of anti-social and self-destructive behavior</w:t>
      </w:r>
      <w:r>
        <w:t>. As Byrnes (2002: 215) put it, ‘‘there should be a close correspondence between competent decision making and personal success’’. Using data from the National Longitudinal Study of Adolescent Health (‘‘Add Health’’) we examine whether TRDM is related to both short- and more long-term favorable and self-destructive outcomes. A measure of TRDM is obtained at the first wave of the Add Health data collection when youth were between the ages of 12 and 19 (mean and median age of 16 years) while outcome measures are taken from waves 2, which occurred 6–18 months</w:t>
      </w:r>
    </w:p>
    <w:p w14:paraId="3F97FB3B" w14:textId="5D007FCF" w:rsidR="00600120" w:rsidRDefault="00600120" w:rsidP="00600120">
      <w:pPr>
        <w:pStyle w:val="Heading4"/>
      </w:pPr>
      <w:r>
        <w:t>Human agency is necessary for well-being and value to life</w:t>
      </w:r>
      <w:r w:rsidR="00FA6138">
        <w:t>—risks psychological disvaluing without it</w:t>
      </w:r>
    </w:p>
    <w:p w14:paraId="2F70503B" w14:textId="614F77D5" w:rsidR="00FA6138" w:rsidRPr="00FA6138" w:rsidRDefault="00FA6138" w:rsidP="00FA6138">
      <w:pPr>
        <w:rPr>
          <w:rStyle w:val="Style13ptBold"/>
          <w:b w:val="0"/>
        </w:rPr>
      </w:pPr>
      <w:r>
        <w:rPr>
          <w:rStyle w:val="Style13ptBold"/>
        </w:rPr>
        <w:t xml:space="preserve">McWilliams 8 </w:t>
      </w:r>
      <w:r>
        <w:rPr>
          <w:rStyle w:val="Style13ptBold"/>
          <w:b w:val="0"/>
        </w:rPr>
        <w:t xml:space="preserve">(Spencer McWilliams, Professor of Psychoogy at California State University, “Ontological Acceleration and Human Agency”, Personal Consult Theory &amp; Practice 2008, </w:t>
      </w:r>
      <w:hyperlink r:id="rId18" w:history="1">
        <w:r w:rsidRPr="006543DA">
          <w:rPr>
            <w:rStyle w:val="Hyperlink"/>
            <w:sz w:val="26"/>
          </w:rPr>
          <w:t>http://www.pcp-net.org/journal/pctp08/mcwilliams08.pdf</w:t>
        </w:r>
      </w:hyperlink>
      <w:r>
        <w:rPr>
          <w:rStyle w:val="Style13ptBold"/>
          <w:b w:val="0"/>
        </w:rPr>
        <w:t>) TSB</w:t>
      </w:r>
    </w:p>
    <w:p w14:paraId="6DDD472D" w14:textId="4FE72AAB" w:rsidR="00FA6138" w:rsidRPr="00BE0762" w:rsidRDefault="00FA6138" w:rsidP="00FA6138">
      <w:pPr>
        <w:rPr>
          <w:rStyle w:val="Emphasis"/>
        </w:rPr>
      </w:pPr>
      <w:r>
        <w:t xml:space="preserve"> </w:t>
      </w:r>
      <w:r w:rsidRPr="00FA6138">
        <w:rPr>
          <w:rStyle w:val="Emphasis"/>
        </w:rPr>
        <w:t xml:space="preserve">Bandura’ s view of human agency emphasizes how people exercise control over their lives and can be viewed as producers of the world in which they live as well as products of it. </w:t>
      </w:r>
      <w:r>
        <w:t xml:space="preserve">Like Kelly, Bandura emphasizes an explanation of behavior that focuses not only on the effect of past circumstances on present behavior, but also on its purposive, constructive, anticipatory na- ture. </w:t>
      </w:r>
      <w:r w:rsidRPr="00FA6138">
        <w:rPr>
          <w:rStyle w:val="Emphasis"/>
        </w:rPr>
        <w:t>To succeed in the complex world people must anticipate the effects of various actions and events, determine their capabilities, analyze op- portunities and constraints, and regulate their actions. Their beliefs represent a model of the world that they use as a guide in achieving de- sired outcomes and avoiding undesirable conse- quences</w:t>
      </w:r>
      <w:r>
        <w:t xml:space="preserve">. Bandura views </w:t>
      </w:r>
      <w:r w:rsidRPr="00FA6138">
        <w:rPr>
          <w:rStyle w:val="StyleUnderline"/>
        </w:rPr>
        <w:t>people as purposive beings who act to bring about desired events ra- ther than simply responding to situational forces and personality structures</w:t>
      </w:r>
      <w:r>
        <w:t>. Bandura said, in terms that could have just as easily been penned by Kelly, “</w:t>
      </w:r>
      <w:r w:rsidRPr="00FA6138">
        <w:rPr>
          <w:rStyle w:val="StyleUnderline"/>
        </w:rPr>
        <w:t>In experimental situations, partici- pants try to figure out what is wanted of them; they construct hypotheses and reflectively test their adequacy by evaluating the results of their actions</w:t>
      </w:r>
      <w:r>
        <w:t xml:space="preserve">; they set personal goals and otherwise motivate themselves...” (2001, p. 5). In his dis- cussion of human agency, Bandura describes many of the process of the active personal scien- tist metaphor that Kelly so effectively articu- lated. </w:t>
      </w:r>
      <w:r w:rsidRPr="00BE0762">
        <w:rPr>
          <w:rStyle w:val="Emphasis"/>
        </w:rPr>
        <w:t>Bandura elaborates human agency, what to him being human means, by articulating its four core features: intentionality, forethought, self- reactiveness, and self-reflectiveness.</w:t>
      </w:r>
      <w:r>
        <w:t xml:space="preserve"> Additional- ly, Bandura views t</w:t>
      </w:r>
      <w:r w:rsidRPr="00BE0762">
        <w:rPr>
          <w:rStyle w:val="Emphasis"/>
        </w:rPr>
        <w:t>he implementation of human agency as taking different forms: personal agen- cy, proxy agency, and collective agency.</w:t>
      </w:r>
      <w:r>
        <w:t xml:space="preserve"> Finally, Bandura describes </w:t>
      </w:r>
      <w:r w:rsidRPr="00BE0762">
        <w:rPr>
          <w:rStyle w:val="StyleUnderline"/>
        </w:rPr>
        <w:t>the important concept of per- ceived self-efficacy, referring to individuals’ assessment of their ability to succeed in the ac- tions relevant to implementing human agency. I will briefly summarize each of these compo- nent</w:t>
      </w:r>
      <w:r>
        <w:t xml:space="preserve">s. Intentionality. </w:t>
      </w:r>
      <w:r w:rsidRPr="00BE0762">
        <w:rPr>
          <w:rStyle w:val="Emphasis"/>
        </w:rPr>
        <w:t>Human agency refers to inten- tional acts, a representation of a course of action cast into the future with a commitment to bring- ing events about</w:t>
      </w:r>
      <w:r>
        <w:t xml:space="preserve">. Humans originate actions, and develop plans to execute them. In the same way that Kelly described anticipation in terms of general dimensions, Bandura describes future- directed plans as not specified fully at the begin- ning, since we cannot anticipate all of the details of a situation, and often respond to fortuitous events. Like the social constructionists, Bandura emphasizes that most human activities involve participation with others in joint activities requir- ing shared intentions and the coordination of individual action plans. Forethought. Shotter (2007) discussed Kelly’s emphasis on time and the sequential un- Personal Construct Theory &amp; Practice, 5, 2008 folding of events and actions. </w:t>
      </w:r>
      <w:r w:rsidRPr="00BE0762">
        <w:rPr>
          <w:rStyle w:val="StyleUnderline"/>
        </w:rPr>
        <w:t>Bandura’s empha- sis on forethought echoes this emphasis on a fu- ture time perspective and the extension of human agency in time. In setting goals, anticipating the possible consequences of alternate actions, and creating actions likely to lead to desirable out- comes, people actively anticipate the future, and use that forethought to provide direction, mean- ing, and coherence. By representing future events cognitively, people construct expectations and goals, and projected outcomes serve to mo- tivate and regulate behavior</w:t>
      </w:r>
      <w:r>
        <w:t xml:space="preserve">. Self-Reactiveness. Having intentions and an- ticipating future events do not, by themselves, make things happen. </w:t>
      </w:r>
      <w:r w:rsidRPr="00BE0762">
        <w:rPr>
          <w:rStyle w:val="StyleUnderline"/>
        </w:rPr>
        <w:t>Once people commit to an intention and adopt a plan of action they must take a specific course of action and monitor and regulate their execution of their plan, assessing their performance in terms of personally mea- ningful criteria, and taking necessary corrective actions.</w:t>
      </w:r>
      <w:r>
        <w:t xml:space="preserve"> They compare their actual performance with goals that have meaning within their per- sonal value (construct) system and provide pur- pose and direction. Self-Reflectiveness. Like good ‘personal scientists’, </w:t>
      </w:r>
      <w:r w:rsidRPr="00BE0762">
        <w:rPr>
          <w:rStyle w:val="StyleUnderline"/>
        </w:rPr>
        <w:t>people must assess their functioning and the adequacy of their behavior, evaluating their pursuits and values, and addressing con- flicts. Personal agency and personal effective- ness rest on people’s assessment of their ability to exercise effective control over themselves and the events in their environment.</w:t>
      </w:r>
      <w:r>
        <w:t xml:space="preserve"> Since this aspect of human agency, perceived self-efficacy, has a central role in Bandura’ s </w:t>
      </w:r>
      <w:proofErr w:type="gramStart"/>
      <w:r>
        <w:t>SCT ,</w:t>
      </w:r>
      <w:proofErr w:type="gramEnd"/>
      <w:r>
        <w:t xml:space="preserve"> it requires further explication below. Modes of Agency. As stated above, Bandura distinguishes three forms through which human agency takes place: personal, proxy, and collec- tive. </w:t>
      </w:r>
      <w:r w:rsidRPr="00BE0762">
        <w:rPr>
          <w:rStyle w:val="StyleUnderline"/>
        </w:rPr>
        <w:t>Most of our psychological analyses focus on how individuals exercise their personal agen- cy and effectiveness individually. People regu- larly exercise personal agency, through its asso- ciated cognitive, motivational, and choice processes, in order to produce desirable effects in their lives. In many instances, however, people do not have direct control over situations that affect them on a daily basis, and in other situations people perceive that they may not have the necessary skills or they do not wish to burden themselves with direct control. In such instances, people use human agency to get others to act to obtain the outcomes they desire</w:t>
      </w:r>
      <w:r>
        <w:t xml:space="preserve">. For example, although I have some of the skills ne- cessary to maintain my home landscaping, I choose to hire a professional gardener to care for the yard, both because of his greater skill and my lack of desire to do the work (i.e., been there, done that). Many other human goals require in- terdependent social actions that require coordi- nation with others. SCT views human function- ing as embedded in social systems, with personal agency occurring within a context of social and cultural influences. People act conjointly on the basis of shared beliefs, including their collective ability to produce desirable consequences, a conception elaborated by social constructionists. </w:t>
      </w:r>
      <w:r w:rsidRPr="00BE0762">
        <w:rPr>
          <w:rStyle w:val="StyleUnderline"/>
        </w:rPr>
        <w:t>Current efforts at energy conservation and reduc- ing global warming represent a good example of collective human agency. Self-Efficacy. Bandura (1999) defines per- ceived self-efficacy as “people’s beliefs in their capabilities to perform in ways that give them some control over events that affect their lives”</w:t>
      </w:r>
      <w:r>
        <w:t xml:space="preserve"> (p. 181). Self-efficacy serves as a basic founda- tion for human agency, since people have incen- tive to act if they believe they can produce desir- able results through their behavior. People con- struct their self-efficacy beliefs through various processes, including direct experience of person- al mastery, vicarious experiences observing similar people succeeding, persuasion by others, and their assessment of their physical and emo- tional states and capabilities. Many personal, social, and environmental factors influence how people perceive, reflect upon, and interpret expe- riences and how they integrate them into their sense of self-efficacy. Self-efficacy is also af- fected by what information people attend to, in- fluenced by their perceptual biases and other personal and situational variables, and how people integrate that information into their per- ception of their capabilities. </w:t>
      </w:r>
      <w:r w:rsidRPr="00BE0762">
        <w:rPr>
          <w:rStyle w:val="StyleUnderline"/>
        </w:rPr>
        <w:t>Efficacy beliefs in- fluence how people perceive events, how moti- vated they are to perform actions, how they cope with threat, anxiety and demands, and whether they set realistic and appropriate goals. Bandura’s work demonstrates that perceived self-efficacy can have a major influence on hu- man effectiveness and well-being. Those with high levels of perceived self-efficacy demon- strate greater cognitive resourcefulness, effec- tiveness in dealing with their environments, and greater flexibility. They set appropriate chal- lenges, focus on worthwhile opportunities, and imagine successful actions that they use to guide their behavior. They attribute failure to inade- quate strategies or insufficient effort, and when faced with obstacles they increase their effort and construct better strategies.</w:t>
      </w:r>
      <w:r>
        <w:t xml:space="preserve"> They view threats without distress, reduce anxiety by effectively addressing threatening situations and altering the environment in positive ways. </w:t>
      </w:r>
      <w:r w:rsidRPr="00BE0762">
        <w:rPr>
          <w:rStyle w:val="StyleUnderline"/>
        </w:rPr>
        <w:t>They see difficul- ties as something to master rather than avoid, set appropriate goals, and sustain their commit- ments. By focusing on successful performance, attributing failure to remediable factors such as lack of skill, poor strategies, or insufficient ef- fort, they recover their self-efficacy following failures. Those with low levels of self-efficacy im- agine actions that will fail, hamper their effec- tiveness by focusing on what might go wrong, and dwell on risks rather than opportunities.</w:t>
      </w:r>
      <w:r>
        <w:t xml:space="preserve"> They tend to ascribe their failures to low ability, circumstances, or “luck,” and when faced with obstacles they reduce their effort, give up, or accept a lower-level outcome. </w:t>
      </w:r>
      <w:r w:rsidRPr="00BE0762">
        <w:rPr>
          <w:rStyle w:val="Emphasis"/>
        </w:rPr>
        <w:t>They view threats with anxiety, dwell on their deficiencies, see danger and risk, and impair their functioning by creating distress. They avoid difficult tasks, maintain low aspirations, experience self-doubts, focus on obstacles, and do not recover well fol- lowing failure. They thus remain vulnerable to stress, anxiety, and depression.</w:t>
      </w:r>
    </w:p>
    <w:p w14:paraId="216D1906" w14:textId="77777777" w:rsidR="002A12C9" w:rsidRPr="002A12C9" w:rsidRDefault="002A12C9" w:rsidP="002A12C9">
      <w:pPr>
        <w:pStyle w:val="Heading4"/>
      </w:pPr>
    </w:p>
    <w:p w14:paraId="079054DB" w14:textId="77777777" w:rsidR="002A12C9" w:rsidRPr="002A12C9" w:rsidRDefault="002A12C9" w:rsidP="002A12C9"/>
    <w:p w14:paraId="6347C7E4" w14:textId="6160D60C" w:rsidR="0071387E" w:rsidRDefault="0071387E" w:rsidP="0071387E">
      <w:pPr>
        <w:pStyle w:val="Heading1"/>
      </w:pPr>
      <w:r>
        <w:t>2NC Blocks</w:t>
      </w:r>
    </w:p>
    <w:p w14:paraId="2E0A2811" w14:textId="6C0F003B" w:rsidR="009A68EF" w:rsidRDefault="002A12C9" w:rsidP="00FA6138">
      <w:pPr>
        <w:pStyle w:val="Heading2"/>
      </w:pPr>
      <w:r>
        <w:t>2NC Case Extensions</w:t>
      </w:r>
      <w:r w:rsidR="009A68EF">
        <w:t>-Advantage</w:t>
      </w:r>
    </w:p>
    <w:p w14:paraId="3E469BED" w14:textId="77777777" w:rsidR="00866913" w:rsidRPr="00866913" w:rsidRDefault="00866913" w:rsidP="00866913"/>
    <w:p w14:paraId="024C257B" w14:textId="6BF6AF8C" w:rsidR="00866913" w:rsidRDefault="00866913" w:rsidP="00866913">
      <w:pPr>
        <w:pStyle w:val="Heading3"/>
      </w:pPr>
      <w:r>
        <w:t>2NC--Cooper</w:t>
      </w:r>
    </w:p>
    <w:p w14:paraId="35D8AE70" w14:textId="3346E75A" w:rsidR="00866913" w:rsidRDefault="00866913" w:rsidP="00866913">
      <w:pPr>
        <w:pStyle w:val="Heading4"/>
      </w:pPr>
      <w:r>
        <w:t>Extend Cooper—the mov</w:t>
      </w:r>
      <w:r w:rsidR="006F7BBD">
        <w:t xml:space="preserve">ing and </w:t>
      </w:r>
      <w:r w:rsidR="007D1DB6">
        <w:t>characterization</w:t>
      </w:r>
    </w:p>
    <w:p w14:paraId="09844AB4" w14:textId="4D73FB8F" w:rsidR="007D1DB6" w:rsidRDefault="007D1DB6" w:rsidP="007D1DB6">
      <w:pPr>
        <w:pStyle w:val="Heading3"/>
      </w:pPr>
      <w:r>
        <w:t>Extra Case Cards</w:t>
      </w:r>
    </w:p>
    <w:p w14:paraId="42262C08" w14:textId="77777777" w:rsidR="007D1DB6" w:rsidRPr="007D1DB6" w:rsidRDefault="007D1DB6" w:rsidP="007D1DB6"/>
    <w:p w14:paraId="4B852DE5" w14:textId="6510CB58" w:rsidR="00FA6138" w:rsidRDefault="00FA6138" w:rsidP="00FA6138">
      <w:pPr>
        <w:pStyle w:val="Heading2"/>
      </w:pPr>
      <w:r>
        <w:t>2NC Choose PIC</w:t>
      </w:r>
    </w:p>
    <w:p w14:paraId="67C65CD1" w14:textId="1DC877C2" w:rsidR="00BE0762" w:rsidRDefault="00BE0762" w:rsidP="00BE0762">
      <w:pPr>
        <w:pStyle w:val="Heading3"/>
      </w:pPr>
      <w:r>
        <w:t>Competitive</w:t>
      </w:r>
    </w:p>
    <w:p w14:paraId="3FE3B5F6" w14:textId="15945250" w:rsidR="00BE0762" w:rsidRPr="00BE0762" w:rsidRDefault="00BE0762" w:rsidP="00BE0762">
      <w:pPr>
        <w:pStyle w:val="Heading4"/>
      </w:pPr>
      <w:r>
        <w:t>Any perm is severance—in their advocacy statement they specififed that they had no choice—don’t let them shift their advocacy—will be a moving target. Even if they win that the 1AC should be the foucs of the debate, they shouldn’t be able to sever out of words that they said</w:t>
      </w:r>
      <w:proofErr w:type="gramStart"/>
      <w:r>
        <w:t>: ,key</w:t>
      </w:r>
      <w:proofErr w:type="gramEnd"/>
      <w:r>
        <w:t xml:space="preserve"> to strategy</w:t>
      </w:r>
    </w:p>
    <w:p w14:paraId="15ABABB2" w14:textId="28042A1A" w:rsidR="00BE0762" w:rsidRDefault="00BE0762" w:rsidP="00BE0762">
      <w:pPr>
        <w:pStyle w:val="Heading3"/>
      </w:pPr>
      <w:r>
        <w:t>A2: Agency Possible w/o Choice</w:t>
      </w:r>
    </w:p>
    <w:p w14:paraId="42D000FC" w14:textId="77777777" w:rsidR="00BE0762" w:rsidRDefault="00BE0762" w:rsidP="00BE0762">
      <w:pPr>
        <w:pStyle w:val="Heading4"/>
      </w:pPr>
      <w:r>
        <w:t xml:space="preserve">Choice is key to agency—acting with intention like the plan is not enough: deliberation that produced </w:t>
      </w:r>
      <w:r>
        <w:rPr>
          <w:u w:val="single"/>
        </w:rPr>
        <w:t xml:space="preserve">a choice </w:t>
      </w:r>
      <w:r>
        <w:t>is necessary to reflect decisions and have agency</w:t>
      </w:r>
    </w:p>
    <w:p w14:paraId="40C29FB5" w14:textId="77777777" w:rsidR="00BE0762" w:rsidRPr="00AC3484" w:rsidRDefault="00BE0762" w:rsidP="00BE0762">
      <w:r>
        <w:rPr>
          <w:rStyle w:val="Style13ptBold"/>
          <w:b w:val="0"/>
        </w:rPr>
        <w:t>(</w:t>
      </w:r>
      <w:r w:rsidRPr="00EE7915">
        <w:rPr>
          <w:rStyle w:val="Style13ptBold"/>
          <w:b w:val="0"/>
        </w:rPr>
        <w:t>Ray Paternoster completed his Ph.D. from Florida State University. He is interested in criminological theory, quantitative methods, offender decision making, and issue</w:t>
      </w:r>
      <w:r>
        <w:rPr>
          <w:rStyle w:val="Style13ptBold"/>
          <w:b w:val="0"/>
        </w:rPr>
        <w:t xml:space="preserve">s related to capital punishment. </w:t>
      </w:r>
      <w:r w:rsidRPr="00EE7915">
        <w:rPr>
          <w:rStyle w:val="Style13ptBold"/>
          <w:b w:val="0"/>
        </w:rPr>
        <w:t xml:space="preserve">Greg Pogarsky joined the faculty of the School of Criminal Justice in August, 2001.  He is an attorney and formerly practiced as a criminal public defender for the state of New Jersey.  Thereafter in 1998, he received a Ph.D. in Public Policy </w:t>
      </w:r>
      <w:r>
        <w:rPr>
          <w:rStyle w:val="Style13ptBold"/>
          <w:b w:val="0"/>
        </w:rPr>
        <w:t xml:space="preserve">from Carnegie Mellon University. “Rational Choice, Agency and Decision Making: </w:t>
      </w:r>
      <w:r w:rsidRPr="00EE7915">
        <w:rPr>
          <w:rStyle w:val="Style13ptBold"/>
          <w:b w:val="0"/>
        </w:rPr>
        <w:t>The Short and Long-Term Consequences of Making Good Choices</w:t>
      </w:r>
      <w:r>
        <w:rPr>
          <w:rStyle w:val="Style13ptBold"/>
          <w:b w:val="0"/>
        </w:rPr>
        <w:t xml:space="preserve">”. J Quant Criminol, March 10, 2009, </w:t>
      </w:r>
      <w:r w:rsidRPr="00FA6138">
        <w:rPr>
          <w:rStyle w:val="Style13ptBold"/>
          <w:b w:val="0"/>
        </w:rPr>
        <w:t>http://holyspiritlibrary.pbworks.com/w/file/fetch/48181276/Rational%20Choice%20Theory.pdf</w:t>
      </w:r>
      <w:r>
        <w:rPr>
          <w:rStyle w:val="Style13ptBold"/>
          <w:b w:val="0"/>
        </w:rPr>
        <w:t>) TSB</w:t>
      </w:r>
    </w:p>
    <w:p w14:paraId="0575CCA2" w14:textId="77777777" w:rsidR="00BE0762" w:rsidRDefault="00BE0762" w:rsidP="00BE0762">
      <w:r w:rsidRPr="00AC3484">
        <w:rPr>
          <w:rStyle w:val="StyleUnderline"/>
        </w:rPr>
        <w:t>It is not enough to act with intention, nor to have forethought and develop alternative plans of action: to have agency requires that persons self-regulate or monitor their actions. This self-regulation is described as self-reactiveness and self-reflectiveness by Bandura. By being self-reactive, persons both motivate and evaluate their conduct to ensure that it meets personal standards. More important for our concerns, self-reflectiveness concerns the ‘‘verification of the soundness of one’s thinking’’ (</w:t>
      </w:r>
      <w:r>
        <w:t xml:space="preserve">Bandura 2001: 10). As described, agency is an on-going process whereby a selected course of action is monitored, with the possibility of self-corrective action, to ensure it is goal directed, and examined as to how adequate one’s original process of deliberation was. </w:t>
      </w:r>
      <w:r w:rsidRPr="00600120">
        <w:rPr>
          <w:rStyle w:val="Emphasis"/>
        </w:rPr>
        <w:t>Human agency, then, is reflected in the fact that persons intentionally initiate an action in the service of some outcome or consequence they wish to bring about. Before the action is taken or a choice made, alternative courses of action that could produce the desired or intended outcome are considered, information about the likely consequences is collected, and after some deliberation and consideration a course of action is selected or a choice made and action taken. Both the action taken and the process of deliberation which produced the action are monitored as persons consider if their actions are in fact moving them toward the goal and if their thinking and deliberation has been sound</w:t>
      </w:r>
      <w:r>
        <w:t xml:space="preserve">. </w:t>
      </w:r>
      <w:r w:rsidRPr="00600120">
        <w:rPr>
          <w:rStyle w:val="StyleUnderline"/>
        </w:rPr>
        <w:t xml:space="preserve">The notion of reasoned and thoughtfully deliberate decision making is critical in res- cuing human agency from the ‘‘subjectivist ghetto’’ </w:t>
      </w:r>
      <w:r>
        <w:t xml:space="preserve">(Emirbayer and Mische 1998: 991) in that it has an empirical referent. On this point, Lilly et al. (2006: 362) emphasize that ‘‘unless human agency can be operationalized, scholars cannot test empirically whether this is an important causal factor that explains variation in offending or merely reflects self- serving or distorted memories relayed by old criminals about their past lives in crime.’’ Our position is that what we call TRDM consists of making good choices, that it is the most effective way to make choices consistent with preferences, and that it reflects what it means to act with agency. As mentioned, TRDM is a characteristic that varies across persons in that some are better at it than others, </w:t>
      </w:r>
      <w:r w:rsidRPr="00BE0762">
        <w:t>it varies across time in that as actors mature through adolescence into adulthood they become more thoughtfully reflective decision makers, and it varies across contexts in that some actions are based on intuition and others on habit, emotions, or moral considerations</w:t>
      </w:r>
      <w:r w:rsidRPr="00600120">
        <w:rPr>
          <w:rStyle w:val="Emphasis"/>
        </w:rPr>
        <w:t>. In this paper we are concerned only with some of the behavioral consequences of ‘‘good’’ choice making and hypothesize that between- individual variation in TRDM should be related to both proximal and distal life outcomes.</w:t>
      </w:r>
      <w:r>
        <w:t xml:space="preserve"> </w:t>
      </w:r>
    </w:p>
    <w:p w14:paraId="23406C42" w14:textId="7985F4A4" w:rsidR="00BE0762" w:rsidRDefault="00BE0762" w:rsidP="00BE0762">
      <w:pPr>
        <w:pStyle w:val="Heading3"/>
      </w:pPr>
      <w:r>
        <w:t>2NC: Choice PIC Solvency</w:t>
      </w:r>
    </w:p>
    <w:p w14:paraId="75E68834" w14:textId="13380938" w:rsidR="00BE0762" w:rsidRDefault="00BE0762" w:rsidP="00BE0762">
      <w:pPr>
        <w:pStyle w:val="Heading3"/>
      </w:pPr>
      <w:r>
        <w:t>Impact OV</w:t>
      </w:r>
    </w:p>
    <w:p w14:paraId="7626821A" w14:textId="3E5A24BE" w:rsidR="00BE0762" w:rsidRPr="00BE0762" w:rsidRDefault="00BE0762" w:rsidP="00BE0762">
      <w:pPr>
        <w:pStyle w:val="Heading4"/>
      </w:pPr>
      <w:r>
        <w:t xml:space="preserve">Human agency is the most </w:t>
      </w:r>
      <w:proofErr w:type="gramStart"/>
      <w:r>
        <w:t>important !</w:t>
      </w:r>
      <w:proofErr w:type="gramEnd"/>
      <w:r>
        <w:t xml:space="preserve"> : structures quality of life in the longterm and for all; colonized educa</w:t>
      </w:r>
    </w:p>
    <w:p w14:paraId="2D926A9D" w14:textId="77777777" w:rsidR="00FA6138" w:rsidRPr="00FA6138" w:rsidRDefault="00FA6138" w:rsidP="00FA6138">
      <w:pPr>
        <w:pStyle w:val="Heading2"/>
        <w:jc w:val="left"/>
      </w:pPr>
    </w:p>
    <w:p w14:paraId="56AFDC2E" w14:textId="45E9716B" w:rsidR="009A68EF" w:rsidRDefault="009A68EF" w:rsidP="009A68EF">
      <w:pPr>
        <w:pStyle w:val="Heading2"/>
      </w:pPr>
      <w:r>
        <w:t>2NC Cards- Speaking for Others K</w:t>
      </w:r>
    </w:p>
    <w:p w14:paraId="723F72D6" w14:textId="3FD7F54A" w:rsidR="00310785" w:rsidRDefault="00310785" w:rsidP="00310785">
      <w:pPr>
        <w:pStyle w:val="Heading3"/>
      </w:pPr>
      <w:r>
        <w:t>2NC OV</w:t>
      </w:r>
    </w:p>
    <w:p w14:paraId="5AE9E0DD" w14:textId="791CDABA" w:rsidR="00310785" w:rsidRDefault="00310785" w:rsidP="00310785">
      <w:pPr>
        <w:pStyle w:val="Heading3"/>
      </w:pPr>
      <w:r>
        <w:t>2NC Links</w:t>
      </w:r>
    </w:p>
    <w:p w14:paraId="10B706D5" w14:textId="5FD1F881" w:rsidR="00FD10A2" w:rsidRPr="00CF7DE2" w:rsidRDefault="00FD10A2" w:rsidP="00FD10A2">
      <w:pPr>
        <w:pStyle w:val="Heading4"/>
      </w:pPr>
      <w:r>
        <w:t>Speaking for Others and calling for a decolonization that ignores the way that land has played a role in the settler-cololonial state gives way to settler innocence and turns the case</w:t>
      </w:r>
    </w:p>
    <w:p w14:paraId="588DDC4A" w14:textId="77777777" w:rsidR="00FD10A2" w:rsidRDefault="00FD10A2" w:rsidP="00FD10A2">
      <w:pPr>
        <w:rPr>
          <w:rStyle w:val="Style13ptBold"/>
          <w:b w:val="0"/>
        </w:rPr>
      </w:pPr>
      <w:r>
        <w:rPr>
          <w:rStyle w:val="Style13ptBold"/>
        </w:rPr>
        <w:t xml:space="preserve">Tuck &amp; Yang 12 </w:t>
      </w:r>
      <w:r>
        <w:rPr>
          <w:rStyle w:val="Style13ptBold"/>
          <w:b w:val="0"/>
        </w:rPr>
        <w:t xml:space="preserve">(Eve Tuck, </w:t>
      </w:r>
      <w:r w:rsidRPr="00E272AF">
        <w:rPr>
          <w:rStyle w:val="Style13ptBold"/>
          <w:b w:val="0"/>
        </w:rPr>
        <w:t>State Univ</w:t>
      </w:r>
      <w:r>
        <w:rPr>
          <w:rStyle w:val="Style13ptBold"/>
          <w:b w:val="0"/>
        </w:rPr>
        <w:t xml:space="preserve">ersity of New York at New Paltz, K. Wayne Yang, </w:t>
      </w:r>
      <w:r w:rsidRPr="00CF7DE2">
        <w:rPr>
          <w:rStyle w:val="Style13ptBold"/>
          <w:b w:val="0"/>
        </w:rPr>
        <w:t>University of California, San Diego</w:t>
      </w:r>
      <w:r>
        <w:rPr>
          <w:rStyle w:val="Style13ptBold"/>
          <w:b w:val="0"/>
        </w:rPr>
        <w:t>, “</w:t>
      </w:r>
      <w:r w:rsidRPr="00CF7DE2">
        <w:rPr>
          <w:rStyle w:val="Style13ptBold"/>
          <w:b w:val="0"/>
        </w:rPr>
        <w:t>Decolonization: Indigeneity, Education &amp; Society</w:t>
      </w:r>
      <w:r>
        <w:rPr>
          <w:rStyle w:val="Style13ptBold"/>
          <w:b w:val="0"/>
        </w:rPr>
        <w:t>”, Vol. 1, No. 1, 2012, pp. 3-6) TSB</w:t>
      </w:r>
    </w:p>
    <w:p w14:paraId="5548E497" w14:textId="77777777" w:rsidR="00FD10A2" w:rsidRPr="00E272AF" w:rsidRDefault="00FD10A2" w:rsidP="00FD10A2">
      <w:pPr>
        <w:rPr>
          <w:rStyle w:val="Style13ptBold"/>
          <w:b w:val="0"/>
        </w:rPr>
      </w:pPr>
      <w:r>
        <w:rPr>
          <w:rStyle w:val="Style13ptBold"/>
          <w:b w:val="0"/>
        </w:rPr>
        <w:t>--K of white people reading this aff</w:t>
      </w:r>
    </w:p>
    <w:p w14:paraId="6876494C" w14:textId="77777777" w:rsidR="00FD10A2" w:rsidRDefault="00FD10A2" w:rsidP="00FD10A2">
      <w:pPr>
        <w:rPr>
          <w:rStyle w:val="StyleUnderline"/>
        </w:rPr>
      </w:pPr>
      <w:r w:rsidRPr="00CF7DE2">
        <w:rPr>
          <w:sz w:val="16"/>
        </w:rPr>
        <w:t xml:space="preserve">Not unique, </w:t>
      </w:r>
      <w:r w:rsidRPr="00CF7DE2">
        <w:rPr>
          <w:rStyle w:val="StyleUnderline"/>
        </w:rPr>
        <w:t>the United States,</w:t>
      </w:r>
      <w:r w:rsidRPr="00CF7DE2">
        <w:rPr>
          <w:sz w:val="16"/>
        </w:rPr>
        <w:t xml:space="preserve"> as a settler colonial nation-state, also </w:t>
      </w:r>
      <w:r w:rsidRPr="00CF7DE2">
        <w:rPr>
          <w:rStyle w:val="StyleUnderline"/>
        </w:rPr>
        <w:t xml:space="preserve">operates as an empire - utilizing external forms and internal forms of colonization simultaneous to the settler colonial project. </w:t>
      </w:r>
      <w:r w:rsidRPr="00CF7DE2">
        <w:rPr>
          <w:sz w:val="16"/>
        </w:rPr>
        <w:t xml:space="preserve">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w:t>
      </w:r>
      <w:r w:rsidRPr="00CF7DE2">
        <w:rPr>
          <w:rStyle w:val="Emphasis"/>
        </w:rPr>
        <w:t>In this set of settler colonial relations, colonial subjects who are displaced by external colonialism, as well as racialized and minoritized by internal colonialism, still occupy and settle stolen Indigenous land.</w:t>
      </w:r>
      <w:r w:rsidRPr="00CF7DE2">
        <w:rPr>
          <w:sz w:val="16"/>
        </w:rPr>
        <w:t xml:space="preserve"> </w:t>
      </w:r>
      <w:r w:rsidRPr="00CF7DE2">
        <w:rPr>
          <w:rStyle w:val="StyleUnderline"/>
        </w:rPr>
        <w:t>Settlers are diverse</w:t>
      </w:r>
      <w:r w:rsidRPr="00CF7DE2">
        <w:rPr>
          <w:sz w:val="16"/>
        </w:rPr>
        <w:t xml:space="preserve">, not just of white European descent, </w:t>
      </w:r>
      <w:r w:rsidRPr="00CF7DE2">
        <w:rPr>
          <w:rStyle w:val="StyleUnderline"/>
        </w:rPr>
        <w:t>and include people of color, even from other colonial contexts</w:t>
      </w:r>
      <w:r w:rsidRPr="00CF7DE2">
        <w:rPr>
          <w:sz w:val="16"/>
        </w:rPr>
        <w:t xml:space="preserve">. </w:t>
      </w:r>
      <w:r w:rsidRPr="00CF7DE2">
        <w:rPr>
          <w:rStyle w:val="StyleUnderline"/>
        </w:rPr>
        <w:t>This tightly wound set of conditions and racialized, globalized relations exponentially complicates what is meant by decolonization, and by solidarity, against settler colonial forces. Decolonization in exploitative colonial situations could involve the seizing of imperial wealth by the postcolonial subject</w:t>
      </w:r>
      <w:r w:rsidRPr="00CF7DE2">
        <w:rPr>
          <w:sz w:val="16"/>
        </w:rPr>
        <w:t xml:space="preserve">. In settler colonial situations, seizing </w:t>
      </w:r>
      <w:r w:rsidRPr="00CF7DE2">
        <w:rPr>
          <w:rStyle w:val="StyleUnderline"/>
        </w:rPr>
        <w:t>imperial wealth is inextricably tied to settlement and re-invasion. L</w:t>
      </w:r>
      <w:r w:rsidRPr="00CF7DE2">
        <w:rPr>
          <w:sz w:val="16"/>
        </w:rPr>
        <w:t xml:space="preserve">ikewise, the promise of integration and civil rights is predicated on securing a share of a settler-appropriated wealth (as well as expropriated ‘third-world’ wealth). </w:t>
      </w:r>
      <w:r w:rsidRPr="00CF7DE2">
        <w:rPr>
          <w:rStyle w:val="Emphasis"/>
        </w:rPr>
        <w:t>Decolonization in a settler context is fraught because empire, settlement, and internal colony have no spatial separation. Each of these features of settler colonialism in the US context - empire, settlement, and internal colony - make it a site of contradictory decolonial desires7. Decolonization as metaphor allows people to equivocate these contradictory decolonial desires because it turns decolonization into an empty signifier to be filled by any track towards liberation</w:t>
      </w:r>
      <w:r w:rsidRPr="00CF7DE2">
        <w:rPr>
          <w:sz w:val="16"/>
        </w:rPr>
        <w:t>. In reality, the tracks walk all over land/people in settler contexts. Though the details are not fixed or agreed upon, in our view</w:t>
      </w:r>
      <w:r w:rsidRPr="00CF7DE2">
        <w:rPr>
          <w:rStyle w:val="StyleUnderline"/>
        </w:rPr>
        <w:t xml:space="preserve">, decolonization in the settler colonial context must involve the repatriation of land simultaneous to the recognition of how land and relations to land have always already been differently understood and enacted; that is, all of the land, and not just symbolically. </w:t>
      </w:r>
      <w:r w:rsidRPr="00CF7DE2">
        <w:rPr>
          <w:sz w:val="16"/>
        </w:rPr>
        <w:t xml:space="preserve">This is precisely why decolonization is necessarily unsettling, especially across lines of solidarity. “Decolonization never takes place unnoticed” (Fanon, 1963, p. 36). Settler colonialism and its decolonization implicates and unsettles everyone. 7 </w:t>
      </w:r>
      <w:r w:rsidRPr="00CF7DE2">
        <w:rPr>
          <w:rStyle w:val="StyleUnderline"/>
        </w:rPr>
        <w:t>Decolonization is further fraught because, although the setter-native-slave triad structures settler colonialism, this does not mean that settler, native, and slave are analogs that can be used to describe corresponding identities, structural locations, worldviews, and behaviors. Nor do they mutually constitute one another. For example, Indigenous is an identity independent of the triad, and also an ascribed structural location within the triad. Chattel slave is an ascribed structural position, but not an identity. Settler describes a set of behaviors, as well as a structural location, but is eschewed as an identity</w:t>
      </w:r>
      <w:r w:rsidRPr="00CF7DE2">
        <w:rPr>
          <w:sz w:val="16"/>
        </w:rPr>
        <w:t xml:space="preserve">. Playing Indian and the erasure of Indigenous peoples Recently in a symposium on the significance of Liberal Arts education in the United States, Eve presented an argument that Liberal Arts education has historically excluded any attention to or analysis of settler colonialism. This, Eve posited, makes Liberal Arts education complicit in the project of settler colonialism and, more so, has rendered the truer project of Liberal Arts education something like trying to make the settler indigenous to the land he occupies. The attendees were titillated by this idea, nodding and murmuring in approval and it was then that Eve realized that she was trying to say something incommensurable with what they expected her to say. She was completely misunderstood. Many in the audience heard this observation: that the work of Liberal Arts education is in part to teach settlers to be indigenous, as something admirable, worthwhile, something wholesome, not as a problematic point of evidence about the reach of the settler colonial erasure. Philip Deloria (1998) explores how and why the settler wants to be made indigenous, even if only through disguise, or other forms of playing Indian. Playing Indian is a powerful U.S. pastime, from the Boston Tea Party, to fraternal organizations, to new age trends, to even those aforementioned Native print underwear. Deloria maintains that, “From the colonial period to the present, the Indian has skulked in and out of the most important stories various Americans have told about themselves” (p. 5). The indeterminacy of American identities stems, in part, from the nation’s inability to deal with Indian people. Americans wanted to feel a natural affinity with the continent, and it was Indians who could teach them such aboriginal closeness. Yet, in order to control the landscape they had to destroy the original inhabitants. (Deloria, 1998, p.5) L. Frank Baum (author of The Wizard of Oz) famously asserted in 1890 that the safety of white settlers was only guaranteed by the “total annihilation of the few remaining Indians” (as quoted in Hastings, 2007). D.H. Lawrence, reading James Fenimore Cooper (discussed at length later in this article), Nathaniel Hawthorne, Hector St. John de Crevecoeur, Henry David Thoreau, Herman Melville, Walt Whitman and others for his Studies in Classic American Literature (1924), describes Americans’ fascination with Indigeneity as one of simultaneous desire and repulsion (Deloria, 1998). “No place,” Lawrence observed, “exerts its full influence upon a newcomer until the old inhabitant is dead or absorbed.” Lawrence argued that </w:t>
      </w:r>
      <w:r w:rsidRPr="00CF7DE2">
        <w:rPr>
          <w:rStyle w:val="StyleUnderline"/>
        </w:rPr>
        <w:t>in order to meet the “demon of the continent” head on and this finalize the “unexpressed spirit of America,” white Americans needed either to destroy Indians of assimilate them into a white American world...both aimed at making Indians vanish from the landscape. (</w:t>
      </w:r>
      <w:r w:rsidRPr="00CF7DE2">
        <w:rPr>
          <w:sz w:val="16"/>
        </w:rPr>
        <w:t xml:space="preserve">Lawrence, as quoted in Deloria, 1998, p. 4). Everything within a settler colonial society strains to destroy or assimilate the Native in order to disappear them from the land - this is how a society can have multiple simultaneous and conflicting messages about Indigenous peoples, such as all Indians are dead, located in faraway reservations, that contemporary Indigenous people are less indigenous than prior generations, and that all Americans are a “little bit Indian.” </w:t>
      </w:r>
      <w:r w:rsidRPr="00CF7DE2">
        <w:rPr>
          <w:rStyle w:val="StyleUnderline"/>
        </w:rPr>
        <w:t>These desires to erase - to let time do its thing and wait for the older form of living to die out, or to even help speed things along (euthanize) because the death of pre-modern ways of life is thought to be inevitable - these are all desires for another kind of resolve to the colonial situation, resolved through the absolute and total destruction or assimilation of original inhabitants. Numerous scholars have observed that Indigeneity prompts multiple forms of settler anxiety, even if only because the presence of Indigenous peoples - who make a priori claims to land and ways of being - is a constant reminder that the settler colonial project is incomplete</w:t>
      </w:r>
      <w:r w:rsidRPr="00CF7DE2">
        <w:rPr>
          <w:sz w:val="16"/>
        </w:rPr>
        <w:t xml:space="preserve"> (Fanon, 1963; Vine Deloria, 1988; Grande, 2004; Bruyneel, 2007). </w:t>
      </w:r>
      <w:r w:rsidRPr="00CF7DE2">
        <w:rPr>
          <w:rStyle w:val="Emphasis"/>
        </w:rPr>
        <w:t>The easy adoption of decolonization as a metaphor (and nothing else) is a form of this anxiety, because it is a premature attempt at reconciliation. The absorption of decolonization by settler social justice frameworks is one way the settler, disturbed by her own settler status, tries to escape or contain the unbearable searchlight of complicity, of having harmed others just by being one’s self</w:t>
      </w:r>
      <w:r w:rsidRPr="00CF7DE2">
        <w:rPr>
          <w:sz w:val="16"/>
        </w:rPr>
        <w:t xml:space="preserve">. The desire to reconcile is just as relentless as the desire to disappear the Native; it is a desire to not have to deal with this (Indian) problem anymore. Settler moves to innocence We observe that another component of a desire to play Indian is a settler desire to be made innocent, to find some mercy or relief in face of the relentlessness of settler guilt and haunting (see Tuck and Ree, forthcoming, on mercy and haunting). </w:t>
      </w:r>
      <w:r w:rsidRPr="00CF7DE2">
        <w:rPr>
          <w:rStyle w:val="Emphasis"/>
        </w:rPr>
        <w:t>Directly and indirectly benefitting from the erasure and assimilation of Indigenous peoples is a difficult reality for settlers to accept. The weight of this reality is uncomfortable; the misery of guilt makes one hurry toward any reprieve</w:t>
      </w:r>
      <w:r w:rsidRPr="00CF7DE2">
        <w:rPr>
          <w:sz w:val="16"/>
        </w:rPr>
        <w:t xml:space="preserve">. In her 1998 Master’s thesis, Janet Mawhinney analyzed the ways in which </w:t>
      </w:r>
      <w:r w:rsidRPr="00CF7DE2">
        <w:rPr>
          <w:rStyle w:val="StyleUnderline"/>
        </w:rPr>
        <w:t>white people maintained and (re)produced white privilege in self-defined anti-racist settings and organizations.8 She examined the role of storytelling and self-confession - which serves to equate stories of personal exclusion with stories of structural racism and exclusion - and what she terms ‘moves to innocence,’ or “strategies to remove involvement in and culpability for systems of domination</w:t>
      </w:r>
      <w:r w:rsidRPr="00CF7DE2">
        <w:rPr>
          <w:sz w:val="16"/>
        </w:rPr>
        <w:t xml:space="preserve">” (p. 17). Mawhinney builds upon Mary Louise Fellows and Sherene Razack’s (1998) conceptualization of, ‘the race to innocence’, “the process through which a woman comes to believe her own claim of subordination is the most urgent, and that she is unimplicated in the subordination of other women” (p. 335). Mawhinney’s thesis theorizes the self-positioning of white people as simultaneously the oppressed and never an oppressor, and as having an absence of experience of oppressive power relations (p. 100). </w:t>
      </w:r>
      <w:r w:rsidRPr="00CF7DE2">
        <w:rPr>
          <w:rStyle w:val="StyleUnderline"/>
        </w:rPr>
        <w:t>This simultaneous self-positioning afforded white people in various purportedly anti-racist settings to say to people of color, “I don’t experience the problems you do, so I don’t think about it,” and “tell me what to do, you’re the experts here” (p. 103). “The commonsense appeal of such statements,” Malwhinney observes, enables white speakers to “utter them sanguine in [their] appearance of equanimity, is rooted in the normalization of a liberal analysis of power relations”</w:t>
      </w:r>
      <w:r w:rsidRPr="00CF7DE2">
        <w:rPr>
          <w:sz w:val="16"/>
        </w:rPr>
        <w:t xml:space="preserve"> (ibid.). In the discussion that follows, we will do some work to identify and argue against a series of what we call ‘settler moves to innocence’. Settler moves to innocence are those strategies or positionings that attempt to relieve the settler of feelings of guilt or responsibility without giving up land or power or privilege, without having to change much at all. In fact, settler scholars may gain professional kudos or a boost in their reputations for being so sensitive or self-aware. </w:t>
      </w:r>
      <w:r w:rsidRPr="00CF7DE2">
        <w:rPr>
          <w:rStyle w:val="StyleUnderline"/>
        </w:rPr>
        <w:t>Yet settler moves to innocence are hollow, they only serve the settler. This discussion will likely cause discomfort in our settler readers, may embarrass you/us or make us/you feel implicated. Because of the racialized flights and flows of settler colonial empire described above, settlers are diverse - there are white settlers and brown settlers, and peoples in both groups make moves to innocence that attempt to deny and deflect their own complicity in settler colonialism. When it makes sense to do so, we attend to moves to innocence enacted differently by white people and by brown and Black people.</w:t>
      </w:r>
    </w:p>
    <w:p w14:paraId="5AABED2F" w14:textId="77777777" w:rsidR="00FD10A2" w:rsidRPr="00FD10A2" w:rsidRDefault="00FD10A2" w:rsidP="00FD10A2"/>
    <w:p w14:paraId="62FFFE97" w14:textId="7854AB31" w:rsidR="00310785" w:rsidRDefault="00310785" w:rsidP="00310785">
      <w:pPr>
        <w:pStyle w:val="Heading3"/>
      </w:pPr>
      <w:r>
        <w:t>2</w:t>
      </w:r>
      <w:proofErr w:type="gramStart"/>
      <w:r>
        <w:t>NC !s</w:t>
      </w:r>
      <w:proofErr w:type="gramEnd"/>
    </w:p>
    <w:p w14:paraId="6E41F858" w14:textId="191D7DB6" w:rsidR="00803123" w:rsidRPr="00803123" w:rsidRDefault="00310785" w:rsidP="00FA6138">
      <w:pPr>
        <w:pStyle w:val="Heading3"/>
      </w:pPr>
      <w:r>
        <w:t>2NC Alt</w:t>
      </w:r>
    </w:p>
    <w:p w14:paraId="00089E37" w14:textId="49906A25" w:rsidR="00284D7E" w:rsidRDefault="00213CD3" w:rsidP="00FA6138">
      <w:pPr>
        <w:pStyle w:val="Heading2"/>
      </w:pPr>
      <w:r>
        <w:t xml:space="preserve"> 2NC </w:t>
      </w:r>
      <w:r w:rsidR="00284D7E">
        <w:t>Reform Evidence Based Education CP</w:t>
      </w:r>
      <w:r>
        <w:t xml:space="preserve"> </w:t>
      </w:r>
    </w:p>
    <w:p w14:paraId="28E76F53" w14:textId="35B67C7D" w:rsidR="00336879" w:rsidRDefault="00866913" w:rsidP="00336879">
      <w:pPr>
        <w:pStyle w:val="Heading4"/>
      </w:pPr>
      <w:r>
        <w:t xml:space="preserve">1. </w:t>
      </w:r>
      <w:r w:rsidR="00336879">
        <w:t>Evidence based education can be used to reform—advancements in research</w:t>
      </w:r>
      <w:r w:rsidR="00213CD3">
        <w:t xml:space="preserve"> and cooperative learning leads to research</w:t>
      </w:r>
    </w:p>
    <w:p w14:paraId="7CC8E562" w14:textId="6E0F431D" w:rsidR="00336879" w:rsidRPr="00336879" w:rsidRDefault="00336879" w:rsidP="00336879">
      <w:pPr>
        <w:rPr>
          <w:sz w:val="26"/>
        </w:rPr>
      </w:pPr>
      <w:r>
        <w:rPr>
          <w:rStyle w:val="Style13ptBold"/>
        </w:rPr>
        <w:t>Slavin 10 (</w:t>
      </w:r>
      <w:r w:rsidRPr="003869AC">
        <w:rPr>
          <w:rStyle w:val="Style13ptBold"/>
          <w:b w:val="0"/>
          <w:sz w:val="16"/>
          <w:szCs w:val="16"/>
        </w:rPr>
        <w:t xml:space="preserve">Robert Slavin is director of the Center for Research and Reform in Education at Johns Hopkins University, a part-time professor at the Institute for Effective Education at the University of York (England), and chairman of the Success for All Foundation. He received his B.A. in psychology from Reed College in 1972 and his Ph.D. in social relations in 1975 from Johns Hopkins University, .”Evidence Based Reform in Education”, </w:t>
      </w:r>
      <w:hyperlink r:id="rId19" w:history="1">
        <w:r w:rsidRPr="003869AC">
          <w:rPr>
            <w:rStyle w:val="Hyperlink"/>
            <w:sz w:val="16"/>
            <w:szCs w:val="16"/>
          </w:rPr>
          <w:t>http://citeseerx.ist.psu.edu/viewdoc/download?doi=10.1.1.939.294&amp;rep=rep1&amp;type=pdf</w:t>
        </w:r>
      </w:hyperlink>
      <w:r w:rsidRPr="003869AC">
        <w:rPr>
          <w:rStyle w:val="Style13ptBold"/>
          <w:b w:val="0"/>
          <w:sz w:val="16"/>
          <w:szCs w:val="16"/>
        </w:rPr>
        <w:t>) TSB</w:t>
      </w:r>
    </w:p>
    <w:p w14:paraId="3939031C" w14:textId="2902DE1A" w:rsidR="00336879" w:rsidRDefault="00336879" w:rsidP="00336879">
      <w:pPr>
        <w:rPr>
          <w:rStyle w:val="StyleUnderline"/>
        </w:rPr>
      </w:pPr>
      <w:r w:rsidRPr="00336879">
        <w:rPr>
          <w:rStyle w:val="StyleUnderline"/>
        </w:rPr>
        <w:t>The consequences of evidence-based reform would be profound. If government policies began to favor programs with strong evidence, developers including publishers, software developers, university researchers, and entrepreneurs of all kinds would have an incentive to engage in serious development and evaluation efforts.</w:t>
      </w:r>
      <w:r>
        <w:t xml:space="preserve"> Seeing the immediate impact of research and development, policy makers might provide substantially greater funding for these acti- vities. Developers would have a reason to invest in more effective innovative strategies, knowing that if they turn out to be effective in rigorous evaluations, they will be successful in the marketplace. </w:t>
      </w:r>
      <w:r w:rsidRPr="00D753D4">
        <w:rPr>
          <w:rStyle w:val="Emphasis"/>
        </w:rPr>
        <w:t>Evidence-based reform would finally apply to education the process that led to dramatic develo- pments in medicine, agriculture, and technology in the 20th century, where every solution that meets evidence standards supersedes less effective products, and a vast research and development enterprise works to improve on the best we have available today</w:t>
      </w:r>
      <w:r>
        <w:t>. Our experience with cooperative learning, Success for All, and other comprehensive reform models show what such an enterprise might look like, but similar initiatives need to be support in all subjects, all grade levels, and for all types of educational outcomes</w:t>
      </w:r>
      <w:r w:rsidRPr="00D753D4">
        <w:rPr>
          <w:rStyle w:val="StyleUnderline"/>
        </w:rPr>
        <w:t xml:space="preserve">. The winners in this would be millions of chil- dren, especially those who are least well served by the current system, the teachers who yearn for more effective tools to help them do their job well, and society as a whole, which would come to expect progress in education as con dently as it currently expects progress in other elds. Education research would gain the respect and the resources it has never had. </w:t>
      </w:r>
      <w:r>
        <w:t>Even the publishing companies that currently rely on marketing would benefit if they embrace innovation, as they would have the resources to do the necessary research and development, just as large drug companies bene t from evidence-based practice in medicine</w:t>
      </w:r>
      <w:r w:rsidRPr="00D753D4">
        <w:rPr>
          <w:rStyle w:val="StyleUnderline"/>
        </w:rPr>
        <w:t>. Recent developments in research and policy make it possible to nally put education on the road to genuine reform. The experience of cooperative learning, Success for All, and comprehensive school reform show that under the right conditions, proven, effective models of school and classroom reform can be developed, rigorously evaluated, and dissemi- nated, bene tting hundreds of thousands of children. It remains for policymakers and our profession to take the necessary steps.</w:t>
      </w:r>
    </w:p>
    <w:p w14:paraId="48D11845" w14:textId="591CBB1D" w:rsidR="00FD10A2" w:rsidRDefault="00FD10A2" w:rsidP="00FD10A2">
      <w:pPr>
        <w:pStyle w:val="Heading4"/>
        <w:rPr>
          <w:rStyle w:val="StyleUnderline"/>
          <w:sz w:val="26"/>
          <w:u w:val="none"/>
        </w:rPr>
      </w:pPr>
      <w:r w:rsidRPr="00FD10A2">
        <w:rPr>
          <w:rStyle w:val="StyleUnderline"/>
          <w:sz w:val="26"/>
          <w:u w:val="none"/>
        </w:rPr>
        <w:t>2.</w:t>
      </w:r>
      <w:r>
        <w:rPr>
          <w:rStyle w:val="StyleUnderline"/>
        </w:rPr>
        <w:t xml:space="preserve"> </w:t>
      </w:r>
      <w:r>
        <w:rPr>
          <w:rStyle w:val="StyleUnderline"/>
          <w:sz w:val="26"/>
          <w:u w:val="none"/>
        </w:rPr>
        <w:t xml:space="preserve">Culturally specific research solves the aff—prefer evidence from a public school educator </w:t>
      </w:r>
    </w:p>
    <w:p w14:paraId="189CF8A5" w14:textId="77777777" w:rsidR="00FD10A2" w:rsidRPr="00060830" w:rsidRDefault="00FD10A2" w:rsidP="00FD10A2">
      <w:pPr>
        <w:rPr>
          <w:rStyle w:val="Style13ptBold"/>
          <w:b w:val="0"/>
        </w:rPr>
      </w:pPr>
      <w:r>
        <w:rPr>
          <w:rStyle w:val="Style13ptBold"/>
        </w:rPr>
        <w:t xml:space="preserve">Tillman 02 </w:t>
      </w:r>
      <w:r w:rsidRPr="00060830">
        <w:rPr>
          <w:rStyle w:val="Style13ptBold"/>
          <w:b w:val="0"/>
          <w:sz w:val="16"/>
          <w:szCs w:val="16"/>
        </w:rPr>
        <w:t>(Linda C. Tillman is a former public school educator with teaching and administrative experience and a professor in the Educational Leadership program. “Culturally Sensitive Research Approaches: An African-American Perspective.” Educational Researcher, Vol. 31, No. 9, pp 9-11) TSB</w:t>
      </w:r>
    </w:p>
    <w:p w14:paraId="58FB82CB" w14:textId="77777777" w:rsidR="00FD10A2" w:rsidRDefault="00FD10A2" w:rsidP="00FD10A2">
      <w:pPr>
        <w:rPr>
          <w:rStyle w:val="StyleUnderline"/>
        </w:rPr>
      </w:pPr>
      <w:r w:rsidRPr="00060830">
        <w:rPr>
          <w:sz w:val="16"/>
        </w:rPr>
        <w:t xml:space="preserve">No prescription for culturally sensitive research approaches has been offered here. </w:t>
      </w:r>
      <w:r w:rsidRPr="00060830">
        <w:rPr>
          <w:rStyle w:val="StyleUnderline"/>
        </w:rPr>
        <w:t>Nor have I attempted to present a culture ver- sus race argument. Indeed, there are similarities in many of the perspectives on race and culture in educational research. In addi- tion, I have not argued that all portrayals of African Americans are negative or that the use of culturally sensitive research approaches for African Americans will, in and of itself, eliminate research that portrays this group as deficient. Rather, I have attempted to ex- tend the conversations about culturally sensitive research ap- proaches for a specific ethnic group—African Americans</w:t>
      </w:r>
      <w:r w:rsidRPr="00060830">
        <w:rPr>
          <w:sz w:val="16"/>
        </w:rPr>
        <w:t xml:space="preserve">. Future discussions in Educational Researcher might focus on specific approaches that align themselves with the framework I have ar- ticulated here. Like other alternative approaches, such as the application of CRT to education, the usefulness of culturally sen- sitive research approaches for African Americans will, to a great degree, be determined by scholars who conduct research and write about this group. </w:t>
      </w:r>
      <w:r w:rsidRPr="00060830">
        <w:rPr>
          <w:rStyle w:val="StyleUnderline"/>
        </w:rPr>
        <w:t xml:space="preserve">Those of us who teach educational research courses can begin to work toward a pedagogical and paradigm shift by critically ex- amining our cultural biases and our teaching strategies (content of the syllabi, class structure, classroom discourse) and attending to the research needs and concerns of all students. </w:t>
      </w:r>
      <w:r w:rsidRPr="00060830">
        <w:rPr>
          <w:rStyle w:val="Emphasis"/>
        </w:rPr>
        <w:t>This shift can be accomplished in a number of ways including offering special top- ics courses that focus on culturally sensitive research paradigms, epistemologies, and methods; selecting textbooks and readings that adequately address theoretical and methodological issues as- sociated with culturally sensitive research approaches; and provid- ing students with opportunities to conduct research projects that allow them to explore their own theories about culturally sensitive research in practical situations.</w:t>
      </w:r>
      <w:r w:rsidRPr="00060830">
        <w:rPr>
          <w:sz w:val="16"/>
        </w:rPr>
        <w:t xml:space="preserve"> </w:t>
      </w:r>
      <w:r w:rsidRPr="00060830">
        <w:rPr>
          <w:rStyle w:val="Emphasis"/>
        </w:rPr>
        <w:t>Creating classroom environments and discourses where students are granted rather than denied the opportunity to articulate their perspectives on culture-based re- search and research by and about African Americans and allowing students to challenge our assumptions and biases should be inte- gral to our teaching</w:t>
      </w:r>
      <w:r w:rsidRPr="00060830">
        <w:rPr>
          <w:sz w:val="16"/>
        </w:rPr>
        <w:t xml:space="preserve">. </w:t>
      </w:r>
      <w:r w:rsidRPr="00060830">
        <w:rPr>
          <w:rStyle w:val="Emphasis"/>
        </w:rPr>
        <w:t>We must move beyond the type of teaching that promotes one paradigm over all others</w:t>
      </w:r>
      <w:r w:rsidRPr="00060830">
        <w:rPr>
          <w:sz w:val="16"/>
        </w:rPr>
        <w:t>. There are a myriad of persistent and complex social and educa- tional issues affecting African Americans that should be of concern to educational researchers. They include—but are not limited to—tracking, standardized testing, gifted and talented educa- tion, curriculum debates, school funding, school choice, and ac- cess and retention in higher education. The 21st century will see these issues take center stage in the continuing struggle for edu- cational equity almost 50 years after Brown v. Board of Educa- tion. As Meacham (1998) has observed, “There is no space from which to be distant from the conditions facing education. We are all immersed within processes which are connected to and con- stitutive of the disparities and inequalities which characterize the educational landscape” (p. 405). R</w:t>
      </w:r>
      <w:r w:rsidRPr="00060830">
        <w:rPr>
          <w:rStyle w:val="StyleUnderline"/>
        </w:rPr>
        <w:t>esearch frameworks that are grounded in the knowledge and culture of African Americans can not only contribute to educational research, but more im- portantly, validate knowledge that can promote educational ex- cellence for this group.</w:t>
      </w:r>
    </w:p>
    <w:p w14:paraId="78585030" w14:textId="5055E5A8" w:rsidR="00FD10A2" w:rsidRPr="00FD10A2" w:rsidRDefault="00FD10A2" w:rsidP="00FD10A2">
      <w:pPr>
        <w:pStyle w:val="Heading3"/>
        <w:rPr>
          <w:rStyle w:val="StyleUnderline"/>
          <w:sz w:val="32"/>
        </w:rPr>
      </w:pPr>
      <w:r w:rsidRPr="00FD10A2">
        <w:rPr>
          <w:rStyle w:val="StyleUnderline"/>
          <w:sz w:val="32"/>
        </w:rPr>
        <w:t xml:space="preserve">2NC </w:t>
      </w:r>
      <w:r w:rsidR="00FA6138">
        <w:rPr>
          <w:rStyle w:val="StyleUnderline"/>
          <w:sz w:val="32"/>
        </w:rPr>
        <w:t xml:space="preserve">Reform </w:t>
      </w:r>
      <w:r w:rsidRPr="00FD10A2">
        <w:rPr>
          <w:rStyle w:val="StyleUnderline"/>
          <w:sz w:val="32"/>
        </w:rPr>
        <w:t>OV</w:t>
      </w:r>
    </w:p>
    <w:p w14:paraId="43D59012" w14:textId="0B42E85F" w:rsidR="00FD10A2" w:rsidRDefault="00FD10A2" w:rsidP="00FD10A2">
      <w:pPr>
        <w:pStyle w:val="Heading4"/>
        <w:rPr>
          <w:rStyle w:val="StyleUnderline"/>
          <w:sz w:val="26"/>
          <w:u w:val="none"/>
        </w:rPr>
      </w:pPr>
      <w:r>
        <w:rPr>
          <w:rStyle w:val="StyleUnderline"/>
          <w:sz w:val="26"/>
          <w:u w:val="none"/>
        </w:rPr>
        <w:t>The CP is competitive—it’s</w:t>
      </w:r>
      <w:r w:rsidR="00041C18">
        <w:rPr>
          <w:rStyle w:val="StyleUnderline"/>
          <w:sz w:val="26"/>
          <w:u w:val="none"/>
        </w:rPr>
        <w:t xml:space="preserve"> a different actor than the aff and includes some evidence based education. </w:t>
      </w:r>
      <w:r>
        <w:rPr>
          <w:rStyle w:val="StyleUnderline"/>
          <w:sz w:val="26"/>
          <w:u w:val="none"/>
        </w:rPr>
        <w:t xml:space="preserve"> It solves the aff fully by integrating different types of knowledge into the curriculum from </w:t>
      </w:r>
      <w:r w:rsidR="00E955B4">
        <w:rPr>
          <w:rStyle w:val="StyleUnderline"/>
          <w:sz w:val="26"/>
          <w:u w:val="none"/>
        </w:rPr>
        <w:t xml:space="preserve">schools with the net benefit of keeping the parts of evidence based education that solve for people with disabilities and other those struggling in school from getting help and being tracked. </w:t>
      </w:r>
    </w:p>
    <w:p w14:paraId="772F7AD8" w14:textId="0A582D16" w:rsidR="00E955B4" w:rsidRDefault="00E955B4" w:rsidP="00E955B4">
      <w:pPr>
        <w:pStyle w:val="Heading3"/>
      </w:pPr>
      <w:r>
        <w:t>2NC</w:t>
      </w:r>
      <w:r w:rsidR="00FA6138">
        <w:t xml:space="preserve"> Reform</w:t>
      </w:r>
      <w:r>
        <w:t xml:space="preserve"> </w:t>
      </w:r>
      <w:r w:rsidR="00041C18">
        <w:t>Solvency</w:t>
      </w:r>
    </w:p>
    <w:p w14:paraId="3A1A59D0" w14:textId="3479F708" w:rsidR="00041C18" w:rsidRDefault="00041C18" w:rsidP="00041C18">
      <w:pPr>
        <w:pStyle w:val="Heading4"/>
      </w:pPr>
      <w:r>
        <w:t xml:space="preserve">CP solves the af—still results in an eventual delinking from colonial modes of being but is implemented through curriculum in schools across the nation—similar to their model of Black Panther schools but affects ALL students. Even if standardized tests are bad, their Shajahan ev </w:t>
      </w:r>
      <w:proofErr w:type="gramStart"/>
      <w:r>
        <w:t>states  that</w:t>
      </w:r>
      <w:proofErr w:type="gramEnd"/>
      <w:r>
        <w:t xml:space="preserve"> ALL evidence based education currently being used is bad—we can implement most of the aff while keeping helpful parts of evidence based education.</w:t>
      </w:r>
    </w:p>
    <w:p w14:paraId="2398B58F" w14:textId="73C64A4E" w:rsidR="00041C18" w:rsidRDefault="00041C18" w:rsidP="00041C18">
      <w:pPr>
        <w:pStyle w:val="Heading3"/>
      </w:pPr>
      <w:r>
        <w:t xml:space="preserve">2NC </w:t>
      </w:r>
      <w:r w:rsidR="00FA6138">
        <w:t xml:space="preserve">Reform A2: </w:t>
      </w:r>
      <w:r>
        <w:t>PERM</w:t>
      </w:r>
    </w:p>
    <w:p w14:paraId="0BA88D64" w14:textId="0C6F3D3C" w:rsidR="00041C18" w:rsidRDefault="00041C18" w:rsidP="00041C18">
      <w:pPr>
        <w:pStyle w:val="Heading4"/>
      </w:pPr>
      <w:r>
        <w:t xml:space="preserve">They don’t get a perm—the AFF and the CP are mutually exclusive </w:t>
      </w:r>
    </w:p>
    <w:p w14:paraId="029E42A4" w14:textId="19273029" w:rsidR="00041C18" w:rsidRDefault="00041C18" w:rsidP="00A020F4">
      <w:pPr>
        <w:pStyle w:val="Heading4"/>
        <w:numPr>
          <w:ilvl w:val="0"/>
          <w:numId w:val="13"/>
        </w:numPr>
      </w:pPr>
      <w:r>
        <w:t>The AFF explicitly rejects all forms of evidence based e</w:t>
      </w:r>
      <w:r w:rsidR="00A020F4">
        <w:t>ducation where the CP enacts reforms in local schools</w:t>
      </w:r>
    </w:p>
    <w:p w14:paraId="61B2B07D" w14:textId="5AD0D6C0" w:rsidR="00A020F4" w:rsidRPr="00A020F4" w:rsidRDefault="00A020F4" w:rsidP="00A020F4">
      <w:pPr>
        <w:pStyle w:val="Heading4"/>
      </w:pPr>
      <w:r>
        <w:t>2. The AFF specifies their politics of delinking--</w:t>
      </w:r>
    </w:p>
    <w:p w14:paraId="0ACB91C7" w14:textId="77777777" w:rsidR="00041C18" w:rsidRPr="00041C18" w:rsidRDefault="00041C18" w:rsidP="00041C18"/>
    <w:p w14:paraId="1B11B052" w14:textId="10A5EF11" w:rsidR="00FD10A2" w:rsidRDefault="00FD10A2" w:rsidP="00FD10A2">
      <w:pPr>
        <w:pStyle w:val="Heading4"/>
        <w:rPr>
          <w:rStyle w:val="StyleUnderline"/>
        </w:rPr>
      </w:pPr>
    </w:p>
    <w:p w14:paraId="05CCC0EB" w14:textId="77777777" w:rsidR="00FD10A2" w:rsidRPr="00D753D4" w:rsidRDefault="00FD10A2" w:rsidP="00336879">
      <w:pPr>
        <w:rPr>
          <w:rStyle w:val="StyleUnderline"/>
        </w:rPr>
      </w:pPr>
    </w:p>
    <w:p w14:paraId="2F333601" w14:textId="41E687E2" w:rsidR="00100E72" w:rsidRDefault="00FD10A2" w:rsidP="00FA6138">
      <w:pPr>
        <w:pStyle w:val="Heading2"/>
      </w:pPr>
      <w:r>
        <w:t xml:space="preserve">2NC </w:t>
      </w:r>
      <w:r w:rsidR="00AA0248">
        <w:t>Trauma/Pain K</w:t>
      </w:r>
    </w:p>
    <w:p w14:paraId="7192BEE5" w14:textId="0BA6F249" w:rsidR="009146F5" w:rsidRDefault="00866913" w:rsidP="009146F5">
      <w:pPr>
        <w:pStyle w:val="Heading4"/>
        <w:rPr>
          <w:rStyle w:val="StyleUnderline"/>
          <w:sz w:val="26"/>
          <w:u w:val="none"/>
        </w:rPr>
      </w:pPr>
      <w:r>
        <w:rPr>
          <w:rStyle w:val="StyleUnderline"/>
          <w:sz w:val="26"/>
          <w:u w:val="none"/>
        </w:rPr>
        <w:t xml:space="preserve">2. </w:t>
      </w:r>
      <w:r w:rsidR="009146F5">
        <w:rPr>
          <w:rStyle w:val="StyleUnderline"/>
          <w:sz w:val="26"/>
          <w:u w:val="none"/>
        </w:rPr>
        <w:t xml:space="preserve">Needs tag) pain and trauma narratives in postcolonial </w:t>
      </w:r>
      <w:r w:rsidR="00777C21">
        <w:rPr>
          <w:rStyle w:val="StyleUnderline"/>
          <w:sz w:val="26"/>
          <w:u w:val="none"/>
        </w:rPr>
        <w:t>cause victimization and cooption of pain by the ca</w:t>
      </w:r>
    </w:p>
    <w:p w14:paraId="11EF0BFD" w14:textId="4358CFF5" w:rsidR="009146F5" w:rsidRPr="009146F5" w:rsidRDefault="009146F5" w:rsidP="009146F5">
      <w:pPr>
        <w:rPr>
          <w:rStyle w:val="Style13ptBold"/>
          <w:b w:val="0"/>
          <w:szCs w:val="26"/>
        </w:rPr>
      </w:pPr>
      <w:r>
        <w:rPr>
          <w:rStyle w:val="Style13ptBold"/>
        </w:rPr>
        <w:t xml:space="preserve">Patrascu </w:t>
      </w:r>
      <w:r>
        <w:rPr>
          <w:rStyle w:val="Style13ptBold"/>
          <w:sz w:val="16"/>
          <w:szCs w:val="16"/>
        </w:rPr>
        <w:t xml:space="preserve">last work cited in </w:t>
      </w:r>
      <w:r>
        <w:rPr>
          <w:rStyle w:val="Style13ptBold"/>
          <w:szCs w:val="26"/>
        </w:rPr>
        <w:t xml:space="preserve"> 8 </w:t>
      </w:r>
      <w:r>
        <w:rPr>
          <w:rStyle w:val="Style13ptBold"/>
          <w:b w:val="0"/>
          <w:szCs w:val="26"/>
        </w:rPr>
        <w:t>(</w:t>
      </w:r>
      <w:r w:rsidRPr="009146F5">
        <w:rPr>
          <w:rStyle w:val="Style13ptBold"/>
          <w:b w:val="0"/>
          <w:szCs w:val="26"/>
        </w:rPr>
        <w:t>Assistant Prof.Dr. Ecaterina PATRASCU Postdoctoral Fellow, “Alexandru Ioan Cuza” University, Iasi</w:t>
      </w:r>
      <w:r>
        <w:rPr>
          <w:rStyle w:val="Style13ptBold"/>
          <w:b w:val="0"/>
          <w:szCs w:val="26"/>
        </w:rPr>
        <w:t>, “</w:t>
      </w:r>
      <w:r w:rsidRPr="009146F5">
        <w:rPr>
          <w:rStyle w:val="Style13ptBold"/>
          <w:b w:val="0"/>
          <w:szCs w:val="26"/>
        </w:rPr>
        <w:t>TRAUMA STUDIES, POSTCOLONIALISM AND POSTCOMMUNISM: CONCEPTUA</w:t>
      </w:r>
      <w:r>
        <w:rPr>
          <w:rStyle w:val="Style13ptBold"/>
          <w:b w:val="0"/>
          <w:szCs w:val="26"/>
        </w:rPr>
        <w:t xml:space="preserve">L DISJUNCTIONS AND CONJUNCTIONS”, </w:t>
      </w:r>
      <w:hyperlink r:id="rId20" w:history="1">
        <w:r w:rsidRPr="006543DA">
          <w:rPr>
            <w:rStyle w:val="Hyperlink"/>
            <w:sz w:val="26"/>
            <w:szCs w:val="26"/>
          </w:rPr>
          <w:t>http://www.upm.ro/cci12/volCCI_II/Pages%20from%20Volum_texteCCI2-44.pdf</w:t>
        </w:r>
      </w:hyperlink>
      <w:r>
        <w:rPr>
          <w:rStyle w:val="Style13ptBold"/>
          <w:b w:val="0"/>
          <w:szCs w:val="26"/>
        </w:rPr>
        <w:t>) TSB</w:t>
      </w:r>
    </w:p>
    <w:p w14:paraId="6CA6719F" w14:textId="7F9077E0" w:rsidR="00852AC5" w:rsidRPr="00852AC5" w:rsidRDefault="009146F5" w:rsidP="00852AC5">
      <w:r w:rsidRPr="00777C21">
        <w:rPr>
          <w:rStyle w:val="StyleUnderline"/>
        </w:rPr>
        <w:t>Postcommunism and postcolonialism in literature are concerned, among other things, with the role of memory in representing history: the commodification of memory, the fictionalization of representation, dethroning the concept of History, fragmentarity, the politics of identity, the dynamics centre-periphery, all indicating connections between memory and trauma. These directions form the background of the contemporary theories on trauma, with a special applicability in the field of cultural studies. However, trauma theory, when applied to works of literature, will focus only on the preservation, and not at all the healing, of trauma: hence, the common themes underlined and discussed will be victimization, guilt, melancholia – “crippling self-reflexivity”6 -, while recuperation and psychic resistance will be obscured.</w:t>
      </w:r>
      <w:r>
        <w:t xml:space="preserve"> Knudsen refers to this victimizing perspective as reducing the “vigour and imaginative impact”7 of postcolonial literature, while Susan Najita8, following Judith Herman and Dominick LaCapra, identifies the need for political activism, social change and individual healing of the postcolonial texts as a modality of promoting postcolonial resistance and recovery as opposed to melancholia and unspeakability. As far as the postcolonial fiction is concerned, it is traumatic due to its concern with the recuperation of memory and the acknowledgment of those negated, suppressed or forgotten. The postcolonial traumatic literature involves the recuperation of the ignored histories and the bringing forth of the marginalized events and characters, the replacement of a collective representation of history with representations of personal memory. </w:t>
      </w:r>
      <w:r w:rsidRPr="00777C21">
        <w:rPr>
          <w:rStyle w:val="StyleUnderline"/>
        </w:rPr>
        <w:t>An immediate effect, however, would be that of “hyper-particularism” or “hyper- localism” Michael Rothberg refers to, namely a “tendency to create Bergsonian maps – maps of the social that are so detailed and particularizing that they forfeit all potential to Orient investigation.”</w:t>
      </w:r>
      <w:r>
        <w:t xml:space="preserve">9 At the opposite end, </w:t>
      </w:r>
      <w:r w:rsidRPr="00777C21">
        <w:rPr>
          <w:rStyle w:val="StyleUnderline"/>
        </w:rPr>
        <w:t>there runs the risk of over-homogeneization, postcolonial trauma studies having to “pursue an approach between homogenizing universalism and nominalist particularism.”10 At this level, the originality of the article consists in the re- evaluation of the concepts of colonialism and postcolonialism as a consequence of the analysis of the modality in which the violence of the historical and cultural experience has been modelled ideologically in the literary discourse. Terms such as: civilization, beneficial colonization, occidentalization are reviewed from the perspective of the dialectics colonized/ colonized, ideological discourse / historical reality. In the larger context of postmodernism and, more specifically, in that of postcolonialism, one cannot speak about reality, but of realities, each representing a plausible variant of one narrator. Hayden White asserted that a research of the traumatic history may be interested not in the fact that certain events took place, but in what those events may signify for a particular group</w:t>
      </w:r>
      <w:r>
        <w:t xml:space="preserve">, society or for the present conception of a culture. </w:t>
      </w:r>
      <w:r w:rsidRPr="009D6C8A">
        <w:rPr>
          <w:rStyle w:val="StyleUnderline"/>
        </w:rPr>
        <w:t>The problem of the postcolonial writers concerned with the recuperation of the past is not the identity of events, but how these must be described so that one explaining modality should be preferred to another.</w:t>
      </w:r>
      <w:r>
        <w:t xml:space="preserve"> The truth of the traumatic history is represented by the event plus the conceptual matrix by means of which it has been localized in the discourse, imagination being always involved in the representation of truth. The narrated traumatic events are never ideologically neutral, but always liable to a process of selection by the one who will organize them coherently in a literary text; not the raw facts compose the image of reality, but the facts transformed imaginatively, passed through the ideological and cultural filter of the artist. The represented reality has as a fundament the events themselves, yet what constitute it coherently and significantly are the sets of possible relations and configurations that establish among them as a consequence of the perception of events by different consciousness – the configuration process of reality is the result of the creator’s projecting imagination having as a support the raw events. The postcolonial reality will always be an ideological construct, facts representing the past as a background against which different ideological, political and ethical attitudes confront one another. </w:t>
      </w:r>
      <w:r w:rsidRPr="009D6C8A">
        <w:rPr>
          <w:rStyle w:val="StyleUnderline"/>
        </w:rPr>
        <w:t>Thus, the possibility of manipulating events becomes part of the imaginative process of reconstructing the real. Traumatic events are rendered in postcolonial literatures by means of a specific vocabulary, one that functions on concepts of liminality, ambiguity, hybridity, transgression. These, according to Adrian Otoiu, characterize the “‘in-between spaces’ of cultural ambiguity where diasporic and migrant identities, hovering in the indecision of in-betweenness, are shaped.”11 Otoiu’s judgment is founded on Homi Bhabha’s position as to the significance of the “limen”, which is used to describe the “in-between spaces where strategies of identity are elaborated [...], the boundary [that] becomes the place from which something begins its presencing</w:t>
      </w:r>
      <w:r>
        <w:t xml:space="preserve">.”12 The use of “doubling tropes”13 such as irony, allegory, and parody give a different shade to motifs of dislocation, alienation and threatening events. The experience of the traumatic events leads to a classical postmodern worldview of missing teleology and fragmented identities, though, according to Piret Peiker, in spite of this existing condition, there is “a repeated motif in postcolonial literature [...] just the opposite: the longing for a topos of maturity and order, a mythical realm of centeredness that exists or existed somewhere.”14 Postcolonial critics and theoreticians such as Kamran Aghaie, Jill Bennett, Victoria Burrows, Sam Durrant, Rosanne Kennedy, David Lloyd and Rebecca Saunders perceive colonization as collective trauma, therefore postcolonialism – a post-traumatic cultural formation. As a consequence, it is necessary that the specificity of colonial traumas should be reconsidered, a necessity reflected in the literary representation of trauma in relation to the dominant Western discourse. The postcolonial criticism denounces the pathologization and depolitization of the victims of colonial violence and criticizes the western self-sufficiency in approaching the non- western histories or records. The lack of historical particularity is what postcolonial criticism indubitably reproaches to trauma theory, the former focusing on the historical, socio- economic and political factors in the colonization process and its aftermath. Craps and Buelens point to the fact that “the chronic psychic suffering produced by the structural violence of racial, gender, sexual, class and other inequities has yet to be fully accounted for.”15 </w:t>
      </w:r>
      <w:r w:rsidRPr="00852AC5">
        <w:rPr>
          <w:rStyle w:val="Emphasis"/>
        </w:rPr>
        <w:t>Trauma theory is perceived as limitative for postcolonial criticism due to the perception of trauma as ahistorical and structural; besides this, the use of formal criteria such as narrative rupture and aporia are considered Eurocentric misfit approaches to different cultural specificities. From this perspective, Luckhurst refers to the “prescriptiveness”16 of trauma theory’s formalist criteria</w:t>
      </w:r>
      <w:r>
        <w:t>. Within this context, it is necessary to conceive alternative modalities of approaching colonial traumas, such as forced migration, diaspora, segregation, political violence. This attitude is reflected in the representing modalities of the postcolonial trauma: self-reflexive and anti-linear techniques are preferred to a direct and linear rendering which would suggest an easy and successful overcoming of the traumatic moment; the promotion of realism and of the indigenous artistic and literary practices are used as a modality of avoiding a particular western discourse that, by asserting the impossibility of representing trauma (Caruth, Laub, Felman), leads to a political, ideological and cultural debilitation. Both representation modes point to the necessity of considering the cultural and political contexts in which the literary works are produces and received. The literary corpus will include novels in which the collective and individual traumas are correlated with the controversial aspects of identity, cultural space, ideological discourse and ethical responsibility.</w:t>
      </w:r>
    </w:p>
    <w:p w14:paraId="45A29AF5" w14:textId="1D0EB91D" w:rsidR="00AA0248" w:rsidRDefault="00310785" w:rsidP="00310785">
      <w:pPr>
        <w:pStyle w:val="Heading3"/>
        <w:rPr>
          <w:rStyle w:val="StyleUnderline"/>
          <w:sz w:val="32"/>
        </w:rPr>
      </w:pPr>
      <w:r w:rsidRPr="00310785">
        <w:rPr>
          <w:rStyle w:val="StyleUnderline"/>
          <w:sz w:val="32"/>
        </w:rPr>
        <w:t>2NC OV</w:t>
      </w:r>
    </w:p>
    <w:p w14:paraId="58E06054" w14:textId="4D1CB587" w:rsidR="00310785" w:rsidRDefault="00310785" w:rsidP="00310785">
      <w:pPr>
        <w:pStyle w:val="Heading3"/>
      </w:pPr>
      <w:r>
        <w:t>LINKS</w:t>
      </w:r>
    </w:p>
    <w:p w14:paraId="32DC6BB4" w14:textId="616CCD6A" w:rsidR="00310785" w:rsidRPr="00310785" w:rsidRDefault="00310785" w:rsidP="00310785">
      <w:pPr>
        <w:pStyle w:val="Heading3"/>
      </w:pPr>
      <w:r>
        <w:t>IMPACTS</w:t>
      </w:r>
    </w:p>
    <w:p w14:paraId="7A58EAA2" w14:textId="14A7D616" w:rsidR="00ED50D1" w:rsidRDefault="00FD10A2" w:rsidP="00FA6138">
      <w:pPr>
        <w:pStyle w:val="Heading2"/>
      </w:pPr>
      <w:r>
        <w:t>2NC Marxism/Cap</w:t>
      </w:r>
    </w:p>
    <w:p w14:paraId="402E31FA" w14:textId="1EA987A1" w:rsidR="003D0AE8" w:rsidRDefault="00866913" w:rsidP="003D0AE8">
      <w:pPr>
        <w:pStyle w:val="Heading4"/>
      </w:pPr>
      <w:r>
        <w:t xml:space="preserve">1. </w:t>
      </w:r>
      <w:r w:rsidR="008F13C2">
        <w:t>Indigenous societ</w:t>
      </w:r>
      <w:r w:rsidR="003D0AE8">
        <w:t>ies and decolonization should be frames in terms of class struggle</w:t>
      </w:r>
      <w:r w:rsidR="008F13C2">
        <w:t>---prerequisite to Native American agency and subjectivity</w:t>
      </w:r>
    </w:p>
    <w:p w14:paraId="474017AA" w14:textId="77777777" w:rsidR="003D0AE8" w:rsidRPr="003D0AE8" w:rsidRDefault="003D0AE8" w:rsidP="003D0AE8">
      <w:pPr>
        <w:rPr>
          <w:sz w:val="16"/>
          <w:szCs w:val="16"/>
        </w:rPr>
      </w:pPr>
      <w:r>
        <w:rPr>
          <w:rStyle w:val="Style13ptBold"/>
        </w:rPr>
        <w:t xml:space="preserve">Rose 16 </w:t>
      </w:r>
      <w:r>
        <w:rPr>
          <w:rStyle w:val="Style13ptBold"/>
          <w:b w:val="0"/>
        </w:rPr>
        <w:t>(</w:t>
      </w:r>
      <w:r w:rsidRPr="00EF2E7C">
        <w:rPr>
          <w:rStyle w:val="Style13ptBold"/>
          <w:b w:val="0"/>
          <w:sz w:val="16"/>
          <w:szCs w:val="16"/>
        </w:rPr>
        <w:t>Samuel Rose, Researcher at University of Buffalo, “Marxism, indigenism, and the anthropology of Native North America: divergence a</w:t>
      </w:r>
      <w:r>
        <w:rPr>
          <w:rStyle w:val="Style13ptBold"/>
          <w:b w:val="0"/>
          <w:sz w:val="16"/>
          <w:szCs w:val="16"/>
        </w:rPr>
        <w:t>nd a possible future”, pp. 26-28</w:t>
      </w:r>
      <w:r w:rsidRPr="00EF2E7C">
        <w:rPr>
          <w:rStyle w:val="Style13ptBold"/>
          <w:b w:val="0"/>
          <w:sz w:val="16"/>
          <w:szCs w:val="16"/>
        </w:rPr>
        <w:t>, September 14 2016) TSB</w:t>
      </w:r>
    </w:p>
    <w:p w14:paraId="00D8B86B" w14:textId="77777777" w:rsidR="003D0AE8" w:rsidRPr="00A36ABF" w:rsidRDefault="003D0AE8" w:rsidP="003D0AE8">
      <w:pPr>
        <w:rPr>
          <w:sz w:val="14"/>
        </w:rPr>
      </w:pPr>
      <w:r w:rsidRPr="003D0AE8">
        <w:rPr>
          <w:rStyle w:val="StyleUnderline"/>
        </w:rPr>
        <w:t xml:space="preserve">Marxist theory, and in particular the neotribal capitalism concept, allows one to make sense of this situation. Accomplished and implemented through a brokerage process with settler-colonial governments, the reorganization of indigenous political economies along the lines of business corporations (and in North America also including capitalist governments resembling small liberal republics) provided indigenous peoples with a bulwark against dispossession by outside forces. However, </w:t>
      </w:r>
      <w:r w:rsidRPr="003D0AE8">
        <w:rPr>
          <w:rStyle w:val="Emphasis"/>
        </w:rPr>
        <w:t>it accomplished this through internal dispossession: It provided indige- nous elites with the structural means to dispossess their own people from independent access to collective resources</w:t>
      </w:r>
      <w:r w:rsidRPr="00A36ABF">
        <w:rPr>
          <w:sz w:val="14"/>
        </w:rPr>
        <w:t xml:space="preserve">. </w:t>
      </w:r>
      <w:r w:rsidRPr="003D0AE8">
        <w:rPr>
          <w:rStyle w:val="Emphasis"/>
        </w:rPr>
        <w:t>It functionally dispossessed people from what they still nominally own</w:t>
      </w:r>
      <w:r w:rsidRPr="00A36ABF">
        <w:rPr>
          <w:sz w:val="14"/>
        </w:rPr>
        <w:t>. This is demonstrated masterfully by Dombrowski (2001, 2014) in his work on Southeast Alaska. It brought about new forms of dependency wherein, regardless of the relative wealth or impoverishment of an individual neotribe, the aim is to make their citizens dependent on the neotribes for all of the basic means of making a life including employment (either in tribal government or tribally owned businesses) and the provision of various social welfare programs provided directly by these governments.</w:t>
      </w:r>
    </w:p>
    <w:p w14:paraId="15278451" w14:textId="77777777" w:rsidR="003D0AE8" w:rsidRPr="00A36ABF" w:rsidRDefault="003D0AE8" w:rsidP="003D0AE8">
      <w:pPr>
        <w:rPr>
          <w:sz w:val="14"/>
        </w:rPr>
      </w:pPr>
      <w:r w:rsidRPr="00A36ABF">
        <w:rPr>
          <w:sz w:val="14"/>
        </w:rPr>
        <w:t>T</w:t>
      </w:r>
      <w:r w:rsidRPr="003D0AE8">
        <w:rPr>
          <w:rStyle w:val="StyleUnderline"/>
        </w:rPr>
        <w:t xml:space="preserve">his shift for the indigenous citizenry from dependency on ‘‘outside’’ actors to dependency on the neotribes is then lauded as liberatory and decolonizing. </w:t>
      </w:r>
      <w:r w:rsidRPr="00A36ABF">
        <w:rPr>
          <w:sz w:val="14"/>
        </w:rPr>
        <w:t xml:space="preserve">These formally collective resources are used for commodity production and other profit- making ventures, and often eventually in collaboration with other capitalist firms. </w:t>
      </w:r>
      <w:r w:rsidRPr="003D0AE8">
        <w:rPr>
          <w:rStyle w:val="Emphasis"/>
        </w:rPr>
        <w:t>Though ideologically a bulwark against the exploitation of indigenous-owned resources by ‘‘outside’’ entities, the operation of neotribal capitalism, and its neotraditionalist ideology, ends up providing a different means of facilitating exploitation and accumulation</w:t>
      </w:r>
      <w:r w:rsidRPr="00A36ABF">
        <w:rPr>
          <w:sz w:val="14"/>
        </w:rPr>
        <w:t xml:space="preserve"> (and increasingly intensified accumulation) by outsiders </w:t>
      </w:r>
      <w:r w:rsidRPr="003D0AE8">
        <w:rPr>
          <w:rStyle w:val="StyleUnderline"/>
        </w:rPr>
        <w:t>via collaborative partnerships and joint ventures between neotribes and other capitalist firms, which is framed and understood as empowering, liberatory, and decolonizing because it nominally affirms the sovereignty of the neotribes</w:t>
      </w:r>
      <w:r w:rsidRPr="00A36ABF">
        <w:rPr>
          <w:sz w:val="14"/>
        </w:rPr>
        <w:t xml:space="preserve"> (Rose 2014: 383–384).</w:t>
      </w:r>
    </w:p>
    <w:p w14:paraId="280BC7AF" w14:textId="77777777" w:rsidR="003D0AE8" w:rsidRPr="003D0AE8" w:rsidRDefault="003D0AE8" w:rsidP="003D0AE8">
      <w:pPr>
        <w:rPr>
          <w:rStyle w:val="Emphasis"/>
        </w:rPr>
      </w:pPr>
      <w:r w:rsidRPr="00A36ABF">
        <w:rPr>
          <w:sz w:val="14"/>
        </w:rPr>
        <w:t xml:space="preserve">These are frustrating contradictions, but they are fundamental and pervasive in indigenist framings of actually existing indigenous peoples, and it has not seen significant change over this timeframe. </w:t>
      </w:r>
      <w:r w:rsidRPr="003D0AE8">
        <w:rPr>
          <w:rStyle w:val="Emphasis"/>
        </w:rPr>
        <w:t>These contradictions are especially damaging to the indigenist cause because of their role in the co-optation of the populism of indigenism</w:t>
      </w:r>
      <w:r w:rsidRPr="00A36ABF">
        <w:rPr>
          <w:sz w:val="14"/>
        </w:rPr>
        <w:t xml:space="preserve">. By adopting this rhetoric of continuity, </w:t>
      </w:r>
      <w:r w:rsidRPr="003D0AE8">
        <w:rPr>
          <w:rStyle w:val="Emphasis"/>
        </w:rPr>
        <w:t>internal and external capitalist forces have been able to further implement the institutionalization and development of capitalism within indigenous societies (and exacerbate local inequalities) while</w:t>
      </w:r>
    </w:p>
    <w:p w14:paraId="66F842A6" w14:textId="77777777" w:rsidR="003D0AE8" w:rsidRPr="008F13C2" w:rsidRDefault="003D0AE8" w:rsidP="003D0AE8">
      <w:pPr>
        <w:rPr>
          <w:rStyle w:val="Emphasis"/>
        </w:rPr>
      </w:pPr>
      <w:r w:rsidRPr="003D0AE8">
        <w:rPr>
          <w:rStyle w:val="Emphasis"/>
        </w:rPr>
        <w:t>maintaining the ideological cover of indigenous communitarian continuity</w:t>
      </w:r>
      <w:r w:rsidRPr="00A36ABF">
        <w:rPr>
          <w:sz w:val="14"/>
        </w:rPr>
        <w:t>. That is exactly the idea that Rata (2000: 33) describes when she says that ‘‘</w:t>
      </w:r>
      <w:r w:rsidRPr="003D0AE8">
        <w:rPr>
          <w:rStyle w:val="StyleUnderline"/>
        </w:rPr>
        <w:t>class relations of production are reified as communal social relations of production</w:t>
      </w:r>
      <w:r w:rsidRPr="00A36ABF">
        <w:rPr>
          <w:sz w:val="14"/>
        </w:rPr>
        <w:t xml:space="preserve">.’’ Delving into all of the differences of Marxism and indigenism, and especially with the failures and shortcomings of indigenism as a political movement, is clearly beyond the scope of this article. However, I included a brief discussion of these issues because they illuminate some of the key flaws of </w:t>
      </w:r>
      <w:r w:rsidRPr="008F13C2">
        <w:rPr>
          <w:rStyle w:val="Emphasis"/>
        </w:rPr>
        <w:t>indigenist frameworks and how their idealism, divorced from actually existing structural and material concerns and conditions, could be co-opted by capitalism—and thus demonstrating the need for Marxist perspectives in analyzing Native North America.</w:t>
      </w:r>
    </w:p>
    <w:p w14:paraId="5D21DA18" w14:textId="77777777" w:rsidR="003D0AE8" w:rsidRPr="00A36ABF" w:rsidRDefault="003D0AE8" w:rsidP="003D0AE8">
      <w:pPr>
        <w:rPr>
          <w:sz w:val="14"/>
        </w:rPr>
      </w:pPr>
      <w:r w:rsidRPr="00A36ABF">
        <w:rPr>
          <w:sz w:val="14"/>
        </w:rPr>
        <w:t xml:space="preserve">The analytical power of </w:t>
      </w:r>
      <w:r w:rsidRPr="008F13C2">
        <w:rPr>
          <w:rStyle w:val="StyleUnderline"/>
        </w:rPr>
        <w:t>neotribal capitalism is that it obliterates these indigenist- idealist obfuscations, and lays bare the structural principles upon which these social formations operate.</w:t>
      </w:r>
      <w:r w:rsidRPr="00A36ABF">
        <w:rPr>
          <w:sz w:val="14"/>
        </w:rPr>
        <w:t xml:space="preserve"> It demonstrates clearly that these principles and this economic base represent not mere aberrations or even articulations with the capitalist mode of production, but instead are full manifestations of capitalism. In emphasizing this point, Schro ̈der (2003: 451) states that ‘‘</w:t>
      </w:r>
      <w:r w:rsidRPr="008F13C2">
        <w:rPr>
          <w:rStyle w:val="StyleUnderline"/>
        </w:rPr>
        <w:t>only a political economic approach enables us to critically engage this social reality without continuing to exoticize [American] Indians.’</w:t>
      </w:r>
      <w:r w:rsidRPr="00A36ABF">
        <w:rPr>
          <w:sz w:val="14"/>
        </w:rPr>
        <w:t xml:space="preserve">’ </w:t>
      </w:r>
      <w:r w:rsidRPr="008F13C2">
        <w:rPr>
          <w:rStyle w:val="StyleUnderline"/>
        </w:rPr>
        <w:t>Even scholars who wish to emphasize ideas of agency and subjectivities in their work need to come to terms with the structural and material realities that actually produce and shape subjectivities and constrain and direct the agency of indigenous peoples: How people make a life under conditions not of their own choosing</w:t>
      </w:r>
      <w:r w:rsidRPr="00A36ABF">
        <w:rPr>
          <w:sz w:val="14"/>
        </w:rPr>
        <w:t xml:space="preserve">. The advantage to the application of Marxist concepts like neotribal capitalism over that of the spiritualism-idealism of even the most radical of indigenists is that their approach still necessarily romanticizes and exoticizes the indigenous past and present. </w:t>
      </w:r>
      <w:r w:rsidRPr="008F13C2">
        <w:rPr>
          <w:rStyle w:val="StyleUnderline"/>
        </w:rPr>
        <w:t>The capacity for real class analysis eludes the indigenists be</w:t>
      </w:r>
      <w:r w:rsidRPr="008F13C2">
        <w:rPr>
          <w:rStyle w:val="Emphasis"/>
        </w:rPr>
        <w:t>cause class cannot be observed (and is in fact obscured) by the conceptual lenses of idealism and the tendency toward exoticism and romanticism</w:t>
      </w:r>
      <w:r w:rsidRPr="00A36ABF">
        <w:rPr>
          <w:sz w:val="14"/>
        </w:rPr>
        <w:t>. Some might view what I am saying as a condemnation of indigenous peoples: That I am supposedly advocating for the disempowerment of indigenous peoples in stating the need to come to terms with and better theorize the materiality that has shaped the lives of indigenous peoples in the past and present. However, as Moore (1993a: 15) reminds us</w:t>
      </w:r>
    </w:p>
    <w:p w14:paraId="76B8AF92" w14:textId="77777777" w:rsidR="003D0AE8" w:rsidRPr="00213CE8" w:rsidRDefault="003D0AE8" w:rsidP="003D0AE8">
      <w:pPr>
        <w:rPr>
          <w:rStyle w:val="Emphasis"/>
        </w:rPr>
      </w:pPr>
      <w:r w:rsidRPr="00213CE8">
        <w:rPr>
          <w:rStyle w:val="Emphasis"/>
        </w:rPr>
        <w:t>...Native American history is best understood not as a cultural conflict between Indians and European invaders, but as an economic conflict between precapitalist or communal modes of production and capitalist modes. That is, the most important fact about the invasion of North America is not so much that they were European foreigners, but that they were capitalist foreigners. It was the capitalist mode of production which determined the form of the conflict, not religion, culture or ethnicity. (emphasis in original)</w:t>
      </w:r>
    </w:p>
    <w:p w14:paraId="2634609D" w14:textId="77777777" w:rsidR="003D0AE8" w:rsidRPr="00A36ABF" w:rsidRDefault="003D0AE8" w:rsidP="003D0AE8">
      <w:pPr>
        <w:rPr>
          <w:sz w:val="14"/>
        </w:rPr>
      </w:pPr>
      <w:r w:rsidRPr="00A36ABF">
        <w:rPr>
          <w:sz w:val="14"/>
        </w:rPr>
        <w:t xml:space="preserve">To that, I would add the emphasis that it </w:t>
      </w:r>
      <w:r w:rsidRPr="00213CE8">
        <w:rPr>
          <w:rStyle w:val="Emphasis"/>
        </w:rPr>
        <w:t>is still the capitalist mode of production that determines the relations and workings within indigenous societies as well as their relations and conflicts with settler-colonial societies</w:t>
      </w:r>
      <w:r w:rsidRPr="00A36ABF">
        <w:rPr>
          <w:sz w:val="14"/>
        </w:rPr>
        <w:t xml:space="preserve">. As Clemmer (1995: 307) </w:t>
      </w:r>
      <w:r w:rsidRPr="00213CE8">
        <w:rPr>
          <w:rStyle w:val="StyleUnderline"/>
        </w:rPr>
        <w:t>states ‘‘acknowledging this point does not eliminate the possibilities of [native peoples] pursuing their own goals.’</w:t>
      </w:r>
      <w:r w:rsidRPr="00A36ABF">
        <w:rPr>
          <w:sz w:val="14"/>
        </w:rPr>
        <w:t xml:space="preserve">’ Rather, I believe the opposite is true: Native peoples are unlikely to be able to genuinely pursue their own goals without coming to terms socially, politically, and ideologically with the </w:t>
      </w:r>
    </w:p>
    <w:p w14:paraId="426B2227" w14:textId="77777777" w:rsidR="003D0AE8" w:rsidRPr="00A36ABF" w:rsidRDefault="003D0AE8" w:rsidP="003D0AE8">
      <w:pPr>
        <w:rPr>
          <w:sz w:val="14"/>
        </w:rPr>
      </w:pPr>
      <w:r w:rsidRPr="00A36ABF">
        <w:rPr>
          <w:sz w:val="14"/>
        </w:rPr>
        <w:t xml:space="preserve"> realities of capitalism. </w:t>
      </w:r>
      <w:r w:rsidRPr="00213CE8">
        <w:rPr>
          <w:rStyle w:val="Emphasis"/>
        </w:rPr>
        <w:t>Acknowledging these structural and material dimensions would not only improve scholarly analysis, but also contribute to furthering the potential of radical indigenous movements, improve the livelihoods of the majority of indigenous people, and provide the grounds on which connections of solidarity could be built between indigenous and non-indigenous peoples along the lines of an expanded class analysis (</w:t>
      </w:r>
      <w:r w:rsidRPr="00A36ABF">
        <w:rPr>
          <w:sz w:val="14"/>
        </w:rPr>
        <w:t>Kalb 1998; Carrier and Kalb 2015).</w:t>
      </w:r>
    </w:p>
    <w:p w14:paraId="230A1813" w14:textId="77777777" w:rsidR="003D0AE8" w:rsidRPr="00A36ABF" w:rsidRDefault="003D0AE8" w:rsidP="008F13C2">
      <w:pPr>
        <w:rPr>
          <w:sz w:val="14"/>
        </w:rPr>
      </w:pPr>
      <w:r w:rsidRPr="00213CE8">
        <w:rPr>
          <w:rStyle w:val="StyleUnderline"/>
        </w:rPr>
        <w:t xml:space="preserve">This capacity for engaging in class analysis within contemporary actually existing indigenous societies in order to attain a more substantive grasp of the workings of these social formations and the forces that have shaped and transformed them in the past and present is perhaps the most significant reason in support of the relevance of Marxism to the anthropology of Native North America. </w:t>
      </w:r>
      <w:r w:rsidRPr="00213CE8">
        <w:rPr>
          <w:rStyle w:val="Emphasis"/>
        </w:rPr>
        <w:t>Neotribal capitalism is a clear and concise manner of describing the actually existing structure and operation of indigenous societies in settler-colonial contexts within the neoliberal era. The concept (and Marxist analysis more broadly) provides for insight into and explanations for phenomena occurring within these societies that would otherwise be obscured and mystified by the theoretical limitations of idealism and postmodernism.</w:t>
      </w:r>
    </w:p>
    <w:p w14:paraId="554A4593" w14:textId="68C4EC4D" w:rsidR="00ED50D1" w:rsidRDefault="00866913" w:rsidP="00ED50D1">
      <w:pPr>
        <w:pStyle w:val="Heading4"/>
      </w:pPr>
      <w:r>
        <w:t xml:space="preserve">2. </w:t>
      </w:r>
      <w:r w:rsidR="00EF2E7C" w:rsidRPr="007B509A">
        <w:t>An interrogation of</w:t>
      </w:r>
      <w:r w:rsidR="00EF2E7C" w:rsidRPr="00A36ABF">
        <w:rPr>
          <w:sz w:val="14"/>
        </w:rPr>
        <w:t xml:space="preserve"> </w:t>
      </w:r>
      <w:r w:rsidR="00EF2E7C">
        <w:t>how capitalism manifests itself in tribes is a prequisite to meaningful change in theory and practice</w:t>
      </w:r>
    </w:p>
    <w:p w14:paraId="1D5C0CD8" w14:textId="77777777" w:rsidR="00EF2E7C" w:rsidRPr="00EF2E7C" w:rsidRDefault="00EF2E7C" w:rsidP="00EF2E7C">
      <w:pPr>
        <w:rPr>
          <w:rStyle w:val="Style13ptBold"/>
          <w:b w:val="0"/>
          <w:sz w:val="16"/>
          <w:szCs w:val="16"/>
        </w:rPr>
      </w:pPr>
      <w:r>
        <w:rPr>
          <w:rStyle w:val="Style13ptBold"/>
        </w:rPr>
        <w:t xml:space="preserve">Rose 16 </w:t>
      </w:r>
      <w:r>
        <w:rPr>
          <w:rStyle w:val="Style13ptBold"/>
          <w:b w:val="0"/>
        </w:rPr>
        <w:t>(</w:t>
      </w:r>
      <w:r w:rsidRPr="00EF2E7C">
        <w:rPr>
          <w:rStyle w:val="Style13ptBold"/>
          <w:b w:val="0"/>
          <w:sz w:val="16"/>
          <w:szCs w:val="16"/>
        </w:rPr>
        <w:t>Samuel Rose, Researcher at University of Buffalo, “Marxism, indigenism, and the anthropology of Native North America: divergence an</w:t>
      </w:r>
      <w:r w:rsidR="003D0AE8">
        <w:rPr>
          <w:rStyle w:val="Style13ptBold"/>
          <w:b w:val="0"/>
          <w:sz w:val="16"/>
          <w:szCs w:val="16"/>
        </w:rPr>
        <w:t>d a possible future”, pp. 20-21,</w:t>
      </w:r>
      <w:r w:rsidRPr="00EF2E7C">
        <w:rPr>
          <w:rStyle w:val="Style13ptBold"/>
          <w:b w:val="0"/>
          <w:sz w:val="16"/>
          <w:szCs w:val="16"/>
        </w:rPr>
        <w:t xml:space="preserve"> September 14 2016) TSB</w:t>
      </w:r>
    </w:p>
    <w:p w14:paraId="6F657848" w14:textId="77777777" w:rsidR="00EF2E7C" w:rsidRDefault="00EF2E7C" w:rsidP="00EF2E7C">
      <w:pPr>
        <w:rPr>
          <w:rStyle w:val="StyleUnderline"/>
        </w:rPr>
      </w:pPr>
      <w:r w:rsidRPr="003D0AE8">
        <w:rPr>
          <w:sz w:val="16"/>
        </w:rPr>
        <w:t xml:space="preserve">A second critical innovation of </w:t>
      </w:r>
      <w:r w:rsidRPr="00EF2E7C">
        <w:rPr>
          <w:rStyle w:val="StyleUnderline"/>
        </w:rPr>
        <w:t>neotribal capitalism is that it refines and re- centers the interpretation of the nature of contemporary indigenous societies</w:t>
      </w:r>
      <w:r w:rsidRPr="003D0AE8">
        <w:rPr>
          <w:sz w:val="16"/>
        </w:rPr>
        <w:t xml:space="preserve">. Previous critical work had described the profound changes that had occurred within indigenous communities as a result of their penetration by the capitalist global system. However, </w:t>
      </w:r>
      <w:r w:rsidRPr="00EF2E7C">
        <w:rPr>
          <w:rStyle w:val="StyleUnderline"/>
        </w:rPr>
        <w:t xml:space="preserve">until the advent of neoliberalism this penetration was often understood merely as an articulation of a traditional society and mode of production with capitalism. Instead of previous interpretations that framed indigenous societies as traditional societies in articulation with global capitalism, </w:t>
      </w:r>
      <w:r w:rsidRPr="00EF2E7C">
        <w:rPr>
          <w:rStyle w:val="Emphasis"/>
        </w:rPr>
        <w:t>Rata’s repositioning framed indigenous societies as thoroughly and fundamentally subsumed and transformed by capitalism</w:t>
      </w:r>
      <w:r w:rsidRPr="00EF2E7C">
        <w:rPr>
          <w:rStyle w:val="StyleUnderline"/>
        </w:rPr>
        <w:t>.</w:t>
      </w:r>
      <w:r w:rsidRPr="003D0AE8">
        <w:rPr>
          <w:sz w:val="16"/>
        </w:rPr>
        <w:t xml:space="preserve"> </w:t>
      </w:r>
      <w:r w:rsidRPr="00EF2E7C">
        <w:rPr>
          <w:rStyle w:val="StyleUnderline"/>
        </w:rPr>
        <w:t>They were now viewed as capitalist societies with a capitalist mode of production in themselves without qualification.</w:t>
      </w:r>
      <w:r w:rsidRPr="003D0AE8">
        <w:rPr>
          <w:sz w:val="16"/>
        </w:rPr>
        <w:t xml:space="preserve"> As localized responses to global capitalism, Rata’s conception of neotribal capitalism is heavily influenced by Friedman’s (1994) theorizing on contemporary cultural revivalist movements around the world. In regard to the forces of production, Rata (2000: 33) states that ‘‘neotribal capitalism is characterized by the absence of privatized ownership of the means of production.’’ As such ‘‘</w:t>
      </w:r>
      <w:r w:rsidRPr="00EF2E7C">
        <w:rPr>
          <w:rStyle w:val="StyleUnderline"/>
        </w:rPr>
        <w:t>the corporate tribe, rather than the individual, is the legal owner of the lands, waters and knowledge’’ and ‘‘economic control of tribal resources is located in the groups who use the resources for commodity production’’ (Rata</w:t>
      </w:r>
      <w:r w:rsidRPr="003D0AE8">
        <w:rPr>
          <w:sz w:val="16"/>
        </w:rPr>
        <w:t xml:space="preserve"> 2000: 33). Additionally, the relations of production within neotribal capitalism are those of wage labor. Neotribal societies are organized along the principles of a business corporation—the entirety of the social formation is a singular corporate entity. </w:t>
      </w:r>
      <w:r w:rsidRPr="00EF2E7C">
        <w:rPr>
          <w:rStyle w:val="Emphasis"/>
        </w:rPr>
        <w:t xml:space="preserve">The ‘‘tribe’’ performs the role of the capitalist as it becomes the exploiter of its own people. </w:t>
      </w:r>
      <w:r w:rsidRPr="003D0AE8">
        <w:rPr>
          <w:sz w:val="16"/>
        </w:rPr>
        <w:t xml:space="preserve">Though not a Marxist, Johansen (2004) captures this idea perfectly when he describes the Oneida Indian Nation of New York as ‘‘a business called a nation.’’ </w:t>
      </w:r>
      <w:r w:rsidRPr="00EF2E7C">
        <w:rPr>
          <w:rStyle w:val="Emphasis"/>
        </w:rPr>
        <w:t>Neotribal capitalism represents the particularized transformation and manifestation of indigenous–settler relations within settler colonialism during the contemporary era of neoliberal global capitalism</w:t>
      </w:r>
      <w:r w:rsidRPr="003D0AE8">
        <w:rPr>
          <w:sz w:val="16"/>
        </w:rPr>
        <w:t xml:space="preserve">. Dombrowski (2002b: 1063) describes this relationship and manifestation in connection to internal oppression as ‘‘the state’s vision of indigenism.’’ In that way, our understanding of neotribal capitalism should not be disconnected from a critical examination of the workings of the political economy of settler colonialism in the form of the workings of the capitalist mode of production within the settler- colonial states in which these ‘‘neotribes’’ are embedded. The </w:t>
      </w:r>
      <w:r w:rsidRPr="00EF2E7C">
        <w:rPr>
          <w:rStyle w:val="Emphasis"/>
        </w:rPr>
        <w:t>neotribal capitalist framework also provides the basis for a critique of the failures and co-optation of indigenism as a political movement. The failure of 1 3 Marxism, indigenism, and the anthropology of Native... 23 indigenism lies in its idealism which serves to obscure and deny class relations within actually existing indigenous societies</w:t>
      </w:r>
      <w:r w:rsidRPr="003D0AE8">
        <w:rPr>
          <w:sz w:val="16"/>
        </w:rPr>
        <w:t xml:space="preserve">. The populist energy of indigenist idealism, divorced from a structural and material analysis, enabled the co-optation of the movement by internal and external capitalist forces, which in turn has come to destroy much of the populist energy that indigenism had inspired. </w:t>
      </w:r>
      <w:r w:rsidRPr="00EF2E7C">
        <w:rPr>
          <w:rStyle w:val="StyleUnderline"/>
        </w:rPr>
        <w:t>One of the major ‘‘distortions of ideology’’ (Rata 2000) among North American indigenists is the question of whether indigenous peoples were profoundly transformed by the colonial project. The problem is not ambivalence on the question but rather that they can passionately argue in favor of both sides while being apparently unaware of the contradiction, and its profundity, inherent therein</w:t>
      </w:r>
      <w:r w:rsidRPr="003D0AE8">
        <w:rPr>
          <w:sz w:val="16"/>
        </w:rPr>
        <w:t xml:space="preserve">. Even within a single work an author can occupy both positions saying that indigenous peoples were profoundly and detrimentally impacted by colonialism, while arguing that indigenous peoples have persisted intact to this day. This is a contradiction that can be found not simply within liberal indigenists but even among the more radical ones as well. One particularly important example of this is the highly influential, prolific, and radical indigenist scholar Ward Churchill. Even within a single chapter, Churchill (1983b) utilizes both positions to argue against the relevance of Marxist analysis to Native Americans. As part of his argument against the Marxist contention that indigenists romanticize the past, Churchill (1983b: 188) states that ‘‘traditional Indian cultures—contrary to Euro mythology of the ‘‘vanishing redman’’—continue to exist with an amazing vitality and continuity on a number of reservations.’’ However, five pages later in arguing against the Marxist contention that Native Americans should be viewed as proletarians, Churchill (1983b: 193) states that ‘‘American Indians have no class in any conventional sense; insofar as they have become proletarians (usually unemployed) they have already been torn from their traditional cultures.’’ Here Churchill asserts a kind of primitivism (Friedman 1994) against the supposed modernity of proletarianization. This is an inherently romantic and idealist framing and is sufficiently problematic in its own right. However, </w:t>
      </w:r>
      <w:r w:rsidRPr="00EF2E7C">
        <w:rPr>
          <w:rStyle w:val="Emphasis"/>
        </w:rPr>
        <w:t>this framing is also based on the demonstrably false belief that there is such a thing as a Native American individual or community that is free from or has not been radically transformed by capitalist incorporation.</w:t>
      </w:r>
      <w:r w:rsidRPr="003D0AE8">
        <w:rPr>
          <w:sz w:val="16"/>
        </w:rPr>
        <w:t xml:space="preserve"> </w:t>
      </w:r>
      <w:r w:rsidRPr="00EF2E7C">
        <w:rPr>
          <w:rStyle w:val="Emphasis"/>
        </w:rPr>
        <w:t xml:space="preserve">The proletarianization of native peoples was not a recent twentieth-century phenomenon that began with the US government’s urban relocation program of the 1950s and 1960s (see Fixico 1986 for discussion of the urban relocation program). For example, as previously mentioned works (as well as others) have demonstrated (Knight 1978; Littlefield and Knack 1996), native peoples have worked as wage laborers in various localities on a temporary and permanent basis across the continent for far longer than was often thought to be the </w:t>
      </w:r>
      <w:r w:rsidRPr="00EF2E7C">
        <w:rPr>
          <w:rStyle w:val="StyleUnderline"/>
        </w:rPr>
        <w:t>case. Even native people living on reservations are not economically independent and instead form part of the rural proletariat, and the economies on reservations regardless of their relative wealth or impoverishment are a type of rural capitalism</w:t>
      </w:r>
      <w:r w:rsidRPr="003D0AE8">
        <w:rPr>
          <w:sz w:val="16"/>
        </w:rPr>
        <w:t xml:space="preserve"> (see Berman 2003; Pickering 2000 for evidence of this from even non-Marxist economic anthropologists). Radical i</w:t>
      </w:r>
      <w:r w:rsidRPr="003D0AE8">
        <w:rPr>
          <w:rStyle w:val="StyleUnderline"/>
        </w:rPr>
        <w:t xml:space="preserve">ndigenist </w:t>
      </w:r>
      <w:r w:rsidRPr="003D0AE8">
        <w:rPr>
          <w:sz w:val="16"/>
        </w:rPr>
        <w:t>and Dene scholar Glen Coulthard (2014: 13</w:t>
      </w:r>
      <w:r w:rsidRPr="003D0AE8">
        <w:rPr>
          <w:rStyle w:val="Emphasis"/>
        </w:rPr>
        <w:t>) says that natives have been dispossessed, not proletarianized, but I would note that, even if this were true, this is only because the native peoples in the far north (the arctic and subarctic 1 3 24 S. W. Rose regions of the continent) that he speaks of are no longer needed for the production of capital</w:t>
      </w:r>
      <w:r w:rsidRPr="003D0AE8">
        <w:rPr>
          <w:sz w:val="16"/>
        </w:rPr>
        <w:t xml:space="preserve">. In contrast, Marxist anthropologist Gerald Sider (2014) interrogates this in significant depth in demonstrating how in recent decades </w:t>
      </w:r>
      <w:r w:rsidRPr="003D0AE8">
        <w:rPr>
          <w:rStyle w:val="StyleUnderline"/>
        </w:rPr>
        <w:t xml:space="preserve">native peoples in the far north have been made not merely expendable but disposable by global capitalism </w:t>
      </w:r>
      <w:r w:rsidRPr="003D0AE8">
        <w:rPr>
          <w:sz w:val="16"/>
        </w:rPr>
        <w:t xml:space="preserve">and the policies of the Canadian government. It is crucial here to emphasize that </w:t>
      </w:r>
      <w:r w:rsidRPr="003D0AE8">
        <w:rPr>
          <w:rStyle w:val="Emphasis"/>
        </w:rPr>
        <w:t>it is dispossession (in its myriad forms) that makes people expendable, and the fact of their expendability makes them exploitable as workers for capitalists. If capitalists have no use for them, then this hyper-expendability could transform into something much worse: disposability</w:t>
      </w:r>
      <w:r w:rsidRPr="003D0AE8">
        <w:rPr>
          <w:sz w:val="16"/>
        </w:rPr>
        <w:t xml:space="preserve">. If </w:t>
      </w:r>
      <w:r w:rsidRPr="003D0AE8">
        <w:rPr>
          <w:rStyle w:val="StyleUnderline"/>
        </w:rPr>
        <w:t>in some regions indigenous peoples are not deemed useful for exploitation as laborers, this is certainly not a positive attribute of their position within relations of power, and it certainly does not mean that they exist outside of capitalism or that the basic operations of capital somehow function differently because of their presence.</w:t>
      </w:r>
    </w:p>
    <w:p w14:paraId="63F65315" w14:textId="65AA2461" w:rsidR="003B41F0" w:rsidRDefault="00866913" w:rsidP="003B41F0">
      <w:pPr>
        <w:pStyle w:val="Heading4"/>
        <w:rPr>
          <w:rStyle w:val="StyleUnderline"/>
          <w:sz w:val="26"/>
          <w:u w:val="none"/>
        </w:rPr>
      </w:pPr>
      <w:r>
        <w:rPr>
          <w:rStyle w:val="StyleUnderline"/>
          <w:sz w:val="26"/>
          <w:u w:val="none"/>
        </w:rPr>
        <w:t xml:space="preserve">3. </w:t>
      </w:r>
      <w:r w:rsidR="003B41F0">
        <w:rPr>
          <w:rStyle w:val="StyleUnderline"/>
          <w:sz w:val="26"/>
          <w:u w:val="none"/>
        </w:rPr>
        <w:t>Colonial empires structured based on capitalism</w:t>
      </w:r>
    </w:p>
    <w:p w14:paraId="67ECB2EA" w14:textId="4526353C" w:rsidR="003B41F0" w:rsidRPr="003B41F0" w:rsidRDefault="003B41F0" w:rsidP="003B41F0">
      <w:pPr>
        <w:rPr>
          <w:sz w:val="26"/>
        </w:rPr>
      </w:pPr>
      <w:r>
        <w:rPr>
          <w:rStyle w:val="Style13ptBold"/>
        </w:rPr>
        <w:t xml:space="preserve">Michaelsen &amp; Shershow 7 </w:t>
      </w:r>
      <w:r>
        <w:rPr>
          <w:rStyle w:val="Style13ptBold"/>
          <w:b w:val="0"/>
        </w:rPr>
        <w:t>(</w:t>
      </w:r>
      <w:r w:rsidRPr="006C190F">
        <w:rPr>
          <w:rStyle w:val="Style13ptBold"/>
          <w:b w:val="0"/>
        </w:rPr>
        <w:t>Scott Michaelsen</w:t>
      </w:r>
      <w:r>
        <w:rPr>
          <w:rStyle w:val="Style13ptBold"/>
          <w:b w:val="0"/>
        </w:rPr>
        <w:t xml:space="preserve"> </w:t>
      </w:r>
      <w:r w:rsidRPr="00FD3C1A">
        <w:rPr>
          <w:rStyle w:val="Style13ptBold"/>
          <w:b w:val="0"/>
        </w:rPr>
        <w:t>teaches in a number of different areas, including American literature, the literatures of the Americas, popular culture (science fiction, for example), and philosophy and theory in its relation to literature and society.</w:t>
      </w:r>
      <w:r>
        <w:rPr>
          <w:rStyle w:val="Style13ptBold"/>
          <w:b w:val="0"/>
        </w:rPr>
        <w:t xml:space="preserve"> </w:t>
      </w:r>
      <w:r w:rsidRPr="006C190F">
        <w:rPr>
          <w:rStyle w:val="Style13ptBold"/>
          <w:b w:val="0"/>
        </w:rPr>
        <w:t>Scott Cutler Shershow</w:t>
      </w:r>
      <w:r>
        <w:rPr>
          <w:rStyle w:val="Style13ptBold"/>
          <w:b w:val="0"/>
        </w:rPr>
        <w:t xml:space="preserve">, </w:t>
      </w:r>
      <w:r w:rsidRPr="0052762F">
        <w:rPr>
          <w:rStyle w:val="Style13ptBold"/>
          <w:b w:val="0"/>
        </w:rPr>
        <w:t>is Professor of English at the University of California, Davis.  He is the author, most recently, of Bread, from Bloomsbury’s “Object Lessons” series.</w:t>
      </w:r>
      <w:r>
        <w:rPr>
          <w:rStyle w:val="Style13ptBold"/>
          <w:b w:val="0"/>
        </w:rPr>
        <w:t xml:space="preserve"> “</w:t>
      </w:r>
      <w:r w:rsidRPr="007761E8">
        <w:rPr>
          <w:rStyle w:val="Style13ptBold"/>
          <w:b w:val="0"/>
        </w:rPr>
        <w:t>Rethinking Border Thinking</w:t>
      </w:r>
      <w:r>
        <w:rPr>
          <w:rStyle w:val="Style13ptBold"/>
          <w:b w:val="0"/>
        </w:rPr>
        <w:t>”, pp. 44-</w:t>
      </w:r>
      <w:proofErr w:type="gramStart"/>
      <w:r>
        <w:rPr>
          <w:rStyle w:val="Style13ptBold"/>
          <w:b w:val="0"/>
        </w:rPr>
        <w:t>48 )</w:t>
      </w:r>
      <w:proofErr w:type="gramEnd"/>
      <w:r>
        <w:rPr>
          <w:rStyle w:val="Style13ptBold"/>
          <w:b w:val="0"/>
        </w:rPr>
        <w:t xml:space="preserve"> TSB</w:t>
      </w:r>
    </w:p>
    <w:p w14:paraId="7BDE4243" w14:textId="04DB30D3" w:rsidR="003B41F0" w:rsidRPr="003B41F0" w:rsidRDefault="003B41F0" w:rsidP="003B41F0">
      <w:r w:rsidRPr="003B41F0">
        <w:rPr>
          <w:rStyle w:val="Emphasis"/>
        </w:rPr>
        <w:t xml:space="preserve">They took off from the then influential contention in Marxist state theory that the state was not a mere instrument of capital but “semiautonomous.” Only a state capable of dis- tancing itself from the immediate imperatives of capital could, paradoxi- cally, provide the conditions for the orderly reproduction of capitalism. It </w:t>
      </w:r>
      <w:r w:rsidRPr="003B41F0">
        <w:t xml:space="preserve">had to referee disputes among factions of capitalist classes and be sure that excessive exploitative zeal did not bring on conflict that might threaten the system. </w:t>
      </w:r>
      <w:r w:rsidRPr="003B41F0">
        <w:rPr>
          <w:rStyle w:val="StyleUnderline"/>
        </w:rPr>
        <w:t>Extended to colonial situations, the semiautonomy argument drew attention to the disjunction between the imperial state, centered in a met- ropolitan location, and the colonial states that were its offshoots</w:t>
      </w:r>
      <w:r w:rsidRPr="003B41F0">
        <w:t xml:space="preserve">. </w:t>
      </w:r>
      <w:r w:rsidRPr="003B41F0">
        <w:rPr>
          <w:rStyle w:val="Emphasis"/>
        </w:rPr>
        <w:t>Neither the state nor capital was unified; imperial/colonial interests could diverge, and tensions could be considerable. Most important, the colonial state ex- isted in relation to different modes of production, each animated by people distinct from each other, distinctions that were crucial if a clear order were to be preserved and if capital were to exploit the labor power it found in the colonies.</w:t>
      </w:r>
      <w:r w:rsidRPr="003B41F0">
        <w:t xml:space="preserve"> </w:t>
      </w:r>
      <w:r w:rsidRPr="003B41F0">
        <w:rPr>
          <w:rStyle w:val="StyleUnderline"/>
        </w:rPr>
        <w:t>Such labor power was not simply there for the taking; rather the state had to hitch itself to the interests of indigenous elites in order to gain access to the labor power that imperial capital needed. Each colonial state had to manage a particularly complex set of contradictions, if that state was to promote the interests of “its” economic actors in a competitive world economy. It would be simplistic to assume that colonial states actually managed these contradictions very well or that empires effectively inte- grated their diverse parts. Such an approach opens the door to exploring a range of structures, strategies, and capabilities of such states, as well as a range of outcomes.</w:t>
      </w:r>
    </w:p>
    <w:p w14:paraId="3BE1E38E" w14:textId="77777777" w:rsidR="00456987" w:rsidRPr="00456987" w:rsidRDefault="00456987" w:rsidP="00EF2E7C">
      <w:pPr>
        <w:rPr>
          <w:rStyle w:val="StyleUnderline"/>
          <w:sz w:val="26"/>
          <w:szCs w:val="26"/>
          <w:u w:val="none"/>
        </w:rPr>
      </w:pPr>
    </w:p>
    <w:p w14:paraId="63E39247" w14:textId="4B429858" w:rsidR="00456987" w:rsidRDefault="00866913" w:rsidP="00456987">
      <w:pPr>
        <w:pStyle w:val="Heading4"/>
        <w:rPr>
          <w:rStyle w:val="StyleUnderline"/>
          <w:sz w:val="26"/>
          <w:u w:val="none"/>
        </w:rPr>
      </w:pPr>
      <w:r>
        <w:rPr>
          <w:rStyle w:val="StyleUnderline"/>
          <w:sz w:val="26"/>
          <w:u w:val="none"/>
        </w:rPr>
        <w:t xml:space="preserve">4. </w:t>
      </w:r>
      <w:r w:rsidR="00456987" w:rsidRPr="00456987">
        <w:rPr>
          <w:rStyle w:val="StyleUnderline"/>
          <w:sz w:val="26"/>
          <w:u w:val="none"/>
        </w:rPr>
        <w:t>Difference bet</w:t>
      </w:r>
      <w:r w:rsidR="00456987">
        <w:rPr>
          <w:rStyle w:val="StyleUnderline"/>
          <w:sz w:val="26"/>
          <w:u w:val="none"/>
        </w:rPr>
        <w:t>ween East and West</w:t>
      </w:r>
    </w:p>
    <w:p w14:paraId="025D4B56" w14:textId="266B34DE" w:rsidR="00456987" w:rsidRPr="00456987" w:rsidRDefault="00456987" w:rsidP="00456987">
      <w:pPr>
        <w:rPr>
          <w:rStyle w:val="Style13ptBold"/>
          <w:b w:val="0"/>
        </w:rPr>
      </w:pPr>
      <w:r>
        <w:rPr>
          <w:rStyle w:val="Style13ptBold"/>
        </w:rPr>
        <w:t xml:space="preserve">Chibber 13 </w:t>
      </w:r>
      <w:r>
        <w:rPr>
          <w:rStyle w:val="Style13ptBold"/>
          <w:b w:val="0"/>
        </w:rPr>
        <w:t xml:space="preserve">(Vivek Chibber, “How Does the Subaltern Speak?”, </w:t>
      </w:r>
      <w:hyperlink r:id="rId21" w:history="1">
        <w:r w:rsidRPr="00A02494">
          <w:rPr>
            <w:rStyle w:val="Hyperlink"/>
            <w:sz w:val="26"/>
          </w:rPr>
          <w:t>https://jacobinmag.com/2013/04/how-does-the-subaltern-speak</w:t>
        </w:r>
      </w:hyperlink>
      <w:r>
        <w:rPr>
          <w:rStyle w:val="Style13ptBold"/>
          <w:b w:val="0"/>
        </w:rPr>
        <w:t>) TSB</w:t>
      </w:r>
    </w:p>
    <w:p w14:paraId="52D4C86C" w14:textId="4B2916D2" w:rsidR="00456987" w:rsidRDefault="00456987" w:rsidP="00456987">
      <w:pPr>
        <w:rPr>
          <w:rStyle w:val="StyleUnderline"/>
        </w:rPr>
      </w:pPr>
      <w:r w:rsidRPr="008A3F0A">
        <w:rPr>
          <w:rStyle w:val="StyleUnderline"/>
        </w:rPr>
        <w:t>When Subalternist theorists put up this gigantic wall separating East from West, and when they insist that Western agents are not driven by the same kinds of concerns as Eastern agents, what they’re doing is endorsing the kind of essentialism that colonial authorities used to justify their depredations in the nineteenth century</w:t>
      </w:r>
      <w:r>
        <w:t xml:space="preserve">. </w:t>
      </w:r>
      <w:r w:rsidRPr="008A3F0A">
        <w:rPr>
          <w:rStyle w:val="StyleUnderline"/>
        </w:rPr>
        <w:t>It’s the same kind of essentialism that American military apologists used when they were bombing Vietnam or when they were going into the Middle East. Nobody on the Left can be at ease with these sorts of arguments. But couldn’t someone respond by saying that you’re endorsing some form of essentialism by ascribing a common rationality to actors in very different contexts? Well, it isn’t exactly essentialism, but I am endorsing the view that there are some common interests and needs that people have across cultures</w:t>
      </w:r>
      <w:r>
        <w:t xml:space="preserve">. There are some aspects of our human nature that are not culturally constructed: they are shaped by culture, but not created by it. My view is that even though there are enormous cultural differences between people in the East and the West, there’s also a core set of concerns that people have in common, whether they’re born in Egypt, or India, or Manchester, or New York. These aren’t many, but we can enumerate at least two or three of them: </w:t>
      </w:r>
      <w:r w:rsidRPr="008A3F0A">
        <w:rPr>
          <w:rStyle w:val="StyleUnderline"/>
        </w:rPr>
        <w:t>there’s a concern for your physical wellbeing; there’s probably a concern for a degree of autonomy and self-determination; there’s a concern for those practices that directly pertain to your welfare. This isn’t much, but you’d be amazed how far it gets you in explaining really important historical transformations. For two hundred years, anybody who called herself progressive embraced this kind of universalism</w:t>
      </w:r>
      <w:r>
        <w:t xml:space="preserve">. It was simply understood that the reason workers or peasants could unite across national boundaries is because they shared certain material interests. This is now being called into question by subaltern studies, and it’s quite remarkable that so many people on the Left have accepted it. It’s even more remarkable that it’s still accepted when over the last fifteen or twenty years we’ve seen global movements across cultures and national boundaries against neoliberalism, against capitalism. Yet in </w:t>
      </w:r>
      <w:r w:rsidRPr="008A3F0A">
        <w:rPr>
          <w:rStyle w:val="Emphasis"/>
        </w:rPr>
        <w:t>the university, to dare to say that people share common concerns across cultures is somehow seen as being Eurocentric. This shows how far the political and intellectual culture has fallen in the last twenty years. If you’re arguing that capitalism doesn’t require bourgeois liberalism, and that the bourgeoisie didn’t play the historical role of leading this popular struggle for democracy in the West, how do you explain the fact that we did get liberalism and democracy in the West, and we didn’t get those outcomes in the same way in a lot of the postcolonial world? That’s a great question</w:t>
      </w:r>
      <w:r>
        <w:t xml:space="preserve">. The interesting thing is that when Guha wrote his original essay announcing the agenda of subaltern studies, he ascribed the failure of liberalism in the East to the failure of its bourgeoisie. But he also suggested that there was another historical possibility, namely that the independence movement in India and other colonial countries might have been led by popular classes, which might have pushed things in a different direction and perhaps created a different kind of political order. He brings this up and then he forgets it, and it’s never brought up again in any of his work. This is the road that, if he had taken it — and if he had taken it more seriously — could have led him to a more accurate understanding of what happened in the West and not just in the East. The </w:t>
      </w:r>
      <w:r w:rsidRPr="008A3F0A">
        <w:rPr>
          <w:rStyle w:val="StyleUnderline"/>
        </w:rPr>
        <w:t>fact is that in the West, when a consensual, democratic, encompassing order did finally slowly emerge in the nineteenth and early twentieth centuries, it was not a gift bestowed by capitalists. It was in fact a product of very long, concerted struggles on the part of workers, farmers, and peasants. In other words, it was brought forth by struggles from below. Guha and the Subalternists miss this entirely, because they insist that the rise of the liberal order was an achievement of capitalists. Because they misdescribe it in the West, they misdiagnose its failure in the East. In the East, they wrongly ascribe its failure to the shortcomings of the bourgeoisie. Now, if you want an accurate historical research project explaining the tenuousness of democratic institutions in the East and their veering towards authoritarianism, the answer does not have to do with the shortcomings of the bourgeoisie, but with the weakness of the labor movement and peasant organizations, and with the parties representing these classes. The weakness of these political forces in bringing some sort of discipline to the capitalist class is the answer the question subaltern studies poses. That question is: “Why are the political cultures in the Global South so different from the Global North?” This is where they ought to be looking: at the dynamics of popular organizations and the parties of popular organizations; not at some putative failure of the capitalist class, which in the East was no more oligarchic and authoritarian than it had been in the West.</w:t>
      </w:r>
    </w:p>
    <w:p w14:paraId="4D9BFF92" w14:textId="54DB5284" w:rsidR="0063629E" w:rsidRDefault="00866913" w:rsidP="0063629E">
      <w:pPr>
        <w:pStyle w:val="Heading4"/>
        <w:rPr>
          <w:rStyle w:val="StyleUnderline"/>
          <w:rFonts w:eastAsiaTheme="minorEastAsia" w:cstheme="minorBidi"/>
          <w:bCs/>
          <w:sz w:val="26"/>
          <w:u w:val="none"/>
        </w:rPr>
      </w:pPr>
      <w:r>
        <w:rPr>
          <w:rStyle w:val="StyleUnderline"/>
          <w:rFonts w:eastAsiaTheme="minorEastAsia" w:cstheme="minorBidi"/>
          <w:sz w:val="26"/>
          <w:u w:val="none"/>
        </w:rPr>
        <w:t xml:space="preserve">5. </w:t>
      </w:r>
      <w:r w:rsidR="0063629E">
        <w:rPr>
          <w:rStyle w:val="StyleUnderline"/>
          <w:rFonts w:eastAsiaTheme="minorEastAsia" w:cstheme="minorBidi"/>
          <w:sz w:val="26"/>
          <w:u w:val="none"/>
        </w:rPr>
        <w:t>Capitalism structures colonialism---ignoring this obscures true colonial structures</w:t>
      </w:r>
    </w:p>
    <w:p w14:paraId="36D24768" w14:textId="282257B3" w:rsidR="00D35050" w:rsidRPr="00D35050" w:rsidRDefault="00D35050" w:rsidP="00D35050">
      <w:pPr>
        <w:rPr>
          <w:rStyle w:val="Style13ptBold"/>
          <w:b w:val="0"/>
        </w:rPr>
      </w:pPr>
      <w:r>
        <w:rPr>
          <w:rStyle w:val="Style13ptBold"/>
        </w:rPr>
        <w:t xml:space="preserve">Chibber 13 </w:t>
      </w:r>
      <w:r>
        <w:rPr>
          <w:rStyle w:val="Style13ptBold"/>
          <w:b w:val="0"/>
        </w:rPr>
        <w:t>(</w:t>
      </w:r>
      <w:r w:rsidRPr="00D35050">
        <w:rPr>
          <w:rStyle w:val="Style13ptBold"/>
          <w:b w:val="0"/>
        </w:rPr>
        <w:t>Vivek Chibber</w:t>
      </w:r>
      <w:r>
        <w:rPr>
          <w:rStyle w:val="Style13ptBold"/>
          <w:b w:val="0"/>
        </w:rPr>
        <w:t xml:space="preserve">, “Postcolonial Theory and the Specter of Capital”, </w:t>
      </w:r>
      <w:r w:rsidR="002B48EC">
        <w:rPr>
          <w:rStyle w:val="Style13ptBold"/>
          <w:b w:val="0"/>
        </w:rPr>
        <w:t>pp. 12-14) TSB</w:t>
      </w:r>
    </w:p>
    <w:p w14:paraId="14090DB6" w14:textId="77777777" w:rsidR="0063629E" w:rsidRDefault="0063629E" w:rsidP="0063629E">
      <w:r w:rsidRPr="002B48EC">
        <w:rPr>
          <w:rStyle w:val="StyleUnderline"/>
        </w:rPr>
        <w:t>The putative derailment of capitals universalizing drive is very significant for postcolonial theory, and for the Subalternist project in particular.</w:t>
      </w:r>
      <w:r>
        <w:t xml:space="preserve"> </w:t>
      </w:r>
      <w:r w:rsidRPr="002B48EC">
        <w:rPr>
          <w:rStyle w:val="StyleUnderline"/>
        </w:rPr>
        <w:t>Socially, it signals that the deep political and cultural transformations that accompanied the rise of capitalism were not in the Easts cards—at least, not in any way that could fit into the standard liberal or Marxist framework</w:t>
      </w:r>
      <w:r>
        <w:t xml:space="preserve">. This is because the agent taken by the Subalternists as having ushered in these transformations—the emerging bourgeoisie—failed to demonstrate any such inclinations once it arrived on East­ ern shores. </w:t>
      </w:r>
      <w:r w:rsidRPr="002B48EC">
        <w:rPr>
          <w:rStyle w:val="StyleUnderline"/>
        </w:rPr>
        <w:t>From this sociological fact is derived a theoretical conclusion: if the social matrix and developmental arc of the modernizing Global South are not the same as those of early modern Europe</w:t>
      </w:r>
      <w:r>
        <w:t>, if their dominant political and cultural forms depart so radically from those of the modern West, then the theories imported from the West cannot be appropriate to the study o f Eastern settings. As a result, the East needs its own, sui generis theoretical categories.</w:t>
      </w:r>
    </w:p>
    <w:p w14:paraId="3A5FC134" w14:textId="77777777" w:rsidR="0063629E" w:rsidRDefault="0063629E" w:rsidP="0063629E">
      <w:r>
        <w:t>The Specificity ofColonial Modernity and the Dislodging ofEurocentrism</w:t>
      </w:r>
    </w:p>
    <w:p w14:paraId="0683C9AD" w14:textId="77777777" w:rsidR="0063629E" w:rsidRPr="002B48EC" w:rsidRDefault="0063629E" w:rsidP="0063629E">
      <w:pPr>
        <w:rPr>
          <w:rStyle w:val="StyleUnderline"/>
        </w:rPr>
      </w:pPr>
      <w:r w:rsidRPr="002B48EC">
        <w:rPr>
          <w:rStyle w:val="StyleUnderline"/>
        </w:rPr>
        <w:t>We move now to the implications of the argument from uniqueness. Theses 3 through 5 examine the consequences for political power and nationhood, while thesis 6 takes up the problem of Eurocentrism</w:t>
      </w:r>
    </w:p>
    <w:p w14:paraId="08DCA6E7" w14:textId="77777777" w:rsidR="0063629E" w:rsidRDefault="0063629E" w:rsidP="0063629E">
      <w:r>
        <w:t>• Thesis 3: Colonialism and the Pluralization o f Power</w:t>
      </w:r>
    </w:p>
    <w:p w14:paraId="07F9B9BD" w14:textId="77777777" w:rsidR="00D35050" w:rsidRPr="002B48EC" w:rsidRDefault="0063629E" w:rsidP="00D35050">
      <w:pPr>
        <w:rPr>
          <w:rStyle w:val="StyleUnderline"/>
        </w:rPr>
      </w:pPr>
      <w:r>
        <w:t xml:space="preserve">Since </w:t>
      </w:r>
      <w:r w:rsidRPr="002B48EC">
        <w:rPr>
          <w:rStyle w:val="StyleUnderline"/>
        </w:rPr>
        <w:t>colonial capitalism does not seek to overthrow the feudal landed classes, and instead merely accommodates them, it also backs away from eliminating the concomitant forms o f domination. Unlike what took place in Europe, where an ascendant bourgeoisie swept away antiquated power relations even as it set about displacing feudal rule, the bourgeoisie in colonial and postcolonial settings learned to live with them. Thus one finds coexistence and active repro­ duction o f classically bourgeois power relations—such as the wage relation with forms of subordination typically associated with precapitalist social formations. It follows that modernity in such a setting will not keep to the same path as in Europe, with the same basic institutions, their verisimilitude increasing with time. Instead it will be an altogether different kind of modernity, one in which</w:t>
      </w:r>
      <w:r w:rsidR="00D35050" w:rsidRPr="002B48EC">
        <w:rPr>
          <w:rStyle w:val="StyleUnderline"/>
        </w:rPr>
        <w:t xml:space="preserve"> argues that the turn to modernization came about because national elites had internalized Western discourse, but I will show this argument to be entirely mistaken</w:t>
      </w:r>
      <w:r w:rsidR="00D35050">
        <w:t xml:space="preserve">. </w:t>
      </w:r>
      <w:r w:rsidR="00D35050" w:rsidRPr="002B48EC">
        <w:rPr>
          <w:rStyle w:val="Emphasis"/>
        </w:rPr>
        <w:t xml:space="preserve">Nationalist elites promoted modernization not because they were the </w:t>
      </w:r>
      <w:proofErr w:type="gramStart"/>
      <w:r w:rsidR="00D35050" w:rsidRPr="002B48EC">
        <w:rPr>
          <w:rStyle w:val="Emphasis"/>
        </w:rPr>
        <w:t>victims</w:t>
      </w:r>
      <w:proofErr w:type="gramEnd"/>
      <w:r w:rsidR="00D35050" w:rsidRPr="002B48EC">
        <w:rPr>
          <w:rStyle w:val="Emphasis"/>
        </w:rPr>
        <w:t xml:space="preserve"> o f indoctrination but because o f the pressures o f governing in a capital­ ist world economy</w:t>
      </w:r>
      <w:r w:rsidR="00D35050">
        <w:t xml:space="preserve">. </w:t>
      </w:r>
      <w:r w:rsidR="00D35050" w:rsidRPr="002B48EC">
        <w:rPr>
          <w:rStyle w:val="StyleUnderline"/>
        </w:rPr>
        <w:t>What Chatterjee presents as an effect of discourse was in fact a recognition of real, material pressures from global capitalism. This is an example ofhow Subalternist theorists simply whisk capitalism out ofthe picture, even where it played a central role.</w:t>
      </w:r>
    </w:p>
    <w:p w14:paraId="2E5B738B" w14:textId="1257367E" w:rsidR="0063629E" w:rsidRDefault="00D35050" w:rsidP="00D35050">
      <w:pPr>
        <w:rPr>
          <w:rStyle w:val="StyleUnderline"/>
        </w:rPr>
      </w:pPr>
      <w:r w:rsidRPr="002B48EC">
        <w:rPr>
          <w:rStyle w:val="StyleUnderline"/>
        </w:rPr>
        <w:t>It is not that members of the collective pretend capitalism is irrelevant or has no material reality. Indeed, they invoke it constantly.</w:t>
      </w:r>
      <w:r>
        <w:t xml:space="preserve"> </w:t>
      </w:r>
      <w:r w:rsidRPr="002B48EC">
        <w:rPr>
          <w:rStyle w:val="Emphasis"/>
        </w:rPr>
        <w:t>They agree that any viable theory of the modern must take into account its connection to capital­ ism. The problem is that even while recognizing its importance, they obscure its dynamics—in some instances by endowing it with properties it does not have, in others by denying it powers it does indeed have, and in a few cases, such as Chatterjees, by “disappearing” it altogether. The result is most curious: while claiming to theorize capitalisms global adventure, they separate the concept from its referent</w:t>
      </w:r>
      <w:r>
        <w:t xml:space="preserve">. It is shorn of any properties we might justifiably associate with it. Hence, far from illumining the peculiar trajectory of development in the East, Subalternist theorists shroud it in further mystery. </w:t>
      </w:r>
      <w:r w:rsidRPr="002B48EC">
        <w:rPr>
          <w:rStyle w:val="StyleUnderline"/>
        </w:rPr>
        <w:t>They raise central ques­ tions about such matters as the course of political development, the structure of power, social agency, and nationalism but fail time and again to answer them properly, for the connections between these phenomena and broader structural transformations are simply lost from view. In sum, Subalternist theorists do not answer the very question they raise—namely, how the entry of capitalism into the colonial world affected the evolution of its cultural and political institutions.</w:t>
      </w:r>
    </w:p>
    <w:p w14:paraId="73DBAEC8" w14:textId="77777777" w:rsidR="00B75870" w:rsidRPr="002B48EC" w:rsidRDefault="00B75870" w:rsidP="00D35050">
      <w:pPr>
        <w:rPr>
          <w:rStyle w:val="StyleUnderline"/>
        </w:rPr>
      </w:pPr>
    </w:p>
    <w:p w14:paraId="2979526A" w14:textId="77777777" w:rsidR="0063629E" w:rsidRPr="0063629E" w:rsidRDefault="0063629E" w:rsidP="0063629E"/>
    <w:p w14:paraId="082D49BC" w14:textId="5BE42DDA" w:rsidR="00D628A2" w:rsidRDefault="00D628A2" w:rsidP="00D628A2">
      <w:pPr>
        <w:pStyle w:val="Heading3"/>
        <w:rPr>
          <w:rStyle w:val="StyleUnderline"/>
          <w:sz w:val="32"/>
        </w:rPr>
      </w:pPr>
      <w:r>
        <w:rPr>
          <w:rStyle w:val="StyleUnderline"/>
          <w:sz w:val="32"/>
        </w:rPr>
        <w:t>A2: Perm</w:t>
      </w:r>
    </w:p>
    <w:p w14:paraId="4C7266F2" w14:textId="7CF97707" w:rsidR="00D628A2" w:rsidRDefault="00866913" w:rsidP="00D628A2">
      <w:pPr>
        <w:pStyle w:val="Heading4"/>
      </w:pPr>
      <w:r>
        <w:t xml:space="preserve">1. </w:t>
      </w:r>
      <w:r w:rsidR="00D628A2">
        <w:t xml:space="preserve">No need for a perm—Marxist methodology </w:t>
      </w:r>
      <w:r w:rsidR="00D628A2">
        <w:rPr>
          <w:u w:val="single"/>
        </w:rPr>
        <w:t xml:space="preserve">assumes </w:t>
      </w:r>
      <w:r w:rsidR="00D628A2">
        <w:t xml:space="preserve">colonial theory </w:t>
      </w:r>
    </w:p>
    <w:p w14:paraId="7D1D1A88" w14:textId="666425D8" w:rsidR="00D628A2" w:rsidRPr="00D628A2" w:rsidRDefault="00D628A2" w:rsidP="00D628A2">
      <w:pPr>
        <w:rPr>
          <w:rStyle w:val="Style13ptBold"/>
          <w:b w:val="0"/>
        </w:rPr>
      </w:pPr>
      <w:r>
        <w:rPr>
          <w:rStyle w:val="Style13ptBold"/>
        </w:rPr>
        <w:t xml:space="preserve">Sinha &amp; Varma 15 </w:t>
      </w:r>
      <w:r>
        <w:rPr>
          <w:rStyle w:val="Style13ptBold"/>
          <w:b w:val="0"/>
        </w:rPr>
        <w:t>(</w:t>
      </w:r>
      <w:r w:rsidRPr="00D628A2">
        <w:rPr>
          <w:rStyle w:val="Style13ptBold"/>
          <w:b w:val="0"/>
        </w:rPr>
        <w:t>Subir Sinha, School of Oriental and African Studie</w:t>
      </w:r>
      <w:r>
        <w:rPr>
          <w:rStyle w:val="Style13ptBold"/>
          <w:b w:val="0"/>
        </w:rPr>
        <w:t xml:space="preserve">s, </w:t>
      </w:r>
      <w:r w:rsidRPr="00D628A2">
        <w:rPr>
          <w:rStyle w:val="Style13ptBold"/>
          <w:b w:val="0"/>
        </w:rPr>
        <w:t>University of London, UK</w:t>
      </w:r>
      <w:r>
        <w:rPr>
          <w:rStyle w:val="Style13ptBold"/>
          <w:b w:val="0"/>
        </w:rPr>
        <w:t xml:space="preserve">, Rashia Varma, </w:t>
      </w:r>
      <w:r w:rsidRPr="00D628A2">
        <w:rPr>
          <w:rStyle w:val="Style13ptBold"/>
          <w:b w:val="0"/>
        </w:rPr>
        <w:t>University of Warwick, UK</w:t>
      </w:r>
      <w:r>
        <w:rPr>
          <w:rStyle w:val="Style13ptBold"/>
          <w:b w:val="0"/>
        </w:rPr>
        <w:t>, “</w:t>
      </w:r>
      <w:r w:rsidRPr="00D628A2">
        <w:rPr>
          <w:rStyle w:val="Style13ptBold"/>
          <w:b w:val="0"/>
        </w:rPr>
        <w:t>Marxism and Postcolonial Theory: What’s Left of the Debate?</w:t>
      </w:r>
      <w:r>
        <w:rPr>
          <w:rStyle w:val="Style13ptBold"/>
          <w:b w:val="0"/>
        </w:rPr>
        <w:t>”) TSB</w:t>
      </w:r>
    </w:p>
    <w:p w14:paraId="0632226C" w14:textId="5377F3C0" w:rsidR="00D628A2" w:rsidRPr="00D628A2" w:rsidRDefault="00D628A2" w:rsidP="00D628A2">
      <w:r>
        <w:t xml:space="preserve">Given these quite different responses to postcolonial theory, </w:t>
      </w:r>
      <w:r w:rsidRPr="00D628A2">
        <w:rPr>
          <w:rStyle w:val="StyleUnderline"/>
        </w:rPr>
        <w:t>it becomes difficult to pose some singular ‘Marxism’ against an equally singular ‘postcolonial theory’. Rather, one can ask what forms of Marxism and of postcolonial theory find productive engagement with each other, and in which cases can one declare that the twain shall never meet. This is not surprising for bodies of work that are varied in their thematic and geographical concerns, and vast in sheer volume. Inevitably, Marxists make choices of the theme, period, theory and area focus of some selection of that oeuvre when they position themselves as ‘Marxist’, and this has consequences for their stand on postcolonial theory. Likewise, postcolonial theorists face and constantly make similar choices between different methods and indeed even ideological positions</w:t>
      </w:r>
      <w:r>
        <w:t xml:space="preserve">. How Marxists and postcolonialists regard each other, then, is further a function of what sources they draw on to establish their positions. Does one go with early or late Marx, the mechanistic or the Romantic Marx, or indeed the canonical or the ‘Other’ Marx? Is one more partial to world systemic derivations from Marx, or to ‘political’ Marxism? Does one, conversely, follow the postcolonial theory that is inextricable from postmodern and poststructuralist formulations, or one that hitches itself to revolutionary anti-colonial thought? </w:t>
      </w:r>
      <w:r w:rsidRPr="00D628A2">
        <w:rPr>
          <w:rStyle w:val="Emphasis"/>
        </w:rPr>
        <w:t>Does one concede that modernity arose in ‘Europe’ or ‘the West’, thereby 6 underscoring the stability of these terms, or does one see modernity emerging as a single but uneven system?</w:t>
      </w:r>
      <w:r>
        <w:t xml:space="preserve"> Do we take Quijano’s (2000) route that pairs modernity with coloniality, or explore further the co-production of modernity in the colonial encounter as Dussel (1995) suggests? </w:t>
      </w:r>
      <w:r w:rsidRPr="00D628A2">
        <w:rPr>
          <w:rStyle w:val="StyleUnderline"/>
        </w:rPr>
        <w:t>Does one take the ‘normal’ understanding of capitalism as something that arrives as a result exclusively of the internal history of ‘Europe’, or as does it arise in the earlier moment of colonization? In the heat of the polemics, these differences within Marxism and postcolonial theory, which exist prior to the differences between them, are</w:t>
      </w:r>
      <w:r>
        <w:t xml:space="preserve"> dissolved. </w:t>
      </w:r>
      <w:r w:rsidRPr="00D628A2">
        <w:rPr>
          <w:rStyle w:val="Emphasis"/>
        </w:rPr>
        <w:t>One major aspect of the dissension between Marxism and postcolonial theory has been the arraying of the economic realm (seen as the ground of Marxism) against that of the literary and the cultural (seen as the favoured arena of poststructuralist analysis) (Mezzadra 2011, Brennan 2014). In this the priority of the literary—textual, discursive, epistemological—has been seen to signal a political failu</w:t>
      </w:r>
      <w:r>
        <w:t xml:space="preserve">re. Chibber’s book (2013) is a good example of recent work that displays a deep suspicion </w:t>
      </w:r>
      <w:r w:rsidRPr="00D628A2">
        <w:rPr>
          <w:rStyle w:val="StyleUnderline"/>
        </w:rPr>
        <w:t>of “the literary and cultural front” that Brennan (2014) sees as a “blindspot of an otherwise admirable polemic” (74). Instead, Brennan argues that in fact “materialist theories of culture are among the core insights of twentieth-century Marxism” (81). Such a dismissal of the literary and the cultural, as found in Chibber and others, relies on the traditional idea of Marxism as a theoretical apparatus mainly concerned with political economy (approaching the literary and the cultural precisely as “fronts”),</w:t>
      </w:r>
      <w:r>
        <w:t xml:space="preserve"> which postcolonial theory has simply elided to its detriment.4 But there is an important distinction to be made between the somewhat rough understanding of the cultural and the literary sphere that some Marxist work suggests versus the position of critics like Tim Brennan, Neil Larsen, Benita Parry, and Lazarus whose work untangles cultural and literary analysis from the stranglehold of the excesses of poststructuralism and the post-Nietzschean turn in continental theory. </w:t>
      </w:r>
      <w:r w:rsidRPr="00456987">
        <w:rPr>
          <w:rStyle w:val="StyleUnderline"/>
        </w:rPr>
        <w:t>Their work variously draws upon the traditions of Marxist literary and cultural criticism of Raymond Williams, Theodor Adorno, Antonio Gramsci, Leon Trotsky, as well as that of Marx himself (Larsen 2001, Schwarz 2001, Parry 2004 and 2009, Lazarus 2011a). But perhaps some Marxists’ failure to engage directly with the critical work Marxists working in Literature departments have already produced, has more to do with the fact that the literary and the cultural remain sites that are outside the horizon of their critique. But herein lies a dangerous slippage—in critiquing the cultural turn, there is the possibility of throwing out culture altogether as a site of radical transformation and revolutionary potentia</w:t>
      </w:r>
      <w:r>
        <w:t xml:space="preserve">l. Here, we think, </w:t>
      </w:r>
      <w:r w:rsidRPr="00456987">
        <w:rPr>
          <w:rStyle w:val="StyleUnderline"/>
        </w:rPr>
        <w:t xml:space="preserve">it would be important to foreground the disciplinary differences in the ways in which the often hostile encounter between postcolonial theory and Marxism is experienced and staged. </w:t>
      </w:r>
      <w:r>
        <w:t xml:space="preserve">For critics like Brennan, Larsen, Lazarus, Ahmad and Parry (and Varma as one of the co-editors of this volume), all of whom operate from within the fields of comparative literary studies and cultural studies, the roughshod way in which postcolonial theory threatened to eclipse materialist analysis was felt in an immediate and visceral sense, as it has been in those disciplines that poststructuralist tendencies first struck root and became hegemonic. </w:t>
      </w:r>
      <w:r w:rsidRPr="00456987">
        <w:rPr>
          <w:rStyle w:val="StyleUnderline"/>
        </w:rPr>
        <w:t xml:space="preserve">The advance of post-structuralism was most decisively registered in those fields, eclipsing the materialist anti-colonial tradition of figures like Fanon, Cabral, James. As Brennan (2014) writes: “As the laboratories of theory, literature departments found 4This is a fairly common criticism of postcolonial theory, and Chibber is by no means alone in his position (Brennan (2005), Pendakis and Szeman (2014)). themselves in the vanguard” </w:t>
      </w:r>
      <w:r>
        <w:t>(69). And yet, those critics continued to produce work from within the field of postcolonial studies as Marxists, pointing to the fact that the reign of poststructuralism and the resultant disdain for Marxist analysis was never without its dissenters, some of whom continue to be read widely and were seen as important interlocutors, along with Marxist allies like Fredric Jameson and Roberto Schwarz.</w:t>
      </w:r>
    </w:p>
    <w:p w14:paraId="4F1CA672" w14:textId="192A51C9" w:rsidR="002A12C9" w:rsidRDefault="002A12C9" w:rsidP="002A12C9">
      <w:pPr>
        <w:pStyle w:val="Heading1"/>
      </w:pPr>
      <w:r>
        <w:t>OTHER/MISC/TO INTEGRATE</w:t>
      </w:r>
    </w:p>
    <w:p w14:paraId="3F9E78F7" w14:textId="77777777" w:rsidR="002A12C9" w:rsidRDefault="002A12C9" w:rsidP="00FA6138">
      <w:pPr>
        <w:pStyle w:val="Heading2"/>
      </w:pPr>
      <w:r>
        <w:t>Case Defense</w:t>
      </w:r>
    </w:p>
    <w:p w14:paraId="3D9367C8" w14:textId="77777777" w:rsidR="002A12C9" w:rsidRPr="00B616F6" w:rsidRDefault="002A12C9" w:rsidP="002A12C9"/>
    <w:p w14:paraId="5B014B81" w14:textId="77777777" w:rsidR="002A12C9" w:rsidRDefault="002A12C9" w:rsidP="002A12C9">
      <w:pPr>
        <w:pStyle w:val="Heading3"/>
      </w:pPr>
      <w:r>
        <w:t>Defense of Univeralism</w:t>
      </w:r>
    </w:p>
    <w:p w14:paraId="5BBA8AA0" w14:textId="77777777" w:rsidR="002A12C9" w:rsidRDefault="002A12C9" w:rsidP="002A12C9">
      <w:pPr>
        <w:pStyle w:val="Heading4"/>
      </w:pPr>
      <w:r>
        <w:t>1. Universalism is valuable for science education—does not indicate a colonizing of education</w:t>
      </w:r>
    </w:p>
    <w:p w14:paraId="1E64F225" w14:textId="77777777" w:rsidR="002A12C9" w:rsidRDefault="002A12C9" w:rsidP="002A12C9">
      <w:pPr>
        <w:rPr>
          <w:rStyle w:val="Style13ptBold"/>
          <w:b w:val="0"/>
          <w:sz w:val="22"/>
        </w:rPr>
      </w:pPr>
      <w:r>
        <w:rPr>
          <w:rStyle w:val="Style13ptBold"/>
        </w:rPr>
        <w:t>Siegel 01 (</w:t>
      </w:r>
      <w:r w:rsidRPr="00A7109F">
        <w:rPr>
          <w:rStyle w:val="Style13ptBold"/>
          <w:b w:val="0"/>
          <w:sz w:val="22"/>
        </w:rPr>
        <w:t>Harvey Siegel, Department of Philosophy, University of Miami, Coral Gables,</w:t>
      </w:r>
    </w:p>
    <w:p w14:paraId="21AA3D00" w14:textId="77777777" w:rsidR="002A12C9" w:rsidRPr="00113684" w:rsidRDefault="002A12C9" w:rsidP="002A12C9">
      <w:pPr>
        <w:rPr>
          <w:rStyle w:val="Style13ptBold"/>
          <w:b w:val="0"/>
          <w:sz w:val="22"/>
        </w:rPr>
      </w:pPr>
      <w:r>
        <w:rPr>
          <w:rStyle w:val="Style13ptBold"/>
          <w:b w:val="0"/>
          <w:sz w:val="22"/>
        </w:rPr>
        <w:t>WMS=western material science, “</w:t>
      </w:r>
      <w:r w:rsidRPr="00113684">
        <w:rPr>
          <w:rStyle w:val="Style13ptBold"/>
          <w:b w:val="0"/>
          <w:sz w:val="22"/>
        </w:rPr>
        <w:t>Multiculturalism, Universalism, and Science Education: In Search of Common Ground</w:t>
      </w:r>
      <w:r>
        <w:rPr>
          <w:rStyle w:val="Style13ptBold"/>
          <w:b w:val="0"/>
          <w:sz w:val="22"/>
        </w:rPr>
        <w:t>”, Culture and Comparative Studies,</w:t>
      </w:r>
      <w:r w:rsidRPr="00113684">
        <w:t xml:space="preserve"> </w:t>
      </w:r>
      <w:hyperlink r:id="rId22" w:history="1">
        <w:r w:rsidRPr="00A02494">
          <w:rPr>
            <w:rStyle w:val="Hyperlink"/>
          </w:rPr>
          <w:t>http://onlinelibrary.wiley.com/store/10.1002/sce.1052/asset/1052_ftp.pdf?v=1&amp;t=j5ekxu5m&amp;s=fc3acb08137a84e0bb919b833a4b89efc0f05aac</w:t>
        </w:r>
      </w:hyperlink>
      <w:r>
        <w:rPr>
          <w:rStyle w:val="Style13ptBold"/>
          <w:b w:val="0"/>
          <w:sz w:val="22"/>
        </w:rPr>
        <w:t xml:space="preserve">) TSB </w:t>
      </w:r>
    </w:p>
    <w:p w14:paraId="1AF2EE63" w14:textId="77777777" w:rsidR="002A12C9" w:rsidRPr="00113684" w:rsidRDefault="002A12C9" w:rsidP="002A12C9">
      <w:pPr>
        <w:rPr>
          <w:rStyle w:val="Style13ptBold"/>
          <w:b w:val="0"/>
          <w:sz w:val="22"/>
        </w:rPr>
      </w:pPr>
      <w:r w:rsidRPr="00113684">
        <w:rPr>
          <w:rStyle w:val="StyleUnderline"/>
        </w:rPr>
        <w:t>The Natural World is Knowable.</w:t>
      </w:r>
      <w:r w:rsidRPr="00113684">
        <w:rPr>
          <w:rStyle w:val="Style13ptBold"/>
          <w:b w:val="0"/>
          <w:sz w:val="22"/>
        </w:rPr>
        <w:t xml:space="preserve"> </w:t>
      </w:r>
      <w:proofErr w:type="gramStart"/>
      <w:r w:rsidRPr="00113684">
        <w:rPr>
          <w:rStyle w:val="Style13ptBold"/>
          <w:b w:val="0"/>
          <w:sz w:val="22"/>
        </w:rPr>
        <w:t>Asnotedabove,</w:t>
      </w:r>
      <w:r w:rsidRPr="00113684">
        <w:rPr>
          <w:rStyle w:val="StyleUnderline"/>
        </w:rPr>
        <w:t>universalistsprizenotanyoldknowl</w:t>
      </w:r>
      <w:proofErr w:type="gramEnd"/>
      <w:r w:rsidRPr="00113684">
        <w:rPr>
          <w:rStyle w:val="StyleUnderline"/>
        </w:rPr>
        <w:t xml:space="preserve">- edge of the natural world, but knowledge which is (a) characterized in the form of theories which are (b) testable, (c) genuinely predictive (especially of novelty), (d) revealing of underlying unobservable entities and the relations and causal mechanisms (and/or stochas- tic regularities) in which they are involved, and is in their terms (e) genuinely and deeply explanatory. The production of such knowledge is the ultimate aim of scientific inquiry. It is difficult, but not impossible, to achieve. (There is no algorithm which guarantees its achievement; that requires hard work, creative insight, and often quite a bit of luck.) It is sometimes suggested that conceiving of scientific knowledge in this way—and thus, in effect, demeaning as second rate “mere” observational knowledge—“not only dimin- ishes the legitimacy of knowledge derived through generations of naturalistic observation and insight, it simultaneously devalues those cultures which traditionally rely heavily on naturalistic observation and insight” (Kawagley, Norris-Tull, &amp; Norris-Tull, 1998, p. 134, cited in Coburn &amp; Loving, 2001, p. 52). </w:t>
      </w:r>
      <w:r w:rsidRPr="00113684">
        <w:rPr>
          <w:rStyle w:val="Emphasis"/>
        </w:rPr>
        <w:t xml:space="preserve">This criticism is unfair, I think, because there is no question that observation is essential to (and has been thoroughly explored and problema- tized in the last few decades by philosophers of science in the development </w:t>
      </w:r>
      <w:proofErr w:type="gramStart"/>
      <w:r w:rsidRPr="00113684">
        <w:rPr>
          <w:rStyle w:val="Emphasis"/>
        </w:rPr>
        <w:t>of )</w:t>
      </w:r>
      <w:proofErr w:type="gramEnd"/>
      <w:r w:rsidRPr="00113684">
        <w:rPr>
          <w:rStyle w:val="Emphasis"/>
        </w:rPr>
        <w:t xml:space="preserve"> universalist conceptions of science</w:t>
      </w:r>
      <w:r w:rsidRPr="00113684">
        <w:rPr>
          <w:rStyle w:val="StyleUnderline"/>
        </w:rPr>
        <w:t>.</w:t>
      </w:r>
      <w:r w:rsidRPr="00113684">
        <w:rPr>
          <w:rStyle w:val="Style13ptBold"/>
          <w:b w:val="0"/>
          <w:sz w:val="22"/>
        </w:rPr>
        <w:t xml:space="preserve"> There is, nevertheless, a large grain of truth in the complaint: it cannot be denied that the sort of knowledge prized by WMS goes beyond the observational, in that it seeks (as the criteria just mentioned indicate) theories which are testable, and which predict and explain naturalistic observations. </w:t>
      </w:r>
      <w:r w:rsidRPr="00113684">
        <w:rPr>
          <w:rStyle w:val="StyleUnderline"/>
        </w:rPr>
        <w:t>Do these criteria then diminish the legitimacy of naturalistic observational knowledge? I think not. Rather, they make plain that, for WMS, scientific knowledge is not limited strictly to the observational or descriptive, and that the most impressive and prized sort of scientific knowledge is that provided by theories which predict and (especially) explain such observations. Do these criteria devalue cultures which traditionally rely upon naturalistic observation? Again, I think not</w:t>
      </w:r>
      <w:r w:rsidRPr="00113684">
        <w:rPr>
          <w:rStyle w:val="Style13ptBold"/>
          <w:b w:val="0"/>
          <w:sz w:val="22"/>
        </w:rPr>
        <w:t xml:space="preserve">. Rather, </w:t>
      </w:r>
      <w:r w:rsidRPr="00113684">
        <w:rPr>
          <w:rStyle w:val="StyleUnderline"/>
        </w:rPr>
        <w:t xml:space="preserve">they make plain that, however valuable such cultures are, their naturalistic observations and insights do not provide the predictive and explanatory power sought and prized by WMS. </w:t>
      </w:r>
      <w:r w:rsidRPr="00113684">
        <w:rPr>
          <w:rStyle w:val="Emphasis"/>
        </w:rPr>
        <w:t>To say that a given culture’s science does not so provide is not to devalue that culture, any more than to say that Western science does not provide spiritual or animistic accounts of nature is to devalue the associated cultures of the West.</w:t>
      </w:r>
      <w:r w:rsidRPr="00113684">
        <w:rPr>
          <w:rStyle w:val="StyleUnderline"/>
        </w:rPr>
        <w:t xml:space="preserve"> I</w:t>
      </w:r>
      <w:r w:rsidRPr="00113684">
        <w:rPr>
          <w:rStyle w:val="Style13ptBold"/>
          <w:b w:val="0"/>
          <w:sz w:val="22"/>
        </w:rPr>
        <w:t xml:space="preserve">t is true that culturally-specific approaches to the understanding of the natural world which consist mainly of naturalistic observation differ significantly from approaches which go beyond such observation in a quest for predictive and explanatory power. This </w:t>
      </w:r>
      <w:r w:rsidRPr="00113684">
        <w:rPr>
          <w:rStyle w:val="Emphasis"/>
        </w:rPr>
        <w:t>is a truth which demeans or devalues no culture. Rather, it is a truth that is crucial for multicultural science education to convey.</w:t>
      </w:r>
      <w:r w:rsidRPr="00113684">
        <w:rPr>
          <w:rStyle w:val="Style13ptBold"/>
          <w:b w:val="0"/>
          <w:sz w:val="22"/>
        </w:rPr>
        <w:t xml:space="preserve"> (For further discussion of the allegedly hegemonic or devaluational character of the criteria of WMS, see Siegel, 2001.) This last point—that culturally-specific, “local” understandings of nature which rest content with naturalistic observation and eschew the further step of constructing testable, predictive, and explanatory theories concerning such observation, are, insofar, less adequate as scientific understandings than those of WMS—leads inevitably to the next. WMS is Scientifically Superior to ‘‘Ethnic Science.” </w:t>
      </w:r>
      <w:r w:rsidRPr="00113684">
        <w:rPr>
          <w:rStyle w:val="StyleUnderline"/>
        </w:rPr>
        <w:t>Universalists can and should happily acknowledge the many successes that “ethnic sciences” have enjoyed. Neverthe- less, they also hold that in terms of criteria (a)–(e) just listed, WMS is superior to them in the sense that it has produced a deeper understanding of the natural world, in terms of its production of testable, predictive, and explanatory theories concerning the underlying causal mechanisms and stochastic regularities which account for the features of the world we observe. Universalists need not, and should not, deny that many instances of IK, TEK, and “local,” “ethnic sciences” are correct, useful, or important. On the contrary, the various cultural traditions in which such knowledge resides are important repositories of obser- vations, inferences, perspectives, and practices concerning various aspects of nature and their interrelationships. Especially impressive are the many examples of local ecological knowledge detailed by Snively and Corsiglia. As they argue, these local traditions often have “their own systems of managing resources” (Snively and Corsiglia, 2001, p. 17), many of which at least have been and continue to be highly successful. However, TEK and IK are not only apparently limited to matters ecological and environmental (Snively &amp; Corsiglia, 2001, p. 17); they are also not particularly concerned with the predictions, explanations or experimentation, the construction of theories, or the discovery of underlying causal mecha- nisms, characteristic of WMS. Consequently, they fail to satisfy the criteria of good science to which WMS aspires (and which it sometimes spectacularly meets</w:t>
      </w:r>
      <w:r w:rsidRPr="00113684">
        <w:rPr>
          <w:rStyle w:val="Emphasis"/>
        </w:rPr>
        <w:t>). To say that WMS is superior to local alternatives to it in the ways just mentioned is not to say that it is superior in any other sense</w:t>
      </w:r>
      <w:r w:rsidRPr="00113684">
        <w:rPr>
          <w:rStyle w:val="Style13ptBold"/>
          <w:b w:val="0"/>
          <w:sz w:val="22"/>
        </w:rPr>
        <w:t xml:space="preserve">. Moreover, it is obviously far from perfect. It does not tell people how they should live; it does not always provide useful advice concerning practical problems, including crucially important ones concerning, e.g., managing precious resources (here the many examples offered by Snively and Corsiglia are telling); it is un- fortunately subject to all manner of political and economic abuse; it manifestly does not resolve fundamental questions of value. The prospect of combining WMS and local, ethnic alternatives in order to produce a more rounded and complete understanding of the natural world and the cultures which produce it, as described and defended by Snively and Corsiglia, is a tantalizing and immensely promising one which universalists should welcome. Still, </w:t>
      </w:r>
      <w:r w:rsidRPr="00113684">
        <w:rPr>
          <w:rStyle w:val="StyleUnderline"/>
        </w:rPr>
        <w:t>if we want to teach students in science classes (a) the deepest available under- standing of the natural world, in terms of testable and confirmed theories which enjoy both explanatory and predictive power, (b) an appreciation of the power and limitations of the methods which scientists have utilized in order to yield that understanding, and continue to utilize in an effort to improve it, and (c) an appreciation of the character and limitations (especially the tentativeness and fallibility) of all such theorizing and understanding, and the cultural and other circumstances in which it is embedded and by which it is influenced— aims of science education which I hope both universalists and localists endorse—</w:t>
      </w:r>
      <w:r w:rsidRPr="00113684">
        <w:rPr>
          <w:rStyle w:val="Emphasis"/>
        </w:rPr>
        <w:t>we have no realistic alternative to the privileging of WMS in the science curriculum</w:t>
      </w:r>
      <w:r w:rsidRPr="00113684">
        <w:rPr>
          <w:rStyle w:val="StyleUnderline"/>
        </w:rPr>
        <w:t>.</w:t>
      </w:r>
      <w:r w:rsidRPr="00113684">
        <w:rPr>
          <w:rStyle w:val="Style13ptBold"/>
          <w:b w:val="0"/>
          <w:sz w:val="22"/>
        </w:rPr>
        <w:t xml:space="preserve"> This does not mean that we should not in the science classroom discuss other, “local” or “ethnic” alterna- tive approaches to or understandings of the natural world, or that we should shy away from considering challenges to WMS made from the perspective of those alternative approaches. But it does mean that we should endeavor to make clear to science students the features of WMS which enable it to achieve the limited sort of superiority just noted.2 It seems to me that Stanley and Brickhouse are free to embrace these tenets of universal- ism. They clearly endorse the first. As far as I can see they are free to embrace the second. I hope they are able to accept the third, especially in light of the fact that all such knowledge is inevitably “located.” And, in light of the restricted and limited way in which universalists are committed to the superiority of WMS, I hope they can embrace the fourth as well. If so, despite appearances to the contrary, there is actually considerable agreement between Stanley and Brickhouse and their universalist opponents, at least concerning epistemic universalism and its place in science education. I believe that Stanley and Brickhouse’s rejection of such universalism stems mainly from their (mis)characterization of that view; the version of it they reject is rejected by universalists—at least by this one—as firmly as Stanley and Brickhouse reject it themselves. </w:t>
      </w:r>
      <w:r w:rsidRPr="00855729">
        <w:rPr>
          <w:rStyle w:val="StyleUnderline"/>
        </w:rPr>
        <w:t>The features of universalism which I and other universalists endorse, on the other hand, are largely endorsed, or at least endorsable, by Stanley and Brickhouse and their fellow localists. There is more common ground here than is commonly recognized by the participants in this debate</w:t>
      </w:r>
      <w:r w:rsidRPr="00113684">
        <w:rPr>
          <w:rStyle w:val="Style13ptBold"/>
          <w:b w:val="0"/>
          <w:sz w:val="22"/>
        </w:rPr>
        <w:t xml:space="preserve">. I turn next to disagreement concerning another sort of universalism: that, not of a univer- salist conception of science and scientific knowledge, but rather of a universalist conception of the multiculturalist imperative itself. </w:t>
      </w:r>
    </w:p>
    <w:p w14:paraId="74B00715" w14:textId="77777777" w:rsidR="002A12C9" w:rsidRDefault="002A12C9" w:rsidP="002A12C9">
      <w:pPr>
        <w:pStyle w:val="Heading3"/>
      </w:pPr>
      <w:r>
        <w:t xml:space="preserve">Defense of “Evidence Based Education” </w:t>
      </w:r>
    </w:p>
    <w:p w14:paraId="200C9689" w14:textId="77777777" w:rsidR="002A12C9" w:rsidRDefault="002A12C9" w:rsidP="002A12C9">
      <w:pPr>
        <w:pStyle w:val="Heading4"/>
      </w:pPr>
      <w:r>
        <w:t>1. Evidence based education can be valuable for students who are struggling</w:t>
      </w:r>
    </w:p>
    <w:p w14:paraId="1DF7BA72" w14:textId="77777777" w:rsidR="002A12C9" w:rsidRPr="00027A42" w:rsidRDefault="002A12C9" w:rsidP="002A12C9">
      <w:pPr>
        <w:rPr>
          <w:rStyle w:val="Style13ptBold"/>
          <w:b w:val="0"/>
        </w:rPr>
      </w:pPr>
      <w:r>
        <w:rPr>
          <w:rStyle w:val="Style13ptBold"/>
        </w:rPr>
        <w:t xml:space="preserve">Glossary of Education Reform 16 </w:t>
      </w:r>
      <w:r>
        <w:rPr>
          <w:rStyle w:val="Style13ptBold"/>
          <w:b w:val="0"/>
        </w:rPr>
        <w:t xml:space="preserve">(Glossary of Education Reform, Great Schools Partnership, May 5, 2016, </w:t>
      </w:r>
      <w:r w:rsidRPr="00027A42">
        <w:rPr>
          <w:rStyle w:val="Style13ptBold"/>
          <w:b w:val="0"/>
        </w:rPr>
        <w:t>http://edglossary.org/evidence-based/</w:t>
      </w:r>
      <w:r>
        <w:rPr>
          <w:rStyle w:val="Style13ptBold"/>
          <w:b w:val="0"/>
        </w:rPr>
        <w:t>)</w:t>
      </w:r>
    </w:p>
    <w:p w14:paraId="43B8757D" w14:textId="77777777" w:rsidR="002A12C9" w:rsidRPr="00027A42" w:rsidRDefault="002A12C9" w:rsidP="002A12C9">
      <w:pPr>
        <w:rPr>
          <w:sz w:val="16"/>
        </w:rPr>
      </w:pPr>
      <w:r w:rsidRPr="00027A42">
        <w:rPr>
          <w:rStyle w:val="StyleUnderline"/>
        </w:rPr>
        <w:t>If an educational strategy is evidence-based, data-based, or research-based, educators compile, analyze, and use objective evidence to inform the design an academic program or guide the modification of instructional techniques. For example, ninth-grade teachers in a high school may systematically review academic data on incoming freshman to determine which students may need some form of specialized assistance and which students may be at greater risk of dropping out or struggling academically. By looking at absenteeism, disciplinary infractions, and course-failure rates during middle school, teachers can identify students who are more likely to struggle in ninth grade, and they can then proactively prepare academic programs, services, and learning opportunities to reduce the likelihood that those students will fail or drop out.</w:t>
      </w:r>
      <w:r w:rsidRPr="00027A42">
        <w:rPr>
          <w:sz w:val="16"/>
        </w:rPr>
        <w:t xml:space="preserve"> In this case, educators are taking an evidence-based approach to instructing and supporting students in ninth grade. (This specific example is often called </w:t>
      </w:r>
      <w:r w:rsidRPr="00027A42">
        <w:rPr>
          <w:rStyle w:val="StyleUnderline"/>
        </w:rPr>
        <w:t>an “early warning system</w:t>
      </w:r>
      <w:r w:rsidRPr="00027A42">
        <w:rPr>
          <w:sz w:val="16"/>
        </w:rPr>
        <w:t>.”)</w:t>
      </w:r>
    </w:p>
    <w:p w14:paraId="16802098" w14:textId="77777777" w:rsidR="002A12C9" w:rsidRPr="00027A42" w:rsidRDefault="002A12C9" w:rsidP="002A12C9">
      <w:pPr>
        <w:rPr>
          <w:sz w:val="16"/>
        </w:rPr>
      </w:pPr>
      <w:r w:rsidRPr="00027A42">
        <w:rPr>
          <w:sz w:val="16"/>
        </w:rPr>
        <w:t>While research and “quantitative” numerical data are arguably the most common forms of evidence used in education and school reform, educators also use a wide variety of “qualitative” information to diagnose student-learning needs or improve academic programming, including discussions with students and parents, work products created by students and teachers, the results of surveys completed by students and school staff, or observations of teaching—</w:t>
      </w:r>
      <w:r w:rsidRPr="00027A42">
        <w:rPr>
          <w:rStyle w:val="Emphasis"/>
        </w:rPr>
        <w:t>among many other possible forms of evidence. In professional learning communities, for example, groups of teachers may meet regularly to discuss evidence such as research literature, lesson materials, or student-work samples as a way to improve their teaching skills or modify instructional techniques in ways that work better for certain students. Teachers in the group may also observe colleagues while they teach and then provide them with constructive feedback and advice</w:t>
      </w:r>
      <w:r w:rsidRPr="00027A42">
        <w:rPr>
          <w:sz w:val="16"/>
        </w:rPr>
        <w:t>. For a related discussion, see action research.</w:t>
      </w:r>
    </w:p>
    <w:p w14:paraId="4C6F1513" w14:textId="77777777" w:rsidR="002A12C9" w:rsidRPr="006B39FC" w:rsidRDefault="002A12C9" w:rsidP="002A12C9"/>
    <w:p w14:paraId="5C885A09" w14:textId="77777777" w:rsidR="002A12C9" w:rsidRDefault="002A12C9" w:rsidP="002A12C9">
      <w:pPr>
        <w:pStyle w:val="Heading4"/>
        <w:rPr>
          <w:rStyle w:val="StyleUnderline"/>
          <w:sz w:val="26"/>
          <w:u w:val="none"/>
        </w:rPr>
      </w:pPr>
      <w:r>
        <w:rPr>
          <w:rStyle w:val="StyleUnderline"/>
          <w:sz w:val="26"/>
          <w:u w:val="none"/>
        </w:rPr>
        <w:t>2. Standardized tests are pedagogically valuable—improve memory, cognitive skills, knowledge through clustering of similar items</w:t>
      </w:r>
    </w:p>
    <w:p w14:paraId="75F2E6D4" w14:textId="77777777" w:rsidR="002A12C9" w:rsidRPr="00972BCB" w:rsidRDefault="002A12C9" w:rsidP="002A12C9">
      <w:pPr>
        <w:rPr>
          <w:rStyle w:val="Style13ptBold"/>
          <w:b w:val="0"/>
        </w:rPr>
      </w:pPr>
      <w:r>
        <w:rPr>
          <w:rStyle w:val="Style13ptBold"/>
        </w:rPr>
        <w:t xml:space="preserve">Pashler &amp; Benjamin 15 </w:t>
      </w:r>
      <w:r>
        <w:rPr>
          <w:rStyle w:val="Style13ptBold"/>
          <w:b w:val="0"/>
        </w:rPr>
        <w:t>(</w:t>
      </w:r>
      <w:r w:rsidRPr="00972BCB">
        <w:rPr>
          <w:rStyle w:val="Style13ptBold"/>
          <w:b w:val="0"/>
        </w:rPr>
        <w:t>Aaron S. Benjamin, University of Illinois at Urbana–Champaig</w:t>
      </w:r>
      <w:r>
        <w:rPr>
          <w:rStyle w:val="Style13ptBold"/>
          <w:b w:val="0"/>
        </w:rPr>
        <w:t xml:space="preserve">n, Hal Pashler, </w:t>
      </w:r>
      <w:r w:rsidRPr="00972BCB">
        <w:rPr>
          <w:rStyle w:val="Style13ptBold"/>
          <w:b w:val="0"/>
        </w:rPr>
        <w:t>University of California, San Diego, USA</w:t>
      </w:r>
      <w:r>
        <w:rPr>
          <w:rStyle w:val="Style13ptBold"/>
          <w:b w:val="0"/>
        </w:rPr>
        <w:t>, “T</w:t>
      </w:r>
      <w:r w:rsidRPr="00972BCB">
        <w:rPr>
          <w:rStyle w:val="Style13ptBold"/>
          <w:b w:val="0"/>
        </w:rPr>
        <w:t>he Value of Standardized Testing:</w:t>
      </w:r>
      <w:r>
        <w:rPr>
          <w:rStyle w:val="Style13ptBold"/>
          <w:b w:val="0"/>
        </w:rPr>
        <w:t xml:space="preserve"> A</w:t>
      </w:r>
      <w:r w:rsidRPr="00972BCB">
        <w:rPr>
          <w:rStyle w:val="Style13ptBold"/>
          <w:b w:val="0"/>
        </w:rPr>
        <w:t xml:space="preserve"> Perspective From Cognitive Psychology</w:t>
      </w:r>
      <w:proofErr w:type="gramStart"/>
      <w:r>
        <w:rPr>
          <w:rStyle w:val="Style13ptBold"/>
          <w:b w:val="0"/>
        </w:rPr>
        <w:t xml:space="preserve">”,  </w:t>
      </w:r>
      <w:r w:rsidRPr="00972BCB">
        <w:rPr>
          <w:rStyle w:val="Style13ptBold"/>
          <w:b w:val="0"/>
        </w:rPr>
        <w:t>Policy</w:t>
      </w:r>
      <w:proofErr w:type="gramEnd"/>
      <w:r w:rsidRPr="00972BCB">
        <w:rPr>
          <w:rStyle w:val="Style13ptBold"/>
          <w:b w:val="0"/>
        </w:rPr>
        <w:t xml:space="preserve"> Insights from the Behavioral and Brain Sciences 2015, Vol. 2(1) 13–23</w:t>
      </w:r>
      <w:r>
        <w:rPr>
          <w:rStyle w:val="Style13ptBold"/>
          <w:b w:val="0"/>
        </w:rPr>
        <w:t>) // TSB</w:t>
      </w:r>
    </w:p>
    <w:p w14:paraId="028E51E0" w14:textId="77777777" w:rsidR="002A12C9" w:rsidRDefault="002A12C9" w:rsidP="002A12C9">
      <w:pPr>
        <w:rPr>
          <w:sz w:val="16"/>
        </w:rPr>
      </w:pPr>
      <w:r w:rsidRPr="00036A33">
        <w:rPr>
          <w:rStyle w:val="StyleUnderline"/>
        </w:rPr>
        <w:t xml:space="preserve">When we take a test </w:t>
      </w:r>
      <w:r w:rsidRPr="00420166">
        <w:rPr>
          <w:sz w:val="16"/>
        </w:rPr>
        <w:t>on which we are asked to retrieve and produce previously learned information</w:t>
      </w:r>
      <w:r w:rsidRPr="00036A33">
        <w:rPr>
          <w:rStyle w:val="StyleUnderline"/>
        </w:rPr>
        <w:t>, successfully recall- ing that information increases our ability to retrieve it again later.</w:t>
      </w:r>
      <w:r w:rsidRPr="00420166">
        <w:rPr>
          <w:sz w:val="16"/>
        </w:rPr>
        <w:t xml:space="preserve"> A good example of the advantages of testing is pro- vided by Roediger and Karpicke (2006; Experiment 2). In their experiment, subjects read text passages, and then were either given three opportunities to re-read the passage, two additional re-reading opportunities followed by a quiz in which they tried to recall as much as they could from the pas- sage, or three quizzes with no re-study opportunities. On a final test 1 week later, the latter group remembered the mate- rial best—despite having had only one opportunity to read the passage! </w:t>
      </w:r>
      <w:r w:rsidRPr="00036A33">
        <w:rPr>
          <w:rStyle w:val="StyleUnderline"/>
        </w:rPr>
        <w:t xml:space="preserve">Quizzing during a review phase has been shown to improve memory </w:t>
      </w:r>
      <w:r w:rsidRPr="00420166">
        <w:rPr>
          <w:sz w:val="16"/>
        </w:rPr>
        <w:t xml:space="preserve">for other types of materials as well, including foreign-language vocabulary (Carrier &amp; Pashler, 1992) and simple facts (McDaniel &amp; Fisher, 1991). </w:t>
      </w:r>
      <w:r w:rsidRPr="00036A33">
        <w:rPr>
          <w:rStyle w:val="StyleUnderline"/>
        </w:rPr>
        <w:t>Testing also increases the effectiveness of the way in which we choose to access and organize the tested informa- tion. For example, when studying a list of categorized mate- rials, quizzes increase both the number of categories that are reported on a final test and the number of items from each of those categories</w:t>
      </w:r>
      <w:r w:rsidRPr="00420166">
        <w:rPr>
          <w:sz w:val="16"/>
        </w:rPr>
        <w:t xml:space="preserve"> (Zaromb &amp; Roediger, 2010). These benefi- cial effects are probably due to the fact that testing promotes clustering of similar items during the test, a retrieval strategy that is very effective (Mulligan, 2005). Other research has found beneficial effects of testing for a variety of different testing formats. </w:t>
      </w:r>
      <w:r w:rsidRPr="00036A33">
        <w:rPr>
          <w:rStyle w:val="StyleUnderline"/>
        </w:rPr>
        <w:t>Taking either a short- answer or a multiple-choice practice quiz enhances memory on a later test, even when the later test is in a different format than the quiz. Th</w:t>
      </w:r>
      <w:r w:rsidRPr="00420166">
        <w:rPr>
          <w:sz w:val="16"/>
        </w:rPr>
        <w:t xml:space="preserve">e benefits are especially prominent if the quiz includes feedback (LaPorte &amp; Voss, 1975). However, it does appear overall that short-answer quizzes increase later retention to a greater degree than multiple-choice quizzes (cf. Glover, 1989; Kang, McDermott, &amp; Roediger, 2007). These results generalize to actual classroom settings. Students who take periodic tests on material remember that material better on later exams, and the enhancement is greater for short-answer than multiple-choice tests. This result has been shown in college students (McDaniel, Anderson, Derbish, &amp; Morrisette, 2007), sixth-grade stu- dents (Roediger, Agarwal, McDaniel, &amp; McDermott, 2011), and eighth-grade students in science (McDaniel, Agarwal, Huelser, McDermott, &amp; Roediger, 2011) and history (Carpenter, Pashler, &amp; Cepeda, 2009). It is evident for a wide range of materials, including biology (McDaniel et al., 2011), social studies (Roediger et al., 2011), general science (Roediger &amp; Karpicke, 2006), biographical materials (Gates, 1917), and spelling (Forlano, 1936). Are the benefits of testing simply a consequence of changes in motivation or desire to learn? Some authors have suggested that asking a question can enhance a learner’s curiosity to know the answer (Berlyne, 1966). </w:t>
      </w:r>
      <w:r w:rsidRPr="00036A33">
        <w:rPr>
          <w:rStyle w:val="StyleUnderline"/>
        </w:rPr>
        <w:t>The benefits of quizzing are roughly the same regardless of how much learners are paid for their correct responses (Kang &amp; Pashler, 2014). These results are inconsistent with the idea that motivation plays a major role in producing the benefits of testing. However, motivation does play a major role in how people direct their study and other more indirect ways in which the experience of taking tests can influence memory. T</w:t>
      </w:r>
      <w:r w:rsidRPr="00420166">
        <w:rPr>
          <w:sz w:val="16"/>
        </w:rPr>
        <w:t xml:space="preserve">hese are important points we will return to in greater detail later in this article. When taken together, these results help us understand why </w:t>
      </w:r>
      <w:r w:rsidRPr="00420166">
        <w:rPr>
          <w:rStyle w:val="StyleUnderline"/>
        </w:rPr>
        <w:t xml:space="preserve">students who take more tests in the classroom tend to perform better </w:t>
      </w:r>
      <w:r w:rsidRPr="00420166">
        <w:rPr>
          <w:sz w:val="16"/>
        </w:rPr>
        <w:t xml:space="preserve">on later exams (Bangert-Drowns, Kulik, &amp; Kulik, 1991). Most of the benefits come from the first few tests, indicating that it does not require much compromise in the allocation of class time to administer periodic tests. In addition, students of all abilities appear to benefit from the opportunity to take tests (Pan, Pashler, Potter, &amp; Rickard, 2015). As we will see below, </w:t>
      </w:r>
      <w:r w:rsidRPr="00420166">
        <w:rPr>
          <w:rStyle w:val="StyleUnderline"/>
        </w:rPr>
        <w:t>these benefits are not limited to enhanced memory</w:t>
      </w:r>
      <w:r w:rsidRPr="00420166">
        <w:rPr>
          <w:sz w:val="16"/>
        </w:rPr>
        <w:t xml:space="preserve"> for the tested material. We will review additional research that </w:t>
      </w:r>
      <w:r w:rsidRPr="00420166">
        <w:rPr>
          <w:rStyle w:val="StyleUnderline"/>
        </w:rPr>
        <w:t>indicates a positive role for testing for other, untested material, as well as for other aspects of cognition and motivation.</w:t>
      </w:r>
      <w:r w:rsidRPr="00420166">
        <w:rPr>
          <w:sz w:val="16"/>
        </w:rPr>
        <w:t xml:space="preserve"> Tests Reduce Forgetting </w:t>
      </w:r>
      <w:r w:rsidRPr="00420166">
        <w:rPr>
          <w:rStyle w:val="Emphasis"/>
        </w:rPr>
        <w:t>The cognitive benefits of testing are not like a single shot in the arm. Taking a test improves memory for the material, and it also decreases the rate at which we forget that material.</w:t>
      </w:r>
      <w:r w:rsidRPr="00420166">
        <w:rPr>
          <w:sz w:val="16"/>
        </w:rPr>
        <w:t xml:space="preserve"> What this means is that the benefits of testing are even greater when looking at longer-term retention. In the study with texts reviewed earlier (Roediger &amp; Karpicke, 2006), the benefits of multiple quizzes were largest at a 1-week delay after the original study event. 16 Policy Insights from the Behavioral and Brain Sciences 2(1) All of this is particularly </w:t>
      </w:r>
      <w:r w:rsidRPr="00420166">
        <w:rPr>
          <w:rStyle w:val="StyleUnderline"/>
        </w:rPr>
        <w:t>noteworthy because, counterin- tuitively, there are not many cognitive interventions that appear to slow the rate of forgetting. Studying material more leads to a higher initial degree of learning but does not slow forgetting (Anderson &amp; Schooler, 1991; Hellyer, 1962). Employing a “deep” level of processing—in which the learner is encouraged to think about the meaning of the to- be-learned information—does not slow forgetting (Ne</w:t>
      </w:r>
      <w:r w:rsidRPr="00420166">
        <w:rPr>
          <w:sz w:val="16"/>
        </w:rPr>
        <w:t xml:space="preserve">lson &amp; Vining, 1978). Yet, </w:t>
      </w:r>
      <w:r w:rsidRPr="00420166">
        <w:rPr>
          <w:rStyle w:val="StyleUnderline"/>
        </w:rPr>
        <w:t>testing slows forgetting</w:t>
      </w:r>
      <w:r w:rsidRPr="00420166">
        <w:rPr>
          <w:sz w:val="16"/>
        </w:rPr>
        <w:t xml:space="preserve"> (Carpenter, Pashler, Wixted, &amp; Vul, 2008), sometimes considerably (Wheeler, Ewers, &amp; Buonanno, 2003), which may make it an ideal technique for promoting long-term, durable learning. It may even be the case that the</w:t>
      </w:r>
      <w:r w:rsidRPr="00420166">
        <w:rPr>
          <w:rStyle w:val="StyleUnderline"/>
        </w:rPr>
        <w:t xml:space="preserve"> benefit to memory from testing is due entirely to the reduced forgetting it engenders</w:t>
      </w:r>
      <w:r w:rsidRPr="00420166">
        <w:rPr>
          <w:sz w:val="16"/>
        </w:rPr>
        <w:t xml:space="preserve">. When a test is administered immediately after the review phase in an experiment, performance is often superior fol- lowing a re-study than a quiz event. However, this advantage is short lived: after a relatively short time interval, the bene- fits of quizzing are apparent. So, although </w:t>
      </w:r>
      <w:r w:rsidRPr="00420166">
        <w:rPr>
          <w:rStyle w:val="StyleUnderline"/>
        </w:rPr>
        <w:t xml:space="preserve">quizzing </w:t>
      </w:r>
      <w:r w:rsidRPr="00420166">
        <w:rPr>
          <w:sz w:val="16"/>
        </w:rPr>
        <w:t xml:space="preserve">may not be the study regimen of choice for a student who is doing last-minute cramming, it is a </w:t>
      </w:r>
      <w:r w:rsidRPr="00420166">
        <w:rPr>
          <w:rStyle w:val="StyleUnderline"/>
        </w:rPr>
        <w:t>better way to promote long- term retention</w:t>
      </w:r>
      <w:r w:rsidRPr="00420166">
        <w:rPr>
          <w:sz w:val="16"/>
        </w:rPr>
        <w:t xml:space="preserve">. Effective organization of a sequence of tests. The effective organization of a series of tests on the same material can enhance the benefits of testing yet further. The fact that test- ing decreases the rate of forgetting can be leveraged to start thinking about how tests can be efficiently sequenced. Because the material will be forgotten a little more slowly after each test, then if all tests were equally difficult from an objective standpoint, each test would actually be subjectively a little easier than the last. To render each test more similar in difficulty from the test taker’s perspective requires each test to be a little more objectively difficult than the last. One way in which this can be done is by using an expand- ing test schedule, in which each quiz is administered at a slightly longer interval than the last one. </w:t>
      </w:r>
      <w:r w:rsidRPr="00420166">
        <w:rPr>
          <w:rStyle w:val="StyleUnderline"/>
        </w:rPr>
        <w:t xml:space="preserve">Expanding sched- ules have been shown to enhance memory for names (Landauer &amp; Bjork, 1978) and text (Storm, Bjork, &amp; Storm, 2010). It has been used to aid learning in young children </w:t>
      </w:r>
      <w:r w:rsidRPr="00420166">
        <w:rPr>
          <w:sz w:val="16"/>
        </w:rPr>
        <w:t xml:space="preserve">(Fritz, Morris, Nolan, &amp; Singleton, 2007), memory-impaired populations (Camp, 2006; Schacter, Rich, &amp; Stampp, 1985), and even in rehabilitative regimens (Wilson, Baddeley, Evans, &amp; Sheil, 1994). They may be particularly useful for maintaining high levels of retention over long periods (Kang, Lindsey, Mozer, &amp; Pashler, 2014). However, care must be taken to ensure that the spacing of the tests corresponds at least roughly to the rate of forgetting; if a single test is too difficult, material that is not successfully remembered on that test is unlikely to be recovered on future tests or on the final test. This scheduling difficulty may underlie cases in which the benefits of an expanding schedule are not evident when compared with evenly spaced quizzes (Logan &amp; Balota, 2008). Another way in which the difficulty of a sequence of tests can be manipulated is through the difficulty of the questions. In foreign-language vocabulary learning, it is effective to decrease the use of “hints” to the correct word over a sequence of tests (Finley, Benjamin, Hays, Bjork, &amp; Kornell, 2011). An advantage of this technique over the expanding schedule of tests for classroom use is that it does not require complicated scheduling. In both cases, trying to tune the dif- ficulty of ongoing tests to the forgetting that is expected to occur helps to slow the rate of forgetting and enhance long- term memory. </w:t>
      </w:r>
      <w:r w:rsidRPr="00420166">
        <w:rPr>
          <w:rStyle w:val="Emphasis"/>
        </w:rPr>
        <w:t>Tests Improve Inference and Transfer Thus far, we have only considered how tests benefit a stu- dent’s ability to remember material. Of course, remembering what is taught is only a small part of the process of becoming educated in a discipline. Being able to generalize and draw new inferences on the basis of the learned material is criti- cally important if we want students to apply their learning to new situations</w:t>
      </w:r>
      <w:r w:rsidRPr="00420166">
        <w:rPr>
          <w:sz w:val="16"/>
        </w:rPr>
        <w:t xml:space="preserve">. And there is evidence that </w:t>
      </w:r>
      <w:r w:rsidRPr="00420166">
        <w:rPr>
          <w:rStyle w:val="StyleUnderline"/>
        </w:rPr>
        <w:t>quizzing facilitates the generalization and application of knowledge as well</w:t>
      </w:r>
      <w:r w:rsidRPr="00420166">
        <w:rPr>
          <w:sz w:val="16"/>
        </w:rPr>
        <w:t xml:space="preserve">. In one study (Chan, McDermott, &amp; Roediger, 2006), sub- jects read a set of passages and were either quizzed on their memory for selected facts from those passages or given extra study time. </w:t>
      </w:r>
      <w:r w:rsidRPr="00420166">
        <w:rPr>
          <w:rStyle w:val="StyleUnderline"/>
        </w:rPr>
        <w:t>Prior quizzing enhanced memory for the non- quizzed (as well as the quizzed) aspects of the texts when compared with re-studying</w:t>
      </w:r>
      <w:r w:rsidRPr="00420166">
        <w:rPr>
          <w:sz w:val="16"/>
        </w:rPr>
        <w:t xml:space="preserve">. The benefit persists after a rather long interval (7 days; Chan, 2010) and even when the final test material is quite distant from the original material being quizzed (Butler, 2010). In general, these benefits are most pronounced in cases in which the learners took what the authors called a broad approach to retrieving responses during the practice quiz: When they thought widely about lots of details relevant to the terms in the question—even if those details were not directly related to the sought-after answer—the benefits of quizzing on related but unquizzed material were most pro- nounced. So it appears that </w:t>
      </w:r>
      <w:r w:rsidRPr="00420166">
        <w:rPr>
          <w:rStyle w:val="Emphasis"/>
        </w:rPr>
        <w:t>testing benefits learning in part because of the way that it motivates learners to think about relations among learned facts, and in part because it encour- ages effective reorganization.</w:t>
      </w:r>
      <w:r w:rsidRPr="00420166">
        <w:rPr>
          <w:sz w:val="16"/>
        </w:rPr>
        <w:t xml:space="preserve"> Such a result is consistent with the finding reviewed earlier that short-answer tests benefit learners more than do multiple-choice tests, as short-answer tests presumably offer more opportunities for broad thinking. It is also consistent with the well-accepted finding in educa- tion that asking and answering “deep questions”—ones that focus on relations, logic, and causation, for example—dra- matically benefit student learning (King, 1994). It is for these reasons that adjunct questions—the thought questions that appear in textbooks alongside the main text— have an overall beneficial effect on learning, even for matters not directly related to those questions (Hamaker, 1986). Furthermore, </w:t>
      </w:r>
      <w:r w:rsidRPr="00420166">
        <w:rPr>
          <w:rStyle w:val="StyleUnderline"/>
        </w:rPr>
        <w:t xml:space="preserve">questions that encourage higher-order thinking (e.g., reasoning to a new situation) over simple fact retrieval enhance the benefits of adjunct questions yet further. </w:t>
      </w:r>
      <w:r w:rsidRPr="00420166">
        <w:rPr>
          <w:sz w:val="16"/>
        </w:rPr>
        <w:t xml:space="preserve">Presumably, one major limitation of adjunct questions—par- ticularly, difficult higher-order ones—is students’ willing- ness to engage them in the course of reading. Quizzing opportunities in the classroom have the potential to circum- vent this inclination. </w:t>
      </w:r>
      <w:r w:rsidRPr="00420166">
        <w:rPr>
          <w:rStyle w:val="Emphasis"/>
        </w:rPr>
        <w:t>Testing also boosts our ability to learn concepts</w:t>
      </w:r>
      <w:r w:rsidRPr="00420166">
        <w:rPr>
          <w:sz w:val="16"/>
        </w:rPr>
        <w:t xml:space="preserve">. In one example (Jacoby, Wahlheim, &amp; Coane, 2010), subjects were required to learn about different families of birds. One group was given four study blocks with pictures of birds and their family names; the other was given only one study block and three blocks on which they were shown only the picture and asked to retrieve the family name. Feedback was provided after their response. </w:t>
      </w:r>
      <w:r w:rsidRPr="00420166">
        <w:rPr>
          <w:rStyle w:val="StyleUnderline"/>
        </w:rPr>
        <w:t>The novel aspect of their procedure was a later test that included entirely new pictures of birds from the same families</w:t>
      </w:r>
      <w:r w:rsidRPr="00420166">
        <w:rPr>
          <w:sz w:val="16"/>
        </w:rPr>
        <w:t xml:space="preserve">. </w:t>
      </w:r>
      <w:r w:rsidRPr="00036A33">
        <w:rPr>
          <w:rStyle w:val="Emphasis"/>
        </w:rPr>
        <w:t>The group that had had quizzes was actu- ally better able to sort those new pictures of birds into the appropriate families, indicating that quizzing had done more than simply enhance their memory for the previously studied birds. Rather, it seems to have actually improved their knowl- edge of the categories that differentiated among the bird</w:t>
      </w:r>
      <w:r w:rsidRPr="00420166">
        <w:rPr>
          <w:sz w:val="16"/>
        </w:rPr>
        <w:t>s. Tests encourage the kind of thinking that is essential not just for retention but also for mentally organizing the acquisition of new material.</w:t>
      </w:r>
    </w:p>
    <w:p w14:paraId="28E79F6C" w14:textId="77777777" w:rsidR="002A12C9" w:rsidRDefault="002A12C9" w:rsidP="002A12C9">
      <w:pPr>
        <w:rPr>
          <w:sz w:val="16"/>
        </w:rPr>
      </w:pPr>
    </w:p>
    <w:p w14:paraId="58DBA9AF" w14:textId="77777777" w:rsidR="002A12C9" w:rsidRPr="00972BCB" w:rsidRDefault="002A12C9" w:rsidP="002A12C9"/>
    <w:p w14:paraId="7E0978EF" w14:textId="77777777" w:rsidR="002A12C9" w:rsidRPr="00AC1223" w:rsidRDefault="002A12C9" w:rsidP="002A12C9"/>
    <w:p w14:paraId="4C716B46" w14:textId="77777777" w:rsidR="002A12C9" w:rsidRDefault="002A12C9" w:rsidP="002A12C9">
      <w:pPr>
        <w:pStyle w:val="Heading3"/>
      </w:pPr>
      <w:r>
        <w:t>Defense of Standardized Testing</w:t>
      </w:r>
    </w:p>
    <w:p w14:paraId="362D3F69" w14:textId="77777777" w:rsidR="002A12C9" w:rsidRDefault="002A12C9" w:rsidP="002A12C9">
      <w:pPr>
        <w:pStyle w:val="Heading4"/>
      </w:pPr>
      <w:r>
        <w:t>1. Standardized tests are a way to deliver educational accountability</w:t>
      </w:r>
    </w:p>
    <w:p w14:paraId="00E676F7" w14:textId="77777777" w:rsidR="002A12C9" w:rsidRPr="00060830" w:rsidRDefault="002A12C9" w:rsidP="002A12C9">
      <w:pPr>
        <w:rPr>
          <w:i/>
          <w:sz w:val="26"/>
          <w:szCs w:val="26"/>
        </w:rPr>
      </w:pPr>
      <w:r w:rsidRPr="00060830">
        <w:rPr>
          <w:i/>
          <w:sz w:val="26"/>
          <w:szCs w:val="26"/>
        </w:rPr>
        <w:t>--possible LOCAL TESTS CP?</w:t>
      </w:r>
    </w:p>
    <w:p w14:paraId="246E90B6" w14:textId="77777777" w:rsidR="002A12C9" w:rsidRPr="00060830" w:rsidRDefault="002A12C9" w:rsidP="002A12C9">
      <w:pPr>
        <w:rPr>
          <w:rStyle w:val="Style13ptBold"/>
          <w:b w:val="0"/>
          <w:sz w:val="16"/>
          <w:szCs w:val="16"/>
        </w:rPr>
      </w:pPr>
      <w:r>
        <w:rPr>
          <w:rStyle w:val="Style13ptBold"/>
        </w:rPr>
        <w:t xml:space="preserve">Ehenfreud 15 </w:t>
      </w:r>
      <w:r>
        <w:rPr>
          <w:rStyle w:val="Style13ptBold"/>
          <w:b w:val="0"/>
        </w:rPr>
        <w:t>(</w:t>
      </w:r>
      <w:r w:rsidRPr="00060830">
        <w:rPr>
          <w:rStyle w:val="Style13ptBold"/>
          <w:b w:val="0"/>
          <w:sz w:val="16"/>
          <w:szCs w:val="16"/>
        </w:rPr>
        <w:t xml:space="preserve">Max Ehrenfreund writes for Wonkblog and compiles Wonkbook, a daily policy newsletter, “Why civil rights groups support standardized tests”, The Washington Post, April 14, 2015, </w:t>
      </w:r>
      <w:hyperlink r:id="rId23" w:history="1">
        <w:r w:rsidRPr="00060830">
          <w:rPr>
            <w:rStyle w:val="Hyperlink"/>
            <w:sz w:val="16"/>
            <w:szCs w:val="16"/>
          </w:rPr>
          <w:t>https://www.washingtonpost.com/news/wonk/wp/2015/04/14/why-civil-rights-groups-support-standardized-tests/?utm_term=.c19d85fe18a8</w:t>
        </w:r>
      </w:hyperlink>
      <w:r w:rsidRPr="00060830">
        <w:rPr>
          <w:rStyle w:val="Style13ptBold"/>
          <w:b w:val="0"/>
          <w:sz w:val="16"/>
          <w:szCs w:val="16"/>
        </w:rPr>
        <w:t>) TSB</w:t>
      </w:r>
    </w:p>
    <w:p w14:paraId="40B26BB0" w14:textId="77777777" w:rsidR="002A12C9" w:rsidRPr="00060830" w:rsidRDefault="002A12C9" w:rsidP="002A12C9">
      <w:pPr>
        <w:rPr>
          <w:sz w:val="16"/>
        </w:rPr>
      </w:pPr>
      <w:r w:rsidRPr="00060830">
        <w:rPr>
          <w:sz w:val="16"/>
        </w:rPr>
        <w:t xml:space="preserve">And </w:t>
      </w:r>
      <w:r w:rsidRPr="00060830">
        <w:rPr>
          <w:rStyle w:val="StyleUnderline"/>
        </w:rPr>
        <w:t>the NAACP, the National Urban League and the League of United Latin American Citizens, among other organizations, signed a statement in January calling on Congress to maintain the testing requirement. "We can't take our foot off the accelerator now," said Daria Hall, who directs policy at the Education Trust, an organization dedicated to improving education for disadvantaged students. "We have to maintain assessment, accountability and reporting</w:t>
      </w:r>
      <w:r w:rsidRPr="00060830">
        <w:rPr>
          <w:sz w:val="16"/>
        </w:rPr>
        <w:t xml:space="preserve">." It's this position that has caused frustration not just among educators, another important Democratic constituency, but also with some civil rights activists. </w:t>
      </w:r>
      <w:r w:rsidRPr="00060830">
        <w:rPr>
          <w:rStyle w:val="StyleUnderline"/>
          <w:i/>
        </w:rPr>
        <w:t>The Advancement Project, for example, argues that children should take locally designed tests once every few years, said Judith Browne Dianis, one of the organization's directors. "Our position on this issue is driven by the fact we work with parents and young people in school districts throughout the country, and so we hear the stories and the concerns from the ground,"</w:t>
      </w:r>
      <w:r w:rsidRPr="00060830">
        <w:rPr>
          <w:sz w:val="16"/>
        </w:rPr>
        <w:t xml:space="preserve"> she said. The debate comes down to the question of whether the testing requirement has helped or hurt children of color. </w:t>
      </w:r>
      <w:r w:rsidRPr="00060830">
        <w:rPr>
          <w:rStyle w:val="StyleUnderline"/>
        </w:rPr>
        <w:t>Under the law, schools have to show that their test results are improving, not just on average but also among disadvantaged groups of students. If they fail to make progress, schools are subject to an array of consequences and can be required to replace staff members, although very few schools have confronted the most extreme sanctions provided for in the law</w:t>
      </w:r>
      <w:r w:rsidRPr="00060830">
        <w:rPr>
          <w:sz w:val="16"/>
        </w:rPr>
        <w:t>. Proponents such as Hall say that public disclosure of test scores, along with the possibility of sanctions, has forced schools to do better. "Since we have had federal requirements for annual testing</w:t>
      </w:r>
      <w:r w:rsidRPr="00060830">
        <w:rPr>
          <w:rStyle w:val="Emphasis"/>
        </w:rPr>
        <w:t>, full public reporting and for serious accountability for the results of every group of children, including black, Latino and low-income children, achievement among those students has improved</w:t>
      </w:r>
      <w:r w:rsidRPr="00060830">
        <w:rPr>
          <w:sz w:val="16"/>
        </w:rPr>
        <w:t>," she said. "</w:t>
      </w:r>
      <w:r w:rsidRPr="00060830">
        <w:rPr>
          <w:rStyle w:val="Emphasis"/>
        </w:rPr>
        <w:t>Unequivocally, we have seen gains in achievement, particularly for poor kids and kids of color." Many minority communities celebrated the law. For decades, black parents had suspected that education officials were ignoring their children. Test results are a matter of pride for parents, too</w:t>
      </w:r>
      <w:r w:rsidRPr="00060830">
        <w:rPr>
          <w:sz w:val="16"/>
        </w:rPr>
        <w:t xml:space="preserve">, said Denisha Jones, a professor of education at Howard University. "It </w:t>
      </w:r>
      <w:r w:rsidRPr="00060830">
        <w:rPr>
          <w:rStyle w:val="StyleUnderline"/>
        </w:rPr>
        <w:t>was the first time that schools couldn't keep quiet about their inability to educate all students, and especially students of color</w:t>
      </w:r>
      <w:r w:rsidRPr="00060830">
        <w:rPr>
          <w:sz w:val="16"/>
        </w:rPr>
        <w:t>," she said. "For a lot of African American families, they see the test as an opportunity to prove that their kid is as smart as anybody else's."</w:t>
      </w:r>
    </w:p>
    <w:p w14:paraId="17DA0E8D" w14:textId="77777777" w:rsidR="002A12C9" w:rsidRPr="00293A24" w:rsidRDefault="002A12C9" w:rsidP="002A12C9"/>
    <w:p w14:paraId="236CFDA8" w14:textId="77777777" w:rsidR="002A12C9" w:rsidRDefault="002A12C9" w:rsidP="002A12C9">
      <w:pPr>
        <w:pStyle w:val="Heading3"/>
      </w:pPr>
      <w:r>
        <w:t>Indicts of Decolonial Theory</w:t>
      </w:r>
    </w:p>
    <w:p w14:paraId="274BE5FB" w14:textId="77777777" w:rsidR="002A12C9" w:rsidRDefault="002A12C9" w:rsidP="002A12C9">
      <w:pPr>
        <w:pStyle w:val="Heading4"/>
      </w:pPr>
      <w:r>
        <w:t>1. Assumptions about erasing Eurocentric science and types of standardized testing in the way of the affirmative cement in deeper dichotomies and ignore important sociological breakthroughs</w:t>
      </w:r>
    </w:p>
    <w:p w14:paraId="25C2A0C2" w14:textId="77777777" w:rsidR="002A12C9" w:rsidRPr="006C190F" w:rsidRDefault="002A12C9" w:rsidP="002A12C9">
      <w:pPr>
        <w:rPr>
          <w:rStyle w:val="Style13ptBold"/>
          <w:b w:val="0"/>
        </w:rPr>
      </w:pPr>
      <w:r>
        <w:rPr>
          <w:rStyle w:val="Style13ptBold"/>
        </w:rPr>
        <w:t xml:space="preserve">Michaelsen &amp; Shershow 7 </w:t>
      </w:r>
      <w:r>
        <w:rPr>
          <w:rStyle w:val="Style13ptBold"/>
          <w:b w:val="0"/>
        </w:rPr>
        <w:t>(</w:t>
      </w:r>
      <w:r w:rsidRPr="006C190F">
        <w:rPr>
          <w:rStyle w:val="Style13ptBold"/>
          <w:b w:val="0"/>
        </w:rPr>
        <w:t>Scott Michaelsen</w:t>
      </w:r>
      <w:r>
        <w:rPr>
          <w:rStyle w:val="Style13ptBold"/>
          <w:b w:val="0"/>
        </w:rPr>
        <w:t xml:space="preserve"> </w:t>
      </w:r>
      <w:r w:rsidRPr="00FD3C1A">
        <w:rPr>
          <w:rStyle w:val="Style13ptBold"/>
          <w:b w:val="0"/>
        </w:rPr>
        <w:t>teaches in a number of different areas, including American literature, the literatures of the Americas, popular culture (science fiction, for example), and philosophy and theory in its relation to literature and society.</w:t>
      </w:r>
      <w:r>
        <w:rPr>
          <w:rStyle w:val="Style13ptBold"/>
          <w:b w:val="0"/>
        </w:rPr>
        <w:t xml:space="preserve"> </w:t>
      </w:r>
      <w:r w:rsidRPr="006C190F">
        <w:rPr>
          <w:rStyle w:val="Style13ptBold"/>
          <w:b w:val="0"/>
        </w:rPr>
        <w:t>Scott Cutler Shershow</w:t>
      </w:r>
      <w:r>
        <w:rPr>
          <w:rStyle w:val="Style13ptBold"/>
          <w:b w:val="0"/>
        </w:rPr>
        <w:t xml:space="preserve">, </w:t>
      </w:r>
      <w:r w:rsidRPr="0052762F">
        <w:rPr>
          <w:rStyle w:val="Style13ptBold"/>
          <w:b w:val="0"/>
        </w:rPr>
        <w:t>is Professor of English at the University of California, Davis.  He is the author, most recently, of Bread, from Bloomsbury’s “Object Lessons” series.</w:t>
      </w:r>
      <w:r>
        <w:rPr>
          <w:rStyle w:val="Style13ptBold"/>
          <w:b w:val="0"/>
        </w:rPr>
        <w:t xml:space="preserve"> “</w:t>
      </w:r>
      <w:r w:rsidRPr="007761E8">
        <w:rPr>
          <w:rStyle w:val="Style13ptBold"/>
          <w:b w:val="0"/>
        </w:rPr>
        <w:t>Rethinking Border Thinking</w:t>
      </w:r>
      <w:r>
        <w:rPr>
          <w:rStyle w:val="Style13ptBold"/>
          <w:b w:val="0"/>
        </w:rPr>
        <w:t>”, pp. 44-</w:t>
      </w:r>
      <w:proofErr w:type="gramStart"/>
      <w:r>
        <w:rPr>
          <w:rStyle w:val="Style13ptBold"/>
          <w:b w:val="0"/>
        </w:rPr>
        <w:t>48 )</w:t>
      </w:r>
      <w:proofErr w:type="gramEnd"/>
      <w:r>
        <w:rPr>
          <w:rStyle w:val="Style13ptBold"/>
          <w:b w:val="0"/>
        </w:rPr>
        <w:t xml:space="preserve"> TSB</w:t>
      </w:r>
    </w:p>
    <w:p w14:paraId="369DEC66" w14:textId="77777777" w:rsidR="002A12C9" w:rsidRDefault="002A12C9" w:rsidP="002A12C9">
      <w:pPr>
        <w:rPr>
          <w:rStyle w:val="StyleUnderline"/>
        </w:rPr>
      </w:pPr>
      <w:r w:rsidRPr="006C190F">
        <w:t xml:space="preserve">As Derrida famously suggests, </w:t>
      </w:r>
      <w:r w:rsidRPr="007761E8">
        <w:rPr>
          <w:rStyle w:val="StyleUnderline"/>
        </w:rPr>
        <w:t xml:space="preserve">the European ten- dency to privilege speech over writing manifests a nostalgia for an imagined self-presence of the voice that writing dilutes or contaminates. At best, therefore, Mignolo’s third claim merely restates one more time that Amer-indian and European signifying practices are fundamentally di erent: in this case, because Amerindian signification is said to be somehow wild and natural—still in need of “taming”—while European signi cation is said to be somehow domesticated. </w:t>
      </w:r>
      <w:r w:rsidRPr="007761E8">
        <w:rPr>
          <w:rStyle w:val="StyleUnderline"/>
          <w:b/>
        </w:rPr>
        <w:t>At worst, however, one must suspect that Mignolo’s claim itself springs from a kind of nostalgia for some unadul- terated Amerindian “voice” imagined as not yet disturbed in the plenitude of its self-presence and self-possession</w:t>
      </w:r>
      <w:r>
        <w:t xml:space="preserve">. As we have observed, this whole elaborate theoretical machinery de- pends on a single fundamental claim: that Amerindian systems of signi- cation were so distinctively di erent as to escape the problems Derrida described under the term logocentrism. </w:t>
      </w:r>
      <w:r w:rsidRPr="007761E8">
        <w:rPr>
          <w:rStyle w:val="StyleUnderline"/>
        </w:rPr>
        <w:t>Even on the surface of it, such a claim is founded in a contradiction so simple and obvious as to have eluded Mignolo himself. On the one hand, Mignolo argues above all that these colonial subjects, who were declared to be a people “without writing” by their colonial conquerors (because they appeared to lack systems of pho- netic or alphabetic inscription) in fact do possess a variety of practices that can meaningfully be called “writing.” In this sense, the Amerindians were culturally the same as their conquerors: their signifying systems were in no sense “primitive” and should not be understood as merely the earlier stages of some alleged progression toward alphabetic writing. On the other hand, Mignolo also argues that Amerindian signifying practices were in fact dis- tinctively di erent from European ones, for their “writing” was neither a phonetic representation of speech nor understood as a privileged realm of memory and authority in the Western manner. Mignolo is thus trying, as it were, to have his di erence and deny it too. He insists that Amerindians did have writing, yet imagines the writing they</w:t>
      </w:r>
      <w:r>
        <w:t xml:space="preserve"> </w:t>
      </w:r>
      <w:r w:rsidRPr="007761E8">
        <w:rPr>
          <w:rStyle w:val="StyleUnderline"/>
        </w:rPr>
        <w:t>had as one that escapes all of writing’s problems and that exists in the form of an untamed “voice” not yet contaminated by the letter</w:t>
      </w:r>
      <w:r>
        <w:t xml:space="preserve">. The rst half of this self-contradictory argument also merely echoes a traditional anthropological critique of “evolutionary” Eurocentric con- ceptions of culture. True enough, both the Renaissance colonialists and humanists whom Mignolo discusses, and later thinkers such as Rousseau and Hegel, always assume that alphabetic writing is the inevitable telos of human cultural progress. The other contributors to Writing without Words frequently join Mignolo (and Derrida) in rightly critiquing such assump- tions. For example, Elizabeth Hill Boone, the coeditor of the volume, deplores how “the denial of pictographic writing systems as ‘real writing’ has generally been accompanied by an insidious pejorative tone.”8 Boone, however, enlists Derrida’s critique of logocentrism as an ally in reclaiming the pictographic systems of pre-Columbian as legitimate forms of “writ- ing.” What Boone calls the “semasiographic” writing systems of Meso- america do not primarily rely on a phonetic representation of speech and are “characterized by a high proportion of visual description,” but never- theless, “like other iconic systems they also use some arbitrary conven- tions,” and “phonetic elements may be present—especially in personal names and place names” (18). As Derrida himself always argues, </w:t>
      </w:r>
      <w:r w:rsidRPr="007761E8">
        <w:rPr>
          <w:rStyle w:val="StyleUnderline"/>
        </w:rPr>
        <w:t>no system of writing is either purely phonetic or purely pictographic; and “‘pho- netic’ and ‘nonphonetic’ are . . . never pure qualities of certain systems of writing, they are the abstract characteristics of typical elements, more or less numerous and dominant within all systems of signi cation in general” (Grammatology, 89). No departure from Derrida is therefore necessary to join Mignolo and his collaborators in this volume in simply concluding that, during the period of colonization</w:t>
      </w:r>
      <w:r w:rsidRPr="007761E8">
        <w:rPr>
          <w:rStyle w:val="Emphasis"/>
        </w:rPr>
        <w:t>, “the materiality and the ideology of Amerindian semiotic interactions were intermingled with or replaced by the materiality and ideology of Western reading and writing cultures”</w:t>
      </w:r>
      <w:r>
        <w:t xml:space="preserve"> (Darker, 76) and that, in other words, European colonialists misinterpreted Amerindian practices in the light of their own cultural presuppositions, and imposed Western conceptions of writing on colonial subjects as part of a broader process of cultural and political subjugation. But </w:t>
      </w:r>
      <w:r w:rsidRPr="007761E8">
        <w:rPr>
          <w:rStyle w:val="StyleUnderline"/>
        </w:rPr>
        <w:t xml:space="preserve">the second half of Mignolo’s self-contradictory double claim—that Amerindian systems of signi cation escape the problems of logocen- trism—by no means follows from this conclusion. Consider, for example, how Boone suggests that one advantage of semasiographic systems is that “Aztec (Nahuatl-speaking) scribes from Central Mexico could . . . read the Mixtec histories of southern Oaxaca, giving them voice in their own lan- guage” </w:t>
      </w:r>
      <w:r>
        <w:t xml:space="preserve">(19). And she concludes: </w:t>
      </w:r>
      <w:r w:rsidRPr="007761E8">
        <w:rPr>
          <w:rStyle w:val="Emphasis"/>
        </w:rPr>
        <w:t>One thing shared by all these indigenous New World systems is that they give accountability. Because they are permanent, or relatively so, they functioned for their societies to document and to establish ideas. As records, they are memory that can be inspected by others. The hieroglyphic text and the pictorial-iconic presentation could be read or interpreted by many people other than their creator</w:t>
      </w:r>
      <w:r>
        <w:t xml:space="preserve">. (22, emphases original) One must join Boone here in highlighting, as de nitive characteristics of any of these New World systems of inscription, the functions of account- ability, memory, and interpretability. Such characteristics would pertain in even the relatively extreme case of the Peruvian quipus, insofar as their pat- terns of knots and cords functioned, in any sense, to record or document information (and even if, as some have claimed, these were no more than personal mnemonic devices). Similarly, Peter L. van der Loo, discussing in the same volume a pre-Columbian pictorial manuscript known as the Bor- gia Group, explains that “these manuscripts can be read as text. Because the message is put down in a pictorial mode, the actual spoken text may di er from reader to reader, but the main content of the message will remain the same to all.”9 As </w:t>
      </w:r>
      <w:r w:rsidRPr="007761E8">
        <w:rPr>
          <w:rStyle w:val="StyleUnderline"/>
        </w:rPr>
        <w:t>described here, this nonphonetic “writing” nevertheless is said to be linked to some semiotic “message” or “content” that both precedes and survives its inscription, that is reproducible as “voice” or “reading” in its wake, and that thus anchors or limits the varied readings or voicing of the inscribed signs. Is this, too, merely a Eurocentric misreading of pre-Columbian practices? Or is there, rather, no other way to “read” or to “write” except as a perpetually un nished process of deferred presence? What else could this “content” or “voice” be than what Derrida calls the “trace,” the “arche-writing” that is “before the letter” not in some historical or evolutionary sense but, rather, as the mark of a consciousness and an “experience</w:t>
      </w:r>
      <w:r>
        <w:t xml:space="preserve">” lived only in signs and in time, and therefore in an intermi- nable process of self-di ering and self-deferring? </w:t>
      </w:r>
      <w:r w:rsidRPr="007761E8">
        <w:rPr>
          <w:rStyle w:val="StyleUnderline"/>
        </w:rPr>
        <w:t>As soon as there is, in any sense, record, account, or document, as soon as inscription of any kind o ers itself as at once a supplement and a substitute for a memory that already supplements and substitutes for the trace, one is already, as these ethno- graphic descriptions themselves clearly attest, within the strange economy of what Derrida famously calls di érance</w:t>
      </w:r>
      <w:r>
        <w:t xml:space="preserve">. </w:t>
      </w:r>
      <w:r w:rsidRPr="007761E8">
        <w:rPr>
          <w:rStyle w:val="Emphasis"/>
        </w:rPr>
        <w:t>But Mignolo himself, as we have already observed, wants both to re- claim these New World practices as “writing” and to free them from all such economies</w:t>
      </w:r>
      <w:r>
        <w:t>. In The Darker Side, Mignolo observes repeatedly that it is possible to have “writing without books,” pointing to, for example, the graphic inscriptions on the walls of temples in ancient Egypt and ancient Mesoamerica. He fails to acknowledge that such observations have always accompanied the very discourses whose ethnocentric biases he wants to expose. For example, Hegel, whose Aesthetics is perhaps the supreme Euro- pean statement of an “evolutionary” approach to language, observes in this same text that Egyptian temples “can be regarded like the pages of a book.”10 Mignolo’s speci c observations also remain suspended between the two rather di erent arguments that we have already summarized</w:t>
      </w:r>
      <w:r w:rsidRPr="007761E8">
        <w:rPr>
          <w:rStyle w:val="StyleUnderline"/>
        </w:rPr>
        <w:t>. He suggests that Amerindians possessed sophisticated writing practices that were misunderstood by their conquerors, but then goes on to claim—or at least to hint— that the Amerindians grasped the very relation between presence and representation in a manner somehow radically di erent from Europeans.</w:t>
      </w:r>
    </w:p>
    <w:p w14:paraId="6382C830" w14:textId="77777777" w:rsidR="002A12C9" w:rsidRDefault="002A12C9" w:rsidP="002A12C9">
      <w:pPr>
        <w:rPr>
          <w:rStyle w:val="StyleUnderline"/>
        </w:rPr>
      </w:pPr>
    </w:p>
    <w:p w14:paraId="2B46D00D" w14:textId="77777777" w:rsidR="002A12C9" w:rsidRDefault="002A12C9" w:rsidP="002A12C9">
      <w:pPr>
        <w:pStyle w:val="Heading4"/>
        <w:rPr>
          <w:rStyle w:val="StyleUnderline"/>
          <w:sz w:val="26"/>
          <w:u w:val="none"/>
        </w:rPr>
      </w:pPr>
      <w:r>
        <w:rPr>
          <w:rStyle w:val="StyleUnderline"/>
          <w:sz w:val="26"/>
          <w:u w:val="none"/>
        </w:rPr>
        <w:t>2. Mignolo’s concept of an alternative is bound to fail—his understanding of European thinking turns the aff because it thinks in totality</w:t>
      </w:r>
    </w:p>
    <w:p w14:paraId="56A84ACD" w14:textId="77777777" w:rsidR="002A12C9" w:rsidRPr="00D16A1D" w:rsidRDefault="002A12C9" w:rsidP="002A12C9">
      <w:r>
        <w:rPr>
          <w:rStyle w:val="Style13ptBold"/>
        </w:rPr>
        <w:t>Michaelsen &amp; Shershow 7</w:t>
      </w:r>
      <w:r>
        <w:rPr>
          <w:rStyle w:val="Style13ptBold"/>
          <w:b w:val="0"/>
        </w:rPr>
        <w:t>((</w:t>
      </w:r>
      <w:r w:rsidRPr="006C190F">
        <w:rPr>
          <w:rStyle w:val="Style13ptBold"/>
          <w:b w:val="0"/>
        </w:rPr>
        <w:t>Scott Michaelsen</w:t>
      </w:r>
      <w:r>
        <w:rPr>
          <w:rStyle w:val="Style13ptBold"/>
          <w:b w:val="0"/>
        </w:rPr>
        <w:t xml:space="preserve"> </w:t>
      </w:r>
      <w:r w:rsidRPr="00FD3C1A">
        <w:rPr>
          <w:rStyle w:val="Style13ptBold"/>
          <w:b w:val="0"/>
        </w:rPr>
        <w:t>teaches in a number of different areas, including American literature, the literatures of the Americas, popular culture (science fiction, for example), and philosophy and theory in its relation to literature and society.</w:t>
      </w:r>
      <w:r>
        <w:rPr>
          <w:rStyle w:val="Style13ptBold"/>
          <w:b w:val="0"/>
        </w:rPr>
        <w:t xml:space="preserve"> </w:t>
      </w:r>
      <w:r w:rsidRPr="006C190F">
        <w:rPr>
          <w:rStyle w:val="Style13ptBold"/>
          <w:b w:val="0"/>
        </w:rPr>
        <w:t>Scott Cutler Shershow</w:t>
      </w:r>
      <w:r>
        <w:rPr>
          <w:rStyle w:val="Style13ptBold"/>
          <w:b w:val="0"/>
        </w:rPr>
        <w:t xml:space="preserve">, </w:t>
      </w:r>
      <w:r w:rsidRPr="0052762F">
        <w:rPr>
          <w:rStyle w:val="Style13ptBold"/>
          <w:b w:val="0"/>
        </w:rPr>
        <w:t>is Professor of English at the University of California, Davis.  He is the author, most recently, of Bread, from Bloomsbury’s “Object Lessons” series.</w:t>
      </w:r>
      <w:r>
        <w:rPr>
          <w:rStyle w:val="Style13ptBold"/>
          <w:b w:val="0"/>
        </w:rPr>
        <w:t xml:space="preserve"> “</w:t>
      </w:r>
      <w:r w:rsidRPr="007761E8">
        <w:rPr>
          <w:rStyle w:val="Style13ptBold"/>
          <w:b w:val="0"/>
        </w:rPr>
        <w:t>Rethinking Border Thinking</w:t>
      </w:r>
      <w:r>
        <w:rPr>
          <w:rStyle w:val="Style13ptBold"/>
          <w:b w:val="0"/>
        </w:rPr>
        <w:t>”, pp. 44-</w:t>
      </w:r>
      <w:proofErr w:type="gramStart"/>
      <w:r>
        <w:rPr>
          <w:rStyle w:val="Style13ptBold"/>
          <w:b w:val="0"/>
        </w:rPr>
        <w:t>48 )</w:t>
      </w:r>
      <w:proofErr w:type="gramEnd"/>
      <w:r>
        <w:rPr>
          <w:rStyle w:val="Style13ptBold"/>
          <w:b w:val="0"/>
        </w:rPr>
        <w:t xml:space="preserve"> TSB TSB</w:t>
      </w:r>
    </w:p>
    <w:p w14:paraId="114A90A3" w14:textId="77777777" w:rsidR="002A12C9" w:rsidRDefault="002A12C9" w:rsidP="002A12C9">
      <w:pPr>
        <w:rPr>
          <w:sz w:val="16"/>
        </w:rPr>
      </w:pPr>
      <w:r w:rsidRPr="00D16A1D">
        <w:rPr>
          <w:rStyle w:val="Emphasis"/>
        </w:rPr>
        <w:t>The problems with such formulations, at once gural and conceptual, begin with their initial premise.</w:t>
      </w:r>
      <w:r w:rsidRPr="00FD3C1A">
        <w:rPr>
          <w:sz w:val="16"/>
        </w:rPr>
        <w:t xml:space="preserve"> That which is “dichotomous” has been cut and divided, split in two, or forked and branched, and implies an original point of origin—an original wholeness—rather than two separate origins (see OED, s.vv. “dichotomous,” “dicho-”). In the context of the colonial situation, </w:t>
      </w:r>
      <w:r w:rsidRPr="00D16A1D">
        <w:rPr>
          <w:rStyle w:val="StyleUnderline"/>
        </w:rPr>
        <w:t>the idea of dichotomy would thus imply an original relatedness, even though such relational identities were forged within a context of deeply asymmetrical power relations. By using this term, Mignolo thus comes dangerously close to suggesting a counterthesis to his own, and to align- ing himself with something like Anne Norton’s analysis of the “incom- pleteness” of any particular identity</w:t>
      </w:r>
      <w:r w:rsidRPr="00FD3C1A">
        <w:rPr>
          <w:sz w:val="16"/>
        </w:rPr>
        <w:t xml:space="preserve">: “Hegel’s account of the dependence of the identity of the master on the servant draws attention to another sense in which each identity is partial. Each identity is dependent on those against which it de nes itself.”12 </w:t>
      </w:r>
      <w:r w:rsidRPr="00D16A1D">
        <w:rPr>
          <w:rStyle w:val="StyleUnderline"/>
        </w:rPr>
        <w:t>Mignolo himself, however, claims that his project “is no longer conceivable in Hegel’s dialectics” (Darker, 67), and he might well be pleased to be thus understood as radically “outside” the Western philosophic tradition</w:t>
      </w:r>
      <w:r w:rsidRPr="00FD3C1A">
        <w:rPr>
          <w:sz w:val="16"/>
        </w:rPr>
        <w:t>. But t</w:t>
      </w:r>
      <w:r w:rsidRPr="00FD3C1A">
        <w:rPr>
          <w:rStyle w:val="StyleUnderline"/>
        </w:rPr>
        <w:t>o imagine something fundamentally “not- Hegelian” is to imagine di erences that are not in relation, and a world constituted by monad-like cultures whose status is simply to be di erent as such. This would be, in Rodolphe Gasché’s words, an attempt to think the “absolutely singular,” which “from the standpoint of thinking is a thor- oughly idiosyncratic notion that resists the universalizing bent of thought” and which “does not t any of the classical de nitions of philosophy.”</w:t>
      </w:r>
      <w:r w:rsidRPr="00FD3C1A">
        <w:rPr>
          <w:sz w:val="16"/>
        </w:rPr>
        <w:t xml:space="preserve">13 Thus Mignolo posits a so-called “dichotomy” in which, however, two entities at once confront one another historically and yet lack any original relation. This sheer assertion of radical di erence not only positions his project outside philosophy but also disenables the very possibility of critical thought. </w:t>
      </w:r>
      <w:r w:rsidRPr="00FD3C1A">
        <w:rPr>
          <w:rStyle w:val="StyleUnderline"/>
        </w:rPr>
        <w:t>Mignolo’s other conceptual metaphors share a similar incongruity. Mignolo claims that “subaltern reason” absorbs or incorporates hegemonic forms of knowledge, formulations that imply a certain fusion or combi- nation. He also claims, however, that those hegemonic forms have been displaced by the subaltern term in order to make room for it. The two terms also engage in battle, something that implies struggle and con ict without any necessary implication of their nal combination (a “battle” might logically result, for instance, in one or the other term’s obliteration or destruction). As we will eventually show, this unstable brillation among this set of metaphors exposes Mignolo’s project to one or more readings that directly contradict his avowed intentions. Now, just as Mignolo claims, in The Darker Side of the Renaissance, that Amerindian signifying practices are radically distinct from European one</w:t>
      </w:r>
      <w:r w:rsidRPr="00FD3C1A">
        <w:rPr>
          <w:sz w:val="16"/>
        </w:rPr>
        <w:t xml:space="preserve">s, so in Global Histories/Local Designs he suggests, more broadly, that a “modern (Western) epistemology” is absolutely closed o to its other, and unable to recognize Amerindian “alternatives” (Local, 9, emphasis original). A brief detour here through the thought of sociologist Anibal Quijano will be helpful in further assessing this claim.14 </w:t>
      </w:r>
      <w:r w:rsidRPr="00FD3C1A">
        <w:rPr>
          <w:rStyle w:val="Emphasis"/>
        </w:rPr>
        <w:t xml:space="preserve">Mignolo often acknowledges his debt to Quijano, whose problematic opening moves are reproduced and ampli ed in Mignolo’s text. </w:t>
      </w:r>
      <w:r w:rsidRPr="00FD3C1A">
        <w:rPr>
          <w:sz w:val="16"/>
        </w:rPr>
        <w:t xml:space="preserve">Quijano’s notion of the “coloniality of power” describes “social relations within the last ve hundred years of historical capitalism” (27)15 and includes a set of four institutions: “the capitalist enterprise” proper, “the bourgeois family,” “the nation-state,” and “Euro- centrism” (545).16 The last of these institutions, Eurocentrism, is de ned by Quijano in terms of two of its “nuclear elements,” “evolution and dualism,” which produce “race” as a basic category for purposes of classi cation and domination (542). As Delgado de Torres tellingly explains, the coloniality of power de nes “a set of social relations between colonizer and colonized that are internal to Europe itself ” (“Reformulating,” 27; emphasis added). Or, as Quijano puts it, a “binary, dualist perspective” is “particular to Eurocen- trism” (“Coloniality,” 542; emphasis added).17 </w:t>
      </w:r>
      <w:r w:rsidRPr="00FD3C1A">
        <w:rPr>
          <w:rStyle w:val="StyleUnderline"/>
        </w:rPr>
        <w:t xml:space="preserve">Quijano’s rst assumption, therefore, is that “Europe” should be under- stood as a closed, self-su cient cultural totality, which during the con- quest and colonization of the Americas encounters other, alternative “local” totalities and attempts to impose its totality on theirs. As Mignolo argues, “There is nothing outside the totality of a given local history, other than other local histories perhaps producing either alternative totalities or an alternative to totality” (Local, 329). For Quijano, similarly, the world is composed of a “great number of di erent peoples, each with its own history, language, discoveries, and cultural products, memory and identity” (Quijano, “Coloniality,” 551). But as Michaelsen has argued at length else- where, </w:t>
      </w:r>
      <w:r w:rsidRPr="00FD3C1A">
        <w:rPr>
          <w:rStyle w:val="Emphasis"/>
        </w:rPr>
        <w:t>such an assumption, which undergirds anthropology’s traditional understanding of the concept of “culture” itself, cannot be intellectually sustained</w:t>
      </w:r>
      <w:r w:rsidRPr="00FD3C1A">
        <w:rPr>
          <w:rStyle w:val="StyleUnderline"/>
        </w:rPr>
        <w:t xml:space="preserve">. </w:t>
      </w:r>
      <w:r w:rsidRPr="00FD3C1A">
        <w:rPr>
          <w:rStyle w:val="Emphasis"/>
        </w:rPr>
        <w:t>There are no individual, cultural totalities; instead, the globe is composed of nothing but relations, in which each presumed totality depends on manifold others for its bordered sense of coherence.</w:t>
      </w:r>
      <w:r w:rsidRPr="00FD3C1A">
        <w:rPr>
          <w:sz w:val="16"/>
        </w:rPr>
        <w:t>18 “</w:t>
      </w:r>
      <w:r w:rsidRPr="00FD3C1A">
        <w:rPr>
          <w:rStyle w:val="Emphasis"/>
        </w:rPr>
        <w:t>Local histories,” then, literally do not exist, and epistemologically cannot exist, for the same reason that any individual identity cannot exist: such iden- tities are forever-incomplete political projects, rather than given, original existants; and as projects, they seek to e ace their intersubjective limits, ceaselessly attempting to purge all of the other identities upon which they fundamentally depend. No people, then, has ever had “its own identity,” much less “its own” cultural products (including language):</w:t>
      </w:r>
      <w:r w:rsidRPr="00FD3C1A">
        <w:rPr>
          <w:sz w:val="16"/>
        </w:rPr>
        <w:t xml:space="preserve"> “‘We’ are stitched together and shot through with all of ‘our’ others” (Michaelsen, Limits, 58). Nothing can escape this logic, including fteenth-century “New World” contact, which radically recon gured (already) relational identities (38). Quijano’s second, related assumption is that dualism is the exclusive and speci c property of Europe and Eurocentrism. Even Quijano himself, however, has di culty maintaining this position consistently; at one point, for example, he approvingly cites Immanuel Wallerstein regarding “a trait common to all colonial dominators and imperialists, ethnocen- trism” (Quijano, “Coloniality,” 541). This ethnocentrism, or the division of the world into an accented us/them dichotomy, would be one possible expression of a dualist or binary ontology, as Quijano makes clear (552). And if, historically, “</w:t>
      </w:r>
      <w:r w:rsidRPr="00FD3C1A">
        <w:rPr>
          <w:rStyle w:val="Emphasis"/>
        </w:rPr>
        <w:t>all colonial dominators and imperialists” are ethno- centric, then all such dominators are dualist at their core</w:t>
      </w:r>
      <w:r w:rsidRPr="00FD3C1A">
        <w:rPr>
          <w:rStyle w:val="StyleUnderline"/>
        </w:rPr>
        <w:t>. But a list of suchdominators would perforce have to include many New World examples prior to the European invasions, such as the Iroquois, Mayan, Mexica, and Incan empires. It would thus be impossible to limit ethnocentric dualism to Europe “in particular.” Notwithstanding this apparently obvious problem, Mignolo follows Quijano closely here. Though he never says so with much emphasis, Mignolo comprehends Amerindian “gnosis” as fundamentally di erent from a Western or European one,</w:t>
      </w:r>
      <w:r w:rsidRPr="00FD3C1A">
        <w:rPr>
          <w:sz w:val="16"/>
        </w:rPr>
        <w:t xml:space="preserve"> precisely because it is grounded in a logic of complementarity rather than dualism or binarity: “The Sun and the Moon, in Amerindian categories of thought are not opposite, contrary or contradictory; they are complementary. To extend deconstruction beyond Western metaphysics or to assume that there is nothing else than Western metaphysics will be a move similar to colonizing global designs” (Local, 326).19 We rst note that the division of the world into binarity (Europe) and complementarity (its others, including Amerindia) runs uncomfortably close to the long history of the romanticization of the other.20 In particular, it seems a mere variation on the anthropological distinction between soci- eties premised on individuality and di erence, and those grounded in community or cooperation.21 The introduction of such an old, essentialist binary into Mignolo’s text should give any reader pause. If Mignolo were correct, however, this would mean that Amerindian logic is fundamentally nonhierarchical and nonexclusive and that Amer- indian gnosis involves no structural oppositions at all. Such gnosis would have, then, no in ections, no hierarchies, and no values of any kind. No term or concept could ever be privileged; each would be deemed necessary to its other—supplying its lack, and “completing” the other, rather than opposing it.22 But this completion would necessarily imply a higher order of synthesis: if “man” is not privileged over “woman,” for instance, and such terms are instead complementary, then they would necessarily nd their completion in some higher, perhaps neo-Platonic, “third sex” concept, or, perhaps, “life” or “human being.” </w:t>
      </w:r>
      <w:r w:rsidRPr="00FD3C1A">
        <w:rPr>
          <w:rStyle w:val="Emphasis"/>
        </w:rPr>
        <w:t>But then, by the same logic, even the “human being” would necessarily be judged as complementary with regard to that which is “animal” or “inanimate,” and so forth, endlessly foreclosing in ection and hierarchy. In every possible register (race, culture, class, caste, gender, sex, age, or the like), di erence would undergo no valuation. There would be di erences, perhaps, but they would exist in “peaceful coexistence” rather than “violent hierarchy</w:t>
      </w:r>
      <w:r w:rsidRPr="00FD3C1A">
        <w:rPr>
          <w:sz w:val="16"/>
        </w:rPr>
        <w:t xml:space="preserve">.”23 At the limit of this thought, the “citizen” and the “stranger” would necessarily be thought in comple- mentary fashion, disenabling the very possibility of the state and sover- eignty, all basic structures of governance, and indeed, all modes of thinking and decision making that begin from systematic discrimination. </w:t>
      </w:r>
      <w:r w:rsidRPr="00FD3C1A">
        <w:rPr>
          <w:rStyle w:val="Emphasis"/>
        </w:rPr>
        <w:t>We must conclude, therefore, that the positing of radical complementarity implies a withdrawal from the political decision in general, into an alternative, arcadian space in which nothing ever need be decided.</w:t>
      </w:r>
      <w:r w:rsidRPr="00FD3C1A">
        <w:rPr>
          <w:sz w:val="16"/>
        </w:rPr>
        <w:t xml:space="preserve"> But as Derrida writes: “We know what always have been the practical (particularly political) e ects of immediately jumping beyond oppositions, and of protests in the simple form of neither this nor that” (Positions, 41). In other words, complemen- tarity, rather than fundamentally opposing binarity, leaves every available term for discrimination in place, “preventing any means of intervening in the eld e ectively” (Derrida, Positions, 41). In e ect, complementarity functions for Mignolo as a way to describe a border thinking in which somehow neither Europe nor Amerindia is privi- leged. Border thinking, we recall, involves absorption, displacement, and battle between the two sides of the fundamental colonial dichotomy; it is not merely “a new form of synchretism or hybridity” (Local, 12) but, rather, a thought where “indigenous and Western wisdom interact,” an “intersection between Western metaphysics and the multiple non-Western principles governing modes of thinking of local histories” (Local, 319, 326, emphases added). Yet </w:t>
      </w:r>
      <w:r w:rsidRPr="00FD3C1A">
        <w:rPr>
          <w:rStyle w:val="StyleUnderline"/>
        </w:rPr>
        <w:t>it often becomes clear that even Mignolo is unable to sustain or rigorously think this variously named combination of European and Amerindian ways of knowing in which neither predominates</w:t>
      </w:r>
      <w:r w:rsidRPr="00FD3C1A">
        <w:rPr>
          <w:sz w:val="16"/>
        </w:rPr>
        <w:t>. At one point, Mignolo considers how “theories travel,” confronting as they do other forms of knowledge that, by contrast, have “stayed put”; and “when this happens,” he concludes, There are several possibilities. One is to force the adaptation of the arriving theory</w:t>
      </w:r>
      <w:proofErr w:type="gramStart"/>
      <w:r w:rsidRPr="00FD3C1A">
        <w:rPr>
          <w:sz w:val="16"/>
        </w:rPr>
        <w:t>. . . .</w:t>
      </w:r>
      <w:proofErr w:type="gramEnd"/>
      <w:r w:rsidRPr="00FD3C1A">
        <w:rPr>
          <w:sz w:val="16"/>
        </w:rPr>
        <w:t xml:space="preserve"> And still another, provoked by the discomfort of the theories that stayed put . . . is to close the doors and the eyes and to propose a defense of the dwelling place facing the “danger” brought by travelers. And still another is to think, critically, at the intersection of the dwelling place and the new travelers, from the right and from the left, and to look at all of them critically. (Local, 175) How exactly are we to understand this place of intersection and interaction which is neither a hybrid nor a syncretic combination, this site which is neither atavistic nor cosmopolitan and yet from which “all” can be seen? Is this not precisely that nonplace of the “European” Enlightenment gaze that, at once everywhere and nowhere, claims the whole domain of knowledge as its privileged domain? And then, at other moments of Mignolo’s text, border thinking seems conversely to be little more than a displacing or replacing of European thought by its Amerindian counterpart. Mignolo ends his book with this plea: “The last horizon of border thinking . . . points toward a new way of thinking in which dichotomies can be replaced by the complemen- tarity of apparently contradictory terms” (Local, 338). Here, </w:t>
      </w:r>
      <w:r w:rsidRPr="00FD3C1A">
        <w:rPr>
          <w:rStyle w:val="Emphasis"/>
        </w:rPr>
        <w:t>border thinking reveals itself to be simply synonymous with that “complementarity” which has already been identi ed as the de nitive characteristic of Amerindian gnosis. In this case, border thinking is no more than a “displacement” of the West—a “battle” in which subaltern knowledge wins everything, but at the cost of any possibility of double critique and absorption, and therefore of the unforeseeable or unknown.</w:t>
      </w:r>
      <w:r w:rsidRPr="00FD3C1A">
        <w:rPr>
          <w:sz w:val="16"/>
        </w:rPr>
        <w:t xml:space="preserve"> Thus, on the </w:t>
      </w:r>
      <w:r w:rsidRPr="00FD3C1A">
        <w:rPr>
          <w:rStyle w:val="Emphasis"/>
        </w:rPr>
        <w:t>one hand, border thinking emerges when the colonial di erence eventually overcomes the European thought that confronts it; on the other hand</w:t>
      </w:r>
      <w:r>
        <w:rPr>
          <w:rStyle w:val="Emphasis"/>
        </w:rPr>
        <w:t xml:space="preserve">, border thinking appears </w:t>
      </w:r>
      <w:r w:rsidRPr="00FD3C1A">
        <w:rPr>
          <w:rStyle w:val="Emphasis"/>
        </w:rPr>
        <w:t xml:space="preserve">to be indistinguishable from the most classical aspirations of European thought. </w:t>
      </w:r>
      <w:r w:rsidRPr="00FD3C1A">
        <w:rPr>
          <w:sz w:val="16"/>
        </w:rPr>
        <w:t xml:space="preserve">It remains only to consider the more practical opposition allegedly put in play by the redemptive possibilities of border thinking: </w:t>
      </w:r>
      <w:r w:rsidRPr="00FD3C1A">
        <w:rPr>
          <w:rStyle w:val="StyleUnderline"/>
        </w:rPr>
        <w:t>the contrast between an alleged Amerindian democracy and the European nation-state. Here we begin, one more time, by following Quijano, whose elaboration of the problem of the nation-state will prove yet again to rest on a concealed contradiction.</w:t>
      </w:r>
      <w:r w:rsidRPr="00FD3C1A">
        <w:rPr>
          <w:sz w:val="16"/>
        </w:rPr>
        <w:t xml:space="preserve"> Quijano suggests that the nation-state is an intrinsically European phenomenon and therefore, following the argument we have previously summarized, embodies a dualist or binarist ontology. Nation- states in Latin America itself were founded on the European model, which explains at least in part their long histories of racial violence. </w:t>
      </w:r>
      <w:r w:rsidRPr="00FD3C1A">
        <w:rPr>
          <w:rStyle w:val="StyleUnderline"/>
        </w:rPr>
        <w:t>He cites several examples of Latin American states (Argentina, Uruguay, and Chile) that were premised, at their foundations, on the conquest and land divestment of “indigenous peoples,” followed by a project of “racial homogenization” through extermination. This is, one must conclude, a kind of limit case that indicates with particular vividness how the nation-state as such must always embody an ethnocentric dualism (562–64). One might therefore expect that Quijano’s project would involve a cri- tique of the nation-state to the limit of its foundation: that is, to the limit of its division of the world into citizens and strangers. Instead, however, Quijano adopts a decidedly liberal framework for merely judging particular states on the basis of their relative processes of “democratization” (559).</w:t>
      </w:r>
      <w:r w:rsidRPr="00FD3C1A">
        <w:rPr>
          <w:sz w:val="16"/>
        </w:rPr>
        <w:t xml:space="preserve"> For example, Quijano makes this surprising observation about the United States: “In spite of the colonial relation of domination between whites and blacks and the colonial extermination of the indigenous population, we must admit, given the overwhelming majority of whites, that the new nation-state was genuinely representative of the greater part of the popu- lation” (560). The Latin American nation-state, therefore, must be capable of moving in either of two opposing directions: it can achieve the homoge- nization required to be “representative,” on the one hand, “by the exclu- sion of a signi cant part of the population,” or, on the other hand, “by means of the fundamental democratization of social and political relations.” And, of course, it is this total democratic inclusion which for Quijano provides for the possibility of “stable and rmly constituted” nation-states (564). As we have argued elsewhere, however, such inclusion is not achievable, for fundamental reasons of sovereignty and law: “The decision to enact the most minimal social contract . . . cannot but divide and exclude” along one line or more at the moment of its sovereign founding (102).24 The gure of the “subperson,” or what Giorgio Agamben refers to as “bare life,” is fundamental to state formation.25 Whether the subperson is categorized according to race, gender, class, and/or religion, one or more of these cate- gories—or some equally exclusive or even empty category—is necessarily foundational for any state.</w:t>
      </w:r>
    </w:p>
    <w:p w14:paraId="749B81D9" w14:textId="77777777" w:rsidR="002A12C9" w:rsidRDefault="002A12C9" w:rsidP="002A12C9">
      <w:pPr>
        <w:rPr>
          <w:sz w:val="16"/>
        </w:rPr>
      </w:pPr>
    </w:p>
    <w:p w14:paraId="0CD14A5C" w14:textId="77777777" w:rsidR="002A12C9" w:rsidRDefault="002A12C9" w:rsidP="002A12C9">
      <w:pPr>
        <w:pStyle w:val="Heading4"/>
      </w:pPr>
      <w:r>
        <w:t>3. A view that homogenizes all of history into coloniality loses the past—the Enlightenment needs to be taken in context-- having one view of scientific rationality succumbs to the same essentialism they critique</w:t>
      </w:r>
    </w:p>
    <w:p w14:paraId="541E6DE2" w14:textId="77777777" w:rsidR="002A12C9" w:rsidRPr="009D6C8A" w:rsidRDefault="002A12C9" w:rsidP="002A12C9">
      <w:pPr>
        <w:rPr>
          <w:rStyle w:val="Style13ptBold"/>
          <w:b w:val="0"/>
        </w:rPr>
      </w:pPr>
      <w:r>
        <w:rPr>
          <w:rStyle w:val="Style13ptBold"/>
        </w:rPr>
        <w:t xml:space="preserve">Cooper 5 </w:t>
      </w:r>
      <w:r>
        <w:rPr>
          <w:rStyle w:val="Style13ptBold"/>
          <w:b w:val="0"/>
        </w:rPr>
        <w:t xml:space="preserve">(Frederick Cooper </w:t>
      </w:r>
      <w:r w:rsidRPr="009D6C8A">
        <w:rPr>
          <w:rStyle w:val="Style13ptBold"/>
          <w:b w:val="0"/>
        </w:rPr>
        <w:t>is an American historian who specializes in colonialization, decolonialization, and African history. Cooper received his Doctor of Philosophy from Yale University in 1974 and is currently professor of</w:t>
      </w:r>
      <w:r>
        <w:rPr>
          <w:rStyle w:val="Style13ptBold"/>
          <w:b w:val="0"/>
        </w:rPr>
        <w:t xml:space="preserve"> history at New York University, “Colonialism in Question: Theory, Knowledge, History.” P. 20-21) TSB</w:t>
      </w:r>
    </w:p>
    <w:p w14:paraId="2E6A555D" w14:textId="77777777" w:rsidR="002A12C9" w:rsidRDefault="002A12C9" w:rsidP="002A12C9">
      <w:r w:rsidRPr="009D6C8A">
        <w:rPr>
          <w:sz w:val="16"/>
        </w:rPr>
        <w:t xml:space="preserve">Here </w:t>
      </w:r>
      <w:r w:rsidRPr="00295149">
        <w:rPr>
          <w:rStyle w:val="StyleUnderline"/>
        </w:rPr>
        <w:t>I refer to claiming that something at time A caused something in time C without considering time B, which lies in between.</w:t>
      </w:r>
      <w:r w:rsidRPr="009D6C8A">
        <w:rPr>
          <w:sz w:val="16"/>
        </w:rPr>
        <w:t xml:space="preserve"> African political sci- entist Mahmood Mamdani, in his Citizen and Subject: Contemporary Africa and the Legacy of Late Colonialism,22 draws a direct causal connec- tion between a colonial policy—important in the 1920s and 1930s—of rul- ing through African chiefdoms given authority under colonial auspices and the brittle politics of authoritarianism and ethnicity in Africa in the 1980s and 1990s. Mamdani has a point at either end of his leapfrog, but he misses what lies in between. His book says almost nothing about the 1950s and 1960s, and thus does not consider another dimension of Africa’s malaise: that there was indeed effective mobilization in those years that cut across ethnic divisions and urban/rural distinctions. Through such mobilizations, Africans made strong claims to citizenship. African politicians built a pow- erful challenge to colonial regimes—either to make good on the implied promises of imperial citizenship or to give way to governments that could truly represent their citizens (see chapter 7). But once in power, such lead- ers understood all too well how dangerous such claims were. The explosion of citizenship in the final years of colonial rule appears nowhere in Mam- dani’s book. He thus misses not only the sequence of processes in the de- colonization era, but the tragedy of recent African history, people’s height- ened sense of possibility and the thwarting of their hopes.23 Doing History Backward </w:t>
      </w:r>
      <w:r w:rsidRPr="009D6C8A">
        <w:rPr>
          <w:rStyle w:val="Emphasis"/>
        </w:rPr>
        <w:t>Trying to illuminate present issues is a fine motivation for exploring the past, but as one looks backward, one risks anachronism: confusing the ana- lytic categories of the present with the native categories of the past, as if peo- ple acted in search of identity or to build a nation when such ways of think- ing might not have been available to them. Even more important is what one does not see: the paths not taken, the dead ends of historical processes, the alternatives that appeared to people in their time</w:t>
      </w:r>
      <w:r w:rsidRPr="009D6C8A">
        <w:rPr>
          <w:sz w:val="16"/>
        </w:rPr>
        <w:t>. Two common, and in many ways meritorious, approaches to historical analysis can easily fall into backward-</w:t>
      </w:r>
      <w:proofErr w:type="gramStart"/>
      <w:r w:rsidRPr="009D6C8A">
        <w:rPr>
          <w:sz w:val="16"/>
        </w:rPr>
        <w:t>lookinghistory.Oneistheideaofsocialconstruction</w:t>
      </w:r>
      <w:proofErr w:type="gramEnd"/>
      <w:r w:rsidRPr="009D6C8A">
        <w:rPr>
          <w:sz w:val="16"/>
        </w:rPr>
        <w:t xml:space="preserve">,ausefulan- tidote to claims that race, ethnicity, or nationality are primordial character- istics of given groups, and which is also helpful in recognizing that race or any other category may be no less important for having been constructed historically. The trouble with constructivism, as it is most often practiced, is that it doesn’t go far enough: we talk of the social construction of racial cat- egories, but it is rare that we even ask about categories that are not now im- portant, and we thus lose sight of the quest of people in the past to develop connections or ways of thinking that mattered to them but not to us.24 The study of nationalism in colonial societies is a case in point: because we know that the politics of the 1940s and 1950s did indeed end up producing nation- states, we tend to weave all forms of opposition to what colonialism did into a narrative of growing nationalist sentiment and nationalist organization. That the motivations and even the effects of political action at several junc- tures could have been something else can easily be lost.25 At a more abstract level, </w:t>
      </w:r>
      <w:r w:rsidRPr="009D6C8A">
        <w:rPr>
          <w:rStyle w:val="Emphasis"/>
        </w:rPr>
        <w:t>seeking the genealogy of concepts or ideas also easily turns into a backward-gazing approach to history. Just as an or-</w:t>
      </w:r>
      <w:r>
        <w:rPr>
          <w:rStyle w:val="Emphasis"/>
        </w:rPr>
        <w:t xml:space="preserve"> </w:t>
      </w:r>
      <w:r w:rsidRPr="009D6C8A">
        <w:rPr>
          <w:rStyle w:val="Emphasis"/>
        </w:rPr>
        <w:t>dinary genealogy starts with “ego” (the person looking backward) and produces a tree of connection, genealogical approaches to ideas look back- ward to find their roots, sometimes finding them in a discredited colonial past. What gets lost here is the historical context in which concepts emerged, the debates out of which they came, the ways in which they were deflected and appropriated</w:t>
      </w:r>
      <w:r w:rsidRPr="009D6C8A">
        <w:rPr>
          <w:sz w:val="16"/>
        </w:rPr>
        <w:t xml:space="preserve">. </w:t>
      </w:r>
      <w:r w:rsidRPr="009D6C8A">
        <w:rPr>
          <w:rStyle w:val="StyleUnderline"/>
        </w:rPr>
        <w:t>Genealogical and constructivist approaches when done in a historically grounded way—that is, by working forward— become other words for doing . . . history.</w:t>
      </w:r>
      <w:r w:rsidRPr="009D6C8A">
        <w:rPr>
          <w:sz w:val="16"/>
        </w:rPr>
        <w:t xml:space="preserve"> To the extent that such ap- proaches both call attention to the non-neutral position of the present-day observer and see the conceptual vision of that observer in historical terms, they are valuable, albeit hardly new.26 </w:t>
      </w:r>
      <w:r w:rsidRPr="009D6C8A">
        <w:rPr>
          <w:rStyle w:val="Emphasis"/>
        </w:rPr>
        <w:t>Good historical practice should be sensitive to the disjunctures between the frameworks of past actors and present interpreters.</w:t>
      </w:r>
      <w:r>
        <w:rPr>
          <w:rStyle w:val="Emphasis"/>
        </w:rPr>
        <w:t xml:space="preserve"> </w:t>
      </w:r>
      <w:r w:rsidRPr="009D6C8A">
        <w:rPr>
          <w:rStyle w:val="Emphasis"/>
        </w:rPr>
        <w:t xml:space="preserve">Historical analysis can point to moments of uncertainty—when stabilizing institutions were weakened and expectations of change heightened—and to moments of stability, and it can point to change. But to see history as a succession of epochs is to assume a coherence that complex interactions rarely produce. </w:t>
      </w:r>
      <w:r w:rsidRPr="009D6C8A">
        <w:rPr>
          <w:sz w:val="16"/>
        </w:rPr>
        <w:t xml:space="preserve">Whatever makes an era distinct should not only be present but be its defining feature; otherwise, the identification of an epoch says lit- tle. It is ironic that postmodernists, who distinguish themselves by a refusal of high theory and grand narrative, have to jimmy modernity into an epochal straightjacket in order to claim to have moved beyond it.27 </w:t>
      </w:r>
      <w:r w:rsidRPr="009D6C8A">
        <w:rPr>
          <w:rStyle w:val="Emphasis"/>
        </w:rPr>
        <w:t>A more nuanced approach involves assessing change in whatever dimensions it oc- curs and analyzing the significance and limitations of conjunctures when multidimensional change became possible.</w:t>
      </w:r>
      <w:r>
        <w:rPr>
          <w:rStyle w:val="Emphasis"/>
        </w:rPr>
        <w:t xml:space="preserve"> </w:t>
      </w:r>
      <w:r w:rsidRPr="009D6C8A">
        <w:rPr>
          <w:sz w:val="16"/>
        </w:rPr>
        <w:t xml:space="preserve">The term postwar has a clear meaning if the war in question has ended, and postcolonial is meaningful if one accepts—as I do—that the decolo- nizations of the postwar era extinguished the category of colonial empire from the repertoire of polities that were legitimate and viable in interna- tional politics.28 The post- can usefully underscore the importance of the colonial past to shaping the possibilities and constraints of the present, but such a process cannot be reduced to a colonial effect, nor can either a colo- nial or a postcolonial period be seen as a coherent whole, as if the varied ef- forts and struggles in which people engaged in different situations always ended up in the same place. One is not faced with a stark choice between a light-switch view of decolonization—once independence was declared, the polity became “African”—and a continuity approach (i.e., colonialism never really ended), but one can look at what in the course of struggle be- fore and after that moment could or could not be reimagined or reconfig- ured, what structural constraints persisted, what new forms of political and economic power impinged on ex-colonial states, and how people in the middle of colonial authority systems restructured their ties within and out- side of a national political space.29 </w:t>
      </w:r>
      <w:r w:rsidRPr="009D6C8A">
        <w:rPr>
          <w:rStyle w:val="StyleUnderline"/>
        </w:rPr>
        <w:t>Skepticism is especially in order in regard to the modern epoch. Mod- ernization theory was justly criticized for claiming that a certain societal form came to define a modern era.30 Era labeling has been given a new in- terdisciplinary lease on life</w:t>
      </w:r>
      <w:r w:rsidRPr="009D6C8A">
        <w:rPr>
          <w:sz w:val="16"/>
        </w:rPr>
        <w:t xml:space="preserve">, in part through the work of Michel Foucault, which locates modern governmentality in a space that is amorphous in time and amorphous in agency and causality, and provides a blueprint for a wide range of scholars to attribute practices and discourses to the fact of modernity, often elided with post-Enlightenment rationalism, bourgeois equality, and liberalism.31 Dipesh Chakrabarty, for example, justly criticizes versions of Indian his- tory, colonialist, nationalist, or Marxist, which measure the colonized by how well they succeeded in class formation and state-building—where Eu- rope supposedly led the way—and attribute their failures to certain lacks on their part (of a proper working class, of a proper bourgeoisie). He instead calls for the “provincialization” of Europe, its history seen as particular rather than as a universal model.32 Then he proceeds to do the opposite. </w:t>
      </w:r>
      <w:r w:rsidRPr="009D6C8A">
        <w:rPr>
          <w:rStyle w:val="StyleUnderline"/>
        </w:rPr>
        <w:t>Post-Enlightenment rationality, bourgeois equality, modernity, or liberalism become not provincial ideolo- gies but a grid of knowledge and power, forcing people to give up diverse understandings of community in favor of a one-to-one relationship of the unmarked individual and the nation-state, at best seeking “alternatives” to a modernity that is decidedly singular and decidedly European. European history is flattened into a single post-Enlightenment era.</w:t>
      </w:r>
      <w:r w:rsidRPr="009D6C8A">
        <w:rPr>
          <w:sz w:val="16"/>
        </w:rPr>
        <w:t xml:space="preserve"> A reference to Hegel stands in for a European history reduced to the claim of progress.33 </w:t>
      </w:r>
      <w:r w:rsidRPr="009D6C8A">
        <w:rPr>
          <w:rStyle w:val="StyleUnderline"/>
        </w:rPr>
        <w:t>Yet nineteenth-century Europe was immersed in struggles within and among many parochialisms and many universalities</w:t>
      </w:r>
      <w:r w:rsidRPr="009D6C8A">
        <w:rPr>
          <w:sz w:val="16"/>
        </w:rPr>
        <w:t>. Secularism was more often beleaguered than triumphant; ancien régimes and aristocracies didn’t die out on the guillotine.34 The balancing of the universalized rights- bearing individual against questions of “difference” was a vital debate within and after the Enlightenment. Intellectuals who called themselves modernists between 1890 and 1930 were in “revolt against positivism, ra- tionalism, realism, and liberalism,” something lost in the stark opposition between Enlightenment reason and the “posts” in vogue today.35 Sankar Muthu has brought out the debate over empire among Enlight- enment thinkers. For Diderot, most notably, coming to grips with the hu- manity of non-European people also meant confronting their subjection. Rather than seeing universal values as effacing difference, Diderot insisted on the fundamentally cultural nature of humanity. Others, like the Abbé Grégoire, were deeply sympathetic to slaves and the other victims of impe- rial oppression, but assumed that people, once liberated, would abandon their particularity. Still others—those most emphasized by critics of En- lightenment reason—advanced taxonomic structures, which in some (but not all) hands implied distinctions that put some outside the realm of the rights-bearing individual and made them a potential subject for coloniza- tion. “</w:t>
      </w:r>
      <w:r w:rsidRPr="009D6C8A">
        <w:rPr>
          <w:rStyle w:val="StyleUnderline"/>
        </w:rPr>
        <w:t>The” Enlightenment implied no one view of race or difference. It provided no clear basis either for legitimizing the subordination of certain non-European societies on the basis of universalistic criteria or for claim- ing that cultural difference precluded criticizing different political practices, in Europe or elsewhere</w:t>
      </w:r>
      <w:r w:rsidRPr="009D6C8A">
        <w:rPr>
          <w:sz w:val="16"/>
        </w:rPr>
        <w:t xml:space="preserve">.36 What Enlightenment implied in its time—and since—was the necessity of having the debate. The historians’ contribution is not to decide which Enlightenment was the authentic one, but to point to the responsibility of those who advanced particular arguments and the con- sequences of their interventions. </w:t>
      </w:r>
      <w:r w:rsidRPr="009D6C8A">
        <w:rPr>
          <w:rStyle w:val="Emphasis"/>
        </w:rPr>
        <w:t>Too ready identification of an actual Europe with post-Enlightenment rationality not only leaves out the conflict and uncertainty within that con- tinent’s history, but also the extent to which even such constructs as bour- geois equality were not some essence of the West but products of struggle. The ascension of a liberal idea of a rights-bearing individual over the equally liberal idea of rights as earned by the civilized behavior of a collec- tivity reflected the labors not only of a Toussaint L’Ouverture or a Freder- ick Douglass, but of unnamed ex-slaves, dependent laborers, and colonized peasants who revealed the limits of colonial power and defined alternative modes of living and working in the crevices of authority</w:t>
      </w:r>
      <w:r w:rsidRPr="009D6C8A">
        <w:rPr>
          <w:sz w:val="16"/>
        </w:rPr>
        <w:t xml:space="preserve">.37 Doing history historically does more to challenge the supposedly dom- inant narrative of Western-led progress, of nation-building, or of develop- ment than an approach to the past based on story plucking, leapfrogging legacies, doing history backward, or the epochal fallacy. Criticisms of histo- rians for writing everything into a linear history of human progress are often accurate and appropriate, but understanding different forms of tem- porality is not assisted by positing a flattened modern era against the linearity of a history of continual Western-centered progress. </w:t>
      </w:r>
      <w:r w:rsidRPr="009D6C8A">
        <w:rPr>
          <w:rStyle w:val="StyleUnderline"/>
        </w:rPr>
        <w:t>Historical temporality, as William Sewell puts it, is “lumpy”: the tendency for inno- vations and breaks to be reabsorbed into ongoing discursive and organiza- tional structures is sometimes broken by a cascade of events that reconfig- ures the imaginable and the conceivable</w:t>
      </w:r>
      <w:r w:rsidRPr="009D6C8A">
        <w:rPr>
          <w:sz w:val="16"/>
        </w:rPr>
        <w:t>.38 Historical time is lumpy in another sense—across different conceptions of temporality held by differ- ent people at the same moment. But if time is plural, it is not divided into self-contained compartments. One circles back to the problem that in order to understand how ideas of history were shaped by colonialism, one has to understand colonization and challenges to it over time. The critical insis- tence that historians examine their own concepts of time is valuable, but so too is the historian’s insistence on attention to process, on how what hap- pens at one moment in time configures possibilities and constraints on what can happen the next.</w:t>
      </w:r>
    </w:p>
    <w:p w14:paraId="40599798" w14:textId="77777777" w:rsidR="002A12C9" w:rsidRPr="00295149" w:rsidRDefault="002A12C9" w:rsidP="002A12C9"/>
    <w:p w14:paraId="48196EA5" w14:textId="77777777" w:rsidR="002A12C9" w:rsidRPr="00B616F6" w:rsidRDefault="002A12C9" w:rsidP="002A12C9">
      <w:pPr>
        <w:pStyle w:val="Heading4"/>
      </w:pPr>
      <w:r>
        <w:t xml:space="preserve">4. Reject the aff’s totalizing claims—their praxis is a bad way of characterizing the world and turns their mindset claims because they don’t make anything better for the people in the situation --- Zapatista movement proves </w:t>
      </w:r>
    </w:p>
    <w:p w14:paraId="12B69446" w14:textId="77777777" w:rsidR="002A12C9" w:rsidRDefault="002A12C9" w:rsidP="002A12C9">
      <w:pPr>
        <w:rPr>
          <w:rStyle w:val="Style13ptBold"/>
          <w:b w:val="0"/>
          <w:sz w:val="16"/>
          <w:szCs w:val="16"/>
        </w:rPr>
      </w:pPr>
      <w:r>
        <w:rPr>
          <w:rStyle w:val="Style13ptBold"/>
        </w:rPr>
        <w:t xml:space="preserve">Pappas 17 </w:t>
      </w:r>
      <w:r>
        <w:rPr>
          <w:rStyle w:val="Style13ptBold"/>
          <w:b w:val="0"/>
        </w:rPr>
        <w:t>(</w:t>
      </w:r>
      <w:r w:rsidRPr="00C92854">
        <w:rPr>
          <w:rStyle w:val="Style13ptBold"/>
          <w:b w:val="0"/>
          <w:sz w:val="16"/>
          <w:szCs w:val="16"/>
        </w:rPr>
        <w:t xml:space="preserve">Gregory Fernando Pappas, Texas A&amp;M </w:t>
      </w:r>
      <w:proofErr w:type="gramStart"/>
      <w:r w:rsidRPr="00C92854">
        <w:rPr>
          <w:rStyle w:val="Style13ptBold"/>
          <w:b w:val="0"/>
          <w:sz w:val="16"/>
          <w:szCs w:val="16"/>
        </w:rPr>
        <w:t>University,  and</w:t>
      </w:r>
      <w:proofErr w:type="gramEnd"/>
      <w:r w:rsidRPr="00C92854">
        <w:rPr>
          <w:rStyle w:val="Style13ptBold"/>
          <w:b w:val="0"/>
          <w:sz w:val="16"/>
          <w:szCs w:val="16"/>
        </w:rPr>
        <w:t xml:space="preserve"> Philosophy Documentation Center. “The Limitations and Dangers of Decolonial Philosophies in Advance.” Radical Philosophy Reviews, 2017) TSB</w:t>
      </w:r>
    </w:p>
    <w:p w14:paraId="0162FD3A" w14:textId="77777777" w:rsidR="002A12C9" w:rsidRPr="00B616F6" w:rsidRDefault="002A12C9" w:rsidP="002A12C9">
      <w:pPr>
        <w:rPr>
          <w:rStyle w:val="Style13ptBold"/>
          <w:b w:val="0"/>
          <w:sz w:val="28"/>
          <w:szCs w:val="28"/>
        </w:rPr>
      </w:pPr>
      <w:r w:rsidRPr="00B616F6">
        <w:rPr>
          <w:rStyle w:val="Style13ptBold"/>
          <w:b w:val="0"/>
          <w:sz w:val="28"/>
          <w:szCs w:val="28"/>
        </w:rPr>
        <w:t>NOTE: DO NOT READ THIS W CAP K</w:t>
      </w:r>
    </w:p>
    <w:p w14:paraId="4D994B99" w14:textId="77777777" w:rsidR="002A12C9" w:rsidRDefault="002A12C9" w:rsidP="002A12C9">
      <w:pPr>
        <w:rPr>
          <w:sz w:val="16"/>
        </w:rPr>
      </w:pPr>
      <w:r w:rsidRPr="00C92854">
        <w:rPr>
          <w:rStyle w:val="StyleUnderline"/>
        </w:rPr>
        <w:t>The tendency among decolonials to favor this starting point and to gravitate towards global views of injustice comes from the influence of “World-system” and “dependency” theory analysis</w:t>
      </w:r>
      <w:r w:rsidRPr="00B616F6">
        <w:rPr>
          <w:sz w:val="16"/>
        </w:rPr>
        <w:t xml:space="preserve"> in economics.xix However, </w:t>
      </w:r>
      <w:r w:rsidRPr="00C92854">
        <w:rPr>
          <w:rStyle w:val="StyleUnderline"/>
        </w:rPr>
        <w:t>a key influence</w:t>
      </w:r>
      <w:r w:rsidRPr="00B616F6">
        <w:rPr>
          <w:sz w:val="16"/>
        </w:rPr>
        <w:t xml:space="preserve">, not often recognized, </w:t>
      </w:r>
      <w:r w:rsidRPr="00C92854">
        <w:rPr>
          <w:rStyle w:val="Emphasis"/>
        </w:rPr>
        <w:t>is a general way of thinking about problems of injustice that is, ironically, “European” in origin (</w:t>
      </w:r>
      <w:r w:rsidRPr="00B616F6">
        <w:rPr>
          <w:sz w:val="16"/>
        </w:rPr>
        <w:t xml:space="preserve">I say ironically because they are against “Eurocentrism”). There </w:t>
      </w:r>
      <w:r w:rsidRPr="00C92854">
        <w:rPr>
          <w:rStyle w:val="StyleUnderline"/>
        </w:rPr>
        <w:t>is a long tradition of socio-political thought in Europe whose starting point is the injustices of society at large that have a history and persist through time, where the task of political philosophy is to detect and diagnose the presence of these historical injustices in particular situations of injustice</w:t>
      </w:r>
      <w:r w:rsidRPr="00B616F6">
        <w:rPr>
          <w:sz w:val="16"/>
        </w:rPr>
        <w:t xml:space="preserve">. For example, critical theory today has inherited an approach to social philosophy characteristic of the European tradition that goes back to Rousseau, Marx, Weber, Freud, Marcuse, and others. According to Roberto Frega, </w:t>
      </w:r>
      <w:r w:rsidRPr="00C92854">
        <w:rPr>
          <w:rStyle w:val="StyleUnderline"/>
        </w:rPr>
        <w:t>this tradition takes society to be “intrinsically sick” with a malaise that requires adopting a critical historical stance in order to understand how the systematic sickness affects present social situations. In other words, this approach assumes that “a philosophical critique of specific social situations can be accomplished only under the assumption of a broader and full blown critique of society in its entirety: as a critique of capitalism, of modernity, of western civilization, of rationality itself. The idea of social pathology becomes intelligible only against the background of a philosophy of history or of an anthropology of decline, according to which the distortions of actual social life are but the inevitable consequence of longstanding historical processes</w:t>
      </w:r>
      <w:r w:rsidRPr="00B616F6">
        <w:rPr>
          <w:sz w:val="16"/>
        </w:rPr>
        <w:t xml:space="preserve">.” xx This particular European approach to injustice is also present in some recent African American political philosophers. For instance, Charles W. Millsxxi claims that the starting point and alternative to the abstractions of ideal theory that masked injustices is to diagnose and rectify a history of an illness the legacy of white supremacy in our actual society.xxii </w:t>
      </w:r>
      <w:r w:rsidRPr="00C92854">
        <w:rPr>
          <w:rStyle w:val="StyleUnderline"/>
        </w:rPr>
        <w:t>For decolonials the “sickness” that affects Latin America is the global hegemony (economic, military, political and cultural) of the West (first via Europe and then the USA) broadcasted under the philosophy of the enlightenment with Europe as carrying the mission. As Vallega explains “Latin America suffered and continues to suffer under western hegemonic modernity and its system of power and knowledge</w:t>
      </w:r>
      <w:proofErr w:type="gramStart"/>
      <w:r w:rsidRPr="00B616F6">
        <w:rPr>
          <w:sz w:val="16"/>
        </w:rPr>
        <w:t>.”xxiii</w:t>
      </w:r>
      <w:proofErr w:type="gramEnd"/>
      <w:r w:rsidRPr="00B616F6">
        <w:rPr>
          <w:sz w:val="16"/>
        </w:rPr>
        <w:t xml:space="preserve"> </w:t>
      </w:r>
      <w:r w:rsidRPr="00C92854">
        <w:rPr>
          <w:rStyle w:val="Emphasis"/>
        </w:rPr>
        <w:t>A theory of grand historical evil and systematic sickness in the Americas can have great explanatory power and provide theoretical comfort, but this has its own limitations and dangers</w:t>
      </w:r>
      <w:r w:rsidRPr="00B616F6">
        <w:rPr>
          <w:sz w:val="16"/>
        </w:rPr>
        <w:t xml:space="preserve">. There is no doubt something impressive about how extensive is the theoretical explanatory power of decolonial theoriesxxiv but, </w:t>
      </w:r>
      <w:r w:rsidRPr="00B616F6">
        <w:rPr>
          <w:rStyle w:val="Emphasis"/>
        </w:rPr>
        <w:t>where we are standing when we start with such large historical metanarratives? How is it this not a God's-eye view of history? Is there a danger of slipping back into a form of universalism (which they have explicitly avoided)? Isn’t there a danger that when a theory explains so much that it becomes non- falsifiable and therefore non-empirical?</w:t>
      </w:r>
      <w:r w:rsidRPr="00B616F6">
        <w:rPr>
          <w:sz w:val="16"/>
        </w:rPr>
        <w:t xml:space="preserve"> One cannot help but wonder if Villoro saw these dangers and were the reasons why he did not jump on the decolonial bandwagon. In any case, </w:t>
      </w:r>
      <w:r w:rsidRPr="00B616F6">
        <w:rPr>
          <w:rStyle w:val="Emphasis"/>
        </w:rPr>
        <w:t>the adoption of historical global standpoints and quest for a comprehensive explanation as a result of large historical metanarratives has also the danger of not capturing the historical and the concrete particularity</w:t>
      </w:r>
      <w:r w:rsidRPr="00B616F6">
        <w:rPr>
          <w:sz w:val="16"/>
        </w:rPr>
        <w:t xml:space="preserve"> (pluralism, complexity, uniqueness) of actual injustices. The more we can explain the better is our diagnosis and possible solutions to concrete problems? This goes against the common wisdom expressed in Latin American cultures by the saying “el que mucho abarca poco aprieta” [“he who grasps too much loses a good grip”]. </w:t>
      </w:r>
      <w:r w:rsidRPr="00B616F6">
        <w:rPr>
          <w:rStyle w:val="StyleUnderline"/>
        </w:rPr>
        <w:t>When we start at the broad level of globality and history, as decolonials often do, there is a risk of oversimplifying and encouraging blindness about concrete injustice</w:t>
      </w:r>
      <w:r w:rsidRPr="00B616F6">
        <w:rPr>
          <w:sz w:val="16"/>
        </w:rPr>
        <w:t xml:space="preserve">s. In fact, one may argue that almost the contrary of seems reasonable. That is, </w:t>
      </w:r>
      <w:r w:rsidRPr="00B616F6">
        <w:rPr>
          <w:rStyle w:val="Emphasis"/>
        </w:rPr>
        <w:t>the wider or more global is an explanation of an injustice the more we should be skeptical of its validity; the wider they are the more the burden of proof is on the one making the simple diagnosis.</w:t>
      </w:r>
      <w:r w:rsidRPr="00B616F6">
        <w:rPr>
          <w:sz w:val="16"/>
        </w:rPr>
        <w:t xml:space="preserve"> </w:t>
      </w:r>
      <w:r w:rsidRPr="00B616F6">
        <w:rPr>
          <w:rStyle w:val="StyleUnderline"/>
        </w:rPr>
        <w:t>Consultation of recent rigorous research done by historians and social anthropologist</w:t>
      </w:r>
      <w:r w:rsidRPr="00B616F6">
        <w:rPr>
          <w:sz w:val="16"/>
        </w:rPr>
        <w:t xml:space="preserve"> about Latin America (more on this later) confirm what many know from simply living there: </w:t>
      </w:r>
      <w:r w:rsidRPr="00B616F6">
        <w:rPr>
          <w:rStyle w:val="StyleUnderline"/>
        </w:rPr>
        <w:t>most injustices in different parts of the Americas are so complex that any simple explanation merits the suspicion of being wishful thinkin</w:t>
      </w:r>
      <w:r w:rsidRPr="00B616F6">
        <w:rPr>
          <w:sz w:val="16"/>
        </w:rPr>
        <w:t xml:space="preserve">g. Let’s be fair, compare to Marxism, the decolonial turn added complexity and made a significant shift. Marxism as a tool was not sensitive enough to the realities on the ground in Latin America. It was a universal model that did not address adequately its particular problems. However, </w:t>
      </w:r>
      <w:r w:rsidRPr="00B616F6">
        <w:rPr>
          <w:rStyle w:val="StyleUnderline"/>
        </w:rPr>
        <w:t>decolonials do not seem to have abandoned or questioned the quest for a global standpoint and explanations that rely on large historical metanarratives. A</w:t>
      </w:r>
      <w:r w:rsidRPr="00B616F6">
        <w:rPr>
          <w:sz w:val="16"/>
        </w:rPr>
        <w:t>s a result d</w:t>
      </w:r>
      <w:r w:rsidRPr="00B616F6">
        <w:rPr>
          <w:rStyle w:val="StyleUnderline"/>
        </w:rPr>
        <w:t>ecolonial theories may sometimes be presented with the same pretension of offering a universal diagnosis</w:t>
      </w:r>
      <w:r w:rsidRPr="00B616F6">
        <w:rPr>
          <w:sz w:val="16"/>
        </w:rPr>
        <w:t xml:space="preserve"> of the complex and tragic problems of Latin America. Perhaps a more "pluralistic" and "context sensitive" approach can avoid some of the dangers I have presented.</w:t>
      </w:r>
    </w:p>
    <w:p w14:paraId="0CF608E6" w14:textId="77777777" w:rsidR="002A12C9" w:rsidRDefault="002A12C9" w:rsidP="002A12C9">
      <w:pPr>
        <w:rPr>
          <w:sz w:val="16"/>
        </w:rPr>
      </w:pPr>
    </w:p>
    <w:p w14:paraId="55C0161A" w14:textId="77777777" w:rsidR="002A12C9" w:rsidRDefault="002A12C9" w:rsidP="002A12C9">
      <w:pPr>
        <w:pStyle w:val="Heading4"/>
      </w:pPr>
      <w:r>
        <w:t xml:space="preserve">5. Epistemic delinking is a ruse: the idealism of it turns the potential benefits </w:t>
      </w:r>
    </w:p>
    <w:p w14:paraId="451CC647" w14:textId="77777777" w:rsidR="002A12C9" w:rsidRDefault="002A12C9" w:rsidP="002A12C9">
      <w:pPr>
        <w:rPr>
          <w:rStyle w:val="Style13ptBold"/>
          <w:b w:val="0"/>
          <w:sz w:val="16"/>
          <w:szCs w:val="16"/>
        </w:rPr>
      </w:pPr>
      <w:r>
        <w:rPr>
          <w:rStyle w:val="Style13ptBold"/>
        </w:rPr>
        <w:t xml:space="preserve">Cheah 6 </w:t>
      </w:r>
      <w:r w:rsidRPr="004E4BB7">
        <w:rPr>
          <w:rStyle w:val="Style13ptBold"/>
          <w:b w:val="0"/>
          <w:sz w:val="16"/>
          <w:szCs w:val="16"/>
        </w:rPr>
        <w:t>(Peang Cheah, Professor of Rhetoric and Chair of the Center for Southeast Asia Studies at the University of California, Berkeley. “The Limits of Thinking in Decolonial Strategies”, ownsendcenter.berkeley.edu/publications/limits-thinking-decolonial-strategies) TSB</w:t>
      </w:r>
    </w:p>
    <w:p w14:paraId="7BEF5BAB" w14:textId="77777777" w:rsidR="002A12C9" w:rsidRDefault="002A12C9" w:rsidP="002A12C9">
      <w:pPr>
        <w:rPr>
          <w:rStyle w:val="Style13ptBold"/>
          <w:b w:val="0"/>
          <w:szCs w:val="26"/>
        </w:rPr>
      </w:pPr>
      <w:r>
        <w:rPr>
          <w:rStyle w:val="Style13ptBold"/>
          <w:b w:val="0"/>
          <w:szCs w:val="26"/>
        </w:rPr>
        <w:t>---Link to Foucalt</w:t>
      </w:r>
    </w:p>
    <w:p w14:paraId="289CB312" w14:textId="77777777" w:rsidR="002A12C9" w:rsidRPr="004E4BB7" w:rsidRDefault="002A12C9" w:rsidP="002A12C9">
      <w:pPr>
        <w:rPr>
          <w:rStyle w:val="Style13ptBold"/>
          <w:b w:val="0"/>
          <w:szCs w:val="26"/>
        </w:rPr>
      </w:pPr>
      <w:r>
        <w:rPr>
          <w:rStyle w:val="Style13ptBold"/>
          <w:b w:val="0"/>
          <w:szCs w:val="26"/>
        </w:rPr>
        <w:t xml:space="preserve">--Case card that works well with the Cap K </w:t>
      </w:r>
    </w:p>
    <w:p w14:paraId="1E8E8E6F" w14:textId="77777777" w:rsidR="002A12C9" w:rsidRDefault="002A12C9" w:rsidP="002A12C9">
      <w:pPr>
        <w:rPr>
          <w:rStyle w:val="Emphasis"/>
        </w:rPr>
      </w:pPr>
      <w:r>
        <w:t xml:space="preserve">What I would like to focus on are not the details </w:t>
      </w:r>
      <w:r w:rsidRPr="004E4BB7">
        <w:rPr>
          <w:rStyle w:val="StyleUnderline"/>
        </w:rPr>
        <w:t>of Mignolo’s polemical criticisms,</w:t>
      </w:r>
      <w:r>
        <w:t xml:space="preserve"> but instead the account of power implied by his understanding of the epistemic. What is </w:t>
      </w:r>
      <w:r w:rsidRPr="004E4BB7">
        <w:rPr>
          <w:rStyle w:val="StyleUnderline"/>
        </w:rPr>
        <w:t>put forward here is a logocentrism of power</w:t>
      </w:r>
      <w:r>
        <w:t xml:space="preserve">. For Mignolo, power, whether it is oppressive or liberatory, has a logic that we can chart, decipher, and ultimately correct. There is a logic of coloniality and it has to be counteracted by a logic of decoloniality. Delinking from the colonial matrix of power does not seek to reject modernity and its conceptual system because this is so widespread. It requires instead, </w:t>
      </w:r>
      <w:r w:rsidRPr="004E4BB7">
        <w:rPr>
          <w:rStyle w:val="StyleUnderline"/>
        </w:rPr>
        <w:t>Mignolo believes</w:t>
      </w:r>
      <w:r>
        <w:t xml:space="preserve">, “border thinking or border epistemology in the precise sense that the Western foundation of modernity and of knowledge is, on the one hand, unavoidable and, on the other, highly limited and dangerous.” </w:t>
      </w:r>
      <w:r w:rsidRPr="004E4BB7">
        <w:rPr>
          <w:rStyle w:val="StyleUnderline"/>
        </w:rPr>
        <w:t>Coloniality is ultimately always a failure of thought, of knowledge, or of a logic that is dangerous. This is also, in many respects, a top-down theory of power, where power is repressive and emanates from a totalizing source according to a logical design or plan</w:t>
      </w:r>
      <w:r>
        <w:t xml:space="preserve">. Events and occurrences up to and including the present are grounded in a logic that is dangerous or mistaken and that needs to be corrected by the intervention of other logics that emanate from the various subjects that have been excluded and subjugated by coloniality. It is at this point that the question of the re-embodiment and relocation of knowledge becomes crucial. For </w:t>
      </w:r>
      <w:r w:rsidRPr="004E4BB7">
        <w:rPr>
          <w:rStyle w:val="Emphasis"/>
        </w:rPr>
        <w:t xml:space="preserve">Mignolo admits that the project of epistemic delinking may sound “somewhat messianic.” I would say perhaps “idealistic” in the colloquial sense. </w:t>
      </w:r>
      <w:r>
        <w:t>However, he immediately asserts that it is “an orientation that in the first decade of the 21st century has shown its potential and its viability,” for example, in the various World Social Forums. Many historical examples of liberation are also adduced: the Amaru rising in Peru, the Hatian revolution and decolonization in Asia and Africa. As opposed to the false other that modernity has invented as its exteriority or outside, the outside that it has excluded in order to create itself, these truly other voices introduce “other cosmologies into the dominance and hegemony of Western cosmological variations within the same rhetoric of modernity and logic of coloniality.” The logic of decoloniality was then explicitly thematized in the thought of radical Arabo-Islamic thinkers in the 1960s and 1970s such as Ayatollah Khomeini and by philosophy of liberation in Latin America and by first-nation intellectuals. Th</w:t>
      </w:r>
      <w:r w:rsidRPr="004E4BB7">
        <w:rPr>
          <w:rStyle w:val="StyleUnderline"/>
        </w:rPr>
        <w:t>e stress is placed on the importance of “other” languages that have been negated by colonial modernity.</w:t>
      </w:r>
      <w:r>
        <w:t xml:space="preserve"> The argument here is similar to the epistemology of location in feminist theory and critical race theory (for example, Luce Irigaray). I would like to end by posing two questions concerning the two main limbs of Mignolo’s argument: the primacy of the epistemic and the urgency of embodying and locating knowledge. First, </w:t>
      </w:r>
      <w:r w:rsidRPr="004E4BB7">
        <w:rPr>
          <w:rStyle w:val="StyleUnderline"/>
        </w:rPr>
        <w:t>does power in fact operate according to a logic and from a totalizing source that represses and subjugates those it has excluded in contemporary globalization? Is the link between modernity and coloniality primarily epistemic in character? It is interesting to note from this perspective that when Mignolo attempts to establish the epistemic link between modernity and coloniality, he relies on a historical biography and the fiction of a collective will or intention to dominate and colonize: “The rhetoric of modernity has been predominantly put forward by European men of letters, philosophers, intellectuals, officers of the state</w:t>
      </w:r>
      <w:r>
        <w:t>. The modern/colonial power differential was, of course, structured at all levels (economic, political, epistemological, militarily), but it was at the epistemological level that the rhetoric of modernity gained currency. If we had time to go into the biography of the main voices that conceived ‘modernity’ as the series of historical events</w:t>
      </w:r>
      <w:proofErr w:type="gramStart"/>
      <w:r>
        <w:t>….all</w:t>
      </w:r>
      <w:proofErr w:type="gramEnd"/>
      <w:r>
        <w:t xml:space="preserve"> of them would originate in one of the six European countries leading the Renaissance, the colonial expansion and capitalist formation, and the European Enlightenment.” </w:t>
      </w:r>
      <w:r w:rsidRPr="004E4BB7">
        <w:rPr>
          <w:rStyle w:val="Emphasis"/>
        </w:rPr>
        <w:t>In this view, development in the postcolonial world would be an ideological ruse of the logic of coloniality that forecloses the voices of marginalized peoples. Yet, one might argue that exploitative development in contemporary globalization operates not by racist techniques of exclusion and marginalization, but precisely by including, integrating, and assimilating every being into the circuit of the international division of labor. This is done by transforming them into reserve labor power through techniques of what Foucault called biopower. But we would here need to understand biopower in a different way from Mignolo’s understanding of biopolitics or body-politics, a difference that he also acknowledges</w:t>
      </w:r>
      <w:r>
        <w:t xml:space="preserve">. </w:t>
      </w:r>
      <w:r w:rsidRPr="004E4BB7">
        <w:rPr>
          <w:rStyle w:val="StyleUnderline"/>
        </w:rPr>
        <w:t>This different understanding of power as productive as opposed to repressive seems especially important in contemporary globalization where the flows of transnational capital fabricate the economic well-being of nation-states and their individual citizens.</w:t>
      </w:r>
      <w:r>
        <w:t xml:space="preserve"> First, at the macrological level of global political economy, states undertake aggressive policy initiatives to open up their markets and attract foreign capital. Second, at the level of the biopolitical production of the individual and the population, techniques of discipline and government craft the bodies of individuals as bodies capable of work and create their needs and interests as members of a population. Third, at the level of social reproduction, </w:t>
      </w:r>
      <w:r w:rsidRPr="004E4BB7">
        <w:rPr>
          <w:rStyle w:val="StyleUnderline"/>
        </w:rPr>
        <w:t>global mass consumer culture also leads to the proliferation of sophisticated consumer needs and desires. These processes constitute the conditions of possibility of the political and economic self-determination and sovereignty of collective subjects and the self-mastery and security of individual subjects. In other words, the current state of power relations is an effect of multiple processes that are dynamic, heterogeneous, and unstable, processes that cannot be reduced to a single logic of coloniality</w:t>
      </w:r>
      <w:r>
        <w:t xml:space="preserve">, although </w:t>
      </w:r>
      <w:r w:rsidRPr="004E4BB7">
        <w:rPr>
          <w:rStyle w:val="StyleUnderline"/>
        </w:rPr>
        <w:t>the latter can emerge as their effect. What is the relation between these two different conceptions of biopolitics? Do they contradict each other?</w:t>
      </w:r>
      <w:r>
        <w:t xml:space="preserve"> How would the wretched of the earth fit into this alternative cartography of global power that I have sketched? This leads me to my second question. </w:t>
      </w:r>
      <w:r w:rsidRPr="004E4BB7">
        <w:rPr>
          <w:rStyle w:val="Emphasis"/>
        </w:rPr>
        <w:t>The focus on re-embodying knowledges and knowledges in other languages can very easily lead to an idealization of bodily experiences and the concrete and the linguistic other.</w:t>
      </w:r>
      <w:r>
        <w:t xml:space="preserve"> First, do concrete corporeal experiences offer a genuinely other perspective if the concrete bodily needs of individuals are crafted by the techniques of biopower as they are incorporated into the </w:t>
      </w:r>
      <w:r w:rsidRPr="00B253AA">
        <w:rPr>
          <w:rStyle w:val="StyleUnderline"/>
        </w:rPr>
        <w:t>international division of labor? Second, indigenous languages are not inherently egalitarian or liberating just because they are non-European. Non-European languages can have hierarchical, conservative, or reactionary forms of address. Third, how are we to account for the startling similarity between Mignolo’s account of pluriversality and intercultural communication and the kind of cultural pluralism espoused by UNESCO?</w:t>
      </w:r>
      <w:r>
        <w:t xml:space="preserve"> </w:t>
      </w:r>
      <w:r w:rsidRPr="00B253AA">
        <w:rPr>
          <w:rStyle w:val="Emphasis"/>
        </w:rPr>
        <w:t>Here, one should also note the importance of language learning and multiculturalism to the operations of multinational capital. These are all forms of bio-power in the Foucauldian sense. How does one distinguish this from Mignolo’s sense of bio- or body-politics? The problem might well be that we cannot do so. One would need to look at the true heterogeneity of the outside and the complex and multifarious technologies that fabricate these various outsides, not just at the level of a racist rhetoric of exclusion, but at the most concrete level of the production of the bodily needs and interests of subjects claiming alterity.</w:t>
      </w:r>
    </w:p>
    <w:p w14:paraId="5DFB0A72" w14:textId="77777777" w:rsidR="002A12C9" w:rsidRDefault="002A12C9" w:rsidP="002A12C9">
      <w:pPr>
        <w:rPr>
          <w:rStyle w:val="Emphasis"/>
        </w:rPr>
      </w:pPr>
    </w:p>
    <w:p w14:paraId="02CC9441" w14:textId="77777777" w:rsidR="002A12C9" w:rsidRDefault="002A12C9" w:rsidP="002A12C9">
      <w:pPr>
        <w:pStyle w:val="Heading4"/>
        <w:rPr>
          <w:rStyle w:val="Emphasis"/>
          <w:b/>
          <w:sz w:val="26"/>
          <w:u w:val="none"/>
        </w:rPr>
      </w:pPr>
      <w:r>
        <w:rPr>
          <w:rStyle w:val="Emphasis"/>
          <w:b/>
          <w:sz w:val="26"/>
          <w:u w:val="none"/>
        </w:rPr>
        <w:t xml:space="preserve">6. </w:t>
      </w:r>
      <w:r w:rsidRPr="00D438FF">
        <w:rPr>
          <w:rStyle w:val="Emphasis"/>
          <w:b/>
          <w:sz w:val="26"/>
          <w:u w:val="none"/>
        </w:rPr>
        <w:t xml:space="preserve">Politics needs to be taken in context--- </w:t>
      </w:r>
      <w:r>
        <w:rPr>
          <w:rStyle w:val="Emphasis"/>
          <w:b/>
          <w:sz w:val="26"/>
          <w:u w:val="none"/>
        </w:rPr>
        <w:t>don’t write off all modernity as colonial—differentiation is key to effective history</w:t>
      </w:r>
    </w:p>
    <w:p w14:paraId="7D60371C" w14:textId="77777777" w:rsidR="002A12C9" w:rsidRPr="00D438FF" w:rsidRDefault="002A12C9" w:rsidP="002A12C9">
      <w:pPr>
        <w:rPr>
          <w:rStyle w:val="Style13ptBold"/>
        </w:rPr>
      </w:pPr>
      <w:r>
        <w:rPr>
          <w:rStyle w:val="Style13ptBold"/>
        </w:rPr>
        <w:t xml:space="preserve">Cooper 5 </w:t>
      </w:r>
      <w:r>
        <w:rPr>
          <w:rStyle w:val="Style13ptBold"/>
          <w:b w:val="0"/>
        </w:rPr>
        <w:t xml:space="preserve">Frederick Cooper </w:t>
      </w:r>
      <w:r w:rsidRPr="009D6C8A">
        <w:rPr>
          <w:rStyle w:val="Style13ptBold"/>
          <w:b w:val="0"/>
        </w:rPr>
        <w:t>is an American historian who specializes in colonialization, decolonialization, and African history. Cooper received his Doctor of Philosophy from Yale University in 1974 and is currently professor of</w:t>
      </w:r>
      <w:r>
        <w:rPr>
          <w:rStyle w:val="Style13ptBold"/>
          <w:b w:val="0"/>
        </w:rPr>
        <w:t xml:space="preserve"> history at New York University, “Colonialism in Question: Theory, Knowledge, History.” P. 136 TSB</w:t>
      </w:r>
    </w:p>
    <w:p w14:paraId="6F2F2189" w14:textId="77777777" w:rsidR="002A12C9" w:rsidRPr="00D438FF" w:rsidRDefault="002A12C9" w:rsidP="002A12C9">
      <w:pPr>
        <w:rPr>
          <w:rStyle w:val="Emphasis"/>
          <w:b w:val="0"/>
          <w:u w:val="none"/>
        </w:rPr>
      </w:pPr>
      <w:r w:rsidRPr="00D438FF">
        <w:rPr>
          <w:rStyle w:val="Emphasis"/>
          <w:b w:val="0"/>
          <w:u w:val="none"/>
        </w:rPr>
        <w:t>C</w:t>
      </w:r>
      <w:r w:rsidRPr="00D438FF">
        <w:rPr>
          <w:rStyle w:val="StyleUnderline"/>
        </w:rPr>
        <w:t>olonialism was very much part of the twentieth century. So too was anticolonialism</w:t>
      </w:r>
      <w:r w:rsidRPr="00D438FF">
        <w:rPr>
          <w:rStyle w:val="Emphasis"/>
          <w:b w:val="0"/>
          <w:u w:val="none"/>
        </w:rPr>
        <w:t xml:space="preserve">. So was fascism and antifascism, racism and antiracism. People made their moral and political choices. They did </w:t>
      </w:r>
      <w:r w:rsidRPr="000F50C4">
        <w:rPr>
          <w:rStyle w:val="Emphasis"/>
        </w:rPr>
        <w:t>so within specific, often conflicting, ideological constructs and historical contexts. Some may have claimed to speak for modernity when arguing for or against racial dis- crimination, but neither those actors nor those frameworks can be reduced to modernity. And colonialism, like Nazism, drew vitally on notions whose history—from empires with a long continuous history to notions of com- mand and status—extends back in time and cannot be reduced to post- Enlightenment rationality, liberalism, or science</w:t>
      </w:r>
      <w:r w:rsidRPr="00D438FF">
        <w:rPr>
          <w:rStyle w:val="Emphasis"/>
          <w:b w:val="0"/>
          <w:u w:val="none"/>
        </w:rPr>
        <w:t>. It is no more helpful to credit the end of colonialism in the 1960s to the march of modernity than to claim that modernity conquered the Zulu in the 1870s. That the mod- erns’ capacity for rational organization was used to organize transportation</w:t>
      </w:r>
    </w:p>
    <w:p w14:paraId="7E2678FB" w14:textId="77777777" w:rsidR="002A12C9" w:rsidRPr="00D438FF" w:rsidRDefault="002A12C9" w:rsidP="002A12C9">
      <w:pPr>
        <w:rPr>
          <w:rStyle w:val="Emphasis"/>
          <w:b w:val="0"/>
          <w:u w:val="none"/>
        </w:rPr>
      </w:pPr>
      <w:r w:rsidRPr="00D438FF">
        <w:rPr>
          <w:rStyle w:val="Emphasis"/>
          <w:b w:val="0"/>
          <w:u w:val="none"/>
        </w:rPr>
        <w:t>of deportees to Auschwitz and to police the migrations of Africans in apartheid South Africa is not an argument against building railroads, and the murderous consequences of such “development” projects as Stalin’s or Mao’s versions of forced collectivization are not convincing arguments against efforts to build national healthcare institutions.62 A whiggish view of progress, in which evil after evil falls before the increasing power of human rationality, is more persuasively countered by efforts to locate ideo- logical and political responsibility historically than by maintaining the ar- gument at the level of agentless abstractions.</w:t>
      </w:r>
    </w:p>
    <w:p w14:paraId="24FC2AE6" w14:textId="77777777" w:rsidR="002A12C9" w:rsidRPr="000F50C4" w:rsidRDefault="002A12C9" w:rsidP="002A12C9">
      <w:pPr>
        <w:rPr>
          <w:rStyle w:val="Emphasis"/>
        </w:rPr>
      </w:pPr>
      <w:r w:rsidRPr="00D438FF">
        <w:rPr>
          <w:rStyle w:val="Emphasis"/>
          <w:b w:val="0"/>
          <w:u w:val="none"/>
        </w:rPr>
        <w:t xml:space="preserve">These concerns are all too real today. While some (but not all) Islamic mullahs attack “Western modernity” as a degenerate, antireligious totality, some (but not all) American mullahs attack Islam as being “antimodern.” </w:t>
      </w:r>
      <w:r w:rsidRPr="000F50C4">
        <w:rPr>
          <w:rStyle w:val="StyleUnderline"/>
        </w:rPr>
        <w:t xml:space="preserve">Difficult issues are being debated about the options open to societies in the Middle East and elsewhere, about the constraints, limits, and effects of American power in different regions, about the relevance in different con- texts of “universal” notions of the rights of women and “Islamic” notions of modesty and status.63 Historians have no privileged vantage point to in- tervene on such issues, but they can remind people of the range of ways in which problems can be framed and that any framing will have its conse- quences. </w:t>
      </w:r>
      <w:r w:rsidRPr="000F50C4">
        <w:rPr>
          <w:rStyle w:val="Emphasis"/>
        </w:rPr>
        <w:t>Framing debates in terms of modernity, antimodernity, and alter- native modernities has not provided a precise or suggestive vocabulary for analyzing the relationship of different elements of change, the alternative ways in which political issues can be framed, or conflicting dreams of the future.</w:t>
      </w:r>
    </w:p>
    <w:p w14:paraId="79067AD0" w14:textId="77777777" w:rsidR="002A12C9" w:rsidRDefault="002A12C9" w:rsidP="002A12C9">
      <w:pPr>
        <w:rPr>
          <w:rStyle w:val="Emphasis"/>
        </w:rPr>
      </w:pPr>
    </w:p>
    <w:p w14:paraId="08A285C9" w14:textId="77777777" w:rsidR="002A12C9" w:rsidRPr="00100E72" w:rsidRDefault="002A12C9" w:rsidP="002A12C9">
      <w:pPr>
        <w:pStyle w:val="Heading4"/>
        <w:rPr>
          <w:rStyle w:val="Emphasis"/>
          <w:b/>
          <w:sz w:val="26"/>
          <w:u w:val="none"/>
        </w:rPr>
      </w:pPr>
      <w:r>
        <w:rPr>
          <w:rStyle w:val="Emphasis"/>
          <w:b/>
          <w:sz w:val="26"/>
          <w:u w:val="none"/>
        </w:rPr>
        <w:t>7. needs tag)—wrong starting point</w:t>
      </w:r>
    </w:p>
    <w:p w14:paraId="5DF32C2F" w14:textId="77777777" w:rsidR="002A12C9" w:rsidRPr="001C195D" w:rsidRDefault="002A12C9" w:rsidP="002A12C9">
      <w:pPr>
        <w:rPr>
          <w:rStyle w:val="Style13ptBold"/>
          <w:b w:val="0"/>
        </w:rPr>
      </w:pPr>
      <w:r>
        <w:rPr>
          <w:rStyle w:val="Style13ptBold"/>
        </w:rPr>
        <w:t>Dirlik 94 (</w:t>
      </w:r>
      <w:r>
        <w:rPr>
          <w:rStyle w:val="Style13ptBold"/>
          <w:b w:val="0"/>
        </w:rPr>
        <w:t xml:space="preserve">Arif Dirlik, </w:t>
      </w:r>
      <w:r w:rsidRPr="001C195D">
        <w:rPr>
          <w:rStyle w:val="Style13ptBold"/>
          <w:b w:val="0"/>
        </w:rPr>
        <w:t>Professor Dirlik was born in Turkey in 1940. He, a former professor of Duke University, recently retired as ''Knight Professor of Social Science'' from the University of Oregon. He is a renowned sinologist as well as an accomplished social theorist. He is versed in the Chinese language and history as well as</w:t>
      </w:r>
      <w:r>
        <w:rPr>
          <w:rStyle w:val="Style13ptBold"/>
          <w:b w:val="0"/>
        </w:rPr>
        <w:t xml:space="preserve"> Marxism and post-</w:t>
      </w:r>
      <w:proofErr w:type="gramStart"/>
      <w:r>
        <w:rPr>
          <w:rStyle w:val="Style13ptBold"/>
          <w:b w:val="0"/>
        </w:rPr>
        <w:t>colonialism.</w:t>
      </w:r>
      <w:r w:rsidRPr="001C195D">
        <w:rPr>
          <w:rStyle w:val="Style13ptBold"/>
          <w:b w:val="0"/>
        </w:rPr>
        <w:t>.</w:t>
      </w:r>
      <w:proofErr w:type="gramEnd"/>
      <w:r>
        <w:rPr>
          <w:rStyle w:val="Style13ptBold"/>
          <w:b w:val="0"/>
        </w:rPr>
        <w:t xml:space="preserve"> “</w:t>
      </w:r>
      <w:r w:rsidRPr="001C195D">
        <w:rPr>
          <w:rStyle w:val="Style13ptBold"/>
          <w:b w:val="0"/>
        </w:rPr>
        <w:t>The Postcolonial Aura: Third World Criticism in the Age of Global Capitalism</w:t>
      </w:r>
      <w:r>
        <w:rPr>
          <w:rStyle w:val="Style13ptBold"/>
          <w:b w:val="0"/>
        </w:rPr>
        <w:t xml:space="preserve">”, </w:t>
      </w:r>
    </w:p>
    <w:p w14:paraId="54F301CE" w14:textId="77777777" w:rsidR="002A12C9" w:rsidRDefault="002A12C9" w:rsidP="002A12C9">
      <w:r>
        <w:t xml:space="preserve">Postcolonial critics insist that they are Marxists, but Marxists who reject the "nineteenth-century heritage" of Marxism with its universalistic pretensions that ignored historical differences ("PC,"p. 15). Chinese Marxist revolutionaries in the 1930s faced and addressed the problem of articulating Marxism to Chinese conditions (and vice versa). Their answer was that Marxism must be translated into a Chinese vernacular not just in a national but, more importantly, in a local sense: the language of the peasantry. The result was what is commonly called the Sinification of Marxism, embodied in so-called Mao Zedong Thought.19 The approach of postcolonial critics to a similar problem is not to translate Marxism into a national (which is rejected) or local (which is affirmed) vernacular but to rephrase it in the language of post- structuralism, in which Marxism is deconstructed, decentered, and so on. In other words, a </w:t>
      </w:r>
      <w:r w:rsidRPr="00100E72">
        <w:rPr>
          <w:rStyle w:val="StyleUnderline"/>
        </w:rPr>
        <w:t>critique that starts off with a repudiation of the univer- salistic pretensions of Marxist language ends up not with its dispersion into local vernaculars but with a return to another First World language with universalistic epistemological pretensions</w:t>
      </w:r>
      <w:r>
        <w:t xml:space="preserve">. It enables us, at least, to locate postcolonial criticism in the contemporary First World. This is not a particularly telling point. Postcolonial critics recognize that the "critical gaze" their studies "direct at the archeology of knowl- edge enshrined in the west arises from the fact that most of them are being written in the first-world academy" ("PC,"p. 10). </w:t>
      </w:r>
      <w:r w:rsidRPr="00100E72">
        <w:rPr>
          <w:rStyle w:val="StyleUnderline"/>
        </w:rPr>
        <w:t xml:space="preserve">In drawing at- tention to the language of postcolonial discourse, I seek, however, to deconstruct postcolonial intellectuals' professions of hybridity and in-betweenness. The hybridity to which postcolonial criticism refers is uniformly between the postcolonial and the First World, never, to my knowledge, between one postcolonial intellectual and another. But hy- bridity and in-betweenness are not very revealing concepts in the former case either. Whereas postcolonial criticism quite validly points to the over- determination of concepts and subjectivities (and I am quite sure that postcolonial subjectivity is overdetermined, while less sure that it is more so than any other), </w:t>
      </w:r>
      <w:r w:rsidRPr="00100E72">
        <w:rPr>
          <w:rStyle w:val="Emphasis"/>
        </w:rPr>
        <w:t>it conveniently ignores the part location in ideological and institutional structures plays in the resolution of contradictions pre- sented by hybridity-and the consequences of location in generating vast differences in power</w:t>
      </w:r>
      <w:r w:rsidRPr="00100E72">
        <w:rPr>
          <w:rStyle w:val="StyleUnderline"/>
        </w:rPr>
        <w:t>.</w:t>
      </w:r>
      <w:r>
        <w:t xml:space="preserve">20If </w:t>
      </w:r>
      <w:r w:rsidRPr="001C195D">
        <w:rPr>
          <w:rStyle w:val="StyleUnderline"/>
        </w:rPr>
        <w:t>the language of postcolonial discourse is any guide to its ideological direction, in this case the contradictions presented by hybridity would seem to be given direction by the location of postcolo- nial intellectuals in the academic institutions of the First World</w:t>
      </w:r>
      <w:r>
        <w:t xml:space="preserve">. However much postcolonial intellectuals may insist on hybridity and the transposa- bility of locations, not all positions are equal in power, as Spivak's interro- gators in India seem to recognize in their reference to the "wings of progress" that brought her to India. </w:t>
      </w:r>
      <w:r w:rsidRPr="001C195D">
        <w:rPr>
          <w:rStyle w:val="StyleUnderline"/>
        </w:rPr>
        <w:t>To insist on hybridity against one's own language, it seems to me, is to disguise not only ideological location but also the differences of power that go with different locations. Postco- lonial intellectuals in their First World institutional location are en- sconced in positions of power not only vis-a-vis the "native" intellectuals back at home but also vis-a-vis their First World neighbors here</w:t>
      </w:r>
      <w:r>
        <w:t>. My neighbors in Farmville, Virginia, are no match in power for the highly paid, highly prestigious postcolonial intellectuals at Columbia, Princeton, or Duke; some of them might even be willing to swap positions and take the anguish that comes with hybridity so long as it brings with it the power and the prestige it seems to command. "</w:t>
      </w:r>
      <w:r w:rsidRPr="00100E72">
        <w:rPr>
          <w:rStyle w:val="StyleUnderline"/>
        </w:rPr>
        <w:t>Postcoloniality,"Appiah writes, "has become ... a condition of pes- simism,"21and there is much to be pessimistic about the world situation of which postcoloniality is an expression. This is not the message of post- colonialism, however, as it acquires respectability and gains admission in United States academic institutions. Whereas this discourse shares in the same themes as postcolonial discourses everywhere, it rearranges these themes into a celebration of the end of colonialism, as if the only tasks left for the present were to abolish its ideological and cultural legacy</w:t>
      </w:r>
      <w:r>
        <w:t xml:space="preserve">. </w:t>
      </w:r>
    </w:p>
    <w:p w14:paraId="099929E9" w14:textId="77777777" w:rsidR="002A12C9" w:rsidRPr="001C195D" w:rsidRDefault="002A12C9" w:rsidP="002A12C9"/>
    <w:p w14:paraId="53E97C9A" w14:textId="77777777" w:rsidR="002A12C9" w:rsidRDefault="002A12C9" w:rsidP="002A12C9"/>
    <w:p w14:paraId="3F5DF92F" w14:textId="77777777" w:rsidR="002A12C9" w:rsidRDefault="002A12C9" w:rsidP="002A12C9">
      <w:pPr>
        <w:pStyle w:val="Heading4"/>
      </w:pPr>
      <w:r>
        <w:t>8. Decoloniailty fails—they try to decolonize but the theory comes from Hegel, a huge colonist</w:t>
      </w:r>
    </w:p>
    <w:p w14:paraId="132D66BB" w14:textId="77777777" w:rsidR="002A12C9" w:rsidRPr="0021696F" w:rsidRDefault="002A12C9" w:rsidP="002A12C9">
      <w:pPr>
        <w:rPr>
          <w:rStyle w:val="Style13ptBold"/>
          <w:b w:val="0"/>
        </w:rPr>
      </w:pPr>
      <w:r>
        <w:rPr>
          <w:rStyle w:val="Style13ptBold"/>
        </w:rPr>
        <w:t xml:space="preserve">Morton 16 </w:t>
      </w:r>
      <w:r>
        <w:rPr>
          <w:rStyle w:val="Style13ptBold"/>
          <w:b w:val="0"/>
        </w:rPr>
        <w:t>(Timothy Morton, November 11, 2016, “</w:t>
      </w:r>
      <w:r w:rsidRPr="001F1713">
        <w:rPr>
          <w:rStyle w:val="Style13ptBold"/>
          <w:b w:val="0"/>
        </w:rPr>
        <w:t>There's a Massive Problem with Decolonial Theory</w:t>
      </w:r>
      <w:r>
        <w:rPr>
          <w:rStyle w:val="Style13ptBold"/>
          <w:b w:val="0"/>
        </w:rPr>
        <w:t xml:space="preserve">”, </w:t>
      </w:r>
      <w:hyperlink r:id="rId24" w:history="1">
        <w:r w:rsidRPr="00D90194">
          <w:rPr>
            <w:rStyle w:val="Hyperlink"/>
            <w:sz w:val="26"/>
          </w:rPr>
          <w:t>http://ecologywithoutnature.blogspot.com/2016/11/theres-massive-problem-with-decolonial.html</w:t>
        </w:r>
      </w:hyperlink>
      <w:r>
        <w:rPr>
          <w:rStyle w:val="Style13ptBold"/>
          <w:b w:val="0"/>
        </w:rPr>
        <w:t>) TSB</w:t>
      </w:r>
    </w:p>
    <w:p w14:paraId="4FCAC190" w14:textId="77777777" w:rsidR="002A12C9" w:rsidRDefault="002A12C9" w:rsidP="002A12C9">
      <w:r>
        <w:t xml:space="preserve">I don't think anyone who performs it realizes what they're retweeting. </w:t>
      </w:r>
      <w:r w:rsidRPr="001F1713">
        <w:rPr>
          <w:rStyle w:val="StyleUnderline"/>
        </w:rPr>
        <w:t>There is no idea how imperialist (because derived from Hegel) the decolonial concept is. The British used precisely cultural difference and incommensurability to dominate Africa and India. It is precisely this culturalism and its implicit imperialist lineage that is the bitter irony of its having been forced on first peoples via theory class, as the currently correct form of righteous and ultimately ecocidal religion. One rather tries to flush that legacy down the toilet.</w:t>
      </w:r>
      <w:r>
        <w:t xml:space="preserve"> </w:t>
      </w:r>
    </w:p>
    <w:p w14:paraId="3070A2E8" w14:textId="77777777" w:rsidR="002A12C9" w:rsidRDefault="002A12C9" w:rsidP="002A12C9"/>
    <w:p w14:paraId="6C265FD7" w14:textId="77777777" w:rsidR="002A12C9" w:rsidRDefault="002A12C9" w:rsidP="002A12C9">
      <w:pPr>
        <w:rPr>
          <w:rStyle w:val="StyleUnderline"/>
        </w:rPr>
      </w:pPr>
    </w:p>
    <w:p w14:paraId="1737B8D7" w14:textId="77777777" w:rsidR="002A12C9" w:rsidRDefault="002A12C9" w:rsidP="002A12C9">
      <w:pPr>
        <w:pStyle w:val="Heading4"/>
        <w:rPr>
          <w:rStyle w:val="StyleUnderline"/>
          <w:sz w:val="26"/>
          <w:u w:val="none"/>
        </w:rPr>
      </w:pPr>
      <w:r>
        <w:rPr>
          <w:rStyle w:val="StyleUnderline"/>
          <w:sz w:val="26"/>
          <w:u w:val="none"/>
        </w:rPr>
        <w:t>9. Focusing on the wrong thing—their conceptualization of colonialism is wrong and bankrupt</w:t>
      </w:r>
    </w:p>
    <w:p w14:paraId="4FBABBCA" w14:textId="77777777" w:rsidR="002A12C9" w:rsidRPr="0061045F" w:rsidRDefault="002A12C9" w:rsidP="002A12C9">
      <w:pPr>
        <w:rPr>
          <w:rStyle w:val="Style13ptBold"/>
          <w:b w:val="0"/>
        </w:rPr>
      </w:pPr>
      <w:r>
        <w:rPr>
          <w:rStyle w:val="Style13ptBold"/>
        </w:rPr>
        <w:t>Lazarus 11 (</w:t>
      </w:r>
      <w:r>
        <w:rPr>
          <w:rStyle w:val="Style13ptBold"/>
          <w:b w:val="0"/>
        </w:rPr>
        <w:t>Neil Lazarus, What postcolonial theory doesn’t say</w:t>
      </w:r>
      <w:proofErr w:type="gramStart"/>
      <w:r>
        <w:rPr>
          <w:rStyle w:val="Style13ptBold"/>
          <w:b w:val="0"/>
        </w:rPr>
        <w:t>, )</w:t>
      </w:r>
      <w:proofErr w:type="gramEnd"/>
      <w:r>
        <w:rPr>
          <w:rStyle w:val="Style13ptBold"/>
          <w:b w:val="0"/>
        </w:rPr>
        <w:t xml:space="preserve"> </w:t>
      </w:r>
    </w:p>
    <w:p w14:paraId="49C30A40" w14:textId="77777777" w:rsidR="002A12C9" w:rsidRDefault="002A12C9" w:rsidP="002A12C9">
      <w:r>
        <w:t xml:space="preserve">The idea here is </w:t>
      </w:r>
      <w:r w:rsidRPr="0061045F">
        <w:rPr>
          <w:rStyle w:val="StyleUnderline"/>
        </w:rPr>
        <w:t xml:space="preserve">of Europe as a counter-hegemonic work in progress, a strictly contemporary project negatively motivated by the recognition that the effects of all of the previous projections of ‘Europe’ </w:t>
      </w:r>
      <w:r>
        <w:t>– that took themselves to be gestures of civilisational self-assertion – have been catastrophic.65 Yet, even t</w:t>
      </w:r>
      <w:r w:rsidRPr="0061045F">
        <w:rPr>
          <w:rStyle w:val="Emphasis"/>
        </w:rPr>
        <w:t>his carefully his- toricised and radically contingent construction66 might be susceptible to criticism on the grounds that it generalises unwarrantedly from the modern experience of the historically dominant European nations to all of Europe</w:t>
      </w:r>
      <w:r>
        <w:t xml:space="preserve">. Thus, a latent </w:t>
      </w:r>
      <w:r w:rsidRPr="0061045F">
        <w:rPr>
          <w:rStyle w:val="StyleUnderline"/>
        </w:rPr>
        <w:t>essen- tialism seems to lurk in the background of Habermas’s refunctioning of the cat- egory of ‘core Europe’ (‘Kerneuropa’) and his suggestion that this ‘avant-gardist core of Europe’ must play the role of ‘locomotive’, powering the generation of a new, pan-European consciousness and politics</w:t>
      </w:r>
      <w:r>
        <w:t>.67 While we certainly appreciate the necessity of defending France and Germany (whose governments opposed the rush to war against Iraq) from the wrath of the Bush administration, t</w:t>
      </w:r>
      <w:r w:rsidRPr="0061045F">
        <w:rPr>
          <w:rStyle w:val="StyleUnderline"/>
        </w:rPr>
        <w:t xml:space="preserve">he meta- phor of ‘core’ and, presumably, ‘peripheral’ Europe, like that of ‘old’ and ‘new’ Europe,68 seems both impolitic and high-handed. Hence, presumably, the anger directed at Habermas’s manifesto by certain commentators, not only in ‘East’ and ‘Central’ Europe, but also in Scandinavia and the Iberian peninsula, unwilling to accept his apparent marginalisation of them as ‘non-core’ Europeans.69 Rey Chow’s article ‘The old/new question of comparison in literary studies: a post-European perspective’ appeared two years before Susan Bassnett’s. Chow writes self-consciously from what Bassnett calls the ‘perspective of the Southern hemisphere’; indeed, she might be seen as offering a ‘Third Worldist’ critique of precisely the model of comparative literary scholarship that Bassnett both cham- pions and seeks to represent. Chow begins, thus, by identifying the performa- tive contradiction represented by comparative literature’s ‘cosmopolitanism’ or ‘universalism’ whenever the focus is shifted from the European to the world stage. On the one hand, the commitment to comparativism in the discipline ges- tures towards intercultural reciprocity: </w:t>
      </w:r>
      <w:r>
        <w:t>As part of a cluster of concepts that sees linguistic cosmopolitanism and the peaceful coexistence of national and cultural traditions as its telos, compari- son in comparative literature is understandably grounded, as the etymology of the word suggests, in the notion of parity – in the possibility of peer-like equality and mutuality among those being compared ... Hence ... compara- tive literature often proceeds with investigating multiple literary traditions on the assumption that there ought to be a degree of commonality and Neil Lazarus: What postcolonial theory doesn’t say 21 equivalence – and thus comparability – among them; that they are, somehow, on a par with one another despite their obvious differences.70 On the other hand, t</w:t>
      </w:r>
      <w:r w:rsidRPr="0061045F">
        <w:rPr>
          <w:rStyle w:val="Emphasis"/>
        </w:rPr>
        <w:t>his ‘mutuality’ proves to be highly selective. It operates only between ‘European’ literatures and cultures, never between ‘Europe’ and its ‘Others’. Chow quotes as exemplary in this respect René Wellek and Austin Warren’s formulation, in their canonical Theory of Literature (1949), of the basic predicate of comparative literature as a discipline: it is important to think of literature as a totality and to trace the growth and development of literature without regard to linguistic distinctions ... Western literature, at least, forms a unity, a whole ... and, without minimizing the importance of Oriental influences, especially that of the Bible, one must recog- nize a close unity which includes all Europe, Russia, the United States, and the Latin American literatures.71 One might have expected Chow to criticise the essentialism evident in Wellek and Warren’s formula, their insistence on the singularity and specificity of what they call ‘western’ culture</w:t>
      </w:r>
      <w:r>
        <w:t xml:space="preserve">. </w:t>
      </w:r>
      <w:r w:rsidRPr="0061045F">
        <w:rPr>
          <w:rStyle w:val="StyleUnderline"/>
        </w:rPr>
        <w:t>But she does not. Nor does she comment on the fact their their formulation is altogether blind to the radically discrepant and incon- gruent histories of the ideas of ‘Europe’ and ‘the West’. The mere facts, for instance, that significant sections of the Russian intelligentsia have consistently defined themselves in explicit opposition to the category of ‘the West’ (while insisting on their fidelity to ‘Europe’), while significant sections of the US intel- ligentsia have consistently defined themselves in explicit opposition to the cat- egory of ‘Europe’</w:t>
      </w:r>
      <w:r>
        <w:t xml:space="preserve"> (while insisting on their fidelity to ‘the West’), ought surely to have given Wellek and Warren pause, especially in 1949. But Chow focuses instead on Wellek and Warren’s bracketing of the ‘non-West’ and the implica- tions that derive (in her view, with iron logic) from it: Wellek and Warren’s formulation of comparison, which may be named ‘Europe and Its Others,’ remains a common norm of comparative literary studies in North America today. In this formulation, the rationale for comparing hinges on the conjunction and; the and, moreover ... signals a form of supplementation that authorizes the first term</w:t>
      </w:r>
      <w:r w:rsidRPr="0061045F">
        <w:rPr>
          <w:rStyle w:val="Emphasis"/>
        </w:rPr>
        <w:t>, Europe, as the grid of reference, to which may be added others in a subsequent and subordinate fashion ... The and thus instigates not only comparison but also a politics of comparison: on the one side, the infinite opening of histories, cultures, languages in their internal vicissitudes in such a manner as to enable their studies to become ever more nuanced and refined; on the other side, a crude lumping together of other histories, cultures, and lan- guages with scant regard to exactly the same kinds of details and internal dynamics of thought that, theoretically speaking, should be part of the study of any tradition.</w:t>
      </w:r>
      <w:r>
        <w:t xml:space="preserve"> These other histories, cultures, and languages remain by default undifferentiated – and thus never genuinely on a par with Europe – within an ostensibly comparative framework.72</w:t>
      </w:r>
    </w:p>
    <w:p w14:paraId="5A6D193B" w14:textId="77777777" w:rsidR="002A12C9" w:rsidRDefault="002A12C9" w:rsidP="002A12C9"/>
    <w:p w14:paraId="266DE06D" w14:textId="77777777" w:rsidR="002A12C9" w:rsidRDefault="002A12C9" w:rsidP="002A12C9">
      <w:pPr>
        <w:pStyle w:val="Heading4"/>
      </w:pPr>
      <w:r>
        <w:t>10. Decolonial theory wrong</w:t>
      </w:r>
    </w:p>
    <w:p w14:paraId="60476FF7" w14:textId="77777777" w:rsidR="002A12C9" w:rsidRPr="0061045F" w:rsidRDefault="002A12C9" w:rsidP="002A12C9">
      <w:r>
        <w:rPr>
          <w:rStyle w:val="Style13ptBold"/>
        </w:rPr>
        <w:t xml:space="preserve">Lazarus 11 </w:t>
      </w:r>
      <w:r>
        <w:rPr>
          <w:rStyle w:val="Style13ptBold"/>
          <w:b w:val="0"/>
        </w:rPr>
        <w:t>(</w:t>
      </w:r>
      <w:r>
        <w:t xml:space="preserve"> Neil Lazarus, Warnick University, whatpostcolonial theory doesn’t’ say, </w:t>
      </w:r>
      <w:hyperlink r:id="rId25" w:history="1">
        <w:r w:rsidRPr="00A02494">
          <w:rPr>
            <w:rStyle w:val="Hyperlink"/>
          </w:rPr>
          <w:t>http://journals.sagepub.com/doi/abs/10.1177/0306396811406778</w:t>
        </w:r>
      </w:hyperlink>
      <w:r>
        <w:t>) TSB</w:t>
      </w:r>
    </w:p>
    <w:p w14:paraId="2F9F43AD" w14:textId="77777777" w:rsidR="002A12C9" w:rsidRDefault="002A12C9" w:rsidP="002A12C9">
      <w:pPr>
        <w:rPr>
          <w:rStyle w:val="StyleUnderline"/>
        </w:rPr>
      </w:pPr>
      <w:r>
        <w:t xml:space="preserve">It is because Edward </w:t>
      </w:r>
      <w:r w:rsidRPr="008A6441">
        <w:rPr>
          <w:rStyle w:val="StyleUnderline"/>
        </w:rPr>
        <w:t xml:space="preserve">Said’s work both homogenises ‘the West’ and construes it as the agent of imperialist domination that he has sometimes been accused, by critics to his left and to his right, of ‘Third Worldism’. </w:t>
      </w:r>
      <w:r>
        <w:t xml:space="preserve">There is no need to rehearse this dispute here. What can be noted, however, is that </w:t>
      </w:r>
      <w:r w:rsidRPr="008A6441">
        <w:rPr>
          <w:rStyle w:val="StyleUnderline"/>
        </w:rPr>
        <w:t>the tendency to essen- tialise ‘the West’ has become a staple ingredient, across the range of literary scholarship, of much of the recent work that, following Said’s injunction, has been directed to ‘unthinking Eurocentrism’. We can see this very clearly, for instance, in Rey Chow’s recent call for a ‘post-European’ perspective in com- parative literature, to which I shall turn shortly</w:t>
      </w:r>
      <w:r>
        <w:t xml:space="preserve">. Before doing so, however, it will behove us to look quickly at a little essay by Susan Bassnett entitled ‘Reflections on comparative literature in the twenty-first century’, since it is to the kind of thought exemplified in Bassnett’s essay that Chow is evidently responding. Bassnett wants to take stock of comparative literature after the disciplinary critique of Eurocentrism. This critique is taken to have been levelled, absorbed and appropriately acted upon. ‘[W]e have come a long way in three decades’, she writes, summarily, en route to a restatement of the value and vitality of the ‘western’ literary canon and the tradition that it inscribes and memorialises.52 She readily concedes that </w:t>
      </w:r>
      <w:r w:rsidRPr="008A6441">
        <w:rPr>
          <w:rStyle w:val="StyleUnderline"/>
        </w:rPr>
        <w:t>it was important for scholars of literature generally to take to heart the central argument brought against mainstream scholarship by the critics of Eurocentrism</w:t>
      </w:r>
      <w:r>
        <w:t xml:space="preserve">, which argument she introduces under the rubric of </w:t>
      </w:r>
      <w:r w:rsidRPr="008A6441">
        <w:rPr>
          <w:rStyle w:val="StyleUnderline"/>
        </w:rPr>
        <w:t>Neil Lazarus: What postcolonial theory doesn’t say</w:t>
      </w:r>
      <w:r>
        <w:t xml:space="preserve"> 17 ‘plurivocality’: the call for multiple voices to be attended to, ‘</w:t>
      </w:r>
      <w:r w:rsidRPr="008A6441">
        <w:rPr>
          <w:rStyle w:val="StyleUnderline"/>
        </w:rPr>
        <w:t>rather than one single dominant voice’.53 (It is worth registering in passing here the distance between this concept of ‘plurivocality’ and the Saidian notion of ‘contrapuntal- ism’</w:t>
      </w:r>
      <w:r>
        <w:t xml:space="preserve">. For all that might be said against it, the latter identified ‘overlapping ter- ritories’ and ‘intertwined histories’, which, according to Said, it was necessary to think together, as registrations of a vast social experience binding all its partici- pants, even if antagonistically and unequally.54 ‘Plurivocality’, by contrast, iden- tifies only the multiplicity of discourses; it has nothing to say about their interrelations.) But </w:t>
      </w:r>
      <w:r w:rsidRPr="008A6441">
        <w:rPr>
          <w:rStyle w:val="StyleUnderline"/>
        </w:rPr>
        <w:t>Bassnett goes on to argue that while a comparativist approach to literature, governed by this model of plurivocality, ‘works for anyone approaching the great literary traditions of the northern hemisphere from else- where’, it is not particularly helpful for those of us who have as a starting point one or other of those great traditions.</w:t>
      </w:r>
      <w:r>
        <w:t xml:space="preserve"> The question remains as to what new directions in comparative literature there can be for the European scholar whose intellec- tual formation has been shaped by classical Greek and Latin, by the Bible, by the Germanic epic, by Dante and Petrarch, by Shakespeare and Cervantes, by Rousseau, Voltaire and the Enlightenment, by Romanticism and post-Roman- ticism, by the European novelists of the nineteenth and twentieth centuries, by generations of writers who have borrowed, translated, plagiarized and plundered, but whose works run inexorably to some degree through the con- sciousness of anyone writing today.55 Some of </w:t>
      </w:r>
      <w:r w:rsidRPr="008A6441">
        <w:rPr>
          <w:rStyle w:val="StyleUnderline"/>
        </w:rPr>
        <w:t>the implications of this deeply tendentious formulation are worth exploring in detail.56 We can start by noting the conceptual muddle entailed in the internal slippage from ‘northern hemisphere’ to ‘Europe’, compounded else- where in the essay when Bassnett mobilizes, in addition, the category of ‘the West’ (as in ‘western foundation texts’ and ‘western writing’). She deploys these three terms – ‘Europe’, ‘northern hemisphere’ and ‘West’ – in her essay as strict synonyms, all naming the same thing. That thing is, evidently, a (singular) trans- national (but not global) ‘culture’ or ‘civilisation’</w:t>
      </w:r>
      <w:r>
        <w:t>. ‘No single European literature can be studied in isolation’, Bassnett writes, evidently meaning thereby to chal- lenge national(ist) literary scholarship; but nor, she adds, should European scholars shrink from reassessing the legacy they have inher- ited. There is a great deal to learn from the perspectives of Southern hemi- sphere scholars, principle [sic] of which is the shift in perspective that their views inevitably incite, but it is important not to lose sight of where we, as Europeans, stand in relation to our own literary history.57 While ‘Europe’ comes into focus as a civilisational unity for Bassnett, the prem- ise of a world system is denied or disregarded</w:t>
      </w:r>
      <w:r w:rsidRPr="008A6441">
        <w:rPr>
          <w:rStyle w:val="StyleUnderline"/>
        </w:rPr>
        <w:t>. ‘No single European literature can be studied in isolation’, she writes, but European literature evidently can – indeed, must – be studied in isolation from ‘non-European’ (or ‘southern 18 Race &amp; Class 53(1) hemisphere’) literatures. No ‘contrapuntalism’ for Bassnett, evidently. Instead, we must assume that she conceives of the world as the ensemble of plural, more or less discrete, civilisations.5</w:t>
      </w:r>
      <w:r>
        <w:t xml:space="preserve">8 What Bassnett proposes as a bedrock – the cord that supposedly binds together and unites into a single ‘great tradition’ the various microtraditions of the con- stituent cultures, nations and peoples of ‘Europe’/‘northern hemisphere’/‘West’ – is in fact a strictly ideological construction, which it would be better to construe as a post facto justification for the currently prevailing global dispensation.59 </w:t>
      </w:r>
      <w:r w:rsidRPr="008A6441">
        <w:rPr>
          <w:rStyle w:val="StyleUnderline"/>
        </w:rPr>
        <w:t>The problem is not only that Bassnett’s presentation tends to erase the violence struc- turally entailed in ‘intercultural’ relations in the contexts of colonialism and capitalist modernity, specifically the relations between ‘Europe’ and the world beyond its historically porous and often shifting boundaries. (What she terms ‘interconnectedness’, in this respect, and sees as a positive good might, with greater historical warrant, be described in terms of systematic exploitation.) Just as important is the fact that her essentialism serves to mystify the history of Europe itself.</w:t>
      </w:r>
    </w:p>
    <w:p w14:paraId="0BF421BC" w14:textId="77777777" w:rsidR="002A12C9" w:rsidRDefault="002A12C9" w:rsidP="002A12C9">
      <w:pPr>
        <w:rPr>
          <w:rStyle w:val="StyleUnderline"/>
        </w:rPr>
      </w:pPr>
    </w:p>
    <w:p w14:paraId="2FBEF3A1" w14:textId="77777777" w:rsidR="002A12C9" w:rsidRDefault="002A12C9" w:rsidP="002A12C9">
      <w:pPr>
        <w:pStyle w:val="Heading4"/>
      </w:pPr>
      <w:r>
        <w:t>11. Decolonial theory ignores important alt causes</w:t>
      </w:r>
    </w:p>
    <w:p w14:paraId="4B952228" w14:textId="77777777" w:rsidR="002A12C9" w:rsidRPr="006729FF" w:rsidRDefault="002A12C9" w:rsidP="002A12C9">
      <w:pPr>
        <w:rPr>
          <w:rStyle w:val="Style13ptBold"/>
          <w:b w:val="0"/>
        </w:rPr>
      </w:pPr>
      <w:r>
        <w:rPr>
          <w:rStyle w:val="Style13ptBold"/>
        </w:rPr>
        <w:t xml:space="preserve">Schueller 9 </w:t>
      </w:r>
      <w:r>
        <w:rPr>
          <w:rStyle w:val="Style13ptBold"/>
          <w:b w:val="0"/>
        </w:rPr>
        <w:t>(Martin Schueller, “Locating race: postcolonial theory”, 2009”</w:t>
      </w:r>
    </w:p>
    <w:p w14:paraId="334C3AFD" w14:textId="77777777" w:rsidR="002A12C9" w:rsidRDefault="002A12C9" w:rsidP="002A12C9">
      <w:pPr>
        <w:rPr>
          <w:rStyle w:val="StyleUnderline"/>
        </w:rPr>
      </w:pPr>
      <w:r>
        <w:t xml:space="preserve">One could contend that </w:t>
      </w:r>
      <w:r w:rsidRPr="0065194D">
        <w:rPr>
          <w:rStyle w:val="StyleUnderline"/>
        </w:rPr>
        <w:t xml:space="preserve">Mignolo’s position homogenizes the intellec- tual currents of the first or the third world. </w:t>
      </w:r>
      <w:r>
        <w:t xml:space="preserve">However, it is not accidental that the major proponents of world systems theories—Immanuel Waller- stein and Samir Amin—were both Africanist scholars who placed impe- rialism at the center of their theorizations. Amin has continued to raise the problems of neocolonial globalization and uneven globalization in The Liberal Virus (2004).63 Perhaps culture can operate relatively au- tonomously from the economic sphere, but that argument holds only if one dissociates “culture” from the messy business of living, from an arena of struggle, and from the politics of neocolonialism and imperialism. But as postcolonial scholars have aptly demonstrated, colonialism and its af- termath have been central to the West’s understanding of itself at least since the eighteenth century. And imperialism, as perspective, has been ac- cepted as integral to studies of American culture since the 1990s, notably Theorizing Race, Postcoloniality, and Globalization 13 with the publication of Cultures of United States Imperialism, even though significant works on the history of U.S. imperialism such as R. W. Van Alstyne’s The Rising American Empire were published in the 1960s.64 Interestingly, the mid-1970s, identified by Harvey as the beginning of the idea of globalization, also witnessed the beginnings of postcolonial theory in the U.S. academy, marked by the publication of Edward Said’s Orientalism in 1978. </w:t>
      </w:r>
      <w:r w:rsidRPr="0065194D">
        <w:rPr>
          <w:rStyle w:val="StyleUnderline"/>
        </w:rPr>
        <w:t>Postcolonial theory brought to light the effects of Western colonialism on all fields of knowledge and the continuity of these effects in conditions of neocolonialism. The field offered renewed cur- rency to the work of revolutionary anticolonial theorists such as Frantz Fanon and Amilcar Cabral and promised to open up further avenues for the analyses of U.S. minority discours</w:t>
      </w:r>
      <w:r>
        <w:t>e. Henry Louis Gates’s collection, “Race,” Writing and Difference, a compilation of essays written for Crit- ical Inquiry in 1985 and 1986, and which included established African Americanist scholars as well as postcolonial critics, attempted to forge such an opening. By the early 1990s, however, the general movement in postcolonial the- ory was away from models that focused on specific material conditions and foregrounded domination and exploitation to more linguistic models that focused on negotiatory analyses of colonialism.65 Commenting on this shift, Benita Parry critiqued the turn in postcolonial theory that “celebrates glob- alism for the volatility of the cultural flows it brings about” while ignoring the implication of these flows in imperialism; such a turn, resultant on a dis- engagement from political theory and socioeconomic structures, dependent on the indeterminacies of language alone, dispenses with the notion of con- flict.66 Edward Said similarly denounced the effects of a “globalized, post- modern consciousness” on the field: “</w:t>
      </w:r>
      <w:r w:rsidRPr="0065194D">
        <w:rPr>
          <w:rStyle w:val="StyleUnderline"/>
        </w:rPr>
        <w:t>Anticolonial liberation theory and the real history of empire, with its massacres and exploitation, have turned into a focus on the anxieties and ambivalences of the colonizer, the silent thereby colonized and displaced somehow.</w:t>
      </w:r>
      <w:r>
        <w:t xml:space="preserve">”67 What bothers Said and Parry, and is articulated in a slightly different manner by Aijaz Ahmad, is that the specific problems of colonization and decolonization are being subsumed under the general theoretical concerns of poststructuralism,68 a problem compounded by the fact that the two movements share a commonality in the critique of European humanism. Despite the reservations of Said and Parry, the charge brought about by critics like Arif Dirlik that postcolonial theory has flourished only because of its complicity with global capitalism, or that its practitioners are overprivi- leged, is an overstatement that uncannily resembles the arguments of the Right against academics today.69 (Indeed, I would argue that despite his dis- missal of the term “postcolonial,” Dirlik’s analyses of regional, Pacific rim resistances to global capital are an important contribution to postcolonial studies.) In a useful intervention into debates about postcolonial theory’s radicalism, </w:t>
      </w:r>
      <w:r w:rsidRPr="0065194D">
        <w:rPr>
          <w:rStyle w:val="StyleUnderline"/>
        </w:rPr>
        <w:t>Robert Young argues that postcolonial theory, which carries on the intellectual and political project of anticolonial movements, shares the anti-Western heritage of poststructuralism and combines it with the perspectives of writers from the formerly colonized countries.70 However, despite Young’s valuable recuperation of the political possibilities of post- colonial theory and his demonstration, say, of the imbrication of the anti- colonial politics of Algeria and deconstruction, the privileging of a language-based poststructuralism within the work of some postcolonial the- orists cannot be denied. T</w:t>
      </w:r>
      <w:r>
        <w:t xml:space="preserve">his is the charge Vijay Mishra and Bob Hodge make against Helen Tiffin, Stephen Slemon, and other theorists of settler colonialism who regard postcolonialism as “already present in European thought” and who see no difference between the domination experienced by white settlers and natives in other colonies.71 Following Mishra’s and Hodge’s differentiation between different kinds of postcolonialisms, I bor- row the terminology of Ranajit Guha and suggest that we think of resistance postcolonialism and collaborative postcolonialism. Resistance postcolonial- ism takes seriously the existence of centers and peripheries and structures of colonial and imperial domination, is interested in the specific systems of oppression that these structures mete out in different locations, and attempts to forge oppositional strategies. Collaborative postcolonialism, reliant on a language-based poststructuralism that treats colonialism and imperialism as a series of exchanges, sees power dichotomies as theoretically unsophisti- cated, is interested in the fuzziness of boundaries, and privileges the language of colonial and imperial encounters over their material determinants.72 Resistance postcolonialism is exemplified in the writings of anticolonial liberation thinkers such as Frantz Fanon, Amilcar Cabral, and N’gugi wa Thiong’o; analysts such as </w:t>
      </w:r>
      <w:r w:rsidRPr="0065194D">
        <w:rPr>
          <w:rStyle w:val="StyleUnderline"/>
        </w:rPr>
        <w:t>Edward Said, Benita Parry, and Anne McClin- tock; and subaltern studies scholars such as Partha Chatterjee and Dipesh Chakrabarty. Collaborative postcolonialism is represented primarily in the work of Homi Bhabha and the numerous others influenced by him (includ- ing diaspora theorists such as Iain Chambers), and in scholars such as Trinh T. Minh-ha, and Anthony Appiah.73 While both types of postcolonialisms, as in Guha’s paradigm, belong to the purview of the subordinated, resistance postcolonialism provides a more credible genealogy of anticolonial struggle, a relevant critique of colonial and imperial practices, and an epistemology for dealing with the highly charged question of internal colonialism in the United States. Resistance postcolonialism is “global” in its analysis of struc- tures of domination, and in possibilities of resistance, but it conceives of the global through the lenses of imperialism and neocolonialism.</w:t>
      </w:r>
    </w:p>
    <w:p w14:paraId="0E7FC950" w14:textId="77777777" w:rsidR="002A12C9" w:rsidRDefault="002A12C9" w:rsidP="002A12C9">
      <w:pPr>
        <w:pStyle w:val="Heading4"/>
        <w:rPr>
          <w:rStyle w:val="StyleUnderline"/>
          <w:sz w:val="26"/>
        </w:rPr>
      </w:pPr>
      <w:r>
        <w:rPr>
          <w:rStyle w:val="StyleUnderline"/>
          <w:sz w:val="26"/>
          <w:u w:val="none"/>
        </w:rPr>
        <w:t xml:space="preserve">12. Decolonization theory risks </w:t>
      </w:r>
      <w:r>
        <w:rPr>
          <w:rStyle w:val="StyleUnderline"/>
          <w:sz w:val="26"/>
        </w:rPr>
        <w:t>racial essentialism</w:t>
      </w:r>
    </w:p>
    <w:p w14:paraId="575ACDE4" w14:textId="77777777" w:rsidR="002A12C9" w:rsidRPr="003E0149" w:rsidRDefault="002A12C9" w:rsidP="002A12C9">
      <w:pPr>
        <w:rPr>
          <w:rStyle w:val="Style13ptBold"/>
          <w:b w:val="0"/>
        </w:rPr>
      </w:pPr>
      <w:r>
        <w:rPr>
          <w:rStyle w:val="Style13ptBold"/>
        </w:rPr>
        <w:t xml:space="preserve">Essop 16 </w:t>
      </w:r>
      <w:r>
        <w:rPr>
          <w:rStyle w:val="Style13ptBold"/>
          <w:b w:val="0"/>
        </w:rPr>
        <w:t xml:space="preserve">(Ahmed Essop, </w:t>
      </w:r>
      <w:r w:rsidRPr="003E0149">
        <w:rPr>
          <w:rStyle w:val="Style13ptBold"/>
          <w:b w:val="0"/>
        </w:rPr>
        <w:t>Research Associate in Higher Education Policy and Planning, Ali Mazrui Centre for Higher Education Studies, University of Johannesburg</w:t>
      </w:r>
      <w:r>
        <w:rPr>
          <w:rStyle w:val="Style13ptBold"/>
          <w:b w:val="0"/>
        </w:rPr>
        <w:t>, “Decolonization debate is a chance to rethink the role of Universitites</w:t>
      </w:r>
    </w:p>
    <w:p w14:paraId="519976C6" w14:textId="77777777" w:rsidR="002A12C9" w:rsidRPr="003E0149" w:rsidRDefault="002A12C9" w:rsidP="002A12C9">
      <w:pPr>
        <w:rPr>
          <w:rStyle w:val="Style13ptBold"/>
          <w:b w:val="0"/>
        </w:rPr>
      </w:pPr>
    </w:p>
    <w:p w14:paraId="076E66B2" w14:textId="77777777" w:rsidR="002A12C9" w:rsidRPr="003E0149" w:rsidRDefault="002A12C9" w:rsidP="002A12C9">
      <w:r>
        <w:t xml:space="preserve">This is also a key conceptual weakness in curriculum </w:t>
      </w:r>
      <w:r w:rsidRPr="003E0149">
        <w:rPr>
          <w:rStyle w:val="StyleUnderline"/>
        </w:rPr>
        <w:t>decolonisation. It assumes that different knowledge systems are homogeneous. This ignores the social underpinnings of knowledge – the fact that all traditions feature dominant and marginal knowledges.</w:t>
      </w:r>
      <w:r>
        <w:t xml:space="preserve"> </w:t>
      </w:r>
      <w:r w:rsidRPr="003E0149">
        <w:rPr>
          <w:rStyle w:val="Emphasis"/>
        </w:rPr>
        <w:t>These are based on power relations and worldviews linked to race, class, gender and other societal divisions. This leads to two dangers: racial essentialism - replacing white with black or Freud with Fanon; and social conservatism, which pits modernity against tradition. It calls for African solutions to African problems. But it does this in a context where tradition is viewed as static rather than dynamic – evolving with changing social and economic context</w:t>
      </w:r>
      <w:r>
        <w:t>s. As South African President Jacob Zuma has argued in response to his various legal challenges, the law (West/modern) is cold; the body (Africa/tradition) is warm.</w:t>
      </w:r>
    </w:p>
    <w:p w14:paraId="31666932" w14:textId="77777777" w:rsidR="002A12C9" w:rsidRPr="008311CA" w:rsidRDefault="002A12C9" w:rsidP="002A12C9">
      <w:pPr>
        <w:pStyle w:val="Heading4"/>
      </w:pPr>
      <w:r>
        <w:rPr>
          <w:rStyle w:val="StyleUnderline"/>
          <w:sz w:val="26"/>
          <w:u w:val="none"/>
        </w:rPr>
        <w:t>13. Decolonial theory risks an abandonment of local specific areas</w:t>
      </w:r>
    </w:p>
    <w:p w14:paraId="40DE7549" w14:textId="77777777" w:rsidR="002A12C9" w:rsidRDefault="002A12C9" w:rsidP="002A12C9">
      <w:pPr>
        <w:rPr>
          <w:rStyle w:val="Style13ptBold"/>
          <w:b w:val="0"/>
        </w:rPr>
      </w:pPr>
      <w:r>
        <w:rPr>
          <w:rStyle w:val="Style13ptBold"/>
        </w:rPr>
        <w:t>Wanzer-Serrano (THEIR Author) 12</w:t>
      </w:r>
      <w:r>
        <w:rPr>
          <w:rStyle w:val="Style13ptBold"/>
          <w:b w:val="0"/>
        </w:rPr>
        <w:t xml:space="preserve"> (“Young Lords and the Rhetoic of Decoloniality”, Temple University Press, </w:t>
      </w:r>
      <w:hyperlink r:id="rId26" w:history="1">
        <w:r w:rsidRPr="00A02494">
          <w:rPr>
            <w:rStyle w:val="Hyperlink"/>
            <w:sz w:val="26"/>
          </w:rPr>
          <w:t>http://www.temple.edu/tempress/chapters_1800/2346_ch1.pdf</w:t>
        </w:r>
      </w:hyperlink>
      <w:r>
        <w:rPr>
          <w:rStyle w:val="Style13ptBold"/>
          <w:b w:val="0"/>
        </w:rPr>
        <w:t>) TSB</w:t>
      </w:r>
    </w:p>
    <w:p w14:paraId="31464E5B" w14:textId="77777777" w:rsidR="002A12C9" w:rsidRPr="008311CA" w:rsidRDefault="002A12C9" w:rsidP="002A12C9">
      <w:pPr>
        <w:rPr>
          <w:rStyle w:val="Style13ptBold"/>
          <w:b w:val="0"/>
        </w:rPr>
      </w:pPr>
      <w:r>
        <w:rPr>
          <w:rStyle w:val="Style13ptBold"/>
          <w:b w:val="0"/>
        </w:rPr>
        <w:t>-- proves inconsistency</w:t>
      </w:r>
    </w:p>
    <w:p w14:paraId="7138D4EB" w14:textId="77777777" w:rsidR="002A12C9" w:rsidRPr="00B16374" w:rsidRDefault="002A12C9" w:rsidP="002A12C9">
      <w:r>
        <w:t xml:space="preserve">In my reading of contemporary decolonial scholarship, </w:t>
      </w:r>
      <w:r w:rsidRPr="008311CA">
        <w:rPr>
          <w:rStyle w:val="StyleUnderline"/>
        </w:rPr>
        <w:t>people seem to risk slipping into one of a couple of related problems in negotiating such a ne line.</w:t>
      </w:r>
      <w:r>
        <w:t xml:space="preserve"> On the one hand, you have scholars like </w:t>
      </w:r>
      <w:r w:rsidRPr="008311CA">
        <w:rPr>
          <w:rStyle w:val="Emphasis"/>
        </w:rPr>
        <w:t>Maldonado-Torres</w:t>
      </w:r>
      <w:r>
        <w:t xml:space="preserve"> and Enrique Dussel who </w:t>
      </w:r>
      <w:r w:rsidRPr="008311CA">
        <w:rPr>
          <w:rStyle w:val="StyleUnderline"/>
        </w:rPr>
        <w:t>resist an overreaction to coloniality in theory by drawing from and recovering ideas located within Western philosophy in order to support rethinking our epistemological commitments and decentering the West</w:t>
      </w:r>
      <w:r>
        <w:t xml:space="preserve">.44 In doing so, however, </w:t>
      </w:r>
      <w:r w:rsidRPr="008311CA">
        <w:rPr>
          <w:rStyle w:val="Emphasis"/>
        </w:rPr>
        <w:t>these scholars direct less attention to actual, geographically located and embodied grassroots discourses and actions</w:t>
      </w:r>
      <w:r>
        <w:t xml:space="preserve">. ey philosophically justify doing so (which is their goal, after all) but provide readers with a lim- ited sense for what decoloniality looks like in geographically speci c and sociohistorically contingent contexts. On the other hand, you have scholars like </w:t>
      </w:r>
      <w:r w:rsidRPr="008311CA">
        <w:rPr>
          <w:rStyle w:val="Emphasis"/>
        </w:rPr>
        <w:t>Mignolo who disengage from Western philosophical discourses nearly altogeth- er but in the process risk propagating a kind of determinism of perspective</w:t>
      </w:r>
      <w:r>
        <w:t xml:space="preserve">.45 While I do not think this is his intention, </w:t>
      </w:r>
      <w:r w:rsidRPr="008311CA">
        <w:rPr>
          <w:rStyle w:val="StyleUnderline"/>
        </w:rPr>
        <w:t>Mignolo can come across to some readers as othering a totalizing discourse that minimizes room for resistance</w:t>
      </w:r>
      <w:r>
        <w:t xml:space="preserve">. While concepts like “border thinking” seem designed to remedy this, there are ways in which </w:t>
      </w:r>
      <w:r w:rsidRPr="008311CA">
        <w:rPr>
          <w:rStyle w:val="Emphasis"/>
        </w:rPr>
        <w:t>Mignolo’s position is so damning of modernity/coloniality— for instance, his critique of “the logic that sustains all branches of Western knowledge” cited in the last paragraph—that there seems to be little chance for those inside that system to challenge it</w:t>
      </w:r>
      <w:r>
        <w:t xml:space="preserve">.46 When he does turn to examples (e.g., the Zapatistas in Mexico or the emergence of a concept of “the communal” in South America), </w:t>
      </w:r>
      <w:r w:rsidRPr="008311CA">
        <w:rPr>
          <w:rStyle w:val="StyleUnderline"/>
        </w:rPr>
        <w:t>they seem exemplary of a wholesale rejection of modernity/ coloniality: a stepping outside that, despite the way Mignolo explicitly quali es his argument, implies that (a) resistance is generally futile</w:t>
      </w:r>
      <w:r>
        <w:t>, (b) the only prac- tical solution is wholesale rejection, and/or (c) the scholar’s only option is demysti cation/debunking</w:t>
      </w:r>
      <w:r w:rsidRPr="008311CA">
        <w:rPr>
          <w:rStyle w:val="Emphasis"/>
        </w:rPr>
        <w:t>. Often stuck making bigger theoretical arguments justifying their shi s in perspective, decolonial theorists can lack a level of rhetorical speci city that, ironically, makes it harder to explore the geographic and embodied discourses they see as paramoun</w:t>
      </w:r>
      <w:r>
        <w:t xml:space="preserve">t. ere are some exceptions, but in general, </w:t>
      </w:r>
      <w:r w:rsidRPr="008311CA">
        <w:rPr>
          <w:rStyle w:val="StyleUnderline"/>
        </w:rPr>
        <w:t>the discon- nect between theory and practice is pronounced.</w:t>
      </w:r>
      <w:r>
        <w:t xml:space="preserve">47 </w:t>
      </w:r>
    </w:p>
    <w:p w14:paraId="2C4D2FBC" w14:textId="77777777" w:rsidR="002A12C9" w:rsidRDefault="002A12C9" w:rsidP="002A12C9">
      <w:pPr>
        <w:pStyle w:val="Heading2"/>
        <w:rPr>
          <w:rStyle w:val="StyleUnderline"/>
          <w:sz w:val="40"/>
          <w:szCs w:val="40"/>
        </w:rPr>
      </w:pPr>
      <w:r>
        <w:rPr>
          <w:rStyle w:val="StyleUnderline"/>
          <w:sz w:val="40"/>
          <w:szCs w:val="40"/>
        </w:rPr>
        <w:t>Afrocentrism-Specific</w:t>
      </w:r>
    </w:p>
    <w:p w14:paraId="282D1C96" w14:textId="77777777" w:rsidR="002A12C9" w:rsidRDefault="002A12C9" w:rsidP="002A12C9">
      <w:pPr>
        <w:pStyle w:val="Heading4"/>
      </w:pPr>
      <w:r>
        <w:t xml:space="preserve">1. Afrocentrism is riddled with internal contradictons—cultural exclusivitity makes it reactive, too broad a focus on specific intellectuals, and doesn’t reject the framework of Eurocentric thought but instead replaces it with new content that serves to replicate the structural harms it criticizes. </w:t>
      </w:r>
    </w:p>
    <w:p w14:paraId="65AE5F70" w14:textId="77777777" w:rsidR="002A12C9" w:rsidRPr="009B1B46" w:rsidRDefault="002A12C9" w:rsidP="002A12C9">
      <w:pPr>
        <w:rPr>
          <w:rStyle w:val="Style13ptBold"/>
          <w:b w:val="0"/>
        </w:rPr>
      </w:pPr>
      <w:r>
        <w:rPr>
          <w:rStyle w:val="Style13ptBold"/>
        </w:rPr>
        <w:t xml:space="preserve">Appiah 93 </w:t>
      </w:r>
      <w:r>
        <w:rPr>
          <w:rStyle w:val="Style13ptBold"/>
          <w:b w:val="0"/>
        </w:rPr>
        <w:t xml:space="preserve">(Kwame Appiah, </w:t>
      </w:r>
      <w:r w:rsidRPr="009B1B46">
        <w:rPr>
          <w:rStyle w:val="Style13ptBold"/>
          <w:b w:val="0"/>
        </w:rPr>
        <w:t xml:space="preserve">philosopher, cultural theorist, and novelist whose interests include political and moral theory, the philosophy of language and mind, and African intellectual history. Appiah was the Laurance S. Rockefeller University Professor of Philosophy at Princeton </w:t>
      </w:r>
      <w:r>
        <w:rPr>
          <w:rStyle w:val="Style13ptBold"/>
          <w:b w:val="0"/>
        </w:rPr>
        <w:t xml:space="preserve">University. </w:t>
      </w:r>
      <w:r w:rsidRPr="009B1B46">
        <w:rPr>
          <w:rStyle w:val="Style13ptBold"/>
          <w:b w:val="0"/>
        </w:rPr>
        <w:t>He currently holds an appointment at the NYU Department of Philosophy and NYU's School of Law</w:t>
      </w:r>
      <w:r>
        <w:rPr>
          <w:rStyle w:val="Style13ptBold"/>
          <w:b w:val="0"/>
        </w:rPr>
        <w:t>, “</w:t>
      </w:r>
      <w:r w:rsidRPr="009B1B46">
        <w:rPr>
          <w:rStyle w:val="Style13ptBold"/>
          <w:b w:val="0"/>
        </w:rPr>
        <w:t>Fallacies of Eurocentrism and Afrocentrism</w:t>
      </w:r>
      <w:r>
        <w:rPr>
          <w:rStyle w:val="Style13ptBold"/>
          <w:b w:val="0"/>
        </w:rPr>
        <w:t xml:space="preserve">”, May 10, 1993, </w:t>
      </w:r>
      <w:hyperlink r:id="rId27" w:history="1">
        <w:r w:rsidRPr="00A02494">
          <w:rPr>
            <w:rStyle w:val="Hyperlink"/>
            <w:sz w:val="26"/>
          </w:rPr>
          <w:t>http://www.aei.org/publication/fallacies-of-eurocentrism-and-afrocentrism/</w:t>
        </w:r>
      </w:hyperlink>
      <w:r>
        <w:rPr>
          <w:rStyle w:val="Style13ptBold"/>
          <w:b w:val="0"/>
        </w:rPr>
        <w:t>) TSB</w:t>
      </w:r>
    </w:p>
    <w:p w14:paraId="6D902753" w14:textId="77777777" w:rsidR="002A12C9" w:rsidRPr="0053533F" w:rsidRDefault="002A12C9" w:rsidP="002A12C9">
      <w:pPr>
        <w:rPr>
          <w:rStyle w:val="StyleUnderline"/>
          <w:sz w:val="16"/>
          <w:u w:val="none"/>
        </w:rPr>
      </w:pPr>
      <w:r w:rsidRPr="009B1B46">
        <w:rPr>
          <w:rStyle w:val="Emphasis"/>
        </w:rPr>
        <w:t>This negative thesis is argued as the prolegomenon to an alternative, positive, “Afrocentric” view, in which African cultural creativity is discovered to have been at the origin of Western civilization, and Western civilization, especially in modernity, is either asserted or implied to be intrinsically morally depraved; incapable, in particular, of living peacefully with others.</w:t>
      </w:r>
      <w:r w:rsidRPr="0053533F">
        <w:rPr>
          <w:sz w:val="16"/>
        </w:rPr>
        <w:t xml:space="preserve"> </w:t>
      </w:r>
      <w:r w:rsidRPr="009B1B46">
        <w:rPr>
          <w:rStyle w:val="StyleUnderline"/>
        </w:rPr>
        <w:t xml:space="preserve">We </w:t>
      </w:r>
      <w:r w:rsidRPr="0053533F">
        <w:rPr>
          <w:sz w:val="16"/>
        </w:rPr>
        <w:t xml:space="preserve">(sometimes all of us, sometimes just those of us who are black) </w:t>
      </w:r>
      <w:r w:rsidRPr="009B1B46">
        <w:rPr>
          <w:rStyle w:val="Emphasis"/>
        </w:rPr>
        <w:t>are urged, then, to center on African history (and particularly the history of the Egypt of the pharaohs) and return to African values. The Afrocentric paradigm is not just the source of a lively body of writing; it is the basis, too, of a movement in the United States to revise the teaching of African-American children, to provide them with an Afrocentric education.</w:t>
      </w:r>
      <w:r w:rsidRPr="0053533F">
        <w:rPr>
          <w:sz w:val="16"/>
        </w:rPr>
        <w:t xml:space="preserve"> Here </w:t>
      </w:r>
      <w:r w:rsidRPr="009B1B46">
        <w:rPr>
          <w:rStyle w:val="StyleUnderline"/>
        </w:rPr>
        <w:t>the argument is that the Eurocentricity of what is taught in American schools, at best, fails to nurture, and, at worst, actively damages, the self-esteem of black children, and that what these children need instead is a diet of celebratory African history (also beginning in Egypt and insisting that its civilization was black) and the transmission of African values.</w:t>
      </w:r>
      <w:r w:rsidRPr="0053533F">
        <w:rPr>
          <w:sz w:val="16"/>
        </w:rPr>
        <w:t xml:space="preserve"> These values are often taught now in the version developed by Dr. Maulana Karenga and associated with the invention of a feast called “Kwanzaa,” designed to provide an African celebration to go with Christmas and Hanukkah. (American children are taught Swahili words, naming various allegedly African virtues, as their proper inheritance. There is something of an irony in the use of Swahili as an Afrocentric language, since hardly any of the slaves brought to the New World can have known the language, while it was in fact being used in a culture in which slave trading to the Arabian peninsula was a major element of the economy.) This particular brand of Afrocentrism goes under the label of “Kemetism” (“Kemet” being a name for ancient Egypt); and the whole package can be found in a recent work by Molefi Kete Asante, one of the intellectual leaders of the movement, entitled Kemet, Afrocentricity, and Knowledge. </w:t>
      </w:r>
      <w:r w:rsidRPr="009B1B46">
        <w:rPr>
          <w:rStyle w:val="StyleUnderline"/>
        </w:rPr>
        <w:t xml:space="preserve">At least as important as published work is a body of Afrocentric lore transmitted in public lectures and in discussion groups by figures who have tended in recent years to combine the Afrocentric paradigm </w:t>
      </w:r>
      <w:r w:rsidRPr="0053533F">
        <w:rPr>
          <w:sz w:val="16"/>
        </w:rPr>
        <w:t xml:space="preserve">with a peculiar anti-semitism, which seems preoccupied with placing especial responsibility for the ills of the black world on a Jewish conspiracy. Many of the leading rap stars seem to subscribe to this package of views, combining it with their well-known misogyny and homophobia, to produce a cultural brew as noxious as any currently available in popular culture. The diagnosis of this particular cultural pathology is the subject of much current speculation among observers of the African-American cultural scene. The Afrocentric paradigm–the scholarly end of the movement–has one major hero: Cheikh Anta Diop, the Senegalese man-of-letters, after whom the university in Dakar, Senegal is now named. Diop argued over many years (beginning in the 1950s) for the thesis of the African origins of Greek civilization. In such works as L’unite culturelle de l’Afrique noire, Anteriorite des civilisations negres, Nations negres et culture, Fondements economiques et culturels d’un etat federal d’Afrique noir, and Parente genetique de l’egyptien pharaonique et des langues negro–Africaines, he pursued a complex agenda, in which the splendors of Egypt were a basis for contemporary African pride and the cultural unity derived from a common African source could be the basis for modern African political unity. Like most cultural movements at full flood, </w:t>
      </w:r>
      <w:r w:rsidRPr="009B1B46">
        <w:rPr>
          <w:rStyle w:val="Emphasis"/>
        </w:rPr>
        <w:t>this Afrocentric turn is a composite of truth and error, insight and illusion, moral generosity and meanness. But if there is one thing that strikes me more about it than any other, it is how thoroughly at home it is in the frameworks of nineteenth century European thought.</w:t>
      </w:r>
      <w:r w:rsidRPr="0053533F">
        <w:rPr>
          <w:sz w:val="16"/>
        </w:rPr>
        <w:t xml:space="preserve"> (One of the symptomatic features of much Afrocentric writing is that the antagonists it identifies are largely dead.) Afrocentrism, in short, seems very much to share the presuppositions of the Victorian ideologies against which it is reacting. Take, for example, the preoccupation with the ancient world. The academic curriculum of the nineteenth century traced Western civilization to roots in ancient Greece, following a history of progress from the excellent beginnings mapped out by the heirs of Homer. Our Afrocentrists have bought into this way of doing cultural history, and have only challenged the priority of the (white) Greeks replacing it with the priority of the (black) Egyptians. There are, of course, genuine issues for discussion here about the relations between different parts of the ancient Mediterranean and the Greek “miracle.” Martin Bernal (not, by my accounts an Afrocentrist, because he doesn’t support the positive agenda of the movement) is a hero for Afrocentrists because he has taken on, in Black Athena, the challenge of refuting the modern view that the Greeks owed nothing of importance to Egypt. So far as I can see, there seems to be a consensus, now, that Bernal convincingly demonstrates the role of prejudice against blacks and Jews in classical scholarship in the Enlightenment and since, while not establishing decisively his own positive account of ancient history. But it is not this perfectly interesting and potentially genteel academic debate that has drawn Bernal to the Afrocentrists’ attention. For their purposes it is essential not only to agree with Bernal’s account of ancient intellectual history but also to insist, in Diop’s words, that “Ancient Egypt was a Negro civilization [and]…the moral fruit of their civilization is to be counted among the assets of the Black world …” And on this matter Bernal has little to say. Fortunately he did not have to argue for this secondary thesis, since it is taken to be implicit in his title. African Athena or Egyptian Athena (titles he himself favored) would have left the racial issue open: Black Athena (the publisher’s idea) does not. </w:t>
      </w:r>
      <w:r w:rsidRPr="009B1B46">
        <w:rPr>
          <w:rStyle w:val="StyleUnderline"/>
        </w:rPr>
        <w:t>It is this preoccupation with racial matters that is so much a response to the nineteenth-century framing of the issues. What was added in the nineteenth century to the classicism of the Enlightenment was the thought that the Western heritage was a racial possession. This story neglects not only Egyptian influences on the Greeks but such minor embarrassments as the centrality of Jewish contributions to Western high culture, and the key role of the Arabs in maintaining the intellectual tradition that linked Plato to the Renaissance. And it depends on a way of thinking of culture and biology which is bound to be discomfited by those scholars, black, brown, and yellow, who have taken possession of Western culture in the twentieth century and mastered it, at the very same time as many of the supposed racial heirs of the West have been immersed in a popular culture “contaminated” with African rhythms. But in our day racialism surely does not need arguing against in serious company. Do we not all know that there is biology and there is culture; that their interconnections and interdependencies are complex; that the old simplicities of racialism have not stood the test of exposure to the evidence? Perhaps. But, then again, perhaps not. After all, the Afrocentrist interest in the color of the ancient Egyptians presumably derives from the thought that if they were black then they were of the same race as contemporary black Africans and their New World cousins. (It is, indeed, a standard feature of Afrocentric argument to go through a series of claims about the physical anthropological evidence for the priority in various domains of the African.) And why, if you do not conflate biology and culture, should that matter?</w:t>
      </w:r>
      <w:r w:rsidRPr="0053533F">
        <w:rPr>
          <w:sz w:val="16"/>
        </w:rPr>
        <w:t xml:space="preserve"> It is hard to find in the Afrocentrist literature a clearer answer to this question than the passage from Diop I quoted earlier. Racial identity with the Egyptians makes their achievements one of the moral assets of contemporary blacks. (Of course, if Greece grew out of Egypt and “the West” grew out of Greece, then the West is one of the moral assets of contemporary blacks: and its legacy of ethnocentrism is presumably one of our moral liabilities. But I digress.) </w:t>
      </w:r>
      <w:r w:rsidRPr="009B1B46">
        <w:rPr>
          <w:rStyle w:val="Emphasis"/>
        </w:rPr>
        <w:t>Perhaps this is why Black Athena and African Origins of Civilization–which contain translated selections from Diop’s Anteriorite des civilisations negres–sell so well on the streets of Harlem. And if it is, this is a reason that would have been entirely congenial to the nineteenth century Eurocentrists whom Afrocentricity aims to refute</w:t>
      </w:r>
      <w:r w:rsidRPr="0053533F">
        <w:rPr>
          <w:sz w:val="16"/>
        </w:rPr>
        <w:t xml:space="preserve">. </w:t>
      </w:r>
      <w:r w:rsidRPr="009B1B46">
        <w:rPr>
          <w:rStyle w:val="Emphasis"/>
        </w:rPr>
        <w:t>Once we see the essentially reactive structure of Afrocentrism–it is, to borrow Marx’s account of his relation to Hegel, simply Eurocentrism turned upside down–we can understand where its intellectual weaknesses will lie. It is not surprising, for example, that in choosing to talk about Egypt and to ignore the rest of Africa and African history, Afrocentrism shares the European prejudice against cultures without writing. Eurocentrism, finding a literate culture and significant architecture, set about claiming that Egypt could not be black. Afrocentrism chooses Egypt because Eurocentrism had already made a claim on it.</w:t>
      </w:r>
      <w:r w:rsidRPr="0053533F">
        <w:rPr>
          <w:sz w:val="16"/>
        </w:rPr>
        <w:t xml:space="preserve"> Similarly, we shall not be surprised at what is one of the most tiresome features of Afrocentrism, namely its persistence in what the Beninois philosopher (and current Minister of Culture) Paulin Hountondji has called “unanimism:” the view that there is an African culture to which to appeal. </w:t>
      </w:r>
      <w:r w:rsidRPr="009B1B46">
        <w:rPr>
          <w:rStyle w:val="StyleUnderline"/>
        </w:rPr>
        <w:t>It is surely prima facie preposterous to suppose that there is an African culture, shared by everyone from the civilizations of the upper Nile thousands of years ago to the thousand or so language-zones of contemporary Africa. Here too, in aiming to identify some common core of African civilization, the Afrocentrists seem to be responding to earlier attempts to identify a common core of Western culture.</w:t>
      </w:r>
      <w:r w:rsidRPr="0053533F">
        <w:rPr>
          <w:sz w:val="16"/>
        </w:rPr>
        <w:t xml:space="preserve"> Wandering, as I have, from Venice to Venice Beach, California, or from York to New York, one can be forgiven for wondering how unitary the West really is today. But it was always a strange idea that Alexander and Alfred and Frederick the Greats had something deeply in common with each other and with the least of their subjects which could be called Western culture. </w:t>
      </w:r>
      <w:r w:rsidRPr="0053533F">
        <w:rPr>
          <w:rStyle w:val="StyleUnderline"/>
        </w:rPr>
        <w:t>And in Africa, where whatever continuity there has been through all this time, has not been mediated by even the sort of broken textual tradition that in some sense unites something called Western culture, it is not only a strange idea but a silly one. A final irony is worth pointing out: Afrocentrism, which is offered in the name of black solidarity, has, by and large, entirely ignored the work of African scholars other than Diop</w:t>
      </w:r>
      <w:r w:rsidRPr="0053533F">
        <w:rPr>
          <w:sz w:val="16"/>
        </w:rPr>
        <w:t>. (This fact tends to be concealed because African-American scholars like Asante and Karenga have adopted African names.) Thus, much play has been given to another major source book for the Afrocentric, Jahnheinz Jahn’s Muntu: African Cultures and the Western World, a work that first appeared in the United States with great eclat in the early 1960s. The book revolves around the concept of NTU. (This is the stem of the Kinyaruanda-Bantu words “Muntu” (Person), “Kintu” (thing), “Hantu” (place and time) and “Kuntu”(modality) and it is a morpheme that does not occur unprefixed in Kinyaruanda.) “NTU,” Jahn wrote with the gravitas of revelation, “is the universal force as such.”</w:t>
      </w:r>
    </w:p>
    <w:p w14:paraId="4E417A9C" w14:textId="77777777" w:rsidR="002A12C9" w:rsidRDefault="002A12C9" w:rsidP="002A12C9">
      <w:pPr>
        <w:rPr>
          <w:sz w:val="16"/>
        </w:rPr>
      </w:pPr>
    </w:p>
    <w:p w14:paraId="41099C65" w14:textId="77777777" w:rsidR="002A12C9" w:rsidRDefault="002A12C9" w:rsidP="002A12C9">
      <w:pPr>
        <w:pStyle w:val="Heading3"/>
      </w:pPr>
      <w:r>
        <w:t>Essentialism</w:t>
      </w:r>
    </w:p>
    <w:p w14:paraId="28C1B3D9" w14:textId="77777777" w:rsidR="002A12C9" w:rsidRPr="00AC63C5" w:rsidRDefault="002A12C9" w:rsidP="002A12C9">
      <w:pPr>
        <w:pStyle w:val="Heading4"/>
      </w:pPr>
      <w:r>
        <w:t>1. Essentialism of subject causes subjugation of populations?</w:t>
      </w:r>
    </w:p>
    <w:p w14:paraId="2A1D478D" w14:textId="77777777" w:rsidR="002A12C9" w:rsidRPr="00AC63C5" w:rsidRDefault="002A12C9" w:rsidP="002A12C9">
      <w:pPr>
        <w:rPr>
          <w:rStyle w:val="Style13ptBold"/>
          <w:b w:val="0"/>
        </w:rPr>
      </w:pPr>
      <w:r>
        <w:rPr>
          <w:rStyle w:val="Style13ptBold"/>
        </w:rPr>
        <w:t xml:space="preserve">Curbishley 15 </w:t>
      </w:r>
      <w:r>
        <w:rPr>
          <w:rStyle w:val="Style13ptBold"/>
          <w:b w:val="0"/>
        </w:rPr>
        <w:t>(</w:t>
      </w:r>
      <w:r w:rsidRPr="000E536B">
        <w:rPr>
          <w:rStyle w:val="Style13ptBold"/>
          <w:b w:val="0"/>
          <w:sz w:val="16"/>
          <w:szCs w:val="16"/>
        </w:rPr>
        <w:t>Linda Curbishley, master of Humanities in Gender Studies at Utrect University, “Destabilizing the Colonization of Indigenous Knowledge”, pp. 10-12) TSB</w:t>
      </w:r>
    </w:p>
    <w:p w14:paraId="2392539D" w14:textId="27BB14E0" w:rsidR="002A12C9" w:rsidRPr="002A12C9" w:rsidRDefault="002A12C9" w:rsidP="002A12C9">
      <w:pPr>
        <w:rPr>
          <w:rStyle w:val="StyleUnderline"/>
          <w:u w:val="none"/>
        </w:rPr>
      </w:pPr>
      <w:r>
        <w:t>Influenced by post-structuralism, and in accordance with critical discourse analysis, throughout this thesis specific linguistic choices were made.5 Here I will set out the justification and purpose behind these linguist choices. Bi</w:t>
      </w:r>
      <w:r w:rsidRPr="000E536B">
        <w:rPr>
          <w:rStyle w:val="StyleUnderline"/>
        </w:rPr>
        <w:t xml:space="preserve">opiracy is viewed here as an act of colonization and neo-colonialism in action, rather than imperialism, this view is due to the subjugation that biopiracy enacts upon indigenous peoples both symbolically and materially.6 Indigenous peoples are colonized through acts of biopiracy as knowledges are appropriated and exploited and the maintenance of oppression is thrust upon them. </w:t>
      </w:r>
      <w:r>
        <w:t>Neo-colonialism is practiced through biopiracy in the actions of multinational corporations patenting and commodifying certain natural resources found in the Global South and therefore colonizing indigenous knowledges for economic gain without compensating the indigenous community in return. “</w:t>
      </w:r>
      <w:r w:rsidRPr="000E536B">
        <w:rPr>
          <w:rStyle w:val="StyleUnderline"/>
        </w:rPr>
        <w:t>The lives of indigenous peoples represent the unfinished business of decolonization” (Wilmer, 1993: 5) as their lives become increasingly encroached upon by multinational corporations looking to exploit natural resources, paternalistic governments unwilling to respect and protect their sovereignty and self-determination and a discourse that naturalizes and feminizes as it constructs indigenous Subjects. Postcolonial India was chosen as the space in which to investigate biopiracy due to its extensive colonial history, I wish to examine the replay of this through new globalised capitalist mechanisms such as patenting and intellectual property rights</w:t>
      </w:r>
      <w:r>
        <w:t xml:space="preserve">. 6 Neo-colonialism describes geopolitical practices that control or influence countries without direct military action or indirect political control, but instead through capitalism, globalization and cultural imperialism (Satre, 2001). This thesis uses this definition of neo-colonialism but also proposed a reinvigoration of colonial practices of subjugation, exploitation and colonization of land, resources and knowledge. 7 </w:t>
      </w:r>
      <w:r w:rsidRPr="000E536B">
        <w:rPr>
          <w:rStyle w:val="Emphasis"/>
        </w:rPr>
        <w:t>East and West are also problematic terms are they refer to two homogenized sides of the world, grouping countries and regions that often have no corresponding characteristics or culture, When discussing various global regions language is intimately tied to historical, economical, cultural and ideological connotations that. effect discourse and meaning. Using terms such as first and third world is highly problematic as these terms reinforce existing hierarchies between the two. The terms East and West are also problematic as they homogenize constructed ideas of culture related to certain spaces, temporalities and modalities that do not benefit the deconstruction of binaries.</w:t>
      </w:r>
      <w:r>
        <w:t xml:space="preserve">7 </w:t>
      </w:r>
      <w:r w:rsidRPr="000E536B">
        <w:rPr>
          <w:rStyle w:val="StyleUnderline"/>
        </w:rPr>
        <w:t>Throughout this thesis, when such terms are italicized I do so to create a continual questioning of these terms and the discourse they help to perpetuate. In</w:t>
      </w:r>
      <w:r>
        <w:t xml:space="preserve"> this thesis the Global North is used to discuss economic and discursive power, The Global South herein represents developing nations who share the common features of limited economic resources, poor infrastructure and are viewed as less developed than other nations, many of which have experienced a history of colonization, decolonization, and continue to suffer from poverty, civil unrest, war, environmental degradation and resource depletion. H</w:t>
      </w:r>
      <w:r w:rsidRPr="000E536B">
        <w:rPr>
          <w:rStyle w:val="Emphasis"/>
        </w:rPr>
        <w:t>owever, the opposing of these two regions is problematic as it places culpability solely on the Global North and therefore casts the Global South and indigenous communities as the victim</w:t>
      </w:r>
    </w:p>
    <w:p w14:paraId="18E25E22" w14:textId="60E4184E" w:rsidR="008311CA" w:rsidRDefault="008311CA" w:rsidP="00FA6138">
      <w:pPr>
        <w:pStyle w:val="Heading2"/>
        <w:rPr>
          <w:rStyle w:val="StyleUnderline"/>
          <w:sz w:val="52"/>
          <w:szCs w:val="52"/>
          <w:u w:val="none"/>
        </w:rPr>
      </w:pPr>
      <w:r>
        <w:rPr>
          <w:rStyle w:val="StyleUnderline"/>
          <w:sz w:val="52"/>
          <w:szCs w:val="52"/>
          <w:u w:val="none"/>
        </w:rPr>
        <w:t>Deschooling</w:t>
      </w:r>
    </w:p>
    <w:p w14:paraId="7E410DF0" w14:textId="18E11BCC" w:rsidR="00C8134D" w:rsidRDefault="00C8134D" w:rsidP="008311CA">
      <w:pPr>
        <w:rPr>
          <w:rStyle w:val="Style13ptBold"/>
        </w:rPr>
      </w:pPr>
      <w:r>
        <w:rPr>
          <w:rStyle w:val="Style13ptBold"/>
        </w:rPr>
        <w:t xml:space="preserve">Study solves the aff—supercharges solvency </w:t>
      </w:r>
    </w:p>
    <w:p w14:paraId="1AE20D14" w14:textId="1DA5D0E0" w:rsidR="008311CA" w:rsidRPr="008311CA" w:rsidRDefault="008311CA" w:rsidP="008311CA">
      <w:pPr>
        <w:rPr>
          <w:rStyle w:val="Style13ptBold"/>
          <w:b w:val="0"/>
        </w:rPr>
      </w:pPr>
      <w:r>
        <w:rPr>
          <w:rStyle w:val="Style13ptBold"/>
        </w:rPr>
        <w:t xml:space="preserve">Dyke &amp; Meyerhoff 13 </w:t>
      </w:r>
      <w:r>
        <w:rPr>
          <w:rStyle w:val="Style13ptBold"/>
          <w:b w:val="0"/>
        </w:rPr>
        <w:t xml:space="preserve">(Erin Dyke, </w:t>
      </w:r>
      <w:r w:rsidRPr="008311CA">
        <w:rPr>
          <w:rStyle w:val="Style13ptBold"/>
          <w:b w:val="0"/>
        </w:rPr>
        <w:t>University of Minnesota, Twin Cities</w:t>
      </w:r>
      <w:r>
        <w:rPr>
          <w:rStyle w:val="Style13ptBold"/>
          <w:b w:val="0"/>
        </w:rPr>
        <w:t xml:space="preserve">, Eli Meyerhoff, </w:t>
      </w:r>
      <w:r w:rsidRPr="008311CA">
        <w:rPr>
          <w:rStyle w:val="Style13ptBold"/>
          <w:b w:val="0"/>
        </w:rPr>
        <w:t>Unive</w:t>
      </w:r>
      <w:r>
        <w:rPr>
          <w:rStyle w:val="Style13ptBold"/>
          <w:b w:val="0"/>
        </w:rPr>
        <w:t xml:space="preserve">rsity of Minnesota, Twin Cities, </w:t>
      </w:r>
      <w:r w:rsidR="00C8134D">
        <w:rPr>
          <w:rStyle w:val="Style13ptBold"/>
          <w:b w:val="0"/>
        </w:rPr>
        <w:t xml:space="preserve">Journal of Curriculum Theorizing, “An Experimented in Radical Pedagogy and Study”, </w:t>
      </w:r>
      <w:hyperlink r:id="rId28" w:history="1">
        <w:r w:rsidR="00C8134D" w:rsidRPr="00A02494">
          <w:rPr>
            <w:rStyle w:val="Hyperlink"/>
            <w:sz w:val="26"/>
          </w:rPr>
          <w:t>http://journal.jctonline.org/index.php/jct/article/viewFile/491/pdf</w:t>
        </w:r>
      </w:hyperlink>
      <w:r w:rsidR="00C8134D">
        <w:rPr>
          <w:rStyle w:val="Style13ptBold"/>
          <w:b w:val="0"/>
        </w:rPr>
        <w:t xml:space="preserve">) TSB </w:t>
      </w:r>
    </w:p>
    <w:p w14:paraId="3F41F86C" w14:textId="6F63F681" w:rsidR="008311CA" w:rsidRDefault="008311CA" w:rsidP="008311CA">
      <w:pPr>
        <w:rPr>
          <w:rStyle w:val="StyleUnderline"/>
        </w:rPr>
      </w:pPr>
      <w:r w:rsidRPr="00C8134D">
        <w:rPr>
          <w:rStyle w:val="Emphasis"/>
        </w:rPr>
        <w:t>They describe ‘study’ as a “relational term,” in complementary relations of “a kind of circle of knowledge—teaching—study, as that set of relations that never really leaves prematurity,” and also in relations of opposition to both ‘exam’ and ‘expertise,’ which imply the completion of study, as well as in opposition to ‘governance’ as “a kind of prospecting of mass intellectuality</w:t>
      </w:r>
      <w:r>
        <w:t xml:space="preserve">” (p. 170-1). This relationality leaves the threads of many controversies open, thereby calling for asking many questions, such as: ‘why </w:t>
      </w:r>
      <w:r w:rsidRPr="00C8134D">
        <w:rPr>
          <w:rStyle w:val="Emphasis"/>
        </w:rPr>
        <w:t>study?’; ‘study for composing what kind of world?’; and ‘what are the geo- and body-politically situated relations of the knowledges with which one studies?’</w:t>
      </w:r>
      <w:r>
        <w:t xml:space="preserve"> Such investigation could include the limiting and enabling conditions of study for composing a modernist/colonialist world if situated in education’s disciplinary practices—or study for decolonial, abolitionist resistances and for creating alternative, communal worlds. This </w:t>
      </w:r>
      <w:r w:rsidRPr="00C8134D">
        <w:rPr>
          <w:rStyle w:val="StyleUnderline"/>
        </w:rPr>
        <w:t>line of inquiry resonates with Moten and Harney’s “undercommons” approach, which asks questions about “what one’s relationship ought to be to a place [the University] which is, on the one hand, a refuge for study, but on the other, an institution that exerts a quite vicious and brutal—however much it is comfortable and gentle—control over study</w:t>
      </w:r>
      <w:r>
        <w:t xml:space="preserve">,” and questions about how one can “escape within that institution,” </w:t>
      </w:r>
      <w:r w:rsidRPr="00C8134D">
        <w:rPr>
          <w:rStyle w:val="StyleUnderline"/>
        </w:rPr>
        <w:t>to take up a kind of “refugee status within the University” in “surreptitious underground zones,” grappling with questions of selective in/visibility and im/perceptibility through relations of “criminality” and “maroon community</w:t>
      </w:r>
      <w:r>
        <w:t xml:space="preserve">” (Moten, Harney, &amp; Bousquet, 2009, p. 166). </w:t>
      </w:r>
      <w:r w:rsidRPr="00C8134D">
        <w:rPr>
          <w:rStyle w:val="Emphasis"/>
        </w:rPr>
        <w:t>Addressing questions about study within and against dominant institutions and with and for marginal communities and radical movements makes questions around pedagogy even more important. A</w:t>
      </w:r>
      <w:r>
        <w:t xml:space="preserve">gainst developmentalist approaches to study, “how can we begin to imagine a pedagogy that is not predicated on the readiness for governance of the student?” (p. 169). De-linking ‘pedagogy’ from ‘education’ and associating it with ‘study’ more generally, we define ‘pedagogy’ as reflection, planning, and design of situations for study. In our EXCO class, </w:t>
      </w:r>
      <w:r w:rsidRPr="00C8134D">
        <w:rPr>
          <w:rStyle w:val="StyleUnderline"/>
        </w:rPr>
        <w:t xml:space="preserve">all participants engaged in both pedagogy and </w:t>
      </w:r>
      <w:r w:rsidR="00C8134D" w:rsidRPr="00C8134D">
        <w:rPr>
          <w:rStyle w:val="StyleUnderline"/>
        </w:rPr>
        <w:t>s</w:t>
      </w:r>
      <w:r w:rsidRPr="00C8134D">
        <w:rPr>
          <w:rStyle w:val="StyleUnderline"/>
        </w:rPr>
        <w:t>tudy to varying extents, with those of us who took on the role of ‘facilitator’ having more responsibility for pedagogy in relation to the class. This more explicit pedagogical responsibility for facilitators, however, should be an object of collective and continuous reflection in order to avoid slipping into positions of authority inherited from teacher-student relations in normal schools.</w:t>
      </w:r>
    </w:p>
    <w:p w14:paraId="6F1A2605" w14:textId="3A4F97CD" w:rsidR="00CC51EB" w:rsidRDefault="00CC51EB" w:rsidP="003D1041">
      <w:pPr>
        <w:pStyle w:val="Heading1"/>
      </w:pPr>
      <w:r>
        <w:t xml:space="preserve">Third way alternatives </w:t>
      </w:r>
    </w:p>
    <w:p w14:paraId="11DC59F6" w14:textId="09584906" w:rsidR="00CC51EB" w:rsidRDefault="00866913" w:rsidP="00CC51EB">
      <w:pPr>
        <w:pStyle w:val="Heading4"/>
      </w:pPr>
      <w:r>
        <w:t xml:space="preserve">1. </w:t>
      </w:r>
      <w:r w:rsidR="00CC51EB">
        <w:t>We advocate for a hybrid theory of politics that recognizes the theories of colonialism but enframe it within a broader critique of capitalism: this a prerequisite and suggests at a possible re-balancing of the world as we know it.</w:t>
      </w:r>
    </w:p>
    <w:p w14:paraId="12AD73D0" w14:textId="21E36249" w:rsidR="00CC51EB" w:rsidRPr="0001630A" w:rsidRDefault="00CC51EB" w:rsidP="00CC51EB">
      <w:pPr>
        <w:rPr>
          <w:rStyle w:val="Style13ptBold"/>
          <w:b w:val="0"/>
        </w:rPr>
      </w:pPr>
      <w:r>
        <w:rPr>
          <w:rStyle w:val="Style13ptBold"/>
        </w:rPr>
        <w:t>Chagani 10 (</w:t>
      </w:r>
      <w:r w:rsidR="0001630A">
        <w:rPr>
          <w:rStyle w:val="Style13ptBold"/>
          <w:b w:val="0"/>
        </w:rPr>
        <w:t>Fayaz Chagani, Master of Arts in the Department of Political Science at York University, September 2010, “</w:t>
      </w:r>
      <w:r w:rsidR="0001630A" w:rsidRPr="0001630A">
        <w:rPr>
          <w:rStyle w:val="Style13ptBold"/>
          <w:b w:val="0"/>
        </w:rPr>
        <w:t>Another Postcolonialism: On the Possibility of a New Middle Ground</w:t>
      </w:r>
    </w:p>
    <w:p w14:paraId="06FB70C0" w14:textId="4D5A0771" w:rsidR="00CC51EB" w:rsidRPr="00CC51EB" w:rsidRDefault="00CC51EB" w:rsidP="00CC51EB">
      <w:r>
        <w:t xml:space="preserve">As I have argued, however, </w:t>
      </w:r>
      <w:r w:rsidRPr="003D1041">
        <w:rPr>
          <w:rStyle w:val="StyleUnderline"/>
        </w:rPr>
        <w:t xml:space="preserve">the challenge for postcolonialism today is precisely this negotiation. </w:t>
      </w:r>
      <w:r>
        <w:t xml:space="preserve">The key to preserving (and perhaps extending) its critical purchase is to produce a new and improved “hybrid” theory of politics. </w:t>
      </w:r>
      <w:r w:rsidRPr="007F2449">
        <w:rPr>
          <w:rStyle w:val="StyleUnderline"/>
        </w:rPr>
        <w:t>To the extent that it offers a nonreductive approach to universal theorizing—a way to keep the general and the particular in a state of productive tension—the work of the postcolonial humanists marks a possible path forward.</w:t>
      </w:r>
      <w:r>
        <w:t xml:space="preserve"> The problem is that these thinkers continue to avoid the crucial task of engaging, in a serious and systematic way, with material difference. </w:t>
      </w:r>
      <w:r w:rsidRPr="007F2449">
        <w:rPr>
          <w:rStyle w:val="StyleUnderline"/>
        </w:rPr>
        <w:t xml:space="preserve">They ignore the fact that any project of egalitarian universalism, if it is to be truly egalitarian, must incorporate a critique of capitalism. In this respect, Chakrabarty and the Latin American modernity/coloniality </w:t>
      </w:r>
      <w:r>
        <w:t xml:space="preserve">119 Parry, “The Institutionalization of Postcolonial Studies,” p. 79. 39 group present more fruitful possibilities for how postcolonial criticism might be reoriented. </w:t>
      </w:r>
      <w:r w:rsidRPr="007F2449">
        <w:rPr>
          <w:rStyle w:val="Emphasis"/>
        </w:rPr>
        <w:t>Moreover, both suggest that the postcolonial concern with decolonizing knowledge production need not be overcome or surpassed in order to turn the field’s attention toward increasingly urgent matters of social justice. Rather than choosing between Marxism and cultural/colonial difference, they recommend we view both projects (and their objects) relationally.</w:t>
      </w:r>
      <w:r>
        <w:t xml:space="preserve"> </w:t>
      </w:r>
      <w:r w:rsidRPr="007F2449">
        <w:rPr>
          <w:rStyle w:val="StyleUnderline"/>
        </w:rPr>
        <w:t xml:space="preserve">To do so will require a new language and a new way of thinking otherwise toward which notions such as “barter” and “border thinking” may prove to be important building blocks. </w:t>
      </w:r>
      <w:r>
        <w:t xml:space="preserve">And yet there are fundamental problems with even these more “balanced” formulations. In Chakrabarty’s case, the unacceptable cost of making room for both a critique of capitalism and the politics of human belonging is the overcoming of capitalism itself. </w:t>
      </w:r>
      <w:r w:rsidRPr="00E94904">
        <w:rPr>
          <w:rStyle w:val="StyleUnderline"/>
        </w:rPr>
        <w:t xml:space="preserve">His conceptualization refuses to imagine a future “beyond” capitalism, thus resigning us to life in the capitalist iron cage. While the same cannot be said for modernity/coloniality, which seeks explicitly to transform the multiple and entangled hierarchies of the world system, this paradigm suffers from flaws of its own, including the replacement of the primacy of culture (postcolonialism) or the economy (orthodox Marxism) with what risks being an equally reductive master-concept—that of “coloniality.” </w:t>
      </w:r>
      <w:r>
        <w:t xml:space="preserve">But in spite of the shortcomings of these two frameworks, it is clear, to my mind, that the likelihood of delaying postcolonialism’s theoretical expiry date depends upon </w:t>
      </w:r>
      <w:r w:rsidRPr="00E94904">
        <w:rPr>
          <w:rStyle w:val="StyleUnderline"/>
        </w:rPr>
        <w:t>“post-postcolonial” and “post-Marxist” formulations such as these—although to label them in this way only diminishes their continuity with both of these traditions. Whether postcolonial studies in the future is still called “postcolonial” or becomes “decolonial” or even, following Mignolo, a “critical cosmopolitanism</w:t>
      </w:r>
      <w:r>
        <w:t xml:space="preserve">,” is of secondary importance to whether a new middle ground or “double consciousness” can be theorized which makes possible a </w:t>
      </w:r>
      <w:r w:rsidRPr="00E94904">
        <w:rPr>
          <w:rStyle w:val="StyleUnderline"/>
        </w:rPr>
        <w:t>re-balancing of the sort I have suggested is sorely lacking in the field today. In this, of course, I speak of a postcolonialism “to come.”</w:t>
      </w:r>
    </w:p>
    <w:p w14:paraId="7D8C8174" w14:textId="77777777" w:rsidR="00CC51EB" w:rsidRPr="00CC51EB" w:rsidRDefault="00CC51EB" w:rsidP="00CC51EB"/>
    <w:p w14:paraId="16D52C2B" w14:textId="77777777" w:rsidR="00CC51EB" w:rsidRPr="00CC51EB" w:rsidRDefault="00CC51EB" w:rsidP="00CC51EB"/>
    <w:p w14:paraId="556555B1" w14:textId="47356BFD" w:rsidR="00224846" w:rsidRDefault="00224846" w:rsidP="00224846">
      <w:pPr>
        <w:pStyle w:val="Heading1"/>
      </w:pPr>
      <w:r>
        <w:t>Misc</w:t>
      </w:r>
    </w:p>
    <w:p w14:paraId="677CB57B" w14:textId="73A2BFD8" w:rsidR="00224846" w:rsidRDefault="00224846" w:rsidP="00224846">
      <w:pPr>
        <w:rPr>
          <w:rStyle w:val="Style13ptBold"/>
        </w:rPr>
      </w:pPr>
      <w:r>
        <w:rPr>
          <w:rStyle w:val="Style13ptBold"/>
        </w:rPr>
        <w:t>(Needs tag) alternative—middle ground for critique</w:t>
      </w:r>
    </w:p>
    <w:p w14:paraId="2B9556A5" w14:textId="77777777" w:rsidR="00224846" w:rsidRPr="00124DC7" w:rsidRDefault="00224846" w:rsidP="00224846">
      <w:pPr>
        <w:rPr>
          <w:rStyle w:val="Style13ptBold"/>
          <w:b w:val="0"/>
          <w:sz w:val="18"/>
          <w:szCs w:val="18"/>
        </w:rPr>
      </w:pPr>
      <w:r>
        <w:rPr>
          <w:rStyle w:val="Style13ptBold"/>
        </w:rPr>
        <w:t xml:space="preserve">Chandra 16 </w:t>
      </w:r>
      <w:r>
        <w:rPr>
          <w:rStyle w:val="Style13ptBold"/>
          <w:b w:val="0"/>
        </w:rPr>
        <w:t>(</w:t>
      </w:r>
      <w:r w:rsidRPr="00124DC7">
        <w:rPr>
          <w:rStyle w:val="Style13ptBold"/>
          <w:b w:val="0"/>
          <w:sz w:val="18"/>
          <w:szCs w:val="18"/>
        </w:rPr>
        <w:t>Uday Chandra, Researcher at Georgetown University, Qatar, “Marxism, Postcolonial Theory, and the Specter of Universalism”, Critical Sociology Journal, April 2016, Sage Publications) TSB</w:t>
      </w:r>
    </w:p>
    <w:p w14:paraId="78C127F7" w14:textId="25272904" w:rsidR="00CC51EB" w:rsidRPr="00CC51EB" w:rsidRDefault="00224846" w:rsidP="00CC51EB">
      <w:pPr>
        <w:rPr>
          <w:b/>
          <w:iCs/>
          <w:u w:val="single"/>
        </w:rPr>
      </w:pPr>
      <w:r w:rsidRPr="00844CF5">
        <w:rPr>
          <w:sz w:val="16"/>
        </w:rPr>
        <w:t xml:space="preserve">To return to where we began, the grand battle between the representatives of Marxism and postco- lonial theory, it is certainly tempting to see it as an instance of much ado about nothing. But, then again, </w:t>
      </w:r>
      <w:r w:rsidRPr="00124DC7">
        <w:rPr>
          <w:rStyle w:val="StyleUnderline"/>
        </w:rPr>
        <w:t>the battle lines are drawn so sharply and the unwillingness to enter into dialogue is so pal- pable that the current impasse seems real enough. My modest solution to find a way out of this impasse is to look for a couple of rather surprising similarities between Vivek Chibber and those whose work he has criticized so forcefully. These similarities do not imply that substantive differ- ences do not exist; they obviously do in terms of method and subject matter. The similarities lie in their aims: first, in the search for universalisms such as the resisting subject to make sense of post- colonial history and politics, and second, in the manner in which these universalisms, whether class struggle, anti-colonial resistance or anti-state social organization, permit scholars to pursue an avant-gardist politics by claiming a complete identification with their research subjects</w:t>
      </w:r>
      <w:r w:rsidRPr="00844CF5">
        <w:rPr>
          <w:sz w:val="16"/>
        </w:rPr>
        <w:t>. For the sake of clarity, I have focused on the figure of the tribal or indigenous subject as an instance of the universal resisting subject, and explained how two prominent works of South Asian history and anthropology across different generations have, despite their methodological and theoretical differ- ences, written remarkably similar narratives about the resisting tribal subject</w:t>
      </w:r>
      <w:r w:rsidRPr="00CB4B1B">
        <w:rPr>
          <w:rStyle w:val="StyleUnderline"/>
        </w:rPr>
        <w:t xml:space="preserve">. These narratives are, of course, not simply about the tribal Other but also about the authors and their claim to be doing radical politics through their scholarship. The constitution of the object of intellectual analysis in these narratives becomes the ground on which the flag of academic avant-gardism gets hoisted, during which the tribal-subaltern has little or no say but is spoken for. In pointing out these uncomfortable but hardly novel truths about what our embattled theorists of Marxism and postcolonialism share in common, I wish to ask whether such universalisms as the resisting subject and the radical pretensions that flow from them ought to be abandoned today. </w:t>
      </w:r>
      <w:r w:rsidRPr="00844CF5">
        <w:rPr>
          <w:sz w:val="16"/>
        </w:rPr>
        <w:t xml:space="preserve">Those who would answer in the negative might say that such universalisms render social critique powerful in and outside academia. In response, it is worth asking whether academic avant-gardism benefits anyone except those claiming a kind of intellectual purity within a professional parlor game. </w:t>
      </w:r>
      <w:r w:rsidRPr="00844CF5">
        <w:rPr>
          <w:rStyle w:val="StyleUnderline"/>
        </w:rPr>
        <w:t>Might it not be better to pursue a different kind of intellectual praxis in which textual repre- sentations of our research subjects do not fight mock battles in the service of this or that grand theory? At the very least, I think, the possibility is worth contemplating. In concrete terms, this would mean, on the one hand, grappling with ‘engaged universals’ (Tsing, 2004) such as the nation, development, civil society, and social movements that we encounter in particular contexts, and on the other hand, committing to ‘thickness’ and complexity (Ortner, 1995) rather than to parsimoni- ous or abstract theoretical frameworks. In terms of the philosophy and sociology of the social sci- ences, this is a call for ‘realism’ (Sayer 2000; Shapiro and Wendt, 1992) and ‘contextualism’ (Bhargava, 1992), but one that does not give up on comparison or the elaboration of similarities and differences (van der Veer, 2013). The results will almost certainly be less dramatic than the grand universalisms and theories that promise so much yet deliver so little</w:t>
      </w:r>
      <w:r w:rsidRPr="00844CF5">
        <w:rPr>
          <w:sz w:val="16"/>
        </w:rPr>
        <w:t xml:space="preserve">. But, arguably, the inter- ests of critical social science as well as our research subjects will be better advanced by paying Downloaded from crs.sagepub.com at Oxford University Libraries on May 24, 2016 Chandra 9 more careful attention to the layers of meaning, often complex and sometimes contradictory, that researchers invariably encounter. </w:t>
      </w:r>
      <w:r w:rsidRPr="00844CF5">
        <w:rPr>
          <w:rStyle w:val="StyleUnderline"/>
        </w:rPr>
        <w:t>. At the very least, this is a call for patience, nuance, and reflexiv- ity in engaging with subaltern populations: to listen more carefully, and then, grapple with the analytical and ethical dilemmas of interpretive research</w:t>
      </w:r>
      <w:r w:rsidRPr="00844CF5">
        <w:rPr>
          <w:sz w:val="16"/>
        </w:rPr>
        <w:t xml:space="preserve"> </w:t>
      </w:r>
      <w:r w:rsidRPr="00844CF5">
        <w:rPr>
          <w:rStyle w:val="Emphasis"/>
        </w:rPr>
        <w:t>Ultimately, this is a call for forging soli- darities with particular struggles in specific contexts rather than claiming to speak on behalf of universal abstract subalterns. It is a call, in other words, for an ethics and politics of listening and for scholars to be allies rather than pose as vanguards. Beyond a reflexive intellectual praxis that compels us to listen better and, when necessary, to act in the service of specific subaltern struggles, it is finally worth asking how Marxism and postcolonial theory might engage with each other fruitfully if they give up their desire to pro- duce grand pronouncements on the state of the world</w:t>
      </w:r>
      <w:r w:rsidRPr="00844CF5">
        <w:rPr>
          <w:sz w:val="16"/>
        </w:rPr>
        <w:t xml:space="preserve">. In the dialogue of the deaf that followed the publication of Vivek Chibber’s book, we may discern, above all, </w:t>
      </w:r>
      <w:r w:rsidRPr="00844CF5">
        <w:rPr>
          <w:rStyle w:val="StyleUnderline"/>
        </w:rPr>
        <w:t>an inability to carve out a fresh intellectual space in which Marxist theories of culture can be melded with postcolonial theories of capitalism</w:t>
      </w:r>
      <w:r w:rsidRPr="00844CF5">
        <w:rPr>
          <w:sz w:val="16"/>
        </w:rPr>
        <w:t xml:space="preserve">. This is a potentially overlapping space between Chibber and his critics, which permits both sides to learn from each other’s strengths and where everyday realities drive theory, not vice-versa. In fact, such an intellectual space already exists, for instance, in the study of modern India if we consider scholarship linking the anthropology of caste to the eve- ryday politics of labor and capital (). </w:t>
      </w:r>
      <w:r w:rsidRPr="00844CF5">
        <w:rPr>
          <w:rStyle w:val="Emphasis"/>
        </w:rPr>
        <w:t>There are two distinc- tive features of scholarship in this vein: first, it grapples conceptually with sociocultural forms in their distinctive material contexts without a priori notions of class, labor or capitalism, and second, it lays open the varieties of actually existing capitalism in postcolonial contexts, thereby paving the way for constructive exchanges among scholars working in different world regions and between scholars and activists more generally. In this overlapping space in which Marxist theories of culture meet postcolonial theories of capitalism, scholars abjure Theory for the sake of what Robert Merton (1949: 39–53) long ago called ‘sociological theories of the middle range’. Embedded firmly in particular empirical contexts, these theories yoke together culture and capital by probing, comparing and contrasting, and drawing tentative generalizations in the form of nuanced arguments. In doing so, they seek solidarities with the marginalized or subal- tern without reducing them to mute playthings in an academic parlor game. To call for scholars to give up their radical avant-gardist pretensions does not, after all, imply that they need to abandon social critique. On the contrary, it calls for scholars to pursue critical social-scientific agendas in which empirically-grounded critique is tied to an epistemic politics of listening and solidarity. Only then can we truly dispel the specter of universalism that haunts both Marxism and postcolonial studies today.</w:t>
      </w:r>
    </w:p>
    <w:p w14:paraId="2AED8934" w14:textId="1AF619DD" w:rsidR="003B6FFA" w:rsidRDefault="00866913" w:rsidP="003B6FFA">
      <w:pPr>
        <w:pStyle w:val="Heading4"/>
      </w:pPr>
      <w:r>
        <w:t xml:space="preserve">1. </w:t>
      </w:r>
      <w:r w:rsidR="003B6FFA">
        <w:t>Anarchism</w:t>
      </w:r>
      <w:r w:rsidR="00FA25D4">
        <w:t>—what is this card saying?</w:t>
      </w:r>
    </w:p>
    <w:p w14:paraId="7DF29328" w14:textId="07579BA7" w:rsidR="003B6FFA" w:rsidRPr="003B6FFA" w:rsidRDefault="003B6FFA" w:rsidP="003B6FFA">
      <w:pPr>
        <w:rPr>
          <w:rStyle w:val="Style13ptBold"/>
          <w:b w:val="0"/>
        </w:rPr>
      </w:pPr>
      <w:r>
        <w:rPr>
          <w:rStyle w:val="Style13ptBold"/>
        </w:rPr>
        <w:t xml:space="preserve">Teivanen 16 </w:t>
      </w:r>
      <w:r>
        <w:rPr>
          <w:rStyle w:val="Style13ptBold"/>
          <w:b w:val="0"/>
        </w:rPr>
        <w:t xml:space="preserve">(Teivo Teivainen, </w:t>
      </w:r>
      <w:r w:rsidRPr="003B6FFA">
        <w:rPr>
          <w:rStyle w:val="Style13ptBold"/>
          <w:b w:val="0"/>
        </w:rPr>
        <w:t>University of Helsinki, Finland</w:t>
      </w:r>
      <w:r>
        <w:rPr>
          <w:rStyle w:val="Style13ptBold"/>
          <w:b w:val="0"/>
        </w:rPr>
        <w:t>, “</w:t>
      </w:r>
      <w:r w:rsidRPr="003B6FFA">
        <w:rPr>
          <w:rStyle w:val="Style13ptBold"/>
          <w:b w:val="0"/>
        </w:rPr>
        <w:t>Occupy representation and democratise prefiguration: Speaking for others in global justice movements</w:t>
      </w:r>
      <w:r>
        <w:rPr>
          <w:rStyle w:val="Style13ptBold"/>
          <w:b w:val="0"/>
        </w:rPr>
        <w:t xml:space="preserve">”, </w:t>
      </w:r>
      <w:r w:rsidRPr="003B6FFA">
        <w:rPr>
          <w:rStyle w:val="Style13ptBold"/>
          <w:b w:val="0"/>
        </w:rPr>
        <w:t>http://journals.sagepub.com/doi/pdf/10.1177/0309816815627387</w:t>
      </w:r>
      <w:r>
        <w:rPr>
          <w:rStyle w:val="Style13ptBold"/>
          <w:b w:val="0"/>
        </w:rPr>
        <w:t>) // TSB</w:t>
      </w:r>
    </w:p>
    <w:p w14:paraId="75B55040" w14:textId="51853296" w:rsidR="003B6FFA" w:rsidRPr="00FA25D4" w:rsidRDefault="003B6FFA" w:rsidP="003B6FFA">
      <w:pPr>
        <w:rPr>
          <w:rStyle w:val="StyleUnderline"/>
        </w:rPr>
      </w:pPr>
      <w:r w:rsidRPr="00FA25D4">
        <w:rPr>
          <w:rStyle w:val="StyleUnderline"/>
        </w:rPr>
        <w:t>One part of the ambiguous relationship between delegation and representation in anarchist theory can be considered a question of terminological choice</w:t>
      </w:r>
      <w:r w:rsidRPr="00FA25D4">
        <w:rPr>
          <w:sz w:val="16"/>
        </w:rPr>
        <w:t xml:space="preserve">. As various anar- chists including Kropotkin (1885) have contrasted representation with delegation, </w:t>
      </w:r>
      <w:r w:rsidRPr="00FA25D4">
        <w:rPr>
          <w:rStyle w:val="StyleUnderline"/>
        </w:rPr>
        <w:t>it is possible to make sweeping anti-representationalist claims and at the same time engage in representational practices, but simply call these practices ‘delegation’. In the history of anarchist organising, the most typical feature of delegates is that they are supposed to act according to a strict mandate, and that they can be recalled by their constituency. Defending the desirability of the anarchist mode of delegation, however, need not be based on a conceptual opposition to representation. In fact, if political representation is understood as ‘speaking for others’, the anarchist mode of recallable delegation can be argued as fulfilling that criterion better than the model in which representatives act autonomously of the expressed mandate of their constituents</w:t>
      </w:r>
      <w:r w:rsidRPr="00FA25D4">
        <w:rPr>
          <w:sz w:val="16"/>
        </w:rPr>
        <w:t xml:space="preserve">. Following Pitkin’s defini- tion of representation as making present, delegation can be considered one form of rep- resentation.5 Without pretending to make any claims about the historically most correct anarchist line on this question, my position is that </w:t>
      </w:r>
      <w:r w:rsidRPr="00FA25D4">
        <w:rPr>
          <w:rStyle w:val="Emphasis"/>
        </w:rPr>
        <w:t>anarchist-inspired theorists and move- ments can enhance their contribution to building radically democratic alternatives if they argue for better representation rather than for a rejection of all representation</w:t>
      </w:r>
      <w:r w:rsidRPr="00FA25D4">
        <w:rPr>
          <w:sz w:val="16"/>
        </w:rPr>
        <w:t xml:space="preserve">. This conceptual move would also allow for the discovery of more common ground between anarchist and Marxist politics, especially in transnational contexts. At the risk of stating the obvious, I presuppose that both traditions share the idea that post-capitalist futures are possible and desirable. Only slightly more controversially, along with Chiara Bottici (2013: 12–16) and many others, I also assume that they both consider human freedom as one of their main goals. For the purposes of this paper, </w:t>
      </w:r>
      <w:r w:rsidRPr="00FA25D4">
        <w:rPr>
          <w:rStyle w:val="StyleUnderline"/>
        </w:rPr>
        <w:t xml:space="preserve">their key difference is around the strategic role of the state and representation more generally, in the struggle for free- dom beyond capitalism. </w:t>
      </w:r>
      <w:r w:rsidRPr="00FA25D4">
        <w:rPr>
          <w:sz w:val="16"/>
        </w:rPr>
        <w:t xml:space="preserve">In what follows, I will defend the position that it is possible and in many cases also desirable to construct non-state forms of democratic representation. Political representa- tion should not be reduced to a question of seeking participation in, or articulation with, state structures. </w:t>
      </w:r>
      <w:r w:rsidRPr="00FA25D4">
        <w:rPr>
          <w:rStyle w:val="StyleUnderline"/>
        </w:rPr>
        <w:t>One of the key challenges for social movements and other actors seeking democratic transformations of the world is that of how to create mechanisms of collec- tive decision-making to coordinate their own activities.</w:t>
      </w:r>
      <w:r w:rsidRPr="00FA25D4">
        <w:rPr>
          <w:sz w:val="16"/>
        </w:rPr>
        <w:t xml:space="preserve"> </w:t>
      </w:r>
      <w:r w:rsidRPr="00FA25D4">
        <w:rPr>
          <w:rStyle w:val="StyleUnderline"/>
        </w:rPr>
        <w:t>The key organisational buzzword related to meeting this challenge within recent anarchist-inspired globalisation protest movements is ‘prefiguration’, normally defined as the idea that democratic goals need to be achieved through democratic means. I will now move to argue that a democratic concept of prefiguration is not compatible with a wholesale rejection of the principle of political representation. Democratic prefiguration and representation Andrej Grubačić (2013: 187) offers a compact definition of anarchism</w:t>
      </w:r>
      <w:r w:rsidRPr="00FA25D4">
        <w:rPr>
          <w:sz w:val="16"/>
        </w:rPr>
        <w:t xml:space="preserve">: it </w:t>
      </w:r>
      <w:r w:rsidRPr="00FA25D4">
        <w:rPr>
          <w:rStyle w:val="StyleUnderline"/>
        </w:rPr>
        <w:t>is about ‘taking democracy seriously and organizing prefiguratively’. The definition is based on his expe- rience in the Belgrade Libertarian Group, influenced by both Marxism and anarchism during the Yugoslav years</w:t>
      </w:r>
      <w:r w:rsidRPr="00FA25D4">
        <w:rPr>
          <w:sz w:val="16"/>
        </w:rPr>
        <w:t xml:space="preserve">. It fits well into what David Graeber (2010: 124) </w:t>
      </w:r>
      <w:r w:rsidRPr="00FA25D4">
        <w:rPr>
          <w:rStyle w:val="StyleUnderline"/>
        </w:rPr>
        <w:t>calls ‘anar- chist process’, emphasising the role of non-sectarian ‘small-a anarchists’. It is the process through which key anarchist principles have become increasingly accepted by a wide spectrum of activists. Even if it is possible to distinguish ‘autonomism’ and ‘anarchism’, and many more tendencies and identities within and across both, I will rely on an open- ended concept of anarchist process that emphasises the principles of prefiguration and democracy</w:t>
      </w:r>
      <w:r w:rsidRPr="00FA25D4">
        <w:rPr>
          <w:sz w:val="16"/>
        </w:rPr>
        <w:t xml:space="preserve">. Apart from people self-identified as anarchists or libertarian socialists, it can include what Cinzia Arruzza (2013: 117) calls ‘unconscious anarchism’. Many such examples can be found within feminist movements (see Dean, Maiguashca &amp; Keith, this issue). In this paper, democracy means the possibilities open to the people to take part in decisions that concern the basic conditions of their lives. It needs to be distinguished from such definitions of democracy that reduce it to a set of state institutions. </w:t>
      </w:r>
      <w:r w:rsidRPr="00FA25D4">
        <w:rPr>
          <w:rStyle w:val="StyleUnderline"/>
        </w:rPr>
        <w:t>We can thus assess the democratic extent of states or any other kinds of institution, but there is no essential connection between democracy and the state</w:t>
      </w:r>
      <w:r w:rsidRPr="00FA25D4">
        <w:rPr>
          <w:sz w:val="16"/>
        </w:rPr>
        <w:t xml:space="preserve">. While in this wide sense most Marxist and anarchist tendencies share the general goal of post-capitalist democracy,6 anarchists have tended to assume that democratic decision-making is most feasible in units of relatively small scale. There has therefore been little anarchist emphasis on the possibilities of transnational and global democratic alternatives. </w:t>
      </w:r>
      <w:r w:rsidRPr="00FA25D4">
        <w:rPr>
          <w:rStyle w:val="StyleUnderline"/>
        </w:rPr>
        <w:t>This is compounded by a lack of subtlety in anarchist theories of representation. The other element of Grubačić’s definition, prefiguration, the congruence between ends and means, is more clearly associated with anarchism</w:t>
      </w:r>
      <w:r w:rsidRPr="00FA25D4">
        <w:rPr>
          <w:sz w:val="16"/>
        </w:rPr>
        <w:t>. As argued by Wilson (2014: 87), prefiguration can be traced back to Bakunin’s writings. It can be concisely defined as practicing what you preach. Richard Day (2005: 34) identifies it as a key element of affinity groups that emerged ‘in Spanish anarchist circles in the late nineteenth and early twentieth centuries’, when it was adopted in ‘conscious opposition to hierarchical Marxist styles of organizing’</w:t>
      </w:r>
      <w:r w:rsidRPr="00FA25D4">
        <w:rPr>
          <w:rStyle w:val="StyleUnderline"/>
        </w:rPr>
        <w:t>. A criticism that generations of anarchists have directed at Marxists is that the latter, at least in their Leninist incarnations, have time and again sacrificed organisational democracy in the name of strategic necessity to create a van- guard party. This criticism can be based on the general principle of prefiguration if it is believed (and it is a plausible belief) that the idea of a vanguard party differs from the democratic ideals of the future society that the Leninists desire</w:t>
      </w:r>
      <w:r w:rsidRPr="00FA25D4">
        <w:rPr>
          <w:sz w:val="16"/>
        </w:rPr>
        <w:t xml:space="preserve">. The anarchist principle of prefiguration is often presented as if it were in contradic- tion not only with the Leninist betrayal of democratic ideals but also with strategic thinking more generally. Nevertheless, as Marianne Maeckelbergh (2011) has argued, prefiguration can also be a strategic practice. According to Maeckelbergh, means not only have consequences but also are consequences (2011: 8). </w:t>
      </w:r>
      <w:r w:rsidRPr="00FA25D4">
        <w:rPr>
          <w:rStyle w:val="Emphasis"/>
        </w:rPr>
        <w:t xml:space="preserve">Prefiguration is thus not in opposition to consequence-oriented strategic action per se, but rather a ‘rejection of consequentialism which privileges the ends to the complete exclusion of the means’ </w:t>
      </w:r>
      <w:r w:rsidRPr="00FA25D4">
        <w:rPr>
          <w:sz w:val="16"/>
        </w:rPr>
        <w:t xml:space="preserve">(2011: 8). In and around radical activism, it often seems to be taken for granted that prefigura- tion in itself implies an acceptance of democratic norms. But leaders of fascist organisa- tions aiming for a fascist society also practice what they preach. Democratic prefiguration should therefore be conceptually distinguished as a special case of the more general prin- ciple of prefiguration. </w:t>
      </w:r>
      <w:r w:rsidRPr="00FA25D4">
        <w:rPr>
          <w:rStyle w:val="StyleUnderline"/>
        </w:rPr>
        <w:t>This specification still leaves open the question of to what extent representation may form part of prefigurative politics. Even if it makes logical sense to extend the idea of prefiguration to a political platform that both preaches and practices democratic representation, this is not how the term is normally used.</w:t>
      </w:r>
    </w:p>
    <w:p w14:paraId="62269ECB" w14:textId="6E4AECFA" w:rsidR="00B616F6" w:rsidRDefault="00866913" w:rsidP="00B616F6">
      <w:pPr>
        <w:pStyle w:val="Heading4"/>
      </w:pPr>
      <w:r>
        <w:t xml:space="preserve">2. </w:t>
      </w:r>
      <w:r w:rsidR="00B616F6">
        <w:t>Their theory can be broadly correct and you still shouldn’t vote for them</w:t>
      </w:r>
      <w:r w:rsidR="00F464CB">
        <w:t xml:space="preserve"> because their method of actualizing their theory is nnot useful</w:t>
      </w:r>
      <w:r w:rsidR="00B616F6">
        <w:t>—prefer nuanced explanation that occurs in locales</w:t>
      </w:r>
    </w:p>
    <w:p w14:paraId="7EA6AD4E" w14:textId="77777777" w:rsidR="00B616F6" w:rsidRDefault="00B616F6" w:rsidP="00B616F6">
      <w:r>
        <w:t xml:space="preserve">--local district CP </w:t>
      </w:r>
      <w:proofErr w:type="gramStart"/>
      <w:r>
        <w:t>if  read</w:t>
      </w:r>
      <w:proofErr w:type="gramEnd"/>
      <w:r>
        <w:t xml:space="preserve"> a plan?</w:t>
      </w:r>
    </w:p>
    <w:p w14:paraId="5B538830" w14:textId="77777777" w:rsidR="00F464CB" w:rsidRDefault="00F464CB" w:rsidP="00B616F6">
      <w:r>
        <w:t>--contextual CP card? / an alt?</w:t>
      </w:r>
    </w:p>
    <w:p w14:paraId="2E9C8735" w14:textId="77777777" w:rsidR="00B616F6" w:rsidRPr="00F464CB" w:rsidRDefault="00B616F6" w:rsidP="00B616F6">
      <w:pPr>
        <w:rPr>
          <w:sz w:val="16"/>
          <w:szCs w:val="16"/>
        </w:rPr>
      </w:pPr>
      <w:r>
        <w:rPr>
          <w:rStyle w:val="Style13ptBold"/>
        </w:rPr>
        <w:t xml:space="preserve">Pappas 17 </w:t>
      </w:r>
      <w:r>
        <w:rPr>
          <w:rStyle w:val="Style13ptBold"/>
          <w:b w:val="0"/>
        </w:rPr>
        <w:t>(</w:t>
      </w:r>
      <w:r w:rsidRPr="00C92854">
        <w:rPr>
          <w:rStyle w:val="Style13ptBold"/>
          <w:b w:val="0"/>
          <w:sz w:val="16"/>
          <w:szCs w:val="16"/>
        </w:rPr>
        <w:t xml:space="preserve">Gregory Fernando Pappas, Texas A&amp;M </w:t>
      </w:r>
      <w:proofErr w:type="gramStart"/>
      <w:r w:rsidRPr="00C92854">
        <w:rPr>
          <w:rStyle w:val="Style13ptBold"/>
          <w:b w:val="0"/>
          <w:sz w:val="16"/>
          <w:szCs w:val="16"/>
        </w:rPr>
        <w:t>University,  and</w:t>
      </w:r>
      <w:proofErr w:type="gramEnd"/>
      <w:r w:rsidRPr="00C92854">
        <w:rPr>
          <w:rStyle w:val="Style13ptBold"/>
          <w:b w:val="0"/>
          <w:sz w:val="16"/>
          <w:szCs w:val="16"/>
        </w:rPr>
        <w:t xml:space="preserve"> Philosophy Documentation Center. “The Limitations and Dangers of Decolonial Philosophies in Advance.” Radical Philosophy Reviews, 2017) TSB</w:t>
      </w:r>
    </w:p>
    <w:p w14:paraId="45FBDA10" w14:textId="77777777" w:rsidR="00B616F6" w:rsidRDefault="00B616F6" w:rsidP="00B616F6">
      <w:pPr>
        <w:rPr>
          <w:rStyle w:val="StyleUnderline"/>
        </w:rPr>
      </w:pPr>
      <w:r w:rsidRPr="00F464CB">
        <w:rPr>
          <w:rStyle w:val="StyleUnderline"/>
        </w:rPr>
        <w:t>The diagnosis of a particular injustice is not always dependent on adopting a broader critical standpoint of society in its entirety, but even when it is, we must be careful to not forget that such standpoints are useful only for understanding the present evil. As concepts and categories “global hierarchies”, “white supremacy”, and “coloniality” can be great tools that can be of planetary significance.</w:t>
      </w:r>
      <w:r>
        <w:t xml:space="preserve"> One could even argue that they pick out much larger areas of people’s lives and injustices than the categories of class and gender, but in spite of their reach and explanatory theoretical value they are nothing more than tools to make reference to and ameliorate particular injustices experienced (suffered) in the midst of a particular and unique relationship in a situation. Why is this important</w:t>
      </w:r>
      <w:r w:rsidRPr="00F464CB">
        <w:rPr>
          <w:rStyle w:val="Emphasis"/>
        </w:rPr>
        <w:t>? The possible pluralism and therefore complexity of a problem of injustice does not always stop at the level of being a member of a historical group or even a member of many groups, as insisted on by intersectional analysis. There may be unique circumstances to particular countries, towns, neighborhoods, institutions, and ultimately situations that we must be open to in a context-sensitive inquiry</w:t>
      </w:r>
      <w:r>
        <w:t xml:space="preserve">. If an empirical inquiry is committed to capturing and ameliorating all of the harms in situations of injustice in their raw pretheoretical complexity, then this requires that we try to begin with and return to them. </w:t>
      </w:r>
      <w:r w:rsidRPr="00F464CB">
        <w:rPr>
          <w:rStyle w:val="Emphasis"/>
        </w:rPr>
        <w:t>Regardless of how much a theory of global domination centered on “coloniality” may actually explain, it is reasonable to worry about what it leaves out and question the extent to which it really helps those that are victims of injustice. A wider net may bring more fishes from the ocean, but I am not sure this applies to injustices. Such theories may lead to analysis or diagnosis that while true at some level may actually have very little to offer in terms of more specific diagnosis and solutions that can be of any help to someone suffering an injustice</w:t>
      </w:r>
      <w:r>
        <w:t xml:space="preserve">. In other words, </w:t>
      </w:r>
      <w:r w:rsidRPr="00F464CB">
        <w:rPr>
          <w:rStyle w:val="StyleUnderline"/>
        </w:rPr>
        <w:t>taking global standpoints and seeking global explanations in inquiry risk lack of sensitivity to context. In present situations (events) of injustice in the Americas there are not only intersecting histories of white supremacy, capitalist exploitation, and patriarchy; there are also unique events</w:t>
      </w:r>
      <w:r>
        <w:t>, multiple countries with different complex histories and present circumstances; as well as a variety of agents responsible (local and international governments, corporations, particular individuals and communities).xxvii “Coloniality” is, however, to Mignolo “the underlying logic of the foundation and unfolding of Western civilization from the Renaissance to today”</w:t>
      </w:r>
      <w:r w:rsidRPr="00F464CB">
        <w:rPr>
          <w:rStyle w:val="StyleUnderline"/>
        </w:rPr>
        <w:t>xxviii Coloniality helps explain how race and gender became the basis of classification in the Americas, but it remains an open question how these categories actually operate in particular countries or even in particular injustice events.</w:t>
      </w:r>
      <w:r>
        <w:t xml:space="preserve"> For instance, how race operates in the Dominican Republic is different than in the USA and other places in the Americas. As academics equipped with our favorite theories of domination we tend to forget where the structural injustices that we write about ultimately located: in particular unique circumstances to particular countries, towns, neighborhoods, institutions, and ultimately situations that we must be open to in a context-sensitive inquiry. </w:t>
      </w:r>
      <w:r w:rsidRPr="00F464CB">
        <w:rPr>
          <w:rStyle w:val="StyleUnderline"/>
        </w:rPr>
        <w:t xml:space="preserve">We can say all we want that the oppressed live in power structures located in “global hierarchies” and a “world-system”, but that does not fully capture where they are. </w:t>
      </w:r>
      <w:r>
        <w:t>These are abstractions, however useful and true they may be about someone’s particular circumstances. Knowing how people have been classified according to a colonial matrix of power is important but only in so far as it may help us inquire about the present actual causes of an injustice. The same concern I am raising about the decolonial approach has been expressed recently by Sally Haslanger about Charles Mill’s view. She writes, “</w:t>
      </w:r>
      <w:r w:rsidRPr="00F464CB">
        <w:rPr>
          <w:rStyle w:val="StyleUnderline"/>
        </w:rPr>
        <w:t>The goal is not just a theory that is historical (v. ahistorical), but is sensitive to historical particularity, i.e., that resists grand causal narratives purporting to give an account of how domination has come about and is perpetuated everywhere and at all times.”xxix For “the forces that cause and sustain domination vary tremendously context by context, and there isn't necessarily a single causal explanation; a theoretical framework that is useful as a basis for political intervention must be highly sensitive to the details of the particular social context.”</w:t>
      </w:r>
    </w:p>
    <w:p w14:paraId="08A12779" w14:textId="77777777" w:rsidR="004021F0" w:rsidRPr="004021F0" w:rsidRDefault="004021F0" w:rsidP="00B616F6">
      <w:pPr>
        <w:rPr>
          <w:rStyle w:val="StyleUnderline"/>
          <w:sz w:val="26"/>
          <w:szCs w:val="26"/>
        </w:rPr>
      </w:pPr>
    </w:p>
    <w:p w14:paraId="629D6FDB" w14:textId="4B722DC7" w:rsidR="004021F0" w:rsidRDefault="00866913" w:rsidP="004021F0">
      <w:pPr>
        <w:pStyle w:val="Heading4"/>
        <w:rPr>
          <w:rStyle w:val="StyleUnderline"/>
          <w:rFonts w:eastAsiaTheme="minorEastAsia" w:cstheme="minorBidi"/>
          <w:bCs/>
          <w:sz w:val="26"/>
          <w:u w:val="none"/>
        </w:rPr>
      </w:pPr>
      <w:r>
        <w:rPr>
          <w:rStyle w:val="StyleUnderline"/>
          <w:rFonts w:eastAsiaTheme="minorEastAsia" w:cstheme="minorBidi"/>
          <w:sz w:val="26"/>
          <w:u w:val="none"/>
        </w:rPr>
        <w:t xml:space="preserve">3. </w:t>
      </w:r>
      <w:r w:rsidR="00677AA9">
        <w:rPr>
          <w:rStyle w:val="StyleUnderline"/>
          <w:rFonts w:eastAsiaTheme="minorEastAsia" w:cstheme="minorBidi"/>
          <w:sz w:val="26"/>
          <w:u w:val="none"/>
        </w:rPr>
        <w:t>Decolonial theory is riddled with contradictions</w:t>
      </w:r>
    </w:p>
    <w:p w14:paraId="0B462BC7" w14:textId="1845D071" w:rsidR="00210874" w:rsidRPr="00210874" w:rsidRDefault="00210874" w:rsidP="00210874">
      <w:pPr>
        <w:rPr>
          <w:rStyle w:val="Style13ptBold"/>
          <w:b w:val="0"/>
        </w:rPr>
      </w:pPr>
      <w:r w:rsidRPr="00210874">
        <w:rPr>
          <w:rStyle w:val="Style13ptBold"/>
        </w:rPr>
        <w:t>Lazarus 93</w:t>
      </w:r>
      <w:r>
        <w:rPr>
          <w:rStyle w:val="Style13ptBold"/>
        </w:rPr>
        <w:t xml:space="preserve"> </w:t>
      </w:r>
      <w:r>
        <w:rPr>
          <w:rStyle w:val="Style13ptBold"/>
          <w:b w:val="0"/>
        </w:rPr>
        <w:t>(</w:t>
      </w:r>
      <w:r w:rsidRPr="00210874">
        <w:rPr>
          <w:rStyle w:val="Style13ptBold"/>
          <w:b w:val="0"/>
          <w:sz w:val="16"/>
          <w:szCs w:val="16"/>
        </w:rPr>
        <w:t xml:space="preserve">Disavowing Decolonization: Fanon, Nationalism, and the Problematic of Represneation and the Current Theories of Colonial Discourse, Research in </w:t>
      </w:r>
      <w:r w:rsidRPr="00210874">
        <w:rPr>
          <w:rStyle w:val="Style13ptBold"/>
          <w:b w:val="0"/>
          <w:i/>
          <w:sz w:val="16"/>
          <w:szCs w:val="16"/>
        </w:rPr>
        <w:t xml:space="preserve">African Literatures, </w:t>
      </w:r>
      <w:r w:rsidRPr="00210874">
        <w:rPr>
          <w:rStyle w:val="Style13ptBold"/>
          <w:b w:val="0"/>
          <w:sz w:val="16"/>
          <w:szCs w:val="16"/>
        </w:rPr>
        <w:t xml:space="preserve">Vol 24. No. 4, </w:t>
      </w:r>
      <w:hyperlink r:id="rId29" w:anchor="references_tab_contents" w:history="1">
        <w:r w:rsidRPr="00210874">
          <w:rPr>
            <w:rStyle w:val="Hyperlink"/>
            <w:sz w:val="16"/>
            <w:szCs w:val="16"/>
          </w:rPr>
          <w:t>http://www.jstor.org/stable/3820255?seq=1&amp;cid=pdf-reference#references_tab_contents</w:t>
        </w:r>
      </w:hyperlink>
      <w:r w:rsidRPr="00210874">
        <w:rPr>
          <w:rStyle w:val="Style13ptBold"/>
          <w:b w:val="0"/>
          <w:sz w:val="16"/>
          <w:szCs w:val="16"/>
        </w:rPr>
        <w:t>) TSB</w:t>
      </w:r>
    </w:p>
    <w:p w14:paraId="4278C1AB" w14:textId="0C0609A5" w:rsidR="004021F0" w:rsidRDefault="004021F0" w:rsidP="00210874">
      <w:pPr>
        <w:tabs>
          <w:tab w:val="left" w:pos="1440"/>
        </w:tabs>
        <w:rPr>
          <w:rStyle w:val="StyleUnderline"/>
        </w:rPr>
      </w:pPr>
      <w:r w:rsidRPr="00210874">
        <w:rPr>
          <w:sz w:val="16"/>
        </w:rPr>
        <w:t xml:space="preserve">I have been arguing that </w:t>
      </w:r>
      <w:r w:rsidRPr="00210874">
        <w:rPr>
          <w:rStyle w:val="StyleUnderline"/>
        </w:rPr>
        <w:t>Fanon’s thinking about colonial culture is premised upon a preliminary assumption as to the decisiveness of the transformation wrought by colonialism, such that scarcely anything of precolonial African culture is seen to survive into the colonial era</w:t>
      </w:r>
      <w:r w:rsidRPr="00210874">
        <w:rPr>
          <w:sz w:val="16"/>
        </w:rPr>
        <w:t xml:space="preserve">. Since </w:t>
      </w:r>
      <w:r w:rsidRPr="00210874">
        <w:rPr>
          <w:rStyle w:val="StyleUnderline"/>
        </w:rPr>
        <w:t>Miller fails to recognize this initial assumption, he is obviously in no position to pput pressure on it.</w:t>
      </w:r>
      <w:r w:rsidRPr="00210874">
        <w:rPr>
          <w:sz w:val="16"/>
        </w:rPr>
        <w:t xml:space="preserve"> Yet it is precisely here, </w:t>
      </w:r>
      <w:r w:rsidRPr="00210874">
        <w:rPr>
          <w:rStyle w:val="StyleUnderline"/>
        </w:rPr>
        <w:t>it seems to me—and not with respect to any supposed contempt on Fanon’s part toward precolonial African culture—that Fanon’s theorization is legimately sucetiable to criticism</w:t>
      </w:r>
      <w:r w:rsidRPr="00210874">
        <w:rPr>
          <w:sz w:val="16"/>
        </w:rPr>
        <w:t xml:space="preserve">. For the plain fact is that, </w:t>
      </w:r>
      <w:r w:rsidRPr="00210874">
        <w:rPr>
          <w:rStyle w:val="StyleUnderline"/>
        </w:rPr>
        <w:t xml:space="preserve">throughout Africa, precolonial cultural and ideological forms survived meaningfully, often intact, and in some instances entirely unaffected, not only into, but also through, the colonial era. </w:t>
      </w:r>
      <w:r w:rsidRPr="00210874">
        <w:rPr>
          <w:sz w:val="16"/>
        </w:rPr>
        <w:t xml:space="preserve">Indeeed, </w:t>
      </w:r>
      <w:r w:rsidRPr="00210874">
        <w:rPr>
          <w:rStyle w:val="Emphasis"/>
        </w:rPr>
        <w:t xml:space="preserve">they continue to survive meaningfully today, in the </w:t>
      </w:r>
      <w:r w:rsidR="00210874" w:rsidRPr="00210874">
        <w:rPr>
          <w:rStyle w:val="Emphasis"/>
        </w:rPr>
        <w:t>“postcolonial” present. The significance of this point cannot be overestimated. However central the idea might be to his analysis, Fanon Is simply incorrect when he maintains that the imposition of colonialism entails “the death o the aboriginal society, cultural lethargy, and the petrification of individuals</w:t>
      </w:r>
      <w:r w:rsidR="00210874" w:rsidRPr="00210874">
        <w:rPr>
          <w:sz w:val="16"/>
        </w:rPr>
        <w:t xml:space="preserve">. Reports of the death of the aboriginal society in Fanon, </w:t>
      </w:r>
      <w:r w:rsidR="00210874" w:rsidRPr="00210874">
        <w:rPr>
          <w:rStyle w:val="StyleUnderline"/>
        </w:rPr>
        <w:t>one is tempted to say, are greatly exaggerated</w:t>
      </w:r>
      <w:r w:rsidR="00210874" w:rsidRPr="00210874">
        <w:rPr>
          <w:sz w:val="16"/>
        </w:rPr>
        <w:t xml:space="preserve">. The necessary corrective to Fanon is provided by Amilcar Cabral in a per entitled National liberation and Culture, initially delivered in 1970. In this paper, Cabral points out that “with certain exceptions, </w:t>
      </w:r>
      <w:r w:rsidR="00210874" w:rsidRPr="00210874">
        <w:rPr>
          <w:rStyle w:val="StyleUnderline"/>
        </w:rPr>
        <w:t xml:space="preserve">the period of colonization was not long, at least in Africa, for there to </w:t>
      </w:r>
      <w:r w:rsidR="00210874">
        <w:rPr>
          <w:rStyle w:val="StyleUnderline"/>
        </w:rPr>
        <w:t>be a signfica</w:t>
      </w:r>
      <w:r w:rsidR="00210874" w:rsidRPr="00210874">
        <w:rPr>
          <w:rStyle w:val="StyleUnderline"/>
        </w:rPr>
        <w:t>nt degree of destruction or damage of one of the most important facets of the culture and traditions of the subject people</w:t>
      </w:r>
      <w:r w:rsidR="00210874" w:rsidRPr="00210874">
        <w:rPr>
          <w:sz w:val="16"/>
        </w:rPr>
        <w:t xml:space="preserve">.”. At the theoretical level, </w:t>
      </w:r>
      <w:r w:rsidR="00210874" w:rsidRPr="00210874">
        <w:rPr>
          <w:rStyle w:val="Emphasis"/>
        </w:rPr>
        <w:t xml:space="preserve">Fanon’s error consists in a confusion of dominance with hegemony. For a majority of the colonized, above all those members of the subaltern classes </w:t>
      </w:r>
      <w:proofErr w:type="gramStart"/>
      <w:r w:rsidR="00210874" w:rsidRPr="00210874">
        <w:rPr>
          <w:rStyle w:val="Emphasis"/>
        </w:rPr>
        <w:t>living  at</w:t>
      </w:r>
      <w:proofErr w:type="gramEnd"/>
      <w:r w:rsidR="00210874" w:rsidRPr="00210874">
        <w:rPr>
          <w:rStyle w:val="Emphasis"/>
        </w:rPr>
        <w:t xml:space="preserve"> some remove from the administrative and increasingly urban centers of colonial power, colonialism was experienced preeminently in terms of dominance, that is, along the lin</w:t>
      </w:r>
      <w:r w:rsidR="00210874">
        <w:rPr>
          <w:rStyle w:val="Emphasis"/>
        </w:rPr>
        <w:t>e</w:t>
      </w:r>
      <w:r w:rsidR="00210874" w:rsidRPr="00210874">
        <w:rPr>
          <w:rStyle w:val="Emphasis"/>
        </w:rPr>
        <w:t xml:space="preserve">s of material , physical and </w:t>
      </w:r>
      <w:r w:rsidR="00210874">
        <w:rPr>
          <w:rStyle w:val="Emphasis"/>
        </w:rPr>
        <w:t>economic exaction: conquest, tax</w:t>
      </w:r>
      <w:r w:rsidR="00210874" w:rsidRPr="00210874">
        <w:rPr>
          <w:rStyle w:val="Emphasis"/>
        </w:rPr>
        <w:t>ation, conscription, forced labor, eviction, dispossession, etc.</w:t>
      </w:r>
      <w:r w:rsidR="00210874" w:rsidRPr="00210874">
        <w:rPr>
          <w:sz w:val="16"/>
        </w:rPr>
        <w:t xml:space="preserve"> </w:t>
      </w:r>
      <w:r w:rsidR="00210874" w:rsidRPr="00210874">
        <w:rPr>
          <w:rStyle w:val="StyleUnderline"/>
        </w:rPr>
        <w:t>There was comparatively lttie aattempt on the part of the colonial establishment ot seek hegemony among these subaltern classes vcould on occasion be recuited to the campaigsn of the colonial government or the indigenous elites</w:t>
      </w:r>
      <w:r w:rsidR="00210874" w:rsidRPr="00210874">
        <w:rPr>
          <w:sz w:val="16"/>
        </w:rPr>
        <w:t xml:space="preserve">—and </w:t>
      </w:r>
      <w:r w:rsidR="00210874" w:rsidRPr="00210874">
        <w:rPr>
          <w:rStyle w:val="StyleUnderline"/>
        </w:rPr>
        <w:t>although the impostion oand consolidation of colonial obviously had cumulative and long-terms effect on the way in which subaltern populations lived, worked and thought</w:t>
      </w:r>
      <w:r w:rsidR="00210874" w:rsidRPr="00210874">
        <w:rPr>
          <w:sz w:val="16"/>
        </w:rPr>
        <w:t>—</w:t>
      </w:r>
      <w:r w:rsidR="00210874" w:rsidRPr="00210874">
        <w:rPr>
          <w:rStyle w:val="StyleUnderline"/>
        </w:rPr>
        <w:t xml:space="preserve">inherited subaltern cultural forms were able to retain their traditionality and their autonomy from most forms of elite culture. </w:t>
      </w:r>
    </w:p>
    <w:p w14:paraId="538B94AA" w14:textId="6F58EF70" w:rsidR="00060830" w:rsidRPr="00060830" w:rsidRDefault="00060830" w:rsidP="00FD10A2">
      <w:pPr>
        <w:pStyle w:val="Heading4"/>
        <w:rPr>
          <w:rStyle w:val="StyleUnderline"/>
        </w:rPr>
      </w:pPr>
    </w:p>
    <w:p w14:paraId="354D0E8B" w14:textId="77777777" w:rsidR="00060830" w:rsidRPr="00060830" w:rsidRDefault="00060830" w:rsidP="00060830"/>
    <w:p w14:paraId="712544DC" w14:textId="5ED5BD0C" w:rsidR="007563FB" w:rsidRDefault="007563FB" w:rsidP="007563FB">
      <w:pPr>
        <w:pStyle w:val="Heading3"/>
        <w:rPr>
          <w:rStyle w:val="StyleUnderline"/>
          <w:sz w:val="32"/>
        </w:rPr>
      </w:pPr>
      <w:r w:rsidRPr="007563FB">
        <w:rPr>
          <w:rStyle w:val="StyleUnderline"/>
          <w:sz w:val="32"/>
        </w:rPr>
        <w:t xml:space="preserve">Indict of Allen—author </w:t>
      </w:r>
    </w:p>
    <w:p w14:paraId="4B5FD985" w14:textId="7D26B1B5" w:rsidR="007563FB" w:rsidRDefault="007563FB" w:rsidP="007563FB">
      <w:pPr>
        <w:rPr>
          <w:rStyle w:val="Style13ptBold"/>
        </w:rPr>
      </w:pPr>
      <w:r>
        <w:rPr>
          <w:rStyle w:val="Style13ptBold"/>
        </w:rPr>
        <w:t>Contradictions in decolonial theory</w:t>
      </w:r>
      <w:r w:rsidR="0003658F">
        <w:rPr>
          <w:rStyle w:val="Style13ptBold"/>
        </w:rPr>
        <w:t xml:space="preserve"> indict</w:t>
      </w:r>
      <w:r>
        <w:rPr>
          <w:rStyle w:val="Style13ptBold"/>
        </w:rPr>
        <w:t>—specific to Allen</w:t>
      </w:r>
    </w:p>
    <w:p w14:paraId="61EB8A09" w14:textId="1B0F38D6" w:rsidR="007563FB" w:rsidRPr="007563FB" w:rsidRDefault="001E2339" w:rsidP="007563FB">
      <w:pPr>
        <w:rPr>
          <w:rStyle w:val="Style13ptBold"/>
          <w:b w:val="0"/>
        </w:rPr>
      </w:pPr>
      <w:r>
        <w:rPr>
          <w:rStyle w:val="Style13ptBold"/>
        </w:rPr>
        <w:t>Wolfe</w:t>
      </w:r>
      <w:r w:rsidR="007563FB">
        <w:rPr>
          <w:rStyle w:val="Style13ptBold"/>
        </w:rPr>
        <w:t xml:space="preserve"> 16 (</w:t>
      </w:r>
      <w:r>
        <w:rPr>
          <w:rStyle w:val="Style13ptBold"/>
          <w:b w:val="0"/>
          <w:sz w:val="22"/>
        </w:rPr>
        <w:t>Ross Laurence Wolfe, The Channel House,</w:t>
      </w:r>
      <w:r w:rsidR="007563FB" w:rsidRPr="007563FB">
        <w:rPr>
          <w:rStyle w:val="Style13ptBold"/>
          <w:b w:val="0"/>
          <w:sz w:val="22"/>
        </w:rPr>
        <w:t xml:space="preserve"> “Proving the impossibility of progress”, May 13, 2016, https://thecharnelhouse.org/2016/05/25/on-progress-critical-theory-and-the-decolonial-imperative/)</w:t>
      </w:r>
    </w:p>
    <w:p w14:paraId="54C1EFEB" w14:textId="4A1536DE" w:rsidR="007563FB" w:rsidRDefault="007563FB" w:rsidP="007563FB">
      <w:proofErr w:type="gramStart"/>
      <w:r>
        <w:t>.The</w:t>
      </w:r>
      <w:proofErr w:type="gramEnd"/>
      <w:r>
        <w:t xml:space="preserve"> manner of his death helped make his beautiful, disillusioned tableau of progress-as-catastrophe one of the best remembered. The major accusation she levels against the best-known of the critical theorists, Habermas and Honneth, is that although they seem rigorously philosophical, they pay too much attention to facts like these. For Allen’s style of philosophy, any attention is too much attention. Allen proposes that there are two conceptions of progress. One looks forward; the other, like Benjamin’s angel, looks backward. The forward-looking one is an imperative to act so as to make progress happen. It’s a good thing. The backward-looking one is not. It focuses on (the quotation marks are hers) “the facts.” Where some see facts, Allen sees only self-flattery: that is, historical trajectories that we are pleased to think have “led up to ‘us’.” History is never anything other than self-congratulation. Thus Allen finds it repugnant. The single most interesting argument in the book is that, appearances to the contrary, Habermas and Honneth are closet Hegelians, and this means that they use definition #2 to back up definition #1. Unable to provide any other foundation for their judgments, they fall back on deducing norms from what has been — from history, which is to say (in Allen’s view) from Eurocentric self-flattery. If we want to make progress happen, Allen counters, as she thinks we should, first we have to give up on believing that it has happened. This is how she explains the gnomic sentence by Adorno from which she derives the title phrase “the end of progress”: “Progress occurs where it ends.” The understanding of progress as a fact about history must come to an end in order for progress to begin working properly as an ethical imperative. There is one chapter of the book that this description does not fit. That chapter calls Rainer Forst a Kantian, meaning that he avoids the (Hegelian) trap of relying on history to supply him with his ethics. Instead, he tries to find a foundation for moral norms in reason itself. Allen seems to like this approach a lot better; if I had to guess, I would say her own allegiances are also more Kantian. (The argument about whether history ought to matter to ethics goes back to Kant and Hegel.) But what she proposes here is that the Kantian move is no less authoritarian and no less dependent on belief in progress. The norms Forst treats as organic to the very practice of rational dialogue, she says, are actually produced by the same inequalities of power that are the underlying truth of progress: The Kantian notion of practical reason has always been closely bound up with pernicious notions of progress, inasmuch as it has provided the benchmark with respect to which black, female, queer, colonized, and subaltern subjects have been judged to be sufficiently civilized, mature, developed, or capable of autonomous self-rule. This ventriloquizing of the victims of injustice is less plausible than it sounds. Allen does not stop to ask any black, female, queer, or colonized people whether reason might have helped them in their struggle against unreasoning prejudice — whether in their view reason might actually be on their side. The answers might have surprised her. Allen is clever enough to see that, while piously invoking (but not listening to) all those who have ever been called irrational, she too is being irrational, or at least is contradicting herself. When she says that progress “has provided” a benchmark, she uses the present perfect tense. That is, she too is arguing from what has been, from history. She doesn’t say that this way of thinking inherently has to lead to judgments of inferiority, just that judgments of inferiority are one thing the historical record shows. It does. But the record also shows other, very different things. She does not allow us to see those other things and to judge for ourselves what the record shows. We are not encouraged to inspect the record at all. Allen’s name for what she is doing when she relies on the record is “pessimistic induction.” But where does the pessimism come from? If she is allowed to use history (that is, induction from examples) to establish grounds for pessimism, why shouldn’t the rest of us be allowed to try using history to establish grounds for, say, optimism? In other words, why can’t we argue over progress on the basis of the facts, whatever those facts may happen to be? Allen maintains that the forward-looking conception of progress has either depended on a backward-looking conception of progress (Habermas and Honneth), or has been just as Eurocentric as if it did (Forst). It’s therefore not surprising to catch her asking, finally, “What, if anything, remains of the idea of progress?” Coming just four pages from the end of the book, this question does not bode well for the concept’s fate, as she imagines it. To be fair, she makes a last-ditch effort to salvage it. But she has not made the salvage easy.</w:t>
      </w:r>
    </w:p>
    <w:p w14:paraId="3FCE90A1" w14:textId="7BD8F008" w:rsidR="002C0129" w:rsidRDefault="002C0129" w:rsidP="002C0129">
      <w:pPr>
        <w:pStyle w:val="Heading1"/>
      </w:pPr>
      <w:r>
        <w:t>T</w:t>
      </w:r>
    </w:p>
    <w:p w14:paraId="728F3B0A" w14:textId="77777777" w:rsidR="002C0129" w:rsidRPr="002C0129" w:rsidRDefault="002C0129" w:rsidP="002C0129"/>
    <w:p w14:paraId="2F1DF96B" w14:textId="6A65F61B" w:rsidR="007563FB" w:rsidRDefault="00866913" w:rsidP="002C0129">
      <w:pPr>
        <w:pStyle w:val="Heading4"/>
      </w:pPr>
      <w:r>
        <w:t xml:space="preserve">1. </w:t>
      </w:r>
      <w:r w:rsidR="002C0129">
        <w:t>Elementary education is education between grades k-8 in a subject</w:t>
      </w:r>
      <w:r w:rsidR="00E67272">
        <w:t xml:space="preserve"> in schools</w:t>
      </w:r>
    </w:p>
    <w:p w14:paraId="4C7D576B" w14:textId="368B5080" w:rsidR="002C0129" w:rsidRDefault="002C0129" w:rsidP="002C0129">
      <w:pPr>
        <w:rPr>
          <w:rStyle w:val="Style13ptBold"/>
          <w:b w:val="0"/>
        </w:rPr>
      </w:pPr>
      <w:r>
        <w:rPr>
          <w:rStyle w:val="Style13ptBold"/>
        </w:rPr>
        <w:t>Webster’s n.d. (</w:t>
      </w:r>
      <w:r w:rsidR="00E67272">
        <w:rPr>
          <w:rStyle w:val="Style13ptBold"/>
          <w:b w:val="0"/>
        </w:rPr>
        <w:t xml:space="preserve">Webster’s Dictionary, </w:t>
      </w:r>
      <w:hyperlink r:id="rId30" w:history="1">
        <w:r w:rsidR="00E67272" w:rsidRPr="00D90194">
          <w:rPr>
            <w:rStyle w:val="Hyperlink"/>
            <w:sz w:val="26"/>
          </w:rPr>
          <w:t>http://www.webster-dictionary.org/definition/elementary%20education</w:t>
        </w:r>
      </w:hyperlink>
      <w:r w:rsidR="00E67272">
        <w:rPr>
          <w:rStyle w:val="Style13ptBold"/>
          <w:b w:val="0"/>
        </w:rPr>
        <w:t>, )</w:t>
      </w:r>
    </w:p>
    <w:p w14:paraId="44CE39C7" w14:textId="4D24A5ED" w:rsidR="00E67272" w:rsidRDefault="008F46BB" w:rsidP="002C0129">
      <w:pPr>
        <w:rPr>
          <w:rStyle w:val="Style13ptBold"/>
          <w:b w:val="0"/>
        </w:rPr>
      </w:pPr>
      <w:hyperlink r:id="rId31" w:history="1">
        <w:r w:rsidR="00E67272" w:rsidRPr="00D90194">
          <w:rPr>
            <w:rStyle w:val="Hyperlink"/>
            <w:sz w:val="26"/>
          </w:rPr>
          <w:t>http://www.webster-dictionary.org/definition/elementary%20education</w:t>
        </w:r>
      </w:hyperlink>
    </w:p>
    <w:p w14:paraId="06985D22" w14:textId="3D49FCBF" w:rsidR="00E67272" w:rsidRDefault="00E67272" w:rsidP="002C0129">
      <w:pPr>
        <w:rPr>
          <w:rStyle w:val="StyleUnderline"/>
        </w:rPr>
      </w:pPr>
      <w:r w:rsidRPr="00E67272">
        <w:rPr>
          <w:rStyle w:val="StyleUnderline"/>
        </w:rPr>
        <w:t>elementary education</w:t>
      </w:r>
      <w:r w:rsidRPr="00E67272">
        <w:rPr>
          <w:rStyle w:val="Style13ptBold"/>
          <w:b w:val="0"/>
        </w:rPr>
        <w:t xml:space="preserve"> - </w:t>
      </w:r>
      <w:r w:rsidRPr="00E67272">
        <w:rPr>
          <w:rStyle w:val="StyleUnderline"/>
        </w:rPr>
        <w:t>education in</w:t>
      </w:r>
      <w:r w:rsidRPr="00E67272">
        <w:rPr>
          <w:rStyle w:val="Style13ptBold"/>
          <w:b w:val="0"/>
        </w:rPr>
        <w:t xml:space="preserve"> elementary subjects (</w:t>
      </w:r>
      <w:r w:rsidRPr="00E67272">
        <w:rPr>
          <w:rStyle w:val="StyleUnderline"/>
        </w:rPr>
        <w:t>reading and writing and arithmetic) provided to young students at a grade school</w:t>
      </w:r>
    </w:p>
    <w:p w14:paraId="354AA5BC" w14:textId="77777777" w:rsidR="003E0F7C" w:rsidRDefault="003E0F7C" w:rsidP="002C0129">
      <w:pPr>
        <w:rPr>
          <w:rStyle w:val="StyleUnderline"/>
        </w:rPr>
      </w:pPr>
    </w:p>
    <w:p w14:paraId="0BC4E90E" w14:textId="649F666A" w:rsidR="003E0F7C" w:rsidRDefault="00866913" w:rsidP="003E0F7C">
      <w:pPr>
        <w:pStyle w:val="Heading4"/>
        <w:rPr>
          <w:rStyle w:val="StyleUnderline"/>
          <w:sz w:val="26"/>
          <w:u w:val="none"/>
        </w:rPr>
      </w:pPr>
      <w:r>
        <w:rPr>
          <w:rStyle w:val="StyleUnderline"/>
          <w:sz w:val="26"/>
          <w:u w:val="none"/>
        </w:rPr>
        <w:t xml:space="preserve">2. </w:t>
      </w:r>
      <w:r w:rsidR="003E0F7C">
        <w:rPr>
          <w:rStyle w:val="StyleUnderline"/>
          <w:sz w:val="26"/>
          <w:u w:val="none"/>
        </w:rPr>
        <w:t>Secondary education is defined as schools teaching students aged 11-18</w:t>
      </w:r>
    </w:p>
    <w:p w14:paraId="1F15840A" w14:textId="4C8D62DA" w:rsidR="003E0F7C" w:rsidRDefault="003E0F7C" w:rsidP="003E0F7C">
      <w:pPr>
        <w:rPr>
          <w:rStyle w:val="Style13ptBold"/>
        </w:rPr>
      </w:pPr>
      <w:r>
        <w:rPr>
          <w:rStyle w:val="Style13ptBold"/>
        </w:rPr>
        <w:t>Learn.org (</w:t>
      </w:r>
      <w:hyperlink r:id="rId32" w:history="1">
        <w:r w:rsidRPr="00D90194">
          <w:rPr>
            <w:rStyle w:val="Hyperlink"/>
            <w:sz w:val="26"/>
          </w:rPr>
          <w:t>http://learn.org/articles/What_is_the_Definition_of_Secondary_School.html</w:t>
        </w:r>
      </w:hyperlink>
      <w:r>
        <w:rPr>
          <w:rStyle w:val="Style13ptBold"/>
        </w:rPr>
        <w:t>)</w:t>
      </w:r>
    </w:p>
    <w:p w14:paraId="004AABE9" w14:textId="0F5A4DD0" w:rsidR="003E0F7C" w:rsidRPr="003E0F7C" w:rsidRDefault="003E0F7C" w:rsidP="003E0F7C">
      <w:pPr>
        <w:rPr>
          <w:rStyle w:val="Style13ptBold"/>
          <w:b w:val="0"/>
          <w:sz w:val="22"/>
        </w:rPr>
      </w:pPr>
      <w:r w:rsidRPr="003E0F7C">
        <w:rPr>
          <w:rStyle w:val="StyleUnderline"/>
        </w:rPr>
        <w:t>A secondary school</w:t>
      </w:r>
      <w:r w:rsidRPr="003E0F7C">
        <w:rPr>
          <w:rStyle w:val="Style13ptBold"/>
          <w:b w:val="0"/>
          <w:sz w:val="22"/>
        </w:rPr>
        <w:t xml:space="preserve"> in the U.S. </w:t>
      </w:r>
      <w:r w:rsidRPr="003E0F7C">
        <w:rPr>
          <w:rStyle w:val="StyleUnderline"/>
        </w:rPr>
        <w:t>commonly consists of grades 9 through 12,</w:t>
      </w:r>
      <w:r w:rsidRPr="003E0F7C">
        <w:rPr>
          <w:rStyle w:val="Style13ptBold"/>
          <w:b w:val="0"/>
          <w:sz w:val="22"/>
        </w:rPr>
        <w:t xml:space="preserve"> with grade levels known as freshman, sophomore, junior and senior, respectively. Some larger school districts fund secondary schools that teach only grades 10, 11 and 12. </w:t>
      </w:r>
      <w:r w:rsidRPr="003E0F7C">
        <w:rPr>
          <w:rStyle w:val="StyleUnderline"/>
        </w:rPr>
        <w:t>Some secondary schools include students in grades seven and eight, along with the higher grade levels. Secondary schools represent the final stage of compulsory schooling in most U.S. states</w:t>
      </w:r>
      <w:r w:rsidRPr="003E0F7C">
        <w:rPr>
          <w:rStyle w:val="Style13ptBold"/>
          <w:b w:val="0"/>
          <w:sz w:val="22"/>
        </w:rPr>
        <w:t>. State law proscribes school attendance until graduation or until a specific age, whichever comes earlier.</w:t>
      </w:r>
    </w:p>
    <w:p w14:paraId="5462E978" w14:textId="77777777" w:rsidR="003E0F7C" w:rsidRPr="003E0F7C" w:rsidRDefault="003E0F7C" w:rsidP="003E0F7C">
      <w:pPr>
        <w:rPr>
          <w:rStyle w:val="Style13ptBold"/>
        </w:rPr>
      </w:pPr>
    </w:p>
    <w:p w14:paraId="0F900D55" w14:textId="77777777" w:rsidR="002C0129" w:rsidRDefault="002C0129" w:rsidP="002C0129">
      <w:pPr>
        <w:rPr>
          <w:rStyle w:val="Style13ptBold"/>
          <w:b w:val="0"/>
        </w:rPr>
      </w:pPr>
    </w:p>
    <w:p w14:paraId="7361F20F" w14:textId="77777777" w:rsidR="002C0129" w:rsidRPr="002C0129" w:rsidRDefault="002C0129" w:rsidP="002C0129">
      <w:pPr>
        <w:rPr>
          <w:rStyle w:val="Style13ptBold"/>
          <w:b w:val="0"/>
        </w:rPr>
      </w:pPr>
    </w:p>
    <w:p w14:paraId="48C262D4" w14:textId="77777777" w:rsidR="007563FB" w:rsidRPr="007563FB" w:rsidRDefault="007563FB" w:rsidP="007563FB"/>
    <w:p w14:paraId="69E98189" w14:textId="77777777" w:rsidR="00F464CB" w:rsidRPr="00F464CB" w:rsidRDefault="00F464CB" w:rsidP="00B616F6">
      <w:pPr>
        <w:rPr>
          <w:rStyle w:val="StyleUnderline"/>
        </w:rPr>
      </w:pPr>
    </w:p>
    <w:sectPr w:rsidR="00F464CB" w:rsidRPr="00F464C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6F3EF2"/>
    <w:multiLevelType w:val="hybridMultilevel"/>
    <w:tmpl w:val="78862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316EF6"/>
    <w:multiLevelType w:val="hybridMultilevel"/>
    <w:tmpl w:val="AE684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hideSpellingErrors/>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37536088"/>
    <w:docVar w:name="VerbatimMac" w:val="True"/>
    <w:docVar w:name="VerbatimVersion" w:val="5.0"/>
  </w:docVars>
  <w:rsids>
    <w:rsidRoot w:val="007C6210"/>
    <w:rsid w:val="000029E3"/>
    <w:rsid w:val="000029E8"/>
    <w:rsid w:val="00004225"/>
    <w:rsid w:val="000066CA"/>
    <w:rsid w:val="00007264"/>
    <w:rsid w:val="000076A9"/>
    <w:rsid w:val="00012247"/>
    <w:rsid w:val="00014FAD"/>
    <w:rsid w:val="000152EE"/>
    <w:rsid w:val="00015D2A"/>
    <w:rsid w:val="0001630A"/>
    <w:rsid w:val="0002490B"/>
    <w:rsid w:val="00026465"/>
    <w:rsid w:val="00027A42"/>
    <w:rsid w:val="00030204"/>
    <w:rsid w:val="000312A0"/>
    <w:rsid w:val="0003396C"/>
    <w:rsid w:val="00035337"/>
    <w:rsid w:val="0003658F"/>
    <w:rsid w:val="00041C18"/>
    <w:rsid w:val="0005259D"/>
    <w:rsid w:val="00052FB1"/>
    <w:rsid w:val="00054276"/>
    <w:rsid w:val="000547B1"/>
    <w:rsid w:val="0005706C"/>
    <w:rsid w:val="00060830"/>
    <w:rsid w:val="0006091E"/>
    <w:rsid w:val="000638C1"/>
    <w:rsid w:val="00065FEE"/>
    <w:rsid w:val="00066E3C"/>
    <w:rsid w:val="00072718"/>
    <w:rsid w:val="0007381E"/>
    <w:rsid w:val="00076094"/>
    <w:rsid w:val="0008785F"/>
    <w:rsid w:val="00090CBE"/>
    <w:rsid w:val="00094DEC"/>
    <w:rsid w:val="000965D0"/>
    <w:rsid w:val="000A2D8A"/>
    <w:rsid w:val="000D2627"/>
    <w:rsid w:val="000D26A6"/>
    <w:rsid w:val="000D2B90"/>
    <w:rsid w:val="000D6ED8"/>
    <w:rsid w:val="000D717B"/>
    <w:rsid w:val="000E536B"/>
    <w:rsid w:val="000F50C4"/>
    <w:rsid w:val="00100B28"/>
    <w:rsid w:val="00100E72"/>
    <w:rsid w:val="00113684"/>
    <w:rsid w:val="00117316"/>
    <w:rsid w:val="001209B4"/>
    <w:rsid w:val="00124DC7"/>
    <w:rsid w:val="00125DD1"/>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195D"/>
    <w:rsid w:val="001C316D"/>
    <w:rsid w:val="001D1A0D"/>
    <w:rsid w:val="001D36BF"/>
    <w:rsid w:val="001D4C28"/>
    <w:rsid w:val="001E0B1F"/>
    <w:rsid w:val="001E0C0F"/>
    <w:rsid w:val="001E1E0B"/>
    <w:rsid w:val="001E2339"/>
    <w:rsid w:val="001F1173"/>
    <w:rsid w:val="001F1713"/>
    <w:rsid w:val="002005A8"/>
    <w:rsid w:val="00203DD8"/>
    <w:rsid w:val="00204E1D"/>
    <w:rsid w:val="002059BD"/>
    <w:rsid w:val="00207FD8"/>
    <w:rsid w:val="00210874"/>
    <w:rsid w:val="00210FAF"/>
    <w:rsid w:val="00213B1E"/>
    <w:rsid w:val="00213CD3"/>
    <w:rsid w:val="00213CE8"/>
    <w:rsid w:val="00215284"/>
    <w:rsid w:val="002168F2"/>
    <w:rsid w:val="0021696F"/>
    <w:rsid w:val="00224846"/>
    <w:rsid w:val="0022589F"/>
    <w:rsid w:val="00233789"/>
    <w:rsid w:val="002343FE"/>
    <w:rsid w:val="00235F7B"/>
    <w:rsid w:val="002502CF"/>
    <w:rsid w:val="00267EBB"/>
    <w:rsid w:val="0027023B"/>
    <w:rsid w:val="00272F3F"/>
    <w:rsid w:val="00274EDB"/>
    <w:rsid w:val="00275729"/>
    <w:rsid w:val="0027729E"/>
    <w:rsid w:val="002843B2"/>
    <w:rsid w:val="00284D7E"/>
    <w:rsid w:val="00284ED6"/>
    <w:rsid w:val="00290C5A"/>
    <w:rsid w:val="00290C92"/>
    <w:rsid w:val="00293A24"/>
    <w:rsid w:val="00295149"/>
    <w:rsid w:val="0029647A"/>
    <w:rsid w:val="00296504"/>
    <w:rsid w:val="002A12C9"/>
    <w:rsid w:val="002B48EC"/>
    <w:rsid w:val="002B5511"/>
    <w:rsid w:val="002B7ACF"/>
    <w:rsid w:val="002C0129"/>
    <w:rsid w:val="002E0643"/>
    <w:rsid w:val="002E392E"/>
    <w:rsid w:val="002E6BBC"/>
    <w:rsid w:val="002F1BA9"/>
    <w:rsid w:val="002F6E74"/>
    <w:rsid w:val="00303F88"/>
    <w:rsid w:val="003106B3"/>
    <w:rsid w:val="00310785"/>
    <w:rsid w:val="003136F6"/>
    <w:rsid w:val="0031385D"/>
    <w:rsid w:val="003171AB"/>
    <w:rsid w:val="003223B2"/>
    <w:rsid w:val="00322A67"/>
    <w:rsid w:val="00330E13"/>
    <w:rsid w:val="00335A23"/>
    <w:rsid w:val="00336879"/>
    <w:rsid w:val="00340707"/>
    <w:rsid w:val="00341C61"/>
    <w:rsid w:val="00351841"/>
    <w:rsid w:val="003624A6"/>
    <w:rsid w:val="00364ADF"/>
    <w:rsid w:val="00365C8D"/>
    <w:rsid w:val="003666C0"/>
    <w:rsid w:val="003670D9"/>
    <w:rsid w:val="00370B41"/>
    <w:rsid w:val="00371B27"/>
    <w:rsid w:val="003726C3"/>
    <w:rsid w:val="00375D2E"/>
    <w:rsid w:val="00383071"/>
    <w:rsid w:val="00383B19"/>
    <w:rsid w:val="00384CBC"/>
    <w:rsid w:val="003869AC"/>
    <w:rsid w:val="003933F9"/>
    <w:rsid w:val="00395864"/>
    <w:rsid w:val="00396557"/>
    <w:rsid w:val="00397316"/>
    <w:rsid w:val="003A248F"/>
    <w:rsid w:val="003A4D9C"/>
    <w:rsid w:val="003B1668"/>
    <w:rsid w:val="003B3425"/>
    <w:rsid w:val="003B41F0"/>
    <w:rsid w:val="003B6FFA"/>
    <w:rsid w:val="003C5F4C"/>
    <w:rsid w:val="003D0AE8"/>
    <w:rsid w:val="003D1041"/>
    <w:rsid w:val="003D5EA8"/>
    <w:rsid w:val="003D7B28"/>
    <w:rsid w:val="003E0149"/>
    <w:rsid w:val="003E0F7C"/>
    <w:rsid w:val="003E305E"/>
    <w:rsid w:val="003E34DB"/>
    <w:rsid w:val="003E5302"/>
    <w:rsid w:val="003E5BF1"/>
    <w:rsid w:val="003F2452"/>
    <w:rsid w:val="003F41EA"/>
    <w:rsid w:val="003F7DF0"/>
    <w:rsid w:val="004021F0"/>
    <w:rsid w:val="0040320D"/>
    <w:rsid w:val="004039AF"/>
    <w:rsid w:val="00407AFF"/>
    <w:rsid w:val="0041155D"/>
    <w:rsid w:val="004170BF"/>
    <w:rsid w:val="004270E3"/>
    <w:rsid w:val="004348DC"/>
    <w:rsid w:val="00434921"/>
    <w:rsid w:val="0044097C"/>
    <w:rsid w:val="00442018"/>
    <w:rsid w:val="00446567"/>
    <w:rsid w:val="00447B10"/>
    <w:rsid w:val="00452EE4"/>
    <w:rsid w:val="00452F0B"/>
    <w:rsid w:val="004536D6"/>
    <w:rsid w:val="00456987"/>
    <w:rsid w:val="00457224"/>
    <w:rsid w:val="0047482C"/>
    <w:rsid w:val="00475436"/>
    <w:rsid w:val="0048047E"/>
    <w:rsid w:val="00482AF9"/>
    <w:rsid w:val="00482F29"/>
    <w:rsid w:val="00496BB2"/>
    <w:rsid w:val="004B37B4"/>
    <w:rsid w:val="004B72B4"/>
    <w:rsid w:val="004C0314"/>
    <w:rsid w:val="004C0D3D"/>
    <w:rsid w:val="004C213E"/>
    <w:rsid w:val="004C376C"/>
    <w:rsid w:val="004C657F"/>
    <w:rsid w:val="004D17D8"/>
    <w:rsid w:val="004D52D8"/>
    <w:rsid w:val="004E355B"/>
    <w:rsid w:val="004E4BB7"/>
    <w:rsid w:val="005028E5"/>
    <w:rsid w:val="00503735"/>
    <w:rsid w:val="00516A88"/>
    <w:rsid w:val="00522065"/>
    <w:rsid w:val="005224F2"/>
    <w:rsid w:val="00524B6E"/>
    <w:rsid w:val="0052762F"/>
    <w:rsid w:val="00533F1C"/>
    <w:rsid w:val="0053533F"/>
    <w:rsid w:val="00536D8B"/>
    <w:rsid w:val="005379C3"/>
    <w:rsid w:val="00537DAD"/>
    <w:rsid w:val="00540BC7"/>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0120"/>
    <w:rsid w:val="00607D6C"/>
    <w:rsid w:val="0061045F"/>
    <w:rsid w:val="0061383D"/>
    <w:rsid w:val="00614D69"/>
    <w:rsid w:val="00617030"/>
    <w:rsid w:val="00621301"/>
    <w:rsid w:val="0062173F"/>
    <w:rsid w:val="006235FB"/>
    <w:rsid w:val="00626A15"/>
    <w:rsid w:val="0063629E"/>
    <w:rsid w:val="006379E9"/>
    <w:rsid w:val="006438CB"/>
    <w:rsid w:val="0065194D"/>
    <w:rsid w:val="006527B0"/>
    <w:rsid w:val="006529B9"/>
    <w:rsid w:val="00654695"/>
    <w:rsid w:val="0065500A"/>
    <w:rsid w:val="00655217"/>
    <w:rsid w:val="0065727C"/>
    <w:rsid w:val="006729FF"/>
    <w:rsid w:val="00674A78"/>
    <w:rsid w:val="00677AA9"/>
    <w:rsid w:val="00696A16"/>
    <w:rsid w:val="006A4800"/>
    <w:rsid w:val="006A4840"/>
    <w:rsid w:val="006A52A0"/>
    <w:rsid w:val="006A7E1D"/>
    <w:rsid w:val="006B39FC"/>
    <w:rsid w:val="006C190F"/>
    <w:rsid w:val="006C3A56"/>
    <w:rsid w:val="006D13F4"/>
    <w:rsid w:val="006D6AED"/>
    <w:rsid w:val="006E6D0B"/>
    <w:rsid w:val="006F126E"/>
    <w:rsid w:val="006F32C9"/>
    <w:rsid w:val="006F3834"/>
    <w:rsid w:val="006F5693"/>
    <w:rsid w:val="006F5D4C"/>
    <w:rsid w:val="006F7BBD"/>
    <w:rsid w:val="0071387E"/>
    <w:rsid w:val="00717B01"/>
    <w:rsid w:val="007227D9"/>
    <w:rsid w:val="0072491F"/>
    <w:rsid w:val="00725598"/>
    <w:rsid w:val="00735281"/>
    <w:rsid w:val="007374A1"/>
    <w:rsid w:val="00752712"/>
    <w:rsid w:val="00753A84"/>
    <w:rsid w:val="007563FB"/>
    <w:rsid w:val="007611F5"/>
    <w:rsid w:val="007619E4"/>
    <w:rsid w:val="00761E75"/>
    <w:rsid w:val="0076495E"/>
    <w:rsid w:val="00765FC8"/>
    <w:rsid w:val="007710A3"/>
    <w:rsid w:val="00775694"/>
    <w:rsid w:val="007761E8"/>
    <w:rsid w:val="00777C21"/>
    <w:rsid w:val="00793F46"/>
    <w:rsid w:val="007A1325"/>
    <w:rsid w:val="007A1A18"/>
    <w:rsid w:val="007A3BAF"/>
    <w:rsid w:val="007B509A"/>
    <w:rsid w:val="007B53D8"/>
    <w:rsid w:val="007C22C5"/>
    <w:rsid w:val="007C57E1"/>
    <w:rsid w:val="007C5811"/>
    <w:rsid w:val="007C6210"/>
    <w:rsid w:val="007D1DB6"/>
    <w:rsid w:val="007D2DF5"/>
    <w:rsid w:val="007D451A"/>
    <w:rsid w:val="007D5E3E"/>
    <w:rsid w:val="007D7596"/>
    <w:rsid w:val="007E242C"/>
    <w:rsid w:val="007E4A0F"/>
    <w:rsid w:val="007E6631"/>
    <w:rsid w:val="007F2449"/>
    <w:rsid w:val="007F4547"/>
    <w:rsid w:val="00803123"/>
    <w:rsid w:val="00803A12"/>
    <w:rsid w:val="00805417"/>
    <w:rsid w:val="008266F9"/>
    <w:rsid w:val="008267E2"/>
    <w:rsid w:val="00826A9B"/>
    <w:rsid w:val="008311CA"/>
    <w:rsid w:val="00834842"/>
    <w:rsid w:val="00840E7B"/>
    <w:rsid w:val="00844CF5"/>
    <w:rsid w:val="00852AC5"/>
    <w:rsid w:val="008536AF"/>
    <w:rsid w:val="00853D40"/>
    <w:rsid w:val="00855729"/>
    <w:rsid w:val="008564FC"/>
    <w:rsid w:val="00856610"/>
    <w:rsid w:val="00864E76"/>
    <w:rsid w:val="00866913"/>
    <w:rsid w:val="00871AC3"/>
    <w:rsid w:val="00872581"/>
    <w:rsid w:val="0087271E"/>
    <w:rsid w:val="0087459D"/>
    <w:rsid w:val="0087680F"/>
    <w:rsid w:val="00876D81"/>
    <w:rsid w:val="00881D86"/>
    <w:rsid w:val="00883306"/>
    <w:rsid w:val="008904F9"/>
    <w:rsid w:val="00890E4C"/>
    <w:rsid w:val="00890E74"/>
    <w:rsid w:val="00892798"/>
    <w:rsid w:val="0089418F"/>
    <w:rsid w:val="00897C29"/>
    <w:rsid w:val="008A1A9C"/>
    <w:rsid w:val="008A3F0A"/>
    <w:rsid w:val="008A4633"/>
    <w:rsid w:val="008A6441"/>
    <w:rsid w:val="008B032E"/>
    <w:rsid w:val="008C0FA2"/>
    <w:rsid w:val="008C2342"/>
    <w:rsid w:val="008C77B6"/>
    <w:rsid w:val="008D1B91"/>
    <w:rsid w:val="008D724A"/>
    <w:rsid w:val="008E7A3E"/>
    <w:rsid w:val="008F13C2"/>
    <w:rsid w:val="008F41FD"/>
    <w:rsid w:val="008F4479"/>
    <w:rsid w:val="008F46BB"/>
    <w:rsid w:val="008F4BA0"/>
    <w:rsid w:val="008F7F61"/>
    <w:rsid w:val="00901726"/>
    <w:rsid w:val="009146F5"/>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68D"/>
    <w:rsid w:val="00981F23"/>
    <w:rsid w:val="00990634"/>
    <w:rsid w:val="00991733"/>
    <w:rsid w:val="00992078"/>
    <w:rsid w:val="00992BE3"/>
    <w:rsid w:val="009A1467"/>
    <w:rsid w:val="009A48B4"/>
    <w:rsid w:val="009A6464"/>
    <w:rsid w:val="009A68EF"/>
    <w:rsid w:val="009B1B46"/>
    <w:rsid w:val="009B69F5"/>
    <w:rsid w:val="009C5FF7"/>
    <w:rsid w:val="009C6292"/>
    <w:rsid w:val="009D15DB"/>
    <w:rsid w:val="009D3133"/>
    <w:rsid w:val="009D5199"/>
    <w:rsid w:val="009D6C8A"/>
    <w:rsid w:val="009E160D"/>
    <w:rsid w:val="009F1CBB"/>
    <w:rsid w:val="009F3305"/>
    <w:rsid w:val="009F6FB2"/>
    <w:rsid w:val="00A020F4"/>
    <w:rsid w:val="00A071C0"/>
    <w:rsid w:val="00A22670"/>
    <w:rsid w:val="00A24B35"/>
    <w:rsid w:val="00A271BA"/>
    <w:rsid w:val="00A27F86"/>
    <w:rsid w:val="00A36ABF"/>
    <w:rsid w:val="00A431C6"/>
    <w:rsid w:val="00A51FB8"/>
    <w:rsid w:val="00A54315"/>
    <w:rsid w:val="00A60FBC"/>
    <w:rsid w:val="00A61BD4"/>
    <w:rsid w:val="00A65C0B"/>
    <w:rsid w:val="00A7109F"/>
    <w:rsid w:val="00A776BA"/>
    <w:rsid w:val="00A81FD2"/>
    <w:rsid w:val="00A8441A"/>
    <w:rsid w:val="00A8674A"/>
    <w:rsid w:val="00A96E24"/>
    <w:rsid w:val="00AA0248"/>
    <w:rsid w:val="00AA6F6E"/>
    <w:rsid w:val="00AB122B"/>
    <w:rsid w:val="00AB21B0"/>
    <w:rsid w:val="00AB48D3"/>
    <w:rsid w:val="00AC1223"/>
    <w:rsid w:val="00AC3484"/>
    <w:rsid w:val="00AC63C5"/>
    <w:rsid w:val="00AE0243"/>
    <w:rsid w:val="00AE1BAD"/>
    <w:rsid w:val="00AE2124"/>
    <w:rsid w:val="00AE24BC"/>
    <w:rsid w:val="00AE3E3F"/>
    <w:rsid w:val="00AF2516"/>
    <w:rsid w:val="00AF4760"/>
    <w:rsid w:val="00AF55D4"/>
    <w:rsid w:val="00B0505F"/>
    <w:rsid w:val="00B05C2D"/>
    <w:rsid w:val="00B1156A"/>
    <w:rsid w:val="00B12933"/>
    <w:rsid w:val="00B12B88"/>
    <w:rsid w:val="00B137E0"/>
    <w:rsid w:val="00B13BC8"/>
    <w:rsid w:val="00B16374"/>
    <w:rsid w:val="00B24662"/>
    <w:rsid w:val="00B253AA"/>
    <w:rsid w:val="00B3569C"/>
    <w:rsid w:val="00B43676"/>
    <w:rsid w:val="00B5602D"/>
    <w:rsid w:val="00B60125"/>
    <w:rsid w:val="00B616F6"/>
    <w:rsid w:val="00B6656B"/>
    <w:rsid w:val="00B7015D"/>
    <w:rsid w:val="00B71625"/>
    <w:rsid w:val="00B75870"/>
    <w:rsid w:val="00B75C54"/>
    <w:rsid w:val="00B8710E"/>
    <w:rsid w:val="00B92A93"/>
    <w:rsid w:val="00BA17A8"/>
    <w:rsid w:val="00BA3C33"/>
    <w:rsid w:val="00BB0878"/>
    <w:rsid w:val="00BB1879"/>
    <w:rsid w:val="00BC0ABE"/>
    <w:rsid w:val="00BC30DB"/>
    <w:rsid w:val="00BC64FF"/>
    <w:rsid w:val="00BC7C37"/>
    <w:rsid w:val="00BD2244"/>
    <w:rsid w:val="00BE0762"/>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34D"/>
    <w:rsid w:val="00C81619"/>
    <w:rsid w:val="00C92854"/>
    <w:rsid w:val="00CA013C"/>
    <w:rsid w:val="00CA6D6D"/>
    <w:rsid w:val="00CB4B1B"/>
    <w:rsid w:val="00CC51EB"/>
    <w:rsid w:val="00CC7A4E"/>
    <w:rsid w:val="00CD1359"/>
    <w:rsid w:val="00CD4C83"/>
    <w:rsid w:val="00CF7DE2"/>
    <w:rsid w:val="00D003C6"/>
    <w:rsid w:val="00D01EDC"/>
    <w:rsid w:val="00D078AA"/>
    <w:rsid w:val="00D10058"/>
    <w:rsid w:val="00D11978"/>
    <w:rsid w:val="00D14909"/>
    <w:rsid w:val="00D15E30"/>
    <w:rsid w:val="00D16129"/>
    <w:rsid w:val="00D16A08"/>
    <w:rsid w:val="00D16A1D"/>
    <w:rsid w:val="00D25DBD"/>
    <w:rsid w:val="00D26929"/>
    <w:rsid w:val="00D30CBD"/>
    <w:rsid w:val="00D30D9E"/>
    <w:rsid w:val="00D33908"/>
    <w:rsid w:val="00D35050"/>
    <w:rsid w:val="00D354F2"/>
    <w:rsid w:val="00D36C30"/>
    <w:rsid w:val="00D37C90"/>
    <w:rsid w:val="00D438FF"/>
    <w:rsid w:val="00D43A8C"/>
    <w:rsid w:val="00D53072"/>
    <w:rsid w:val="00D61A4E"/>
    <w:rsid w:val="00D628A2"/>
    <w:rsid w:val="00D634EA"/>
    <w:rsid w:val="00D713A1"/>
    <w:rsid w:val="00D753D4"/>
    <w:rsid w:val="00D77956"/>
    <w:rsid w:val="00D80F0C"/>
    <w:rsid w:val="00D92077"/>
    <w:rsid w:val="00D951E2"/>
    <w:rsid w:val="00D9565A"/>
    <w:rsid w:val="00DA7B0E"/>
    <w:rsid w:val="00DB2337"/>
    <w:rsid w:val="00DB5F87"/>
    <w:rsid w:val="00DB699B"/>
    <w:rsid w:val="00DC0376"/>
    <w:rsid w:val="00DC099B"/>
    <w:rsid w:val="00DC2BE5"/>
    <w:rsid w:val="00DD2C2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4F02"/>
    <w:rsid w:val="00E15598"/>
    <w:rsid w:val="00E20032"/>
    <w:rsid w:val="00E20D65"/>
    <w:rsid w:val="00E272AF"/>
    <w:rsid w:val="00E353A2"/>
    <w:rsid w:val="00E36881"/>
    <w:rsid w:val="00E42E4C"/>
    <w:rsid w:val="00E47013"/>
    <w:rsid w:val="00E541F9"/>
    <w:rsid w:val="00E57B79"/>
    <w:rsid w:val="00E63419"/>
    <w:rsid w:val="00E64496"/>
    <w:rsid w:val="00E67272"/>
    <w:rsid w:val="00E72115"/>
    <w:rsid w:val="00E8322E"/>
    <w:rsid w:val="00E903E0"/>
    <w:rsid w:val="00E94904"/>
    <w:rsid w:val="00E955B4"/>
    <w:rsid w:val="00EA1115"/>
    <w:rsid w:val="00EA39EB"/>
    <w:rsid w:val="00EA58CE"/>
    <w:rsid w:val="00EB33FF"/>
    <w:rsid w:val="00EB3D1A"/>
    <w:rsid w:val="00EC2759"/>
    <w:rsid w:val="00EC6717"/>
    <w:rsid w:val="00EC7106"/>
    <w:rsid w:val="00ED0120"/>
    <w:rsid w:val="00ED3BBA"/>
    <w:rsid w:val="00ED4E12"/>
    <w:rsid w:val="00ED50D1"/>
    <w:rsid w:val="00EE051B"/>
    <w:rsid w:val="00EE47D4"/>
    <w:rsid w:val="00EE54B4"/>
    <w:rsid w:val="00EE7915"/>
    <w:rsid w:val="00EF1AD8"/>
    <w:rsid w:val="00EF2B5C"/>
    <w:rsid w:val="00EF2E7C"/>
    <w:rsid w:val="00EF7794"/>
    <w:rsid w:val="00F02046"/>
    <w:rsid w:val="00F053D8"/>
    <w:rsid w:val="00F07888"/>
    <w:rsid w:val="00F1313D"/>
    <w:rsid w:val="00F201E7"/>
    <w:rsid w:val="00F204E0"/>
    <w:rsid w:val="00F20B16"/>
    <w:rsid w:val="00F21C3E"/>
    <w:rsid w:val="00F21C79"/>
    <w:rsid w:val="00F238C9"/>
    <w:rsid w:val="00F23CA5"/>
    <w:rsid w:val="00F277AA"/>
    <w:rsid w:val="00F31955"/>
    <w:rsid w:val="00F34C06"/>
    <w:rsid w:val="00F43EA3"/>
    <w:rsid w:val="00F464CB"/>
    <w:rsid w:val="00F50C55"/>
    <w:rsid w:val="00F57FFB"/>
    <w:rsid w:val="00F601E6"/>
    <w:rsid w:val="00F73954"/>
    <w:rsid w:val="00F94060"/>
    <w:rsid w:val="00FA25D4"/>
    <w:rsid w:val="00FA56F6"/>
    <w:rsid w:val="00FA6138"/>
    <w:rsid w:val="00FB329D"/>
    <w:rsid w:val="00FC27E3"/>
    <w:rsid w:val="00FC74C7"/>
    <w:rsid w:val="00FD10A2"/>
    <w:rsid w:val="00FD3C1A"/>
    <w:rsid w:val="00FD451D"/>
    <w:rsid w:val="00FD5B22"/>
    <w:rsid w:val="00FE1B01"/>
    <w:rsid w:val="00FF07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EFC4D1"/>
  <w14:defaultImageDpi w14:val="300"/>
  <w15:docId w15:val="{7ADC3131-C044-4A7A-A84C-B463E4530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D2627"/>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0D26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D26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D26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D262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D26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2627"/>
  </w:style>
  <w:style w:type="character" w:customStyle="1" w:styleId="Heading1Char">
    <w:name w:val="Heading 1 Char"/>
    <w:aliases w:val="Pocket Char"/>
    <w:basedOn w:val="DefaultParagraphFont"/>
    <w:link w:val="Heading1"/>
    <w:rsid w:val="000D262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262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D2627"/>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0D2627"/>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D2627"/>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6"/>
    <w:qFormat/>
    <w:rsid w:val="000D2627"/>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0D262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D2627"/>
    <w:rPr>
      <w:color w:val="auto"/>
      <w:u w:val="none"/>
    </w:rPr>
  </w:style>
  <w:style w:type="character" w:styleId="Hyperlink">
    <w:name w:val="Hyperlink"/>
    <w:basedOn w:val="DefaultParagraphFont"/>
    <w:uiPriority w:val="99"/>
    <w:unhideWhenUsed/>
    <w:rsid w:val="000D2627"/>
    <w:rPr>
      <w:color w:val="auto"/>
      <w:u w:val="none"/>
    </w:rPr>
  </w:style>
  <w:style w:type="paragraph" w:styleId="DocumentMap">
    <w:name w:val="Document Map"/>
    <w:basedOn w:val="Normal"/>
    <w:link w:val="DocumentMapChar"/>
    <w:uiPriority w:val="99"/>
    <w:semiHidden/>
    <w:unhideWhenUsed/>
    <w:rsid w:val="003136F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136F6"/>
    <w:rPr>
      <w:rFonts w:ascii="Lucida Grande" w:hAnsi="Lucida Grande" w:cs="Lucida Grande"/>
    </w:rPr>
  </w:style>
  <w:style w:type="paragraph" w:customStyle="1" w:styleId="textbold">
    <w:name w:val="text bold"/>
    <w:basedOn w:val="Normal"/>
    <w:link w:val="Emphasis"/>
    <w:uiPriority w:val="7"/>
    <w:qFormat/>
    <w:rsid w:val="00AC1223"/>
    <w:pP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aei.org/publication/fallacies-of-eurocentrism-and-afrocentrism/" TargetMode="External"/><Relationship Id="rId18" Type="http://schemas.openxmlformats.org/officeDocument/2006/relationships/hyperlink" Target="http://www.pcp-net.org/journal/pctp08/mcwilliams08.pdf" TargetMode="External"/><Relationship Id="rId26" Type="http://schemas.openxmlformats.org/officeDocument/2006/relationships/hyperlink" Target="http://www.temple.edu/tempress/chapters_1800/2346_ch1.pdf" TargetMode="External"/><Relationship Id="rId3" Type="http://schemas.openxmlformats.org/officeDocument/2006/relationships/customXml" Target="../customXml/item3.xml"/><Relationship Id="rId21" Type="http://schemas.openxmlformats.org/officeDocument/2006/relationships/hyperlink" Target="https://jacobinmag.com/2013/04/how-does-the-subaltern-speak"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eprints.qut.edu.au/63908/1/63908.pdf" TargetMode="External"/><Relationship Id="rId17" Type="http://schemas.openxmlformats.org/officeDocument/2006/relationships/hyperlink" Target="http://s3.amazonaws.com/academia.edu.documents/38902772/Chapter_27_Heilig.Khalifa.Tillman.pdf?AWSAccessKeyId=AKIAIWOWYYGZ2Y53UL3A&amp;Expires=1500683089&amp;Signature=iyNOHTu%2Fpfyg9usvkeUjIa7qMCw%3D&amp;response-content-disposition=inline%3B%20filename%3DHigh-Stake_Reforms_and_Urban_Education.pdf" TargetMode="External"/><Relationship Id="rId25" Type="http://schemas.openxmlformats.org/officeDocument/2006/relationships/hyperlink" Target="http://journals.sagepub.com/doi/abs/10.1177/0306396811406778"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citeseerx.ist.psu.edu/viewdoc/download?doi=10.1.1.939.294&amp;rep=rep1&amp;type=pdf" TargetMode="External"/><Relationship Id="rId20" Type="http://schemas.openxmlformats.org/officeDocument/2006/relationships/hyperlink" Target="http://www.upm.ro/cci12/volCCI_II/Pages%20from%20Volum_texteCCI2-44.pdf" TargetMode="External"/><Relationship Id="rId29" Type="http://schemas.openxmlformats.org/officeDocument/2006/relationships/hyperlink" Target="http://www.jstor.org/stable/3820255?seq=1&amp;cid=pdf-referenc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onlinelibrary.wiley.com/store/10.1002/sce.1052/asset/1052_ftp.pdf?v=1&amp;t=j5ekxu5m&amp;s=fc3acb08137a84e0bb919b833a4b89efc0f05aac" TargetMode="External"/><Relationship Id="rId24" Type="http://schemas.openxmlformats.org/officeDocument/2006/relationships/hyperlink" Target="http://ecologywithoutnature.blogspot.com/2016/11/theres-massive-problem-with-decolonial.html" TargetMode="External"/><Relationship Id="rId32" Type="http://schemas.openxmlformats.org/officeDocument/2006/relationships/hyperlink" Target="http://learn.org/articles/What_is_the_Definition_of_Secondary_School.html" TargetMode="External"/><Relationship Id="rId5" Type="http://schemas.openxmlformats.org/officeDocument/2006/relationships/numbering" Target="numbering.xml"/><Relationship Id="rId15" Type="http://schemas.openxmlformats.org/officeDocument/2006/relationships/hyperlink" Target="https://eprints.qut.edu.au/63908/1/63908.pdf" TargetMode="External"/><Relationship Id="rId23" Type="http://schemas.openxmlformats.org/officeDocument/2006/relationships/hyperlink" Target="https://www.washingtonpost.com/news/wonk/wp/2015/04/14/why-civil-rights-groups-support-standardized-tests/?utm_term=.c19d85fe18a8" TargetMode="External"/><Relationship Id="rId28" Type="http://schemas.openxmlformats.org/officeDocument/2006/relationships/hyperlink" Target="http://journal.jctonline.org/index.php/jct/article/viewFile/491/pdf" TargetMode="External"/><Relationship Id="rId10" Type="http://schemas.openxmlformats.org/officeDocument/2006/relationships/hyperlink" Target="https://eprints.qut.edu.au/63908/1/63908.pdf" TargetMode="External"/><Relationship Id="rId19" Type="http://schemas.openxmlformats.org/officeDocument/2006/relationships/hyperlink" Target="http://citeseerx.ist.psu.edu/viewdoc/download?doi=10.1.1.939.294&amp;rep=rep1&amp;type=pdf" TargetMode="External"/><Relationship Id="rId31" Type="http://schemas.openxmlformats.org/officeDocument/2006/relationships/hyperlink" Target="http://www.webster-dictionary.org/definition/elementary%20education" TargetMode="External"/><Relationship Id="rId4" Type="http://schemas.openxmlformats.org/officeDocument/2006/relationships/customXml" Target="../customXml/item4.xml"/><Relationship Id="rId9" Type="http://schemas.openxmlformats.org/officeDocument/2006/relationships/hyperlink" Target="http://www.temple.edu/tempress/chapters_1800/2346_ch1.pdf" TargetMode="External"/><Relationship Id="rId14" Type="http://schemas.openxmlformats.org/officeDocument/2006/relationships/hyperlink" Target="http://www.temple.edu/tempress/chapters_1800/2346_ch1.pdf" TargetMode="External"/><Relationship Id="rId22" Type="http://schemas.openxmlformats.org/officeDocument/2006/relationships/hyperlink" Target="http://onlinelibrary.wiley.com/store/10.1002/sce.1052/asset/1052_ftp.pdf?v=1&amp;t=j5ekxu5m&amp;s=fc3acb08137a84e0bb919b833a4b89efc0f05aac" TargetMode="External"/><Relationship Id="rId27" Type="http://schemas.openxmlformats.org/officeDocument/2006/relationships/hyperlink" Target="http://www.aei.org/publication/fallacies-of-eurocentrism-and-afrocentrism/" TargetMode="External"/><Relationship Id="rId30" Type="http://schemas.openxmlformats.org/officeDocument/2006/relationships/hyperlink" Target="http://www.webster-dictionary.org/definition/elementary%20educ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ium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C70D25B-DAEE-4845-BC4D-BCFD2200E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880</TotalTime>
  <Pages>1</Pages>
  <Words>66032</Words>
  <Characters>376384</Characters>
  <Application>Microsoft Office Word</Application>
  <DocSecurity>0</DocSecurity>
  <Lines>3136</Lines>
  <Paragraphs>883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441533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Tara Bhagat</dc:creator>
  <cp:keywords>5.2</cp:keywords>
  <dc:description/>
  <cp:lastModifiedBy>Lynnea Zhang</cp:lastModifiedBy>
  <cp:revision>10</cp:revision>
  <dcterms:created xsi:type="dcterms:W3CDTF">2017-07-16T22:51:00Z</dcterms:created>
  <dcterms:modified xsi:type="dcterms:W3CDTF">2017-07-30T18:01:00Z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