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4F36" w:rsidRDefault="00854F36" w:rsidP="00835F3C">
      <w:pPr>
        <w:pStyle w:val="Heading1"/>
      </w:pPr>
      <w:r>
        <w:t>Funding Equity- Neg</w:t>
      </w:r>
    </w:p>
    <w:p w:rsidR="00835F3C" w:rsidRPr="00835F3C" w:rsidRDefault="00835F3C" w:rsidP="00835F3C">
      <w:pPr>
        <w:jc w:val="center"/>
      </w:pPr>
      <w:r>
        <w:rPr>
          <w:noProof/>
        </w:rPr>
        <w:drawing>
          <wp:inline distT="0" distB="0" distL="0" distR="0" wp14:anchorId="1A016442" wp14:editId="426FF771">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854F36" w:rsidRDefault="00854F36" w:rsidP="00854F36">
      <w:pPr>
        <w:spacing w:line="240" w:lineRule="auto"/>
        <w:contextualSpacing/>
        <w:rPr>
          <w:rFonts w:ascii="Georgia" w:eastAsia="Times New Roman" w:hAnsi="Georgia" w:cs="Times New Roman"/>
          <w:szCs w:val="36"/>
          <w:shd w:val="clear" w:color="auto" w:fill="FFFFFF"/>
        </w:rPr>
      </w:pPr>
    </w:p>
    <w:p w:rsidR="00854F36" w:rsidRDefault="00854F36" w:rsidP="00854F36">
      <w:pPr>
        <w:pStyle w:val="Heading3"/>
      </w:pPr>
      <w:bookmarkStart w:id="0" w:name="_GoBack"/>
      <w:bookmarkEnd w:id="0"/>
      <w:r>
        <w:t>Education not a right</w:t>
      </w:r>
    </w:p>
    <w:p w:rsidR="00854F36" w:rsidRDefault="00854F36" w:rsidP="00854F36">
      <w:pPr>
        <w:pStyle w:val="Heading4"/>
      </w:pPr>
      <w:r>
        <w:t>Court fails to uphold natural rights of citizens</w:t>
      </w:r>
    </w:p>
    <w:p w:rsidR="00854F36" w:rsidRPr="006772B2" w:rsidRDefault="00854F36" w:rsidP="00854F36">
      <w:pPr>
        <w:rPr>
          <w:rStyle w:val="Style13ptBold"/>
          <w:b w:val="0"/>
          <w:sz w:val="16"/>
          <w:szCs w:val="16"/>
        </w:rPr>
      </w:pPr>
      <w:r w:rsidRPr="006772B2">
        <w:rPr>
          <w:rStyle w:val="Style13ptBold"/>
          <w:b w:val="0"/>
          <w:sz w:val="16"/>
          <w:szCs w:val="16"/>
        </w:rPr>
        <w:t xml:space="preserve">Kenji </w:t>
      </w:r>
      <w:r w:rsidRPr="006772B2">
        <w:rPr>
          <w:rStyle w:val="Style13ptBold"/>
        </w:rPr>
        <w:t xml:space="preserve">Yoshino </w:t>
      </w:r>
      <w:r w:rsidRPr="006772B2">
        <w:rPr>
          <w:rStyle w:val="Style13ptBold"/>
          <w:b w:val="0"/>
          <w:sz w:val="16"/>
          <w:szCs w:val="16"/>
        </w:rPr>
        <w:t xml:space="preserve">Harvard Law Review </w:t>
      </w:r>
      <w:r w:rsidRPr="006772B2">
        <w:rPr>
          <w:rStyle w:val="Style13ptBold"/>
        </w:rPr>
        <w:t>15</w:t>
      </w:r>
      <w:r w:rsidRPr="006772B2">
        <w:rPr>
          <w:rStyle w:val="Style13ptBold"/>
          <w:b w:val="0"/>
          <w:sz w:val="16"/>
          <w:szCs w:val="16"/>
        </w:rPr>
        <w:t xml:space="preserve"> Lexis Nexis Page 7 Copyright (c) 2015 Harvard Law Review Association Harvard Law Review November, 2015 Harvard Law Review 129 Harv. L. Rev. 147 THE SUPREME COURT 2014 TERM: COMMENT: A NEW BIRTH OF FREEDOM?: OBERGEFELL V. HODGES Chief Justice Earl Warren Professor of Constitutional Law</w:t>
      </w:r>
    </w:p>
    <w:p w:rsidR="00854F36" w:rsidRPr="00FF04ED" w:rsidRDefault="00854F36" w:rsidP="00854F36">
      <w:pPr>
        <w:autoSpaceDE w:val="0"/>
        <w:autoSpaceDN w:val="0"/>
        <w:adjustRightInd w:val="0"/>
        <w:spacing w:after="0" w:line="240" w:lineRule="auto"/>
        <w:rPr>
          <w:rFonts w:asciiTheme="minorHAnsi" w:hAnsiTheme="minorHAnsi" w:cs="Times New Roman"/>
          <w:sz w:val="8"/>
          <w:szCs w:val="24"/>
        </w:rPr>
      </w:pPr>
      <w:r w:rsidRPr="00FF04ED">
        <w:rPr>
          <w:rFonts w:asciiTheme="minorHAnsi" w:hAnsiTheme="minorHAnsi" w:cs="Times New Roman"/>
          <w:sz w:val="8"/>
          <w:szCs w:val="24"/>
        </w:rPr>
        <w:t xml:space="preserve">Similarly, in </w:t>
      </w:r>
      <w:r w:rsidRPr="00FF04ED">
        <w:rPr>
          <w:rFonts w:asciiTheme="minorHAnsi" w:hAnsiTheme="minorHAnsi" w:cs="Times New Roman"/>
          <w:i/>
          <w:iCs/>
          <w:sz w:val="8"/>
          <w:szCs w:val="24"/>
        </w:rPr>
        <w:t>DeShaney</w:t>
      </w:r>
      <w:r w:rsidRPr="00FF04ED">
        <w:rPr>
          <w:rFonts w:asciiTheme="minorHAnsi" w:hAnsiTheme="minorHAnsi" w:cs="Times New Roman"/>
          <w:sz w:val="8"/>
          <w:szCs w:val="24"/>
        </w:rPr>
        <w:t xml:space="preserve">, </w:t>
      </w:r>
      <w:r w:rsidRPr="00BD4FD9">
        <w:rPr>
          <w:rFonts w:asciiTheme="minorHAnsi" w:hAnsiTheme="minorHAnsi" w:cs="Times New Roman"/>
          <w:szCs w:val="24"/>
          <w:highlight w:val="yellow"/>
          <w:u w:val="single"/>
        </w:rPr>
        <w:t>the Court underscored the difference between freedom from government intrusion and the freedom to command government action</w:t>
      </w:r>
      <w:r w:rsidRPr="00FF04ED">
        <w:rPr>
          <w:rFonts w:asciiTheme="minorHAnsi" w:hAnsiTheme="minorHAnsi" w:cs="Times New Roman"/>
          <w:sz w:val="8"/>
          <w:szCs w:val="24"/>
        </w:rPr>
        <w:t xml:space="preserve">. n119 In that case, </w:t>
      </w:r>
      <w:r w:rsidRPr="00BD4FD9">
        <w:rPr>
          <w:rFonts w:asciiTheme="minorHAnsi" w:hAnsiTheme="minorHAnsi" w:cs="Times New Roman"/>
          <w:szCs w:val="24"/>
          <w:highlight w:val="yellow"/>
          <w:u w:val="single"/>
        </w:rPr>
        <w:t>the question was whether Winnebago County's Department of Social Services violated the young boy Joshua DeShaney's constitutional rights through its inaction</w:t>
      </w:r>
      <w:r w:rsidRPr="00FF04ED">
        <w:rPr>
          <w:rFonts w:asciiTheme="minorHAnsi" w:hAnsiTheme="minorHAnsi" w:cs="Times New Roman"/>
          <w:sz w:val="8"/>
          <w:szCs w:val="24"/>
        </w:rPr>
        <w:t xml:space="preserve">. n120 Over time, the Department of Social Services received evidence that Joshua's father Randy might be beating him. n121 After establishing a record of abuse, the County entered into an agreement with Randy to protect Joshua's safety. n122 However, the County did not intervene even after the County's caseworker observed breaches of the agreement. n123 Then, in 1984, </w:t>
      </w:r>
      <w:r w:rsidRPr="00FF04ED">
        <w:rPr>
          <w:rFonts w:asciiTheme="minorHAnsi" w:hAnsiTheme="minorHAnsi" w:cs="Times New Roman"/>
          <w:szCs w:val="24"/>
          <w:highlight w:val="yellow"/>
          <w:u w:val="single"/>
        </w:rPr>
        <w:t>Randy "beat . . . Joshua so severely that he fell into a life-threatening coma.</w:t>
      </w:r>
      <w:r w:rsidRPr="00FF04ED">
        <w:rPr>
          <w:rFonts w:asciiTheme="minorHAnsi" w:hAnsiTheme="minorHAnsi" w:cs="Times New Roman"/>
          <w:szCs w:val="24"/>
          <w:u w:val="single"/>
        </w:rPr>
        <w:t>"</w:t>
      </w:r>
      <w:r w:rsidRPr="00FF04ED">
        <w:rPr>
          <w:rFonts w:asciiTheme="minorHAnsi" w:hAnsiTheme="minorHAnsi" w:cs="Times New Roman"/>
          <w:sz w:val="8"/>
          <w:szCs w:val="24"/>
        </w:rPr>
        <w:t xml:space="preserve"> n124 Joshua and his mother brought suit against the County, alleging that the respondents had violated Joshua's liberty rights by failing to protect him against a risk of violence [*161] of which they knew or should have known. n125 </w:t>
      </w:r>
      <w:r w:rsidRPr="00FF04ED">
        <w:rPr>
          <w:rFonts w:asciiTheme="minorHAnsi" w:hAnsiTheme="minorHAnsi" w:cs="Times New Roman"/>
          <w:szCs w:val="24"/>
          <w:highlight w:val="yellow"/>
          <w:u w:val="single"/>
        </w:rPr>
        <w:t>In rejecting that claim, the Court stated: “[N]othing in the language of the Due Process Clause itself requires the State to protect the life, liberty, and property of its citizens against invasion by private actors</w:t>
      </w:r>
      <w:r w:rsidRPr="00FF04ED">
        <w:rPr>
          <w:rFonts w:asciiTheme="minorHAnsi" w:hAnsiTheme="minorHAnsi" w:cs="Times New Roman"/>
          <w:sz w:val="8"/>
          <w:szCs w:val="24"/>
        </w:rPr>
        <w:t xml:space="preserve">. The Clause is phrased as a limitation on the State's power to act, not as a guarantee of certain minimal levels of safety and security. It forbids the State itself to deprive individuals of life, liberty, or property without "due process of law," but its language cannot fairly be extended to impose an affirmative obligation on the State to ensure that those interests do not come to harm through other means. n126 </w:t>
      </w:r>
      <w:r w:rsidRPr="00FF04ED">
        <w:rPr>
          <w:rFonts w:asciiTheme="minorHAnsi" w:hAnsiTheme="minorHAnsi" w:cs="Times New Roman"/>
          <w:szCs w:val="24"/>
          <w:highlight w:val="yellow"/>
          <w:u w:val="single"/>
        </w:rPr>
        <w:t>In other words, the liberty guaranteed by due process was solely a negative one -- the right to be free from governmental intrusion.</w:t>
      </w:r>
      <w:r w:rsidRPr="00FF04ED">
        <w:rPr>
          <w:rFonts w:asciiTheme="minorHAnsi" w:hAnsiTheme="minorHAnsi" w:cs="Times New Roman"/>
          <w:sz w:val="8"/>
          <w:szCs w:val="24"/>
        </w:rPr>
        <w:t xml:space="preserve"> Indeed, the Court partially justified the County's failure to act by observing that if the County had acted prematurely, it would "likely have been met with charges of improperly intruding into the parent-child relationship, charges based on the same Due Process Clause that forms the basis for the present charge of failure to provide adequate protection."</w:t>
      </w:r>
    </w:p>
    <w:p w:rsidR="00854F36" w:rsidRDefault="00854F36" w:rsidP="00854F36">
      <w:pPr>
        <w:rPr>
          <w:rFonts w:asciiTheme="minorHAnsi" w:hAnsiTheme="minorHAnsi"/>
          <w:szCs w:val="24"/>
        </w:rPr>
      </w:pPr>
    </w:p>
    <w:p w:rsidR="00854F36" w:rsidRDefault="00854F36" w:rsidP="00854F36">
      <w:pPr>
        <w:pStyle w:val="Heading4"/>
      </w:pPr>
      <w:r>
        <w:t>Court shows clear distinction between liberty and equality</w:t>
      </w:r>
    </w:p>
    <w:p w:rsidR="00854F36" w:rsidRPr="006772B2" w:rsidRDefault="00854F36" w:rsidP="00854F36">
      <w:pPr>
        <w:rPr>
          <w:rStyle w:val="Style13ptBold"/>
          <w:b w:val="0"/>
          <w:sz w:val="16"/>
          <w:szCs w:val="16"/>
        </w:rPr>
      </w:pPr>
      <w:r w:rsidRPr="006772B2">
        <w:rPr>
          <w:rStyle w:val="Style13ptBold"/>
          <w:b w:val="0"/>
          <w:sz w:val="16"/>
          <w:szCs w:val="16"/>
        </w:rPr>
        <w:t xml:space="preserve">Kenji </w:t>
      </w:r>
      <w:r w:rsidRPr="006772B2">
        <w:rPr>
          <w:rStyle w:val="Style13ptBold"/>
        </w:rPr>
        <w:t xml:space="preserve">Yoshino </w:t>
      </w:r>
      <w:r w:rsidRPr="006772B2">
        <w:rPr>
          <w:rStyle w:val="Style13ptBold"/>
          <w:b w:val="0"/>
          <w:sz w:val="16"/>
          <w:szCs w:val="16"/>
        </w:rPr>
        <w:t xml:space="preserve">Harvard Law Review </w:t>
      </w:r>
      <w:r w:rsidRPr="006772B2">
        <w:rPr>
          <w:rStyle w:val="Style13ptBold"/>
        </w:rPr>
        <w:t>15</w:t>
      </w:r>
      <w:r w:rsidRPr="006772B2">
        <w:rPr>
          <w:rStyle w:val="Style13ptBold"/>
          <w:b w:val="0"/>
          <w:sz w:val="16"/>
          <w:szCs w:val="16"/>
        </w:rPr>
        <w:t xml:space="preserve"> Lexis Nexis Page 7 Copyright (c) 2015 Harvard Law Review Association Harvard Law Review November, 2015 Harvard Law Review 129 Harv. L. Rev. 147 THE SUPREME COURT 2014 TERM: COMMENT: A NEW BIRTH OF FREEDOM?: OBERGEFELL V. HODGES Chief Justice Earl Warren Professor of Constitutional Law</w:t>
      </w:r>
    </w:p>
    <w:p w:rsidR="00854F36" w:rsidRPr="00CB52DB" w:rsidRDefault="00854F36" w:rsidP="00854F36">
      <w:pPr>
        <w:autoSpaceDE w:val="0"/>
        <w:autoSpaceDN w:val="0"/>
        <w:adjustRightInd w:val="0"/>
        <w:spacing w:after="0" w:line="240" w:lineRule="auto"/>
        <w:rPr>
          <w:rFonts w:asciiTheme="minorHAnsi" w:hAnsiTheme="minorHAnsi" w:cs="Times New Roman"/>
          <w:szCs w:val="24"/>
          <w:u w:val="single"/>
        </w:rPr>
      </w:pPr>
      <w:r w:rsidRPr="00CB52DB">
        <w:rPr>
          <w:rFonts w:asciiTheme="minorHAnsi" w:hAnsiTheme="minorHAnsi" w:cs="Times New Roman"/>
          <w:sz w:val="8"/>
          <w:szCs w:val="24"/>
        </w:rPr>
        <w:t xml:space="preserve">The majority opinion gave this distinction short shrift. It stated that "while </w:t>
      </w:r>
      <w:r w:rsidRPr="00CB52DB">
        <w:rPr>
          <w:rFonts w:asciiTheme="minorHAnsi" w:hAnsiTheme="minorHAnsi" w:cs="Times New Roman"/>
          <w:i/>
          <w:iCs/>
          <w:sz w:val="8"/>
          <w:szCs w:val="24"/>
        </w:rPr>
        <w:t xml:space="preserve">Lawrence </w:t>
      </w:r>
      <w:r w:rsidRPr="00CB52DB">
        <w:rPr>
          <w:rFonts w:asciiTheme="minorHAnsi" w:hAnsiTheme="minorHAnsi" w:cs="Times New Roman"/>
          <w:sz w:val="8"/>
          <w:szCs w:val="24"/>
        </w:rPr>
        <w:t xml:space="preserve">confirmed a dimension of freedom that allows individuals to engage in intimate association without criminal liability, it does not follow that freedom stops there." n175 "Outlaw to outcast may be a step forward," the Court continued, "but it does not achieve the full promise of liberty." n176 </w:t>
      </w:r>
      <w:r w:rsidRPr="00274D86">
        <w:rPr>
          <w:rFonts w:asciiTheme="minorHAnsi" w:hAnsiTheme="minorHAnsi" w:cs="Times New Roman"/>
          <w:szCs w:val="24"/>
          <w:highlight w:val="yellow"/>
          <w:u w:val="single"/>
        </w:rPr>
        <w:t>Justice Kennedy's use of "liberty" rather than "equality" here is significant</w:t>
      </w:r>
      <w:r w:rsidRPr="00CB52DB">
        <w:rPr>
          <w:rFonts w:asciiTheme="minorHAnsi" w:hAnsiTheme="minorHAnsi" w:cs="Times New Roman"/>
          <w:sz w:val="8"/>
          <w:szCs w:val="24"/>
        </w:rPr>
        <w:t xml:space="preserve">. He could have preserved the historical "negative right/positive right" distinction by relying on equality principles. </w:t>
      </w:r>
      <w:r w:rsidRPr="00274D86">
        <w:rPr>
          <w:rFonts w:asciiTheme="minorHAnsi" w:hAnsiTheme="minorHAnsi" w:cs="Times New Roman"/>
          <w:szCs w:val="24"/>
          <w:highlight w:val="yellow"/>
          <w:u w:val="single"/>
        </w:rPr>
        <w:t>Equality principles apply even to benefits that are not rights -- for example, an individual has no right to attend the Virginia Military Institute, but has the right not to be excluded on the basis of gender</w:t>
      </w:r>
      <w:r w:rsidRPr="00CB52DB">
        <w:rPr>
          <w:rFonts w:asciiTheme="minorHAnsi" w:hAnsiTheme="minorHAnsi" w:cs="Times New Roman"/>
          <w:sz w:val="8"/>
          <w:szCs w:val="24"/>
        </w:rPr>
        <w:t xml:space="preserve">. n177 The Court could have circumvented the issue of whether the negative right at issue in </w:t>
      </w:r>
      <w:r w:rsidRPr="00CB52DB">
        <w:rPr>
          <w:rFonts w:asciiTheme="minorHAnsi" w:hAnsiTheme="minorHAnsi" w:cs="Times New Roman"/>
          <w:i/>
          <w:iCs/>
          <w:sz w:val="8"/>
          <w:szCs w:val="24"/>
        </w:rPr>
        <w:t xml:space="preserve">Lawrence </w:t>
      </w:r>
      <w:r w:rsidRPr="00CB52DB">
        <w:rPr>
          <w:rFonts w:asciiTheme="minorHAnsi" w:hAnsiTheme="minorHAnsi" w:cs="Times New Roman"/>
          <w:sz w:val="8"/>
          <w:szCs w:val="24"/>
        </w:rPr>
        <w:t xml:space="preserve">should be extended to the positive right at issue in </w:t>
      </w:r>
      <w:r w:rsidRPr="00CB52DB">
        <w:rPr>
          <w:rFonts w:asciiTheme="minorHAnsi" w:hAnsiTheme="minorHAnsi" w:cs="Times New Roman"/>
          <w:i/>
          <w:iCs/>
          <w:sz w:val="8"/>
          <w:szCs w:val="24"/>
        </w:rPr>
        <w:t xml:space="preserve">Obergefell </w:t>
      </w:r>
      <w:r w:rsidRPr="00CB52DB">
        <w:rPr>
          <w:rFonts w:asciiTheme="minorHAnsi" w:hAnsiTheme="minorHAnsi" w:cs="Times New Roman"/>
          <w:sz w:val="8"/>
          <w:szCs w:val="24"/>
        </w:rPr>
        <w:t xml:space="preserve">by relying on the fact that even if marriage were not a right, it could not be denied on the basis of gender or orientation. </w:t>
      </w:r>
      <w:r w:rsidRPr="00274D86">
        <w:rPr>
          <w:rFonts w:asciiTheme="minorHAnsi" w:hAnsiTheme="minorHAnsi" w:cs="Times New Roman"/>
          <w:szCs w:val="24"/>
          <w:highlight w:val="yellow"/>
          <w:u w:val="single"/>
        </w:rPr>
        <w:t>Instead, however, Justice Kennedy chose to deal with the issue as a matter of liberty, deliberately eliding the negative/positive liberty distinction in this context.</w:t>
      </w:r>
      <w:r w:rsidRPr="00CB52DB">
        <w:rPr>
          <w:rFonts w:asciiTheme="minorHAnsi" w:hAnsiTheme="minorHAnsi" w:cs="Times New Roman"/>
          <w:sz w:val="8"/>
          <w:szCs w:val="24"/>
        </w:rPr>
        <w:t xml:space="preserve"> Like his refusal to take the escape hatch offered with regard to tradition, this analogous refusal may reflect his desire to revamp the substantive due process inquiry </w:t>
      </w:r>
      <w:r w:rsidRPr="00CB52DB">
        <w:rPr>
          <w:rFonts w:asciiTheme="minorHAnsi" w:hAnsiTheme="minorHAnsi" w:cs="Times New Roman"/>
          <w:i/>
          <w:iCs/>
          <w:sz w:val="8"/>
          <w:szCs w:val="24"/>
        </w:rPr>
        <w:t>tout court</w:t>
      </w:r>
      <w:r w:rsidRPr="00CB52DB">
        <w:rPr>
          <w:rFonts w:asciiTheme="minorHAnsi" w:hAnsiTheme="minorHAnsi" w:cs="Times New Roman"/>
          <w:sz w:val="8"/>
          <w:szCs w:val="24"/>
        </w:rPr>
        <w:t xml:space="preserve">. </w:t>
      </w:r>
      <w:r w:rsidRPr="00CB52DB">
        <w:rPr>
          <w:rFonts w:asciiTheme="minorHAnsi" w:hAnsiTheme="minorHAnsi" w:cs="Times New Roman"/>
          <w:szCs w:val="24"/>
          <w:highlight w:val="yellow"/>
          <w:u w:val="single"/>
        </w:rPr>
        <w:t xml:space="preserve">This swift shift from negative to positive rights could have radical implications. Consider the "positive liberty" cases of </w:t>
      </w:r>
      <w:r w:rsidRPr="00CB52DB">
        <w:rPr>
          <w:rFonts w:asciiTheme="minorHAnsi" w:hAnsiTheme="minorHAnsi" w:cs="Times New Roman"/>
          <w:i/>
          <w:iCs/>
          <w:szCs w:val="24"/>
          <w:highlight w:val="yellow"/>
          <w:u w:val="single"/>
        </w:rPr>
        <w:t xml:space="preserve">Rodriguez </w:t>
      </w:r>
      <w:r w:rsidRPr="00CB52DB">
        <w:rPr>
          <w:rFonts w:asciiTheme="minorHAnsi" w:hAnsiTheme="minorHAnsi" w:cs="Times New Roman"/>
          <w:szCs w:val="24"/>
          <w:highlight w:val="yellow"/>
          <w:u w:val="single"/>
        </w:rPr>
        <w:t xml:space="preserve">and </w:t>
      </w:r>
      <w:r w:rsidRPr="00CB52DB">
        <w:rPr>
          <w:rFonts w:asciiTheme="minorHAnsi" w:hAnsiTheme="minorHAnsi" w:cs="Times New Roman"/>
          <w:i/>
          <w:iCs/>
          <w:szCs w:val="24"/>
          <w:highlight w:val="yellow"/>
          <w:u w:val="single"/>
        </w:rPr>
        <w:t>DeShaney</w:t>
      </w:r>
      <w:r w:rsidRPr="00CB52DB">
        <w:rPr>
          <w:rFonts w:asciiTheme="minorHAnsi" w:hAnsiTheme="minorHAnsi" w:cs="Times New Roman"/>
          <w:szCs w:val="24"/>
          <w:highlight w:val="yellow"/>
          <w:u w:val="single"/>
        </w:rPr>
        <w:t>. n178 "Being denied education by virtue of your indigency rather than by the state may be a step forward," a progressive might say, "but it does not achieve the full promise of liberty." "Being beaten by your father rather than by the state may be a step forward," the same progressive might continue, "but it does not achieve the full promise of liberty."</w:t>
      </w:r>
      <w:r w:rsidRPr="00CB52DB">
        <w:rPr>
          <w:rFonts w:asciiTheme="minorHAnsi" w:hAnsiTheme="minorHAnsi" w:cs="Times New Roman"/>
          <w:szCs w:val="24"/>
          <w:u w:val="single"/>
        </w:rPr>
        <w:t xml:space="preserve"> </w:t>
      </w:r>
      <w:r w:rsidRPr="00CB52DB">
        <w:rPr>
          <w:rFonts w:asciiTheme="minorHAnsi" w:hAnsiTheme="minorHAnsi" w:cs="Times New Roman"/>
          <w:sz w:val="8"/>
          <w:szCs w:val="24"/>
        </w:rPr>
        <w:t xml:space="preserve">To be sure, this juncture may be where marriage exceptionalism will operate in the future, as marriage has the somewhat distinctive feature of being both a positive and a negative right. Marriage is a positive right in that it requires the state to grant the parties recognition and benefits. n179 </w:t>
      </w:r>
      <w:r w:rsidRPr="00CB52DB">
        <w:rPr>
          <w:rFonts w:asciiTheme="minorHAnsi" w:hAnsiTheme="minorHAnsi" w:cs="Times New Roman"/>
          <w:szCs w:val="24"/>
          <w:highlight w:val="yellow"/>
          <w:u w:val="single"/>
        </w:rPr>
        <w:t>At the same time, marriage is a negative right in that it creates a zone of privacy into which the state cannot intrude</w:t>
      </w:r>
      <w:r w:rsidRPr="00CB52DB">
        <w:rPr>
          <w:rFonts w:asciiTheme="minorHAnsi" w:hAnsiTheme="minorHAnsi" w:cs="Times New Roman"/>
          <w:sz w:val="8"/>
          <w:szCs w:val="24"/>
        </w:rPr>
        <w:t xml:space="preserve">, as we see in privacy cases such as </w:t>
      </w:r>
      <w:r w:rsidRPr="00CB52DB">
        <w:rPr>
          <w:rFonts w:asciiTheme="minorHAnsi" w:hAnsiTheme="minorHAnsi" w:cs="Times New Roman"/>
          <w:i/>
          <w:iCs/>
          <w:sz w:val="8"/>
          <w:szCs w:val="24"/>
        </w:rPr>
        <w:t>Griswold</w:t>
      </w:r>
      <w:r w:rsidRPr="00CB52DB">
        <w:rPr>
          <w:rFonts w:asciiTheme="minorHAnsi" w:hAnsiTheme="minorHAnsi" w:cs="Times New Roman"/>
          <w:sz w:val="8"/>
          <w:szCs w:val="24"/>
        </w:rPr>
        <w:t xml:space="preserve">, which spoke of the "sacred precincts of the marital bedroom," n180 or in the testimonial privileges [*169] that permit spouses to refuse to testify against each other. n181 It may be that </w:t>
      </w:r>
      <w:r w:rsidRPr="00CB52DB">
        <w:rPr>
          <w:rFonts w:asciiTheme="minorHAnsi" w:hAnsiTheme="minorHAnsi" w:cs="Times New Roman"/>
          <w:i/>
          <w:iCs/>
          <w:sz w:val="8"/>
          <w:szCs w:val="24"/>
        </w:rPr>
        <w:t xml:space="preserve">Obergefell </w:t>
      </w:r>
      <w:r w:rsidRPr="00CB52DB">
        <w:rPr>
          <w:rFonts w:asciiTheme="minorHAnsi" w:hAnsiTheme="minorHAnsi" w:cs="Times New Roman"/>
          <w:sz w:val="8"/>
          <w:szCs w:val="24"/>
        </w:rPr>
        <w:t xml:space="preserve">will represent a "one-off" in the context of bridging the negative/positive liberty divide because the marriage right itself spans this divide. </w:t>
      </w:r>
      <w:r w:rsidRPr="00CB52DB">
        <w:rPr>
          <w:rFonts w:asciiTheme="minorHAnsi" w:hAnsiTheme="minorHAnsi" w:cs="Times New Roman"/>
          <w:szCs w:val="24"/>
          <w:highlight w:val="yellow"/>
          <w:u w:val="single"/>
        </w:rPr>
        <w:t>But again, Justice Kennedy's opinion contains no such qualification.</w:t>
      </w:r>
    </w:p>
    <w:p w:rsidR="00854F36" w:rsidRDefault="00854F36" w:rsidP="00854F36">
      <w:pPr>
        <w:rPr>
          <w:rFonts w:eastAsiaTheme="majorEastAsia" w:cstheme="majorBidi"/>
          <w:b/>
          <w:iCs/>
        </w:rPr>
      </w:pPr>
      <w:r>
        <w:br w:type="page"/>
      </w:r>
    </w:p>
    <w:p w:rsidR="00854F36" w:rsidRDefault="00854F36" w:rsidP="00854F36">
      <w:pPr>
        <w:pStyle w:val="Heading4"/>
      </w:pPr>
      <w:r>
        <w:t>No evidence for education being a fundamental right</w:t>
      </w:r>
    </w:p>
    <w:p w:rsidR="00854F36" w:rsidRPr="008D3969" w:rsidRDefault="00854F36" w:rsidP="00854F36">
      <w:pPr>
        <w:rPr>
          <w:szCs w:val="16"/>
        </w:rPr>
      </w:pPr>
      <w:r w:rsidRPr="008D3969">
        <w:rPr>
          <w:szCs w:val="16"/>
        </w:rPr>
        <w:t xml:space="preserve">V. </w:t>
      </w:r>
      <w:r w:rsidRPr="008D3969">
        <w:rPr>
          <w:rStyle w:val="Style13ptBold"/>
        </w:rPr>
        <w:t>Todd, 2001</w:t>
      </w:r>
      <w:r w:rsidRPr="008D3969">
        <w:rPr>
          <w:szCs w:val="16"/>
        </w:rPr>
        <w:t>, professor of law, “The Honorable Lewis Powell, Jr.”, LexisNexis 29 Fordham Urb. L.J. 683</w:t>
      </w:r>
    </w:p>
    <w:p w:rsidR="00854F36" w:rsidRPr="008D3969" w:rsidRDefault="00854F36" w:rsidP="00854F36">
      <w:pPr>
        <w:rPr>
          <w:szCs w:val="16"/>
        </w:rPr>
      </w:pPr>
      <w:r w:rsidRPr="008D3969">
        <w:rPr>
          <w:szCs w:val="16"/>
        </w:rPr>
        <w:t xml:space="preserve"> (pg. 3-9)</w:t>
      </w:r>
    </w:p>
    <w:p w:rsidR="00854F36" w:rsidRPr="008D3969" w:rsidRDefault="00854F36" w:rsidP="00854F36">
      <w:pPr>
        <w:shd w:val="clear" w:color="auto" w:fill="FFFFFF"/>
        <w:rPr>
          <w:rFonts w:ascii="Times" w:eastAsia="Times New Roman" w:hAnsi="Times"/>
        </w:rPr>
      </w:pPr>
      <w:r w:rsidRPr="00E00231">
        <w:rPr>
          <w:rFonts w:ascii="Times" w:eastAsia="Times New Roman" w:hAnsi="Times"/>
          <w:highlight w:val="yellow"/>
          <w:u w:val="single"/>
        </w:rPr>
        <w:t>Powell first analyzed the Court's precedents concerning classifications of wealth</w:t>
      </w:r>
      <w:r w:rsidRPr="008D3969">
        <w:rPr>
          <w:rFonts w:ascii="Times" w:eastAsia="Times New Roman" w:hAnsi="Times"/>
        </w:rPr>
        <w:t xml:space="preserve"> and determined that </w:t>
      </w:r>
      <w:r w:rsidRPr="00E00231">
        <w:rPr>
          <w:rFonts w:ascii="Times" w:eastAsia="Times New Roman" w:hAnsi="Times"/>
          <w:highlight w:val="yellow"/>
          <w:u w:val="single"/>
        </w:rPr>
        <w:t>a recognized equal protection violation occurs only when poverty causes an absolute deprivation n48 of a state benefit.</w:t>
      </w:r>
      <w:r w:rsidRPr="008D3969">
        <w:rPr>
          <w:rFonts w:ascii="Times" w:eastAsia="Times New Roman" w:hAnsi="Times"/>
        </w:rPr>
        <w:t xml:space="preserve"> He concluded that </w:t>
      </w:r>
      <w:r w:rsidRPr="00E00231">
        <w:rPr>
          <w:rFonts w:ascii="Times" w:eastAsia="Times New Roman" w:hAnsi="Times"/>
          <w:highlight w:val="yellow"/>
          <w:u w:val="single"/>
        </w:rPr>
        <w:t>the most impoverished families may or may not reside in the districts with the lowest property values.</w:t>
      </w:r>
      <w:r w:rsidRPr="008D3969">
        <w:rPr>
          <w:rFonts w:ascii="Times" w:eastAsia="Times New Roman" w:hAnsi="Times"/>
        </w:rPr>
        <w:t xml:space="preserve"> n49 </w:t>
      </w:r>
      <w:r w:rsidRPr="00E00231">
        <w:rPr>
          <w:rFonts w:ascii="Times" w:eastAsia="Times New Roman" w:hAnsi="Times"/>
          <w:highlight w:val="yellow"/>
          <w:u w:val="single"/>
        </w:rPr>
        <w:t>A total denial of public education was something of great concern</w:t>
      </w:r>
      <w:r w:rsidRPr="008D3969">
        <w:rPr>
          <w:rFonts w:ascii="Times" w:eastAsia="Times New Roman" w:hAnsi="Times"/>
        </w:rPr>
        <w:t xml:space="preserve"> to Justice Powell. In the absence of such denial, </w:t>
      </w:r>
      <w:r w:rsidRPr="00E00231">
        <w:rPr>
          <w:rFonts w:ascii="Times" w:eastAsia="Times New Roman" w:hAnsi="Times"/>
          <w:highlight w:val="yellow"/>
          <w:u w:val="single"/>
        </w:rPr>
        <w:t>however</w:t>
      </w:r>
      <w:r w:rsidRPr="008D3969">
        <w:rPr>
          <w:rFonts w:ascii="Times" w:eastAsia="Times New Roman" w:hAnsi="Times"/>
        </w:rPr>
        <w:t xml:space="preserve">, Justice </w:t>
      </w:r>
      <w:r w:rsidRPr="00E00231">
        <w:rPr>
          <w:rFonts w:ascii="Times" w:eastAsia="Times New Roman" w:hAnsi="Times"/>
          <w:highlight w:val="yellow"/>
          <w:u w:val="single"/>
        </w:rPr>
        <w:t>Powell could find no equal protection violation in Rodriguez under a suspect class analysis.</w:t>
      </w:r>
      <w:r w:rsidRPr="008D3969">
        <w:rPr>
          <w:rFonts w:ascii="Times" w:eastAsia="Times New Roman" w:hAnsi="Times"/>
        </w:rPr>
        <w:t xml:space="preserve"> n50 [*689] </w:t>
      </w:r>
      <w:r w:rsidRPr="00E00231">
        <w:rPr>
          <w:rFonts w:ascii="Times" w:eastAsia="Times New Roman" w:hAnsi="Times"/>
          <w:highlight w:val="yellow"/>
          <w:u w:val="single"/>
        </w:rPr>
        <w:t>Similar concerns led Justice Powell to hold that education is not a fundamental right, and even if it were, that the Texas funding scheme would not infringe upon it.</w:t>
      </w:r>
      <w:r w:rsidRPr="008D3969">
        <w:rPr>
          <w:rFonts w:ascii="Times" w:eastAsia="Times New Roman" w:hAnsi="Times"/>
        </w:rPr>
        <w:t xml:space="preserve"> </w:t>
      </w:r>
    </w:p>
    <w:p w:rsidR="00854F36" w:rsidRPr="00E00231" w:rsidRDefault="00854F36" w:rsidP="00854F36">
      <w:pPr>
        <w:pStyle w:val="Heading4"/>
        <w:rPr>
          <w:rStyle w:val="Style13ptBold"/>
          <w:b/>
        </w:rPr>
      </w:pPr>
      <w:r w:rsidRPr="00E00231">
        <w:rPr>
          <w:rStyle w:val="Style13ptBold"/>
          <w:b/>
        </w:rPr>
        <w:t>There are three main arguments to take into consideration</w:t>
      </w:r>
    </w:p>
    <w:p w:rsidR="00854F36" w:rsidRPr="008D3969" w:rsidRDefault="00854F36" w:rsidP="00854F36">
      <w:pPr>
        <w:rPr>
          <w:szCs w:val="16"/>
        </w:rPr>
      </w:pPr>
      <w:r w:rsidRPr="008D3969">
        <w:rPr>
          <w:szCs w:val="16"/>
        </w:rPr>
        <w:t xml:space="preserve">V. </w:t>
      </w:r>
      <w:r w:rsidRPr="008D3969">
        <w:rPr>
          <w:rStyle w:val="Style13ptBold"/>
        </w:rPr>
        <w:t>Todd, 2001</w:t>
      </w:r>
      <w:r w:rsidRPr="008D3969">
        <w:rPr>
          <w:szCs w:val="16"/>
        </w:rPr>
        <w:t>, professor of law, “The Honorable Lewis Powell, Jr.”, LexisNexis 29 Fordham Urb. L.J. 683</w:t>
      </w:r>
    </w:p>
    <w:p w:rsidR="00854F36" w:rsidRPr="008D3969" w:rsidRDefault="00854F36" w:rsidP="00854F36">
      <w:pPr>
        <w:rPr>
          <w:szCs w:val="16"/>
        </w:rPr>
      </w:pPr>
      <w:r w:rsidRPr="008D3969">
        <w:rPr>
          <w:szCs w:val="16"/>
        </w:rPr>
        <w:t xml:space="preserve"> (pg. 3-9)</w:t>
      </w:r>
    </w:p>
    <w:p w:rsidR="00854F36" w:rsidRPr="008D3969" w:rsidRDefault="00854F36" w:rsidP="00854F36">
      <w:pPr>
        <w:shd w:val="clear" w:color="auto" w:fill="FFFFFF"/>
        <w:rPr>
          <w:rFonts w:ascii="Times" w:eastAsia="Times New Roman" w:hAnsi="Times"/>
        </w:rPr>
      </w:pPr>
      <w:r w:rsidRPr="00965F53">
        <w:rPr>
          <w:rFonts w:ascii="Times" w:eastAsia="Times New Roman" w:hAnsi="Times"/>
          <w:highlight w:val="yellow"/>
          <w:u w:val="single"/>
        </w:rPr>
        <w:t>Justice Powell understood the profound implications of the case he was ruling upon</w:t>
      </w:r>
      <w:r w:rsidRPr="00965F53">
        <w:rPr>
          <w:rFonts w:ascii="Times" w:eastAsia="Times New Roman" w:hAnsi="Times"/>
          <w:u w:val="single"/>
        </w:rPr>
        <w:t>.</w:t>
      </w:r>
      <w:r w:rsidRPr="008D3969">
        <w:rPr>
          <w:rFonts w:ascii="Times" w:eastAsia="Times New Roman" w:hAnsi="Times"/>
        </w:rPr>
        <w:t xml:space="preserve"> Early in the opinion he referred to "the far- [*688] reaching constitutional questions presented." n43 At the end of the case, he cautioned "the constitutional judgment reached by the District Court and approved by our dissenting Brothers today would occasion in Texas and elsewhere an unprecedented upheaval in public education." </w:t>
      </w:r>
      <w:r w:rsidRPr="00965F53">
        <w:rPr>
          <w:rFonts w:ascii="Times" w:eastAsia="Times New Roman" w:hAnsi="Times"/>
          <w:highlight w:val="yellow"/>
          <w:u w:val="single"/>
        </w:rPr>
        <w:t>Thus from the outset, Justice Powell in Rodriguez was concerned with local stability, the same principles that apparently guided him in his stewardship of the Richmond school board during desegregation. n45 Justice Powell was also aware of the potential financial impact of the case and questioned whether any real improvement in education would result. n46 As a member of both local and state school boards, n47 Powell surely would have known of the difficulties in persuading a state legislature to enlarge state funding for any local activity.</w:t>
      </w:r>
      <w:r>
        <w:rPr>
          <w:rFonts w:ascii="Times" w:eastAsia="Times New Roman" w:hAnsi="Times"/>
          <w:u w:val="single"/>
        </w:rPr>
        <w:t xml:space="preserve"> </w:t>
      </w:r>
      <w:r w:rsidRPr="008D3969">
        <w:rPr>
          <w:rFonts w:ascii="Times" w:eastAsia="Times New Roman" w:hAnsi="Times"/>
        </w:rPr>
        <w:t xml:space="preserve">The </w:t>
      </w:r>
      <w:r w:rsidRPr="00965F53">
        <w:rPr>
          <w:rFonts w:ascii="Times" w:eastAsia="Times New Roman" w:hAnsi="Times"/>
          <w:highlight w:val="yellow"/>
          <w:u w:val="single"/>
        </w:rPr>
        <w:t>bulk of the Rodriguez opinion is spent on three main arguments: that wealth is not a suspect class; that education is not a fundamental right; and that federal courts should not interfere with important state policy decisions.</w:t>
      </w:r>
      <w:r w:rsidRPr="008D3969">
        <w:rPr>
          <w:rFonts w:ascii="Times" w:eastAsia="Times New Roman" w:hAnsi="Times"/>
        </w:rPr>
        <w:t xml:space="preserve"> Each of these premises seems informed by Justice Powell's experience in the education realm.</w:t>
      </w:r>
    </w:p>
    <w:p w:rsidR="00854F36" w:rsidRDefault="00854F36" w:rsidP="00854F36">
      <w:pPr>
        <w:rPr>
          <w:sz w:val="32"/>
          <w:szCs w:val="32"/>
        </w:rPr>
      </w:pPr>
    </w:p>
    <w:p w:rsidR="00854F36" w:rsidRDefault="00854F36" w:rsidP="00854F36">
      <w:pPr>
        <w:pStyle w:val="Heading3"/>
      </w:pPr>
      <w:r>
        <w:t xml:space="preserve">AT: Ruralism </w:t>
      </w:r>
    </w:p>
    <w:p w:rsidR="00854F36" w:rsidRDefault="00854F36" w:rsidP="00854F36">
      <w:pPr>
        <w:pStyle w:val="Heading4"/>
      </w:pPr>
      <w:r>
        <w:t xml:space="preserve">Even when districts when suits for equitable funding, they end up being closed and consolidated </w:t>
      </w:r>
    </w:p>
    <w:p w:rsidR="00854F36" w:rsidRPr="0075342D" w:rsidRDefault="00854F36" w:rsidP="00854F36">
      <w:pPr>
        <w:rPr>
          <w:szCs w:val="16"/>
        </w:rPr>
      </w:pPr>
      <w:r w:rsidRPr="0075342D">
        <w:rPr>
          <w:szCs w:val="16"/>
        </w:rPr>
        <w:t xml:space="preserve">Tim </w:t>
      </w:r>
      <w:r w:rsidRPr="0075342D">
        <w:rPr>
          <w:rStyle w:val="Style13ptBold"/>
        </w:rPr>
        <w:t>Weldon</w:t>
      </w:r>
      <w:r w:rsidRPr="0075342D">
        <w:rPr>
          <w:szCs w:val="16"/>
        </w:rPr>
        <w:t xml:space="preserve">, CSG Education Policy Analyst Leveling the Playing Field: Rural schools making strides in fight for funding equity April </w:t>
      </w:r>
      <w:r w:rsidRPr="0075342D">
        <w:rPr>
          <w:rStyle w:val="Style13ptBold"/>
        </w:rPr>
        <w:t xml:space="preserve">2011 </w:t>
      </w:r>
      <w:r w:rsidRPr="0075342D">
        <w:rPr>
          <w:szCs w:val="16"/>
        </w:rPr>
        <w:t xml:space="preserve">CAPITOL research The Council of State governments </w:t>
      </w:r>
      <w:hyperlink r:id="rId10" w:history="1">
        <w:r w:rsidRPr="0075342D">
          <w:rPr>
            <w:rStyle w:val="Hyperlink"/>
            <w:szCs w:val="16"/>
          </w:rPr>
          <w:t>http://knowledgecenter.csg.org/kc/system/files/Leveling_the_Playing_Field_0.pdf</w:t>
        </w:r>
      </w:hyperlink>
      <w:r w:rsidRPr="0075342D">
        <w:rPr>
          <w:szCs w:val="16"/>
        </w:rPr>
        <w:t xml:space="preserve"> (da-6/28/17)</w:t>
      </w:r>
    </w:p>
    <w:p w:rsidR="00854F36" w:rsidRPr="00A10FEE" w:rsidRDefault="00854F36" w:rsidP="00854F36">
      <w:pPr>
        <w:rPr>
          <w:rStyle w:val="StyleUnderline"/>
        </w:rPr>
      </w:pPr>
      <w:r w:rsidRPr="00A10FEE">
        <w:t xml:space="preserve">Imagine attending school in a small, rural district with fewer than 200 students. It has one uncertified mathematics teacher who teaches all high school math courses. There are not enough calculators for the trigonometry class, too few electrical outlets in the classroom, no compasses, one chalkboard, one computer without any software and a broken printer, an inadequate supply of paper and an overworked duplicating machine. The basketball team does not have a complete set of uniforms; the band has no uniforms at all. The remediation rate for graduates entering postsecondary education is 100 percent. Less than a decade ago, the Arkansas Supreme Court used these precise terms to describe the Lake View School District in Phillips County, Ark.1 In the early 1990s, </w:t>
      </w:r>
      <w:r w:rsidRPr="00A10FEE">
        <w:rPr>
          <w:rStyle w:val="StyleUnderline"/>
        </w:rPr>
        <w:t>the Lake View District had sued the state over Arkansas’ funding system, claiming it was unconstitutional for failing to provide students in the Lake View District with an adequate education. In Lake View v. Huckabee (2002), the Arkansas Supreme Court agreed state funding for the Lake View District and other districts like it was inequitable and inadequate. In its opinion, the court described several other school districts in rural Arkansas in similar dire straits.</w:t>
      </w:r>
      <w:r w:rsidRPr="00A10FEE">
        <w:t xml:space="preserve"> The opinion noted Lee County schools had no Advanced Placement courses, little or no science lab equipment, buildings in need of repair, buses that didn’t meet state standards and only 30 computers for 600 students. In addition, it said, some buildings had asbestos problems and little or no heating or air conditioning. </w:t>
      </w:r>
      <w:r w:rsidRPr="00A10FEE">
        <w:rPr>
          <w:rStyle w:val="StyleUnderline"/>
        </w:rPr>
        <w:t>Lake View v. Huckabee led Arkansas to dramatically change its school funding formula. The victory, however, was short-lived for the Lake View District. The Arkansas legislature responded with a bill that required all school districts with fewer than 350 students, including Lake View, to consolidate with another district. Consequently, although Lake View won its fight for a bigger share of state funding, it vanished as a school district.</w:t>
      </w:r>
    </w:p>
    <w:p w:rsidR="00854F36" w:rsidRDefault="00854F36" w:rsidP="00854F36">
      <w:pPr>
        <w:rPr>
          <w:rFonts w:eastAsia="Century Gothic" w:cstheme="majorBidi"/>
          <w:b/>
          <w:iCs/>
        </w:rPr>
      </w:pPr>
      <w:r>
        <w:rPr>
          <w:rFonts w:eastAsia="Century Gothic"/>
        </w:rPr>
        <w:br w:type="page"/>
      </w:r>
    </w:p>
    <w:p w:rsidR="00854F36" w:rsidRDefault="00854F36" w:rsidP="00854F36">
      <w:pPr>
        <w:pStyle w:val="Heading4"/>
        <w:rPr>
          <w:rFonts w:eastAsia="Century Gothic"/>
        </w:rPr>
      </w:pPr>
      <w:r>
        <w:rPr>
          <w:rFonts w:eastAsia="Century Gothic"/>
        </w:rPr>
        <w:t xml:space="preserve">Federal policy fails rural areas, it doesn’t focus on what it necessary </w:t>
      </w:r>
    </w:p>
    <w:p w:rsidR="00854F36" w:rsidRPr="003F04B9" w:rsidRDefault="00854F36" w:rsidP="00854F36">
      <w:pPr>
        <w:rPr>
          <w:rFonts w:ascii="Century Gothic" w:eastAsia="Century Gothic" w:hAnsi="Century Gothic" w:cs="Century Gothic"/>
        </w:rPr>
      </w:pPr>
      <w:r>
        <w:rPr>
          <w:rFonts w:ascii="Century Gothic" w:eastAsia="Century Gothic" w:hAnsi="Century Gothic" w:cs="Century Gothic"/>
        </w:rPr>
        <w:t>Debra Lyn</w:t>
      </w:r>
      <w:r w:rsidRPr="00E93586">
        <w:rPr>
          <w:rStyle w:val="Style13ptBold"/>
        </w:rPr>
        <w:t xml:space="preserve"> Bassett</w:t>
      </w:r>
      <w:r>
        <w:rPr>
          <w:rFonts w:ascii="Century Gothic" w:eastAsia="Century Gothic" w:hAnsi="Century Gothic" w:cs="Century Gothic"/>
        </w:rPr>
        <w:t xml:space="preserve"> </w:t>
      </w:r>
      <w:r w:rsidRPr="003F04B9">
        <w:rPr>
          <w:rFonts w:ascii="Century Gothic" w:eastAsia="Century Gothic" w:hAnsi="Century Gothic" w:cs="Century Gothic"/>
        </w:rPr>
        <w:t xml:space="preserve">Georgetown </w:t>
      </w:r>
      <w:r>
        <w:rPr>
          <w:rFonts w:ascii="Century Gothic" w:eastAsia="Century Gothic" w:hAnsi="Century Gothic" w:cs="Century Gothic"/>
        </w:rPr>
        <w:t xml:space="preserve">Journal on Poverty Law &amp; Policy Spring, </w:t>
      </w:r>
      <w:r w:rsidRPr="00E93586">
        <w:rPr>
          <w:rStyle w:val="Style13ptBold"/>
        </w:rPr>
        <w:t xml:space="preserve">2006 </w:t>
      </w:r>
      <w:r>
        <w:rPr>
          <w:rFonts w:ascii="Century Gothic" w:eastAsia="Century Gothic" w:hAnsi="Century Gothic" w:cs="Century Gothic"/>
        </w:rPr>
        <w:t xml:space="preserve">Geo. J. Poverty Law &amp; Pol'y 3 </w:t>
      </w:r>
      <w:r w:rsidRPr="003F04B9">
        <w:rPr>
          <w:rFonts w:ascii="Century Gothic" w:eastAsia="Century Gothic" w:hAnsi="Century Gothic" w:cs="Century Gothic"/>
        </w:rPr>
        <w:t>Distancing Rural Poverty* Visiting Professor of Law, University of California</w:t>
      </w:r>
      <w:r>
        <w:rPr>
          <w:rFonts w:ascii="Century Gothic" w:eastAsia="Century Gothic" w:hAnsi="Century Gothic" w:cs="Century Gothic"/>
        </w:rPr>
        <w:t xml:space="preserve"> LexisNexis</w:t>
      </w:r>
    </w:p>
    <w:p w:rsidR="00854F36" w:rsidRPr="00954C23" w:rsidRDefault="00854F36" w:rsidP="00854F36">
      <w:pPr>
        <w:rPr>
          <w:rFonts w:ascii="Century Gothic" w:eastAsia="Century Gothic" w:hAnsi="Century Gothic" w:cs="Century Gothic"/>
        </w:rPr>
      </w:pPr>
      <w:r w:rsidRPr="00954C23">
        <w:rPr>
          <w:rFonts w:ascii="Century Gothic" w:eastAsia="Century Gothic" w:hAnsi="Century Gothic" w:cs="Century Gothic"/>
        </w:rPr>
        <w:t>Moreover</w:t>
      </w:r>
      <w:r w:rsidRPr="00CA391E">
        <w:rPr>
          <w:rStyle w:val="StyleUnderline"/>
        </w:rPr>
        <w:t xml:space="preserve">, the tremendous diversity of rural America means that policymakers must examine individually each pocket of persistent rural poverty rather than create a universal policy based on supposed national "norms." </w:t>
      </w:r>
      <w:hyperlink r:id="rId11" w:anchor="n145">
        <w:r w:rsidRPr="00CA391E">
          <w:rPr>
            <w:rStyle w:val="StyleUnderline"/>
          </w:rPr>
          <w:t>n145</w:t>
        </w:r>
      </w:hyperlink>
      <w:r w:rsidRPr="00CA391E">
        <w:rPr>
          <w:rStyle w:val="StyleUnderline"/>
        </w:rPr>
        <w:t xml:space="preserve"> When policy has focused on rural sectors, it has typically only focused on farming and agriculture, despite the fact that farm income represents only about 2% of total rural income and farm employment about 7% of rural employment. </w:t>
      </w:r>
      <w:hyperlink r:id="rId12" w:anchor="n146">
        <w:r w:rsidRPr="00CA391E">
          <w:rPr>
            <w:rStyle w:val="StyleUnderline"/>
          </w:rPr>
          <w:t>n146</w:t>
        </w:r>
      </w:hyperlink>
      <w:r w:rsidRPr="00CA391E">
        <w:rPr>
          <w:rStyle w:val="StyleUnderline"/>
        </w:rPr>
        <w:t xml:space="preserve"> The failure to acknowledge the diversity of rural America has contributed significantly to the failure of attempts to eradicate rural poverty</w:t>
      </w:r>
      <w:r w:rsidRPr="00954C23">
        <w:rPr>
          <w:rFonts w:ascii="Century Gothic" w:eastAsia="Century Gothic" w:hAnsi="Century Gothic" w:cs="Century Gothic"/>
        </w:rPr>
        <w:t xml:space="preserve">. </w:t>
      </w:r>
      <w:hyperlink r:id="rId13" w:anchor="n147">
        <w:r w:rsidRPr="00954C23">
          <w:rPr>
            <w:rFonts w:ascii="Century Gothic" w:eastAsia="Century Gothic" w:hAnsi="Century Gothic" w:cs="Century Gothic"/>
            <w:color w:val="0000FF"/>
          </w:rPr>
          <w:t>n147</w:t>
        </w:r>
      </w:hyperlink>
      <w:r w:rsidRPr="00954C23">
        <w:rPr>
          <w:rFonts w:ascii="Century Gothic" w:eastAsia="Century Gothic" w:hAnsi="Century Gothic" w:cs="Century Gothic"/>
        </w:rPr>
        <w:t xml:space="preserve"> In light of the implications of place discussed in the foregoing sections of this article, the significance of place-based policies and programs, such as economic development policies focusing on rural enterprise and job-creation in isolated, poor rural areas, cannot be overstated. "Rural poverty has always been linked to the limited opportunity structure in rural communities . . . . There is too little work . . . . [P]oor rural areas lack stable employment, opportunities for mobility, diversity of social structure, and investment in community. Instead, these poor [*31] communities are becoming more isolated economically and socially." </w:t>
      </w:r>
      <w:hyperlink r:id="rId14" w:anchor="n148">
        <w:r w:rsidRPr="00954C23">
          <w:rPr>
            <w:rFonts w:ascii="Century Gothic" w:eastAsia="Century Gothic" w:hAnsi="Century Gothic" w:cs="Century Gothic"/>
            <w:color w:val="0000FF"/>
          </w:rPr>
          <w:t>n148</w:t>
        </w:r>
      </w:hyperlink>
      <w:r w:rsidRPr="00954C23">
        <w:rPr>
          <w:rFonts w:ascii="Century Gothic" w:eastAsia="Century Gothic" w:hAnsi="Century Gothic" w:cs="Century Gothic"/>
        </w:rPr>
        <w:t xml:space="preserve"> This is not to say that place-based policies and programs should be substituted across the board for existing person-based policies and programs, but simply that multiple strategies are likely necessary to address the varying structural causes of rural poverty. </w:t>
      </w:r>
      <w:hyperlink r:id="rId15" w:anchor="n149">
        <w:r w:rsidRPr="00954C23">
          <w:rPr>
            <w:rFonts w:ascii="Century Gothic" w:eastAsia="Century Gothic" w:hAnsi="Century Gothic" w:cs="Century Gothic"/>
            <w:color w:val="0000FF"/>
          </w:rPr>
          <w:t>n149</w:t>
        </w:r>
      </w:hyperlink>
      <w:r w:rsidRPr="00954C23">
        <w:rPr>
          <w:rFonts w:ascii="Century Gothic" w:eastAsia="Century Gothic" w:hAnsi="Century Gothic" w:cs="Century Gothic"/>
        </w:rPr>
        <w:t xml:space="preserve"> Similarly, to avoid the devolution of place-based poverty programs into mere political "pork," whereby lawmakers push for special projects benefiting only their home districts, </w:t>
      </w:r>
      <w:hyperlink r:id="rId16" w:anchor="n150">
        <w:r w:rsidRPr="00954C23">
          <w:rPr>
            <w:rFonts w:ascii="Century Gothic" w:eastAsia="Century Gothic" w:hAnsi="Century Gothic" w:cs="Century Gothic"/>
            <w:color w:val="0000FF"/>
          </w:rPr>
          <w:t>n150</w:t>
        </w:r>
      </w:hyperlink>
      <w:r w:rsidRPr="00954C23">
        <w:rPr>
          <w:rFonts w:ascii="Century Gothic" w:eastAsia="Century Gothic" w:hAnsi="Century Gothic" w:cs="Century Gothic"/>
        </w:rPr>
        <w:t xml:space="preserve"> place-based programs should satisfy three prerequisites. First, the programs should be restricted initially to persistent poverty counties. Second, the proposed programs should be founded on research and recommendations by recognized and respected rural sociology experts. Third, the </w:t>
      </w:r>
      <w:r w:rsidRPr="00954C23">
        <w:rPr>
          <w:rStyle w:val="StyleUnderline"/>
        </w:rPr>
        <w:t>proposed programs should address both jobs and supporting infrastructure, such as transportation and child care services. In other words, in recognition of the wide diversity of rural areas and their needs, programs should use multiple methods. In particular, some promising recent sociological research on rural poverty has specifically concluded that persistent poverty counties "are not hopeless poverty traps</w:t>
      </w:r>
      <w:r w:rsidRPr="00954C23">
        <w:rPr>
          <w:rFonts w:ascii="Century Gothic" w:eastAsia="Century Gothic" w:hAnsi="Century Gothic" w:cs="Century Gothic"/>
        </w:rPr>
        <w:t xml:space="preserve"> . . . their deprivation can be reduced with more economic opportunities. Thus, place-based economic development policies should be considered as another poverty-fighting tool in conjunction with person-based policies in the most challenging regions." </w:t>
      </w:r>
      <w:hyperlink r:id="rId17" w:anchor="n151">
        <w:r w:rsidRPr="00954C23">
          <w:rPr>
            <w:rFonts w:ascii="Century Gothic" w:eastAsia="Century Gothic" w:hAnsi="Century Gothic" w:cs="Century Gothic"/>
            <w:color w:val="0000FF"/>
          </w:rPr>
          <w:t>n151</w:t>
        </w:r>
      </w:hyperlink>
      <w:r w:rsidRPr="00954C23">
        <w:rPr>
          <w:rFonts w:ascii="Century Gothic" w:eastAsia="Century Gothic" w:hAnsi="Century Gothic" w:cs="Century Gothic"/>
        </w:rPr>
        <w:t xml:space="preserve"> Place is a powerful construct that plays an important role in how we identify ourselves, how we relate to others, what opportunities are available to us, and how we live. Hurricane Katrina has provided an opportunity for lawmakers, policymakers, and the public at large to reject the pervasive view that poverty is solely an individual problem in which the poor deserve their lot and instead to recognize the broader structural considerations that result in persistent poverty. </w:t>
      </w:r>
      <w:hyperlink r:id="rId18" w:anchor="n152">
        <w:r w:rsidRPr="00954C23">
          <w:rPr>
            <w:rFonts w:ascii="Century Gothic" w:eastAsia="Century Gothic" w:hAnsi="Century Gothic" w:cs="Century Gothic"/>
            <w:color w:val="0000FF"/>
          </w:rPr>
          <w:t>n152</w:t>
        </w:r>
      </w:hyperlink>
      <w:r w:rsidRPr="00954C23">
        <w:rPr>
          <w:rFonts w:ascii="Century Gothic" w:eastAsia="Century Gothic" w:hAnsi="Century Gothic" w:cs="Century Gothic"/>
        </w:rPr>
        <w:t xml:space="preserve"> </w:t>
      </w:r>
      <w:r w:rsidRPr="00954C23">
        <w:rPr>
          <w:rStyle w:val="StyleUnderline"/>
        </w:rPr>
        <w:t>To ignore the significance of place is to ignore a real form of discrimination and will serve to relegate the rural poor perpetually to that status.</w:t>
      </w:r>
    </w:p>
    <w:p w:rsidR="00854F36" w:rsidRDefault="00854F36" w:rsidP="00854F36">
      <w:pPr>
        <w:pStyle w:val="Heading4"/>
      </w:pPr>
      <w:r>
        <w:t>Funding equity isn’t enough to help LGBTQ youth.</w:t>
      </w:r>
    </w:p>
    <w:p w:rsidR="00854F36" w:rsidRPr="002A73D6" w:rsidRDefault="00854F36" w:rsidP="00854F36">
      <w:pPr>
        <w:rPr>
          <w:szCs w:val="16"/>
        </w:rPr>
      </w:pPr>
      <w:r w:rsidRPr="002A73D6">
        <w:rPr>
          <w:rStyle w:val="Style13ptBold"/>
        </w:rPr>
        <w:t>Human Rights Watch,</w:t>
      </w:r>
      <w:r w:rsidRPr="002A73D6">
        <w:rPr>
          <w:szCs w:val="16"/>
        </w:rPr>
        <w:t xml:space="preserve"> 12-7-</w:t>
      </w:r>
      <w:r w:rsidRPr="002A73D6">
        <w:rPr>
          <w:rStyle w:val="Style13ptBold"/>
        </w:rPr>
        <w:t>2016</w:t>
      </w:r>
      <w:r w:rsidRPr="002A73D6">
        <w:rPr>
          <w:szCs w:val="16"/>
        </w:rPr>
        <w:t>, Human Rights Watch 12-7-2016, “Like Walking Through a Hailstorm”, https://www.hrw.org/report/2016/12/07/walking-through-hailstorm/discrimination-against-lgbt-youth-us-schools, 6-30-2017</w:t>
      </w:r>
    </w:p>
    <w:p w:rsidR="00854F36" w:rsidRPr="002A73D6" w:rsidRDefault="00854F36" w:rsidP="00854F36">
      <w:r w:rsidRPr="00D669E2">
        <w:rPr>
          <w:rStyle w:val="StyleUnderline"/>
        </w:rPr>
        <w:t>Comprehensive approaches are urgently needed to make school environments welcoming for LGBT students and staff, and to allow students to learn and socialize with peers without fearing exclusion, humiliation, or violence.</w:t>
      </w:r>
      <w:r w:rsidRPr="002A73D6">
        <w:t xml:space="preserve"> Above all: </w:t>
      </w:r>
      <w:r w:rsidRPr="002A73D6">
        <w:rPr>
          <w:rStyle w:val="StyleUnderline"/>
        </w:rPr>
        <w:t>States should repeal outdated and stigmatizing laws that deter and arguably prohibit discussion of LGBT issues in schools,</w:t>
      </w:r>
      <w:r w:rsidRPr="002A73D6">
        <w:t xml:space="preserve"> and enact laws protecting students and staff from bullying and discrimination based on sexual orientation and gender identity. </w:t>
      </w:r>
      <w:r w:rsidRPr="002A73D6">
        <w:rPr>
          <w:rStyle w:val="StyleUnderline"/>
        </w:rPr>
        <w:t>Schools should ensure that policies, curricula</w:t>
      </w:r>
      <w:r w:rsidRPr="002A73D6">
        <w:t xml:space="preserve">, and resources explicitly </w:t>
      </w:r>
      <w:r w:rsidRPr="002A73D6">
        <w:rPr>
          <w:rStyle w:val="StyleUnderline"/>
        </w:rPr>
        <w:t>include LGBT people</w:t>
      </w:r>
      <w:r w:rsidRPr="002A73D6">
        <w:t>, and that the school environment is responsive to the specific needs of LGBT youth. Teachers and administrators should work to make existing policies meaningful by enforcing protections and intervening when bullying or discrimination occurs.</w:t>
      </w:r>
    </w:p>
    <w:p w:rsidR="00854F36" w:rsidRPr="002713C2" w:rsidRDefault="00854F36" w:rsidP="00854F36">
      <w:pPr>
        <w:rPr>
          <w:rStyle w:val="Style13ptBold"/>
          <w:b w:val="0"/>
        </w:rPr>
      </w:pPr>
      <w:r>
        <w:rPr>
          <w:rStyle w:val="Style13ptBold"/>
          <w:b w:val="0"/>
        </w:rPr>
        <w:br w:type="page"/>
      </w:r>
      <w:r w:rsidRPr="002713C2">
        <w:rPr>
          <w:rStyle w:val="Style13ptBold"/>
        </w:rPr>
        <w:t>They have it backwards—education doesn’t effect ruralism, ruralism effects education</w:t>
      </w:r>
    </w:p>
    <w:p w:rsidR="00854F36" w:rsidRPr="00FC115B" w:rsidRDefault="00854F36" w:rsidP="00854F36">
      <w:pPr>
        <w:spacing w:line="240" w:lineRule="auto"/>
        <w:contextualSpacing/>
        <w:rPr>
          <w:szCs w:val="16"/>
        </w:rPr>
      </w:pPr>
      <w:r w:rsidRPr="00340718">
        <w:rPr>
          <w:rStyle w:val="Style13ptBold"/>
        </w:rPr>
        <w:t>Basset</w:t>
      </w:r>
      <w:r w:rsidRPr="00FC115B">
        <w:rPr>
          <w:rStyle w:val="Style13ptBold"/>
          <w:sz w:val="16"/>
          <w:szCs w:val="16"/>
        </w:rPr>
        <w:t xml:space="preserve"> </w:t>
      </w:r>
      <w:r w:rsidRPr="00FC115B">
        <w:rPr>
          <w:rFonts w:ascii="Arial" w:hAnsi="Arial" w:cs="Arial"/>
          <w:color w:val="000000"/>
          <w:szCs w:val="16"/>
          <w:shd w:val="clear" w:color="auto" w:fill="FFFFFF"/>
        </w:rPr>
        <w:t>Debra Lyn Bassett, Associate Professor of Law Michigan State University-DGL College of law. J.D</w:t>
      </w:r>
      <w:r>
        <w:rPr>
          <w:rFonts w:ascii="Arial" w:hAnsi="Arial" w:cs="Arial"/>
          <w:color w:val="000000"/>
          <w:sz w:val="20"/>
          <w:szCs w:val="20"/>
          <w:shd w:val="clear" w:color="auto" w:fill="FFFFFF"/>
        </w:rPr>
        <w:t xml:space="preserve">. </w:t>
      </w:r>
      <w:r w:rsidRPr="00340718">
        <w:rPr>
          <w:rStyle w:val="Style13ptBold"/>
        </w:rPr>
        <w:t>1987</w:t>
      </w:r>
      <w:r w:rsidRPr="00FC115B">
        <w:rPr>
          <w:rStyle w:val="Style13ptBold"/>
          <w:sz w:val="16"/>
          <w:szCs w:val="16"/>
        </w:rPr>
        <w:t>,</w:t>
      </w:r>
      <w:r w:rsidRPr="00FC115B">
        <w:rPr>
          <w:rFonts w:ascii="Arial" w:hAnsi="Arial" w:cs="Arial"/>
          <w:color w:val="000000"/>
          <w:szCs w:val="16"/>
          <w:shd w:val="clear" w:color="auto" w:fill="FFFFFF"/>
        </w:rPr>
        <w:t xml:space="preserve"> UC Davis School of Law; M.S. 1982, San Diego Stale Universiry: B.A. 1977. University of Vermont. “Ruralism,” Originally published in IOWA LAW REVIEW 88 IOWA L. REV. 273 (2003)</w:t>
      </w:r>
    </w:p>
    <w:p w:rsidR="00854F36" w:rsidRPr="00FC115B" w:rsidRDefault="00854F36" w:rsidP="00854F36">
      <w:pPr>
        <w:spacing w:line="240" w:lineRule="auto"/>
        <w:contextualSpacing/>
      </w:pPr>
      <w:r w:rsidRPr="00FC115B">
        <w:t>1. Ruralism and Education</w:t>
      </w:r>
      <w:r w:rsidRPr="00FC115B">
        <w:rPr>
          <w:rFonts w:ascii="MS Gothic" w:hAnsi="MS Gothic" w:cs="MS Gothic"/>
        </w:rPr>
        <w:t> </w:t>
      </w:r>
      <w:r w:rsidRPr="00FC115B">
        <w:t xml:space="preserve"> </w:t>
      </w:r>
      <w:r w:rsidRPr="00FC115B">
        <w:rPr>
          <w:rStyle w:val="StyleUnderline"/>
          <w:rFonts w:ascii="MS Gothic" w:hAnsi="MS Gothic" w:cs="MS Gothic"/>
        </w:rPr>
        <w:t> </w:t>
      </w:r>
      <w:r w:rsidRPr="00FC115B">
        <w:rPr>
          <w:rStyle w:val="StyleUnderline"/>
        </w:rPr>
        <w:t xml:space="preserve">Ruralism impacts education in several ways. One prominent impact stems, of course, from rural poverty. </w:t>
      </w:r>
      <w:hyperlink r:id="rId19" w:anchor="n157" w:history="1">
        <w:r w:rsidRPr="00FC115B">
          <w:rPr>
            <w:rStyle w:val="StyleUnderline"/>
          </w:rPr>
          <w:t>n157</w:t>
        </w:r>
      </w:hyperlink>
      <w:r w:rsidRPr="00FC115B">
        <w:rPr>
          <w:rStyle w:val="StyleUnderline"/>
        </w:rPr>
        <w:t xml:space="preserve"> Indeed, it can be tempting to blame [*307] poverty for all problems in rural education. However, although poverty is certainly a contributing factor, it does not provide a full explanation. If poverty alone rendered schools inadequate, all "quality" schools would be schools with strong financial resources - yet this is not the case.</w:t>
      </w:r>
      <w:r w:rsidRPr="00FC115B">
        <w:t xml:space="preserve"> For example, of the 264 schools selected as "Blue Ribbon Schools" in 2001, only five percent were rural schools, rendering rural schools grossly underrepresented in proportion to their numbers - yet forty-six percent of those schools selected as "Blue Ribbon Schools" were low-income schools. </w:t>
      </w:r>
      <w:hyperlink r:id="rId20" w:anchor="n158" w:history="1">
        <w:r w:rsidRPr="00FC115B">
          <w:rPr>
            <w:rStyle w:val="Hyperlink"/>
          </w:rPr>
          <w:t>n158</w:t>
        </w:r>
      </w:hyperlink>
      <w:r w:rsidRPr="00FC115B">
        <w:t xml:space="preserve"> </w:t>
      </w:r>
      <w:r w:rsidRPr="00FC115B">
        <w:rPr>
          <w:rStyle w:val="StyleUnderline"/>
        </w:rPr>
        <w:t>The indirect impact of rural poverty upon rural education is overshadowed by the direct impact that results from how rural education is funded - and it is in this area that ruralism plays a central role. Most states rely on local property taxes as the source of funding for education. But using local property taxes as the sole educational funding source will inherently and necessarily discriminate against rural areas, which have a lower tax base due to fewer residences and commercial properties. Adding to this problem, most school funding formulas are based on average daily enrollment.</w:t>
      </w:r>
      <w:r w:rsidRPr="00FC115B">
        <w:t xml:space="preserve"> </w:t>
      </w:r>
      <w:hyperlink r:id="rId21" w:anchor="n159" w:history="1">
        <w:r w:rsidRPr="00FC115B">
          <w:rPr>
            <w:rStyle w:val="StyleUnderline"/>
          </w:rPr>
          <w:t>n159</w:t>
        </w:r>
      </w:hyperlink>
      <w:r w:rsidRPr="00FC115B">
        <w:rPr>
          <w:rStyle w:val="StyleUnderline"/>
        </w:rPr>
        <w:t xml:space="preserve"> Rural schools, which by definition enroll fewer students, have little choice but to cut programs and staff, or alternatively, to consolidate with one or more other schools</w:t>
      </w:r>
      <w:r w:rsidRPr="00FC115B">
        <w:t xml:space="preserve">. </w:t>
      </w:r>
      <w:hyperlink r:id="rId22" w:anchor="n160" w:history="1">
        <w:r w:rsidRPr="00FC115B">
          <w:rPr>
            <w:rStyle w:val="Hyperlink"/>
          </w:rPr>
          <w:t>n160</w:t>
        </w:r>
      </w:hyperlink>
      <w:r w:rsidRPr="00FC115B">
        <w:t xml:space="preserve"> Thus, </w:t>
      </w:r>
      <w:r w:rsidRPr="00FC115B">
        <w:rPr>
          <w:rStyle w:val="StyleUnderline"/>
        </w:rPr>
        <w:t>the common methods for funding public education inherently benefit urban schools and discriminate against rural schools. The combination of rural poverty and the reduced tax base in rural areas results in a double whammy against rural education. Moreover, rural schools tend to be modeled after urban schools</w:t>
      </w:r>
      <w:r w:rsidRPr="00FC115B">
        <w:t xml:space="preserve">. </w:t>
      </w:r>
      <w:hyperlink r:id="rId23" w:anchor="n161" w:history="1">
        <w:r w:rsidRPr="00FC115B">
          <w:rPr>
            <w:rStyle w:val="Hyperlink"/>
          </w:rPr>
          <w:t>n161</w:t>
        </w:r>
      </w:hyperlink>
      <w:r w:rsidRPr="00FC115B">
        <w:t xml:space="preserve"> </w:t>
      </w:r>
      <w:r w:rsidRPr="00FC115B">
        <w:rPr>
          <w:rStyle w:val="StyleUnderline"/>
        </w:rPr>
        <w:t xml:space="preserve">This model dooms rural schools to inferiority, because rural schools typically are unable to provide the educational resources available in urban areas: </w:t>
      </w:r>
      <w:r w:rsidRPr="00FC115B">
        <w:rPr>
          <w:rStyle w:val="StyleUnderline"/>
          <w:rFonts w:ascii="MS Gothic" w:hAnsi="MS Gothic" w:cs="MS Gothic"/>
        </w:rPr>
        <w:t> </w:t>
      </w:r>
      <w:r w:rsidRPr="00FC115B">
        <w:rPr>
          <w:rStyle w:val="StyleUnderline"/>
        </w:rPr>
        <w:t xml:space="preserve"> </w:t>
      </w:r>
      <w:r w:rsidRPr="00FC115B">
        <w:rPr>
          <w:rStyle w:val="StyleUnderline"/>
          <w:rFonts w:ascii="MS Gothic" w:hAnsi="MS Gothic" w:cs="MS Gothic"/>
        </w:rPr>
        <w:t> </w:t>
      </w:r>
      <w:r w:rsidRPr="00FC115B">
        <w:rPr>
          <w:rStyle w:val="StyleUnderline"/>
        </w:rPr>
        <w:t>Schools in such rural locales often have difficulty providing educational resources equal to those offered by more affluent cities [*308] and towns. And communities surrounding such schools frequently lack active parents and community groups to support the goals of schooling.</w:t>
      </w:r>
      <w:r w:rsidRPr="00FC115B">
        <w:t xml:space="preserve"> The Children's Defense Fund (CDF) summarized a number of data-based studies related to rural children "at risk." The CDF argued that, compared with schools in much of metropolitan America, rural schools suffer from weaknesses that critically affect their students. For example, the CDF notes that most rural states have minimal cost-equalization formulas based on population density. This means that poor and rural districts must rely on local taxes to equalize expenditures, which leads to significant funding inequities. </w:t>
      </w:r>
      <w:r w:rsidRPr="00FC115B">
        <w:rPr>
          <w:rStyle w:val="StyleUnderline"/>
        </w:rPr>
        <w:t>These inequities typically translate into fewer mathematics and/or advanced placement courses in rural high schools, fewer programs for gifted and talented children, fewer alternative school programs, fewer programs for pregnant teenagers, and sometimes even the failure to provide transportation to and from school</w:t>
      </w:r>
      <w:r w:rsidRPr="00FC115B">
        <w:t xml:space="preserve">. </w:t>
      </w:r>
      <w:hyperlink r:id="rId24" w:anchor="n162" w:history="1">
        <w:r w:rsidRPr="00FC115B">
          <w:rPr>
            <w:rStyle w:val="Hyperlink"/>
          </w:rPr>
          <w:t>n162</w:t>
        </w:r>
      </w:hyperlink>
      <w:r w:rsidRPr="00FC115B">
        <w:rPr>
          <w:rFonts w:ascii="MS Gothic" w:hAnsi="MS Gothic" w:cs="MS Gothic"/>
        </w:rPr>
        <w:t> </w:t>
      </w:r>
      <w:r w:rsidRPr="00FC115B">
        <w:t xml:space="preserve"> </w:t>
      </w:r>
      <w:r w:rsidRPr="00FC115B">
        <w:rPr>
          <w:rStyle w:val="StyleUnderline"/>
          <w:rFonts w:ascii="MS Gothic" w:hAnsi="MS Gothic" w:cs="MS Gothic"/>
        </w:rPr>
        <w:t> </w:t>
      </w:r>
      <w:r w:rsidRPr="00FC115B">
        <w:rPr>
          <w:rStyle w:val="StyleUnderline"/>
        </w:rPr>
        <w:t xml:space="preserve">In addition to the impact of economic factors in rural education, small rural population bases tend to result in geographic and cultural isolation. </w:t>
      </w:r>
      <w:hyperlink r:id="rId25" w:anchor="n163" w:history="1">
        <w:r w:rsidRPr="00FC115B">
          <w:rPr>
            <w:rStyle w:val="StyleUnderline"/>
          </w:rPr>
          <w:t>n163</w:t>
        </w:r>
      </w:hyperlink>
      <w:r w:rsidRPr="00FC115B">
        <w:rPr>
          <w:rStyle w:val="StyleUnderline"/>
        </w:rPr>
        <w:t xml:space="preserve"> Rural teachers, principals, and administrators are paid less than those in urban areas, and rural areas often have greater difficulty recruiting teachers. </w:t>
      </w:r>
      <w:hyperlink r:id="rId26" w:anchor="n164" w:history="1">
        <w:r w:rsidRPr="00FC115B">
          <w:rPr>
            <w:rStyle w:val="StyleUnderline"/>
          </w:rPr>
          <w:t>n164</w:t>
        </w:r>
      </w:hyperlink>
      <w:r w:rsidRPr="00FC115B">
        <w:rPr>
          <w:rStyle w:val="StyleUnderline"/>
        </w:rPr>
        <w:t xml:space="preserve"> The geographical isolation inherent in the most remote rural locations results in professional isolation as well. In addition, due to decreased financial resources, teachers often are expected to teach outside of their areas of certification, </w:t>
      </w:r>
      <w:hyperlink r:id="rId27" w:anchor="n165" w:history="1">
        <w:r w:rsidRPr="00FC115B">
          <w:rPr>
            <w:rStyle w:val="StyleUnderline"/>
          </w:rPr>
          <w:t>n165</w:t>
        </w:r>
      </w:hyperlink>
      <w:r w:rsidRPr="00FC115B">
        <w:rPr>
          <w:rStyle w:val="StyleUnderline"/>
        </w:rPr>
        <w:t xml:space="preserve"> resulting in depleted human resources and, ultimately, substandard education.</w:t>
      </w:r>
    </w:p>
    <w:p w:rsidR="00854F36" w:rsidRDefault="00854F36" w:rsidP="00854F36">
      <w:pPr>
        <w:spacing w:line="240" w:lineRule="auto"/>
        <w:contextualSpacing/>
      </w:pPr>
    </w:p>
    <w:p w:rsidR="00854F36" w:rsidRDefault="00854F36" w:rsidP="00854F36">
      <w:pPr>
        <w:rPr>
          <w:rFonts w:eastAsiaTheme="majorEastAsia" w:cstheme="majorBidi"/>
          <w:b/>
          <w:iCs/>
        </w:rPr>
      </w:pPr>
      <w:r>
        <w:br w:type="page"/>
      </w:r>
    </w:p>
    <w:p w:rsidR="00854F36" w:rsidRDefault="00854F36" w:rsidP="00854F36">
      <w:pPr>
        <w:pStyle w:val="Heading3"/>
        <w:rPr>
          <w:rFonts w:eastAsia="Times New Roman"/>
        </w:rPr>
      </w:pPr>
      <w:r>
        <w:rPr>
          <w:rFonts w:eastAsia="Times New Roman"/>
        </w:rPr>
        <w:t>AT: Achievement Gap</w:t>
      </w:r>
    </w:p>
    <w:p w:rsidR="00854F36" w:rsidRDefault="00854F36" w:rsidP="00854F36">
      <w:pPr>
        <w:pStyle w:val="Heading4"/>
      </w:pPr>
      <w:r>
        <w:t>Alt cause - safety</w:t>
      </w:r>
    </w:p>
    <w:p w:rsidR="00854F36" w:rsidRDefault="00854F36" w:rsidP="00854F36">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Harvard Law Review, 130 Harv. L. Rev. 185, “FISHER'S CAUTIONARY TALE AND THE URGENT NEED FOR EQUAL ACCESS TO AN EXCELLENT EDUCATION” Lexis-Nexis (ermo/sms)</w:t>
      </w:r>
    </w:p>
    <w:p w:rsidR="00854F36" w:rsidRPr="00CD188A" w:rsidRDefault="00854F36" w:rsidP="00854F36">
      <w:r w:rsidRPr="002C62D5">
        <w:rPr>
          <w:rStyle w:val="StyleUnderline"/>
          <w:highlight w:val="yellow"/>
        </w:rPr>
        <w:t>Minority students</w:t>
      </w:r>
      <w:r w:rsidRPr="00CD188A">
        <w:t xml:space="preserve"> also </w:t>
      </w:r>
      <w:r w:rsidRPr="002C62D5">
        <w:rPr>
          <w:rStyle w:val="StyleUnderline"/>
          <w:highlight w:val="yellow"/>
        </w:rPr>
        <w:t>experience higher rates</w:t>
      </w:r>
      <w:r w:rsidRPr="00CD188A">
        <w:t xml:space="preserve"> of suspension and </w:t>
      </w:r>
      <w:r w:rsidRPr="002C62D5">
        <w:rPr>
          <w:rStyle w:val="StyleUnderline"/>
          <w:highlight w:val="yellow"/>
        </w:rPr>
        <w:t>expulsion, as well as more exposure to safety concerns in their schools</w:t>
      </w:r>
      <w:r w:rsidRPr="00CD188A">
        <w:t xml:space="preserve">, such as gangs and weapons. Although 42.8% of African American students and 21.9% of Hispanic students have been suspended, only 15.6% of white students have been suspended. n156 </w:t>
      </w:r>
      <w:r w:rsidRPr="002C62D5">
        <w:rPr>
          <w:rStyle w:val="StyleUnderline"/>
          <w:highlight w:val="yellow"/>
        </w:rPr>
        <w:t>Even though only 1% of white students have been expelled, 12.8% of African American students have been expelled</w:t>
      </w:r>
      <w:r w:rsidRPr="00CD188A">
        <w:t xml:space="preserve">. n157 African American and Hispanic students are more than twice as likely to attend a school where gangs are present, with 37.6% of African American and 36.1% of Hispanic students attending such schools compared to 16% of white students. n158 African American and Hispanic students are more likely to be threatened or injured with a weapon in school than white students are. n159 </w:t>
      </w:r>
      <w:r w:rsidRPr="002C62D5">
        <w:rPr>
          <w:rStyle w:val="StyleUnderline"/>
          <w:highlight w:val="yellow"/>
        </w:rPr>
        <w:t>These discipline and safety factors create more difficult learning environments</w:t>
      </w:r>
      <w:r w:rsidRPr="00CD188A">
        <w:t xml:space="preserve"> for many African American and Hispanic students in ways that can adversely influence their focus on academic achievement.</w:t>
      </w:r>
    </w:p>
    <w:p w:rsidR="00767FD2" w:rsidRDefault="00767FD2" w:rsidP="00767FD2">
      <w:pPr>
        <w:pStyle w:val="Heading4"/>
      </w:pPr>
      <w:r w:rsidRPr="00ED198B">
        <w:t xml:space="preserve">Family life limits AFF’s Solvency </w:t>
      </w:r>
    </w:p>
    <w:p w:rsidR="00767FD2" w:rsidRPr="004D7A76" w:rsidRDefault="00767FD2" w:rsidP="00767FD2">
      <w:pPr>
        <w:shd w:val="clear" w:color="auto" w:fill="FFFFFF"/>
        <w:rPr>
          <w:rStyle w:val="Emphasis"/>
        </w:rPr>
      </w:pPr>
      <w:r>
        <w:rPr>
          <w:sz w:val="18"/>
          <w:szCs w:val="18"/>
          <w:shd w:val="clear" w:color="auto" w:fill="FFFFFF"/>
        </w:rPr>
        <w:t xml:space="preserve">ANGELA MARIE </w:t>
      </w:r>
      <w:r w:rsidRPr="00AD7848">
        <w:t>SHIMEK</w:t>
      </w:r>
      <w:r>
        <w:rPr>
          <w:sz w:val="18"/>
          <w:szCs w:val="18"/>
          <w:shd w:val="clear" w:color="auto" w:fill="FFFFFF"/>
        </w:rPr>
        <w:t xml:space="preserve"> Spring, 20</w:t>
      </w:r>
      <w:r w:rsidRPr="00AD7848">
        <w:t>07</w:t>
      </w:r>
      <w:r>
        <w:rPr>
          <w:sz w:val="18"/>
          <w:szCs w:val="18"/>
          <w:shd w:val="clear" w:color="auto" w:fill="FFFFFF"/>
        </w:rPr>
        <w:t xml:space="preserve"> </w:t>
      </w:r>
      <w:r w:rsidRPr="00AD7848">
        <w:t>St. Mary's University School of Law</w:t>
      </w:r>
      <w:r w:rsidRPr="00D83DBC">
        <w:rPr>
          <w:rFonts w:ascii="Times New Roman" w:eastAsia="Times New Roman" w:hAnsi="Times New Roman" w:cs="Times New Roman"/>
          <w:sz w:val="18"/>
          <w:szCs w:val="18"/>
        </w:rPr>
        <w:t>, and Candidate for J.</w:t>
      </w:r>
      <w:r>
        <w:rPr>
          <w:rFonts w:ascii="Times New Roman" w:eastAsia="Times New Roman" w:hAnsi="Times New Roman" w:cs="Times New Roman"/>
          <w:sz w:val="18"/>
          <w:szCs w:val="18"/>
        </w:rPr>
        <w:t xml:space="preserve">D. </w:t>
      </w:r>
      <w:r w:rsidRPr="00D83DBC">
        <w:rPr>
          <w:rFonts w:ascii="Times New Roman" w:eastAsia="Times New Roman" w:hAnsi="Times New Roman" w:cs="Times New Roman"/>
          <w:sz w:val="18"/>
          <w:szCs w:val="18"/>
        </w:rPr>
        <w:t>The Scholar: St. Mary</w:t>
      </w:r>
      <w:r>
        <w:rPr>
          <w:rFonts w:ascii="Times New Roman" w:eastAsia="Times New Roman" w:hAnsi="Times New Roman" w:cs="Times New Roman"/>
          <w:sz w:val="18"/>
          <w:szCs w:val="18"/>
        </w:rPr>
        <w:t xml:space="preserve">'s Law Review on Minority Issue </w:t>
      </w:r>
      <w:r w:rsidRPr="00D83DBC">
        <w:rPr>
          <w:rFonts w:ascii="Times New Roman" w:eastAsia="Times New Roman" w:hAnsi="Times New Roman" w:cs="Times New Roman"/>
          <w:sz w:val="18"/>
          <w:szCs w:val="18"/>
        </w:rPr>
        <w:t>the Scholar</w:t>
      </w:r>
      <w:r>
        <w:rPr>
          <w:rFonts w:ascii="Times New Roman" w:eastAsia="Times New Roman" w:hAnsi="Times New Roman" w:cs="Times New Roman"/>
          <w:sz w:val="18"/>
          <w:szCs w:val="18"/>
        </w:rPr>
        <w:t xml:space="preserve"> journal:</w:t>
      </w:r>
      <w:r w:rsidRPr="00D83DBC">
        <w:rPr>
          <w:rFonts w:ascii="Times New Roman" w:eastAsia="Times New Roman" w:hAnsi="Times New Roman" w:cs="Times New Roman"/>
          <w:sz w:val="18"/>
          <w:szCs w:val="18"/>
        </w:rPr>
        <w:t xml:space="preserve"> St. Mary's Law Review on Minority Issues</w:t>
      </w:r>
      <w:r>
        <w:rPr>
          <w:rFonts w:ascii="Times New Roman" w:eastAsia="Times New Roman" w:hAnsi="Times New Roman" w:cs="Times New Roman"/>
          <w:sz w:val="18"/>
          <w:szCs w:val="18"/>
        </w:rPr>
        <w:t xml:space="preserve"> </w:t>
      </w:r>
      <w:r>
        <w:t>C</w:t>
      </w:r>
      <w:r>
        <w:rPr>
          <w:sz w:val="18"/>
          <w:szCs w:val="18"/>
          <w:shd w:val="clear" w:color="auto" w:fill="FFFFFF"/>
        </w:rPr>
        <w:t>OMMENT: THE ROAD NOT TAKEN: THE NEXT STEP FOR TEXAS EDUCATION FINANCE</w:t>
      </w:r>
    </w:p>
    <w:p w:rsidR="00767FD2" w:rsidRDefault="00767FD2" w:rsidP="00767FD2">
      <w:pPr>
        <w:shd w:val="clear" w:color="auto" w:fill="FFFFFF"/>
        <w:spacing w:after="0" w:line="240" w:lineRule="auto"/>
        <w:rPr>
          <w:rFonts w:ascii="Times New Roman" w:eastAsia="Times New Roman" w:hAnsi="Times New Roman" w:cs="Times New Roman"/>
          <w:sz w:val="14"/>
          <w:szCs w:val="14"/>
        </w:rPr>
      </w:pPr>
      <w:r w:rsidRPr="00ED198B">
        <w:rPr>
          <w:rStyle w:val="Emphasis"/>
          <w:highlight w:val="yellow"/>
        </w:rPr>
        <w:t>Not all inequities in the public school systems are the result of inadequate funding. There exist many external factors that are beyond the legislature's control.</w:t>
      </w:r>
      <w:r>
        <w:t xml:space="preserve"> “Many of the educational problems some children face stem from the conditions of poverty in which they live." n89 </w:t>
      </w:r>
      <w:r w:rsidRPr="00ED198B">
        <w:rPr>
          <w:rStyle w:val="Emphasis"/>
          <w:highlight w:val="yellow"/>
        </w:rPr>
        <w:t xml:space="preserve">Schools are not necessarily equipped to address the wide array of social and economic problems confronting today’s youth. If we want schools to address these problems, then we must increase their financial support, double the size of their facilities and their staff, and turn our public schools into real community centers, open from early morning to late evening, offering child care, medical [care], social welfare, and all the other support services families need </w:t>
      </w:r>
      <w:r w:rsidRPr="00ED198B">
        <w:t xml:space="preserve">[*548] </w:t>
      </w:r>
      <w:r w:rsidRPr="00ED198B">
        <w:rPr>
          <w:rStyle w:val="Emphasis"/>
          <w:highlight w:val="yellow"/>
        </w:rPr>
        <w:t>to ensure their children get the best possible opportunity for a quality education.</w:t>
      </w:r>
      <w:r>
        <w:t xml:space="preserve"> N90</w:t>
      </w:r>
      <w:r w:rsidRPr="00ED198B">
        <w:rPr>
          <w:rStyle w:val="Emphasis"/>
          <w:highlight w:val="yellow"/>
        </w:rPr>
        <w:t>Family environment may also inhibit a student's ability to achieve academically. While case law establishes that parents possess a duty to ensure their child receives proper education, n91 parents also maintain discretion, control, and the right to raise their children in the manner they believe most appropriate.</w:t>
      </w:r>
      <w:r>
        <w:t xml:space="preserve"> n92 "Children from families that value education and participate in their children's intellectual development through interaction with teachers, educational Page 79 SCHOLAR 531, *546 activities, and encouragement tend to reach higher levels of educational achievement." n93 "Children from families that are indifferent toward their children's educational development do not do well in school." n94 Additionally, some </w:t>
      </w:r>
      <w:r w:rsidRPr="00ED198B">
        <w:rPr>
          <w:rStyle w:val="StyleUnderline"/>
        </w:rPr>
        <w:t>parents find it difficult to participate in their children's educational development because they work many hours or several jobs. Some parents cannot afford decent meals or routine medical exams for their children, and thus, many students come to school hungry and tired, or have easily correctible vision problems or hearing defects</w:t>
      </w:r>
      <w:r>
        <w:t xml:space="preserve">. N95 </w:t>
      </w:r>
      <w:r w:rsidRPr="00ED198B">
        <w:rPr>
          <w:rStyle w:val="Emphasis"/>
          <w:highlight w:val="yellow"/>
        </w:rPr>
        <w:t>All of these factors interfere with a child's ability to achieve academically. Merely raising funding for schools will not alleviate these problems at home</w:t>
      </w:r>
      <w:r>
        <w:rPr>
          <w:rStyle w:val="Emphasis"/>
        </w:rPr>
        <w:t xml:space="preserve"> </w:t>
      </w:r>
      <w:r w:rsidRPr="007D477E">
        <w:rPr>
          <w:rStyle w:val="Emphasis"/>
          <w:highlight w:val="yellow"/>
        </w:rPr>
        <w:t>activities, and encouragement tend to reach higher levels of educational achievement.</w:t>
      </w:r>
      <w:r w:rsidRPr="00A851EB">
        <w:rPr>
          <w:rFonts w:ascii="Times New Roman" w:eastAsia="Times New Roman" w:hAnsi="Times New Roman" w:cs="Times New Roman"/>
          <w:sz w:val="14"/>
          <w:szCs w:val="14"/>
        </w:rPr>
        <w:t>" n93 "</w:t>
      </w:r>
      <w:r w:rsidRPr="007D477E">
        <w:rPr>
          <w:rStyle w:val="StyleUnderline"/>
        </w:rPr>
        <w:t>Children from families that are indifferent toward their children's educational development do not do well in school.</w:t>
      </w:r>
      <w:r w:rsidRPr="00A851EB">
        <w:rPr>
          <w:rFonts w:ascii="Times New Roman" w:eastAsia="Times New Roman" w:hAnsi="Times New Roman" w:cs="Times New Roman"/>
          <w:sz w:val="14"/>
          <w:szCs w:val="14"/>
        </w:rPr>
        <w:t xml:space="preserve">" n94 </w:t>
      </w:r>
      <w:r w:rsidRPr="007D477E">
        <w:rPr>
          <w:rStyle w:val="StyleUnderline"/>
        </w:rPr>
        <w:t>Additionally, some parents find it difficult to participate in their children's educational development because they work many hours or several jobs. Some parents cannot afford decent meals or routine medical exams for their children, and thus, many students come to school hungry and tired, or have easily correctible vision problems or hearing defects</w:t>
      </w:r>
      <w:r w:rsidRPr="00A851EB">
        <w:rPr>
          <w:rFonts w:ascii="Times New Roman" w:eastAsia="Times New Roman" w:hAnsi="Times New Roman" w:cs="Times New Roman"/>
          <w:sz w:val="14"/>
          <w:szCs w:val="14"/>
        </w:rPr>
        <w:t xml:space="preserve">. N95 </w:t>
      </w:r>
      <w:r w:rsidRPr="007D477E">
        <w:rPr>
          <w:rStyle w:val="StyleUnderline"/>
        </w:rPr>
        <w:t>All of these factors interfere with a child's ability to achieve academically</w:t>
      </w:r>
      <w:r w:rsidRPr="00A851EB">
        <w:rPr>
          <w:rFonts w:ascii="Times New Roman" w:eastAsia="Times New Roman" w:hAnsi="Times New Roman" w:cs="Times New Roman"/>
          <w:sz w:val="14"/>
          <w:szCs w:val="14"/>
        </w:rPr>
        <w:t xml:space="preserve">. </w:t>
      </w:r>
      <w:r w:rsidRPr="007D477E">
        <w:rPr>
          <w:rStyle w:val="Emphasis"/>
          <w:highlight w:val="yellow"/>
        </w:rPr>
        <w:t>Merely raising funding for schools will not alleviate these problems at home</w:t>
      </w:r>
      <w:r w:rsidRPr="00A851EB">
        <w:rPr>
          <w:rFonts w:ascii="Times New Roman" w:eastAsia="Times New Roman" w:hAnsi="Times New Roman" w:cs="Times New Roman"/>
          <w:sz w:val="14"/>
          <w:szCs w:val="14"/>
        </w:rPr>
        <w:t>.IV.</w:t>
      </w:r>
    </w:p>
    <w:p w:rsidR="00767FD2" w:rsidRDefault="00767FD2" w:rsidP="00767FD2">
      <w:pPr>
        <w:shd w:val="clear" w:color="auto" w:fill="FFFFFF"/>
        <w:spacing w:after="0" w:line="240" w:lineRule="auto"/>
        <w:rPr>
          <w:b/>
          <w:iCs/>
          <w:u w:val="single"/>
        </w:rPr>
      </w:pPr>
    </w:p>
    <w:p w:rsidR="00767FD2" w:rsidRPr="00C82E3C" w:rsidRDefault="00767FD2" w:rsidP="00767FD2">
      <w:pPr>
        <w:shd w:val="clear" w:color="auto" w:fill="FFFFFF"/>
        <w:rPr>
          <w:b/>
          <w:iCs/>
          <w:u w:val="single"/>
        </w:rPr>
      </w:pPr>
      <w:r w:rsidRPr="00ED198B">
        <w:rPr>
          <w:rStyle w:val="Emphasis"/>
          <w:rFonts w:eastAsiaTheme="majorEastAsia" w:cstheme="majorBidi"/>
          <w:u w:val="none"/>
        </w:rPr>
        <w:t>Local courts fail to solve equity problems</w:t>
      </w:r>
      <w:r w:rsidRPr="00ED198B">
        <w:rPr>
          <w:rFonts w:eastAsiaTheme="majorEastAsia" w:cstheme="majorBidi"/>
          <w:sz w:val="26"/>
          <w:szCs w:val="18"/>
          <w:shd w:val="clear" w:color="auto" w:fill="FFFFFF"/>
        </w:rPr>
        <w:t xml:space="preserve"> </w:t>
      </w:r>
      <w:r>
        <w:rPr>
          <w:sz w:val="18"/>
          <w:szCs w:val="18"/>
          <w:shd w:val="clear" w:color="auto" w:fill="FFFFFF"/>
        </w:rPr>
        <w:t xml:space="preserve">ANGELA MARIE </w:t>
      </w:r>
      <w:r w:rsidRPr="00AD7848">
        <w:t>SHIMEK</w:t>
      </w:r>
      <w:r>
        <w:rPr>
          <w:sz w:val="18"/>
          <w:szCs w:val="18"/>
          <w:shd w:val="clear" w:color="auto" w:fill="FFFFFF"/>
        </w:rPr>
        <w:t xml:space="preserve"> Spring, 20</w:t>
      </w:r>
      <w:r w:rsidRPr="00AD7848">
        <w:t>07</w:t>
      </w:r>
      <w:r>
        <w:rPr>
          <w:sz w:val="18"/>
          <w:szCs w:val="18"/>
          <w:shd w:val="clear" w:color="auto" w:fill="FFFFFF"/>
        </w:rPr>
        <w:t xml:space="preserve"> </w:t>
      </w:r>
      <w:r w:rsidRPr="00AD7848">
        <w:t>St. Mary's University School of Law</w:t>
      </w:r>
      <w:r w:rsidRPr="00D83DBC">
        <w:rPr>
          <w:rFonts w:ascii="Times New Roman" w:eastAsia="Times New Roman" w:hAnsi="Times New Roman" w:cs="Times New Roman"/>
          <w:sz w:val="18"/>
          <w:szCs w:val="18"/>
        </w:rPr>
        <w:t>, and Candidate for J.</w:t>
      </w:r>
      <w:r>
        <w:rPr>
          <w:rFonts w:ascii="Times New Roman" w:eastAsia="Times New Roman" w:hAnsi="Times New Roman" w:cs="Times New Roman"/>
          <w:sz w:val="18"/>
          <w:szCs w:val="18"/>
        </w:rPr>
        <w:t xml:space="preserve">D. </w:t>
      </w:r>
      <w:r w:rsidRPr="00D83DBC">
        <w:rPr>
          <w:rFonts w:ascii="Times New Roman" w:eastAsia="Times New Roman" w:hAnsi="Times New Roman" w:cs="Times New Roman"/>
          <w:sz w:val="18"/>
          <w:szCs w:val="18"/>
        </w:rPr>
        <w:t>The Scholar: St. Mary</w:t>
      </w:r>
      <w:r>
        <w:rPr>
          <w:rFonts w:ascii="Times New Roman" w:eastAsia="Times New Roman" w:hAnsi="Times New Roman" w:cs="Times New Roman"/>
          <w:sz w:val="18"/>
          <w:szCs w:val="18"/>
        </w:rPr>
        <w:t xml:space="preserve">'s Law Review on Minority Issue </w:t>
      </w:r>
      <w:r w:rsidRPr="00D83DBC">
        <w:rPr>
          <w:rFonts w:ascii="Times New Roman" w:eastAsia="Times New Roman" w:hAnsi="Times New Roman" w:cs="Times New Roman"/>
          <w:sz w:val="18"/>
          <w:szCs w:val="18"/>
        </w:rPr>
        <w:t>the Scholar</w:t>
      </w:r>
      <w:r>
        <w:rPr>
          <w:rFonts w:ascii="Times New Roman" w:eastAsia="Times New Roman" w:hAnsi="Times New Roman" w:cs="Times New Roman"/>
          <w:sz w:val="18"/>
          <w:szCs w:val="18"/>
        </w:rPr>
        <w:t xml:space="preserve"> journal:</w:t>
      </w:r>
      <w:r w:rsidRPr="00D83DBC">
        <w:rPr>
          <w:rFonts w:ascii="Times New Roman" w:eastAsia="Times New Roman" w:hAnsi="Times New Roman" w:cs="Times New Roman"/>
          <w:sz w:val="18"/>
          <w:szCs w:val="18"/>
        </w:rPr>
        <w:t xml:space="preserve"> St. Mary's Law Review on Minority Issues</w:t>
      </w:r>
      <w:r>
        <w:rPr>
          <w:rFonts w:ascii="Times New Roman" w:eastAsia="Times New Roman" w:hAnsi="Times New Roman" w:cs="Times New Roman"/>
          <w:sz w:val="18"/>
          <w:szCs w:val="18"/>
        </w:rPr>
        <w:t xml:space="preserve"> </w:t>
      </w:r>
      <w:r>
        <w:t>C</w:t>
      </w:r>
      <w:r>
        <w:rPr>
          <w:sz w:val="18"/>
          <w:szCs w:val="18"/>
          <w:shd w:val="clear" w:color="auto" w:fill="FFFFFF"/>
        </w:rPr>
        <w:t>OMMENT: THE ROAD NOT TAKEN: THE NEXT STEP FOR TEXAS EDUCATION FINANCE</w:t>
      </w:r>
    </w:p>
    <w:p w:rsidR="00767FD2" w:rsidRPr="00C82E3C" w:rsidRDefault="00767FD2" w:rsidP="00767FD2">
      <w:pPr>
        <w:shd w:val="clear" w:color="auto" w:fill="FFFFFF"/>
        <w:spacing w:after="0" w:line="240" w:lineRule="auto"/>
        <w:rPr>
          <w:rStyle w:val="Emphasis"/>
        </w:rPr>
      </w:pPr>
      <w:r w:rsidRPr="00C82E3C">
        <w:rPr>
          <w:rStyle w:val="Emphasis"/>
          <w:highlight w:val="yellow"/>
        </w:rPr>
        <w:t>Winning in the courtroom is not the same as winning in the classroom."</w:t>
      </w:r>
      <w:r w:rsidRPr="00A851EB">
        <w:rPr>
          <w:rFonts w:ascii="Times New Roman" w:eastAsia="Times New Roman" w:hAnsi="Times New Roman" w:cs="Times New Roman"/>
        </w:rPr>
        <w:t xml:space="preserve"> - Molly S. Mc</w:t>
      </w:r>
      <w:r>
        <w:rPr>
          <w:rFonts w:ascii="Times New Roman" w:eastAsia="Times New Roman" w:hAnsi="Times New Roman" w:cs="Times New Roman"/>
        </w:rPr>
        <w:t xml:space="preserve"> </w:t>
      </w:r>
      <w:r w:rsidRPr="00A851EB">
        <w:rPr>
          <w:rFonts w:ascii="Times New Roman" w:eastAsia="Times New Roman" w:hAnsi="Times New Roman" w:cs="Times New Roman"/>
        </w:rPr>
        <w:t xml:space="preserve">Music </w:t>
      </w:r>
      <w:r w:rsidRPr="00C82E3C">
        <w:rPr>
          <w:rStyle w:val="Emphasis"/>
          <w:highlight w:val="yellow"/>
        </w:rPr>
        <w:t>For decades, Texas plaintiffs have challenged the inequities of Texas education finance. Still today, despite many judicial victories, education funding in Texas is not equal, the disparities in educational opportunities pervade, and the fight for equality continues.</w:t>
      </w:r>
      <w:r w:rsidRPr="00A851EB">
        <w:rPr>
          <w:rFonts w:ascii="Times New Roman" w:eastAsia="Times New Roman" w:hAnsi="Times New Roman" w:cs="Times New Roman"/>
        </w:rPr>
        <w:t xml:space="preserve"> </w:t>
      </w:r>
      <w:r w:rsidRPr="00C82E3C">
        <w:rPr>
          <w:rStyle w:val="Emphasis"/>
          <w:highlight w:val="yellow"/>
        </w:rPr>
        <w:t>A brief look at the major cases shaping education finance reform in Texas and the failure of remedial legislative attempts to alleviate educational disparities clearly exhibits the need for a Texas education finance</w:t>
      </w:r>
      <w:r w:rsidRPr="00A851EB">
        <w:rPr>
          <w:rFonts w:ascii="Times New Roman" w:eastAsia="Times New Roman" w:hAnsi="Times New Roman" w:cs="Times New Roman"/>
        </w:rPr>
        <w:t xml:space="preserve"> </w:t>
      </w:r>
      <w:r w:rsidRPr="00C82E3C">
        <w:t>scheme</w:t>
      </w:r>
      <w:r w:rsidRPr="00C82E3C">
        <w:rPr>
          <w:rStyle w:val="Emphasis"/>
          <w:highlight w:val="yellow"/>
        </w:rPr>
        <w:t xml:space="preserve"> that does not rely on local property taxes</w:t>
      </w:r>
      <w:r w:rsidRPr="00C82E3C">
        <w:rPr>
          <w:rStyle w:val="Emphasis"/>
        </w:rPr>
        <w:t xml:space="preserve"> </w:t>
      </w:r>
    </w:p>
    <w:p w:rsidR="00767FD2" w:rsidRDefault="00767FD2" w:rsidP="00767FD2">
      <w:pPr>
        <w:shd w:val="clear" w:color="auto" w:fill="FFFFFF"/>
        <w:spacing w:after="0" w:line="240" w:lineRule="auto"/>
        <w:rPr>
          <w:rFonts w:ascii="Times New Roman" w:eastAsia="Times New Roman" w:hAnsi="Times New Roman" w:cs="Times New Roman"/>
        </w:rPr>
      </w:pPr>
    </w:p>
    <w:p w:rsidR="00767FD2" w:rsidRPr="00767FD2" w:rsidRDefault="00767FD2" w:rsidP="00767FD2">
      <w:pPr>
        <w:shd w:val="clear" w:color="auto" w:fill="FFFFFF"/>
        <w:spacing w:after="0" w:line="240" w:lineRule="auto"/>
        <w:rPr>
          <w:b/>
          <w:iCs/>
          <w:u w:val="single"/>
        </w:rPr>
      </w:pPr>
    </w:p>
    <w:p w:rsidR="00767FD2" w:rsidRPr="00ED198B" w:rsidRDefault="00767FD2" w:rsidP="00767FD2">
      <w:pPr>
        <w:shd w:val="clear" w:color="auto" w:fill="FFFFFF"/>
        <w:rPr>
          <w:b/>
          <w:iCs/>
          <w:u w:val="single"/>
        </w:rPr>
      </w:pPr>
      <w:r w:rsidRPr="0087032F">
        <w:rPr>
          <w:rFonts w:eastAsiaTheme="majorEastAsia" w:cstheme="majorBidi"/>
          <w:b/>
          <w:iCs/>
          <w:sz w:val="26"/>
        </w:rPr>
        <w:t>The state Legislature  cannot solve funding</w:t>
      </w:r>
      <w:r>
        <w:rPr>
          <w:sz w:val="18"/>
          <w:szCs w:val="18"/>
          <w:shd w:val="clear" w:color="auto" w:fill="FFFFFF"/>
        </w:rPr>
        <w:t xml:space="preserve"> ANGELA MARIE </w:t>
      </w:r>
      <w:r w:rsidRPr="00AD7848">
        <w:t>SHIMEK</w:t>
      </w:r>
      <w:r>
        <w:rPr>
          <w:sz w:val="18"/>
          <w:szCs w:val="18"/>
          <w:shd w:val="clear" w:color="auto" w:fill="FFFFFF"/>
        </w:rPr>
        <w:t xml:space="preserve"> Spring, 20</w:t>
      </w:r>
      <w:r w:rsidRPr="00AD7848">
        <w:t>07</w:t>
      </w:r>
      <w:r>
        <w:rPr>
          <w:sz w:val="18"/>
          <w:szCs w:val="18"/>
          <w:shd w:val="clear" w:color="auto" w:fill="FFFFFF"/>
        </w:rPr>
        <w:t xml:space="preserve"> </w:t>
      </w:r>
      <w:r w:rsidRPr="00AD7848">
        <w:t>St. Mary's University School of Law</w:t>
      </w:r>
      <w:r w:rsidRPr="00D83DBC">
        <w:rPr>
          <w:rFonts w:ascii="Times New Roman" w:eastAsia="Times New Roman" w:hAnsi="Times New Roman" w:cs="Times New Roman"/>
          <w:sz w:val="18"/>
          <w:szCs w:val="18"/>
        </w:rPr>
        <w:t>, and Candidate for J.</w:t>
      </w:r>
      <w:r>
        <w:rPr>
          <w:rFonts w:ascii="Times New Roman" w:eastAsia="Times New Roman" w:hAnsi="Times New Roman" w:cs="Times New Roman"/>
          <w:sz w:val="18"/>
          <w:szCs w:val="18"/>
        </w:rPr>
        <w:t xml:space="preserve">D. </w:t>
      </w:r>
      <w:r w:rsidRPr="00D83DBC">
        <w:rPr>
          <w:rFonts w:ascii="Times New Roman" w:eastAsia="Times New Roman" w:hAnsi="Times New Roman" w:cs="Times New Roman"/>
          <w:sz w:val="18"/>
          <w:szCs w:val="18"/>
        </w:rPr>
        <w:t>The Scholar: St. Mary</w:t>
      </w:r>
      <w:r>
        <w:rPr>
          <w:rFonts w:ascii="Times New Roman" w:eastAsia="Times New Roman" w:hAnsi="Times New Roman" w:cs="Times New Roman"/>
          <w:sz w:val="18"/>
          <w:szCs w:val="18"/>
        </w:rPr>
        <w:t xml:space="preserve">'s Law Review on Minority Issue </w:t>
      </w:r>
      <w:r w:rsidRPr="00D83DBC">
        <w:rPr>
          <w:rFonts w:ascii="Times New Roman" w:eastAsia="Times New Roman" w:hAnsi="Times New Roman" w:cs="Times New Roman"/>
          <w:sz w:val="18"/>
          <w:szCs w:val="18"/>
        </w:rPr>
        <w:t>the Scholar</w:t>
      </w:r>
      <w:r>
        <w:rPr>
          <w:rFonts w:ascii="Times New Roman" w:eastAsia="Times New Roman" w:hAnsi="Times New Roman" w:cs="Times New Roman"/>
          <w:sz w:val="18"/>
          <w:szCs w:val="18"/>
        </w:rPr>
        <w:t xml:space="preserve"> journal:</w:t>
      </w:r>
      <w:r w:rsidRPr="00D83DBC">
        <w:rPr>
          <w:rFonts w:ascii="Times New Roman" w:eastAsia="Times New Roman" w:hAnsi="Times New Roman" w:cs="Times New Roman"/>
          <w:sz w:val="18"/>
          <w:szCs w:val="18"/>
        </w:rPr>
        <w:t xml:space="preserve"> St. Mary's Law Review on Minority Issues</w:t>
      </w:r>
      <w:r>
        <w:rPr>
          <w:rFonts w:ascii="Times New Roman" w:eastAsia="Times New Roman" w:hAnsi="Times New Roman" w:cs="Times New Roman"/>
          <w:sz w:val="18"/>
          <w:szCs w:val="18"/>
        </w:rPr>
        <w:t xml:space="preserve"> </w:t>
      </w:r>
      <w:r>
        <w:t>C</w:t>
      </w:r>
      <w:r>
        <w:rPr>
          <w:sz w:val="18"/>
          <w:szCs w:val="18"/>
          <w:shd w:val="clear" w:color="auto" w:fill="FFFFFF"/>
        </w:rPr>
        <w:t>OMMENT: THE ROAD NOT TAKEN: THE NEXT STEP FOR TEXAS EDUCATION FINANC e</w:t>
      </w:r>
    </w:p>
    <w:p w:rsidR="00767FD2" w:rsidRPr="0087032F" w:rsidRDefault="00767FD2" w:rsidP="00767FD2">
      <w:pPr>
        <w:shd w:val="clear" w:color="auto" w:fill="FFFFFF"/>
        <w:spacing w:after="0" w:line="240" w:lineRule="auto"/>
        <w:rPr>
          <w:rStyle w:val="Emphasis"/>
        </w:rPr>
      </w:pPr>
      <w:r>
        <w:rPr>
          <w:rStyle w:val="Emphasis"/>
          <w:highlight w:val="yellow"/>
        </w:rPr>
        <w:t xml:space="preserve"> </w:t>
      </w:r>
      <w:r w:rsidRPr="00C82E3C">
        <w:rPr>
          <w:rStyle w:val="Emphasis"/>
          <w:highlight w:val="yellow"/>
        </w:rPr>
        <w:t>The Legislature struggles to balance the delicate relationship between state funding and local discretion</w:t>
      </w:r>
      <w:r w:rsidRPr="00A851EB">
        <w:rPr>
          <w:rFonts w:ascii="Times New Roman" w:eastAsia="Times New Roman" w:hAnsi="Times New Roman" w:cs="Times New Roman"/>
          <w:sz w:val="14"/>
          <w:szCs w:val="14"/>
        </w:rPr>
        <w:t xml:space="preserve">. </w:t>
      </w:r>
      <w:r w:rsidRPr="0087032F">
        <w:rPr>
          <w:rStyle w:val="Emphasis"/>
        </w:rPr>
        <w:t>The ideal of local discretion is a key component of a property-tax-based funding scheme. Local discretion allows local taxpayers to choose how much money is spent on education.</w:t>
      </w:r>
      <w:r w:rsidRPr="00A851EB">
        <w:rPr>
          <w:rFonts w:ascii="Times New Roman" w:eastAsia="Times New Roman" w:hAnsi="Times New Roman" w:cs="Times New Roman"/>
          <w:sz w:val="14"/>
          <w:szCs w:val="14"/>
        </w:rPr>
        <w:t xml:space="preserve"> When the revenues to fund education generate from the local community, community members have an interest in how that money is spent. If the Legislature passed a finance scheme that utilized 100% state funds for providing a constitutionally adequate and efficient education, then disparities in funding would be eliminated. However, when a state issues full funding tony program, strings attach and local discretion is lost. For example, under a solely state-funded education system, school district in dire need of facilities repair would lack the discretion to divert [*547] funds from a state-mandated textbook fund. Hence, the lack of local discretion severely impairs a school district's ability to improve education in manner consistent with that district's specific needs. These strings inevitably leave local school districts with their handstied.Yet, under the current Texas education finance scheme, poor and wealthy districts do not enjoy full discretion anyway. Poor school districts currently lack discretion over how much to tax because they cannot choose to tax at theca, but must tax at the cap in order to fund education. Poor districts already lack discretion over how to spend education funds to improve their schools because almost all of the revenues must be spent on basic and mandatory education. </w:t>
      </w:r>
      <w:r w:rsidRPr="0087032F">
        <w:rPr>
          <w:rStyle w:val="Emphasis"/>
          <w:highlight w:val="yellow"/>
        </w:rPr>
        <w:t>Many poor districts do not have any extra funding to utilize for enrichment programs, facility repair, or extracurricular activities and clubs for students.</w:t>
      </w:r>
      <w:r w:rsidRPr="00A851EB">
        <w:rPr>
          <w:rFonts w:ascii="Times New Roman" w:eastAsia="Times New Roman" w:hAnsi="Times New Roman" w:cs="Times New Roman"/>
          <w:sz w:val="14"/>
          <w:szCs w:val="14"/>
        </w:rPr>
        <w:t xml:space="preserve"> </w:t>
      </w:r>
      <w:r w:rsidRPr="0087032F">
        <w:rPr>
          <w:rStyle w:val="Emphasis"/>
        </w:rPr>
        <w:t>Additionally, wealthy districts also suffer from lack of discretion under the current finance scheme because any "excess" funding raised is reallocated to poorer districts. Hence, wealthy-district taxpayers lack discretion and control over the spending of their education revenues.</w:t>
      </w:r>
      <w:r w:rsidRPr="00A851EB">
        <w:rPr>
          <w:rFonts w:ascii="Times New Roman" w:eastAsia="Times New Roman" w:hAnsi="Times New Roman" w:cs="Times New Roman"/>
          <w:sz w:val="14"/>
          <w:szCs w:val="14"/>
        </w:rPr>
        <w:t xml:space="preserve"> n88Accordingly</w:t>
      </w:r>
      <w:r w:rsidRPr="0087032F">
        <w:rPr>
          <w:rFonts w:ascii="Times New Roman" w:eastAsia="Times New Roman" w:hAnsi="Times New Roman" w:cs="Times New Roman"/>
          <w:sz w:val="14"/>
          <w:szCs w:val="14"/>
          <w:highlight w:val="yellow"/>
        </w:rPr>
        <w:t xml:space="preserve">, </w:t>
      </w:r>
      <w:r w:rsidRPr="0087032F">
        <w:rPr>
          <w:rStyle w:val="Emphasis"/>
          <w:highlight w:val="yellow"/>
        </w:rPr>
        <w:t>legislators should not worry about passing reform that inhibits local discretion, but instead should focus on reform that delivers funding to the school districts that need it most. Since most school districts lack excess funding and those that possess excess funding must give it up, a state-funded education system would not threaten local discretion</w:t>
      </w:r>
    </w:p>
    <w:p w:rsidR="00854F36" w:rsidRPr="005309E2" w:rsidRDefault="00854F36" w:rsidP="00854F36"/>
    <w:p w:rsidR="00854F36" w:rsidRDefault="00854F36" w:rsidP="00854F36">
      <w:pPr>
        <w:pStyle w:val="Heading3"/>
      </w:pPr>
      <w:r>
        <w:t>AT: Poverty</w:t>
      </w:r>
    </w:p>
    <w:p w:rsidR="00767FD2" w:rsidRPr="00AD7848" w:rsidRDefault="00767FD2" w:rsidP="00767FD2">
      <w:pPr>
        <w:shd w:val="clear" w:color="auto" w:fill="FFFFFF"/>
        <w:rPr>
          <w:b/>
          <w:iCs/>
          <w:u w:val="single"/>
        </w:rPr>
      </w:pPr>
      <w:r w:rsidRPr="00AD7848">
        <w:rPr>
          <w:rFonts w:eastAsiaTheme="majorEastAsia" w:cstheme="majorBidi"/>
          <w:b/>
          <w:iCs/>
          <w:sz w:val="26"/>
        </w:rPr>
        <w:t>Major obstacles block solvency</w:t>
      </w:r>
      <w:r>
        <w:rPr>
          <w:sz w:val="18"/>
          <w:szCs w:val="18"/>
          <w:shd w:val="clear" w:color="auto" w:fill="FFFFFF"/>
        </w:rPr>
        <w:t xml:space="preserve"> ANGELA MARIE </w:t>
      </w:r>
      <w:r w:rsidRPr="00AD7848">
        <w:t>SHIMEK</w:t>
      </w:r>
      <w:r>
        <w:rPr>
          <w:sz w:val="18"/>
          <w:szCs w:val="18"/>
          <w:shd w:val="clear" w:color="auto" w:fill="FFFFFF"/>
        </w:rPr>
        <w:t xml:space="preserve"> Spring, 20</w:t>
      </w:r>
      <w:r w:rsidRPr="00AD7848">
        <w:t>07</w:t>
      </w:r>
      <w:r>
        <w:rPr>
          <w:sz w:val="18"/>
          <w:szCs w:val="18"/>
          <w:shd w:val="clear" w:color="auto" w:fill="FFFFFF"/>
        </w:rPr>
        <w:t xml:space="preserve"> </w:t>
      </w:r>
      <w:r w:rsidRPr="00AD7848">
        <w:t>St. Mary's University School of Law</w:t>
      </w:r>
      <w:r w:rsidRPr="00D83DBC">
        <w:rPr>
          <w:rFonts w:ascii="Times New Roman" w:eastAsia="Times New Roman" w:hAnsi="Times New Roman" w:cs="Times New Roman"/>
          <w:sz w:val="18"/>
          <w:szCs w:val="18"/>
        </w:rPr>
        <w:t>, and Candidate for J.</w:t>
      </w:r>
      <w:r>
        <w:rPr>
          <w:rFonts w:ascii="Times New Roman" w:eastAsia="Times New Roman" w:hAnsi="Times New Roman" w:cs="Times New Roman"/>
          <w:sz w:val="18"/>
          <w:szCs w:val="18"/>
        </w:rPr>
        <w:t xml:space="preserve">D. </w:t>
      </w:r>
      <w:r w:rsidRPr="00D83DBC">
        <w:rPr>
          <w:rFonts w:ascii="Times New Roman" w:eastAsia="Times New Roman" w:hAnsi="Times New Roman" w:cs="Times New Roman"/>
          <w:sz w:val="18"/>
          <w:szCs w:val="18"/>
        </w:rPr>
        <w:t>The Scholar: St. Mary</w:t>
      </w:r>
      <w:r>
        <w:rPr>
          <w:rFonts w:ascii="Times New Roman" w:eastAsia="Times New Roman" w:hAnsi="Times New Roman" w:cs="Times New Roman"/>
          <w:sz w:val="18"/>
          <w:szCs w:val="18"/>
        </w:rPr>
        <w:t xml:space="preserve">'s Law Review on Minority Issue </w:t>
      </w:r>
      <w:r w:rsidRPr="00D83DBC">
        <w:rPr>
          <w:rFonts w:ascii="Times New Roman" w:eastAsia="Times New Roman" w:hAnsi="Times New Roman" w:cs="Times New Roman"/>
          <w:sz w:val="18"/>
          <w:szCs w:val="18"/>
        </w:rPr>
        <w:t>the Scholar</w:t>
      </w:r>
      <w:r>
        <w:rPr>
          <w:rFonts w:ascii="Times New Roman" w:eastAsia="Times New Roman" w:hAnsi="Times New Roman" w:cs="Times New Roman"/>
          <w:sz w:val="18"/>
          <w:szCs w:val="18"/>
        </w:rPr>
        <w:t xml:space="preserve"> journal:</w:t>
      </w:r>
      <w:r w:rsidRPr="00D83DBC">
        <w:rPr>
          <w:rFonts w:ascii="Times New Roman" w:eastAsia="Times New Roman" w:hAnsi="Times New Roman" w:cs="Times New Roman"/>
          <w:sz w:val="18"/>
          <w:szCs w:val="18"/>
        </w:rPr>
        <w:t xml:space="preserve"> St. Mary's Law Review on Minority Issues</w:t>
      </w:r>
      <w:r>
        <w:rPr>
          <w:rFonts w:ascii="Times New Roman" w:eastAsia="Times New Roman" w:hAnsi="Times New Roman" w:cs="Times New Roman"/>
          <w:sz w:val="18"/>
          <w:szCs w:val="18"/>
        </w:rPr>
        <w:t xml:space="preserve"> </w:t>
      </w:r>
      <w:r>
        <w:t>C</w:t>
      </w:r>
      <w:r>
        <w:rPr>
          <w:sz w:val="18"/>
          <w:szCs w:val="18"/>
          <w:shd w:val="clear" w:color="auto" w:fill="FFFFFF"/>
        </w:rPr>
        <w:t>OMMENT: THE ROAD NOT TAKEN: THE NEXT STEP FOR TEXAS EDUCATION FINANCE</w:t>
      </w:r>
    </w:p>
    <w:p w:rsidR="00767FD2" w:rsidRDefault="00767FD2" w:rsidP="00767FD2">
      <w:pPr>
        <w:shd w:val="clear" w:color="auto" w:fill="FFFFFF"/>
        <w:spacing w:after="0" w:line="240" w:lineRule="auto"/>
        <w:rPr>
          <w:rStyle w:val="Emphasis"/>
          <w:highlight w:val="yellow"/>
        </w:rPr>
      </w:pPr>
    </w:p>
    <w:p w:rsidR="00767FD2" w:rsidRPr="0057175C" w:rsidRDefault="00767FD2" w:rsidP="00767FD2">
      <w:pPr>
        <w:shd w:val="clear" w:color="auto" w:fill="FFFFFF"/>
        <w:spacing w:after="0" w:line="240" w:lineRule="auto"/>
        <w:rPr>
          <w:rStyle w:val="Emphasis"/>
        </w:rPr>
      </w:pPr>
      <w:r w:rsidRPr="0057175C">
        <w:rPr>
          <w:rStyle w:val="Emphasis"/>
          <w:highlight w:val="yellow"/>
        </w:rPr>
        <w:t>Reaching a House-Senate consensus presents a major obstacle in any type of legislative reform. Nevertheless, consensus cannot be reached if the issue does not receive the attention it deserves. Historically, it appears that the Texas Legislature has taken a simmering approach to education finance reform. After West Orange-Cove I, the Legislature failed to pass any education reform. House Speaker</w:t>
      </w:r>
      <w:r w:rsidRPr="0057175C">
        <w:rPr>
          <w:rFonts w:ascii="Times New Roman" w:eastAsia="Times New Roman" w:hAnsi="Times New Roman" w:cs="Times New Roman"/>
          <w:sz w:val="26"/>
          <w:szCs w:val="26"/>
        </w:rPr>
        <w:t xml:space="preserve"> Tom </w:t>
      </w:r>
      <w:r w:rsidRPr="0057175C">
        <w:rPr>
          <w:rStyle w:val="Emphasis"/>
        </w:rPr>
        <w:t xml:space="preserve">Craddick </w:t>
      </w:r>
      <w:r w:rsidRPr="0057175C">
        <w:rPr>
          <w:rStyle w:val="Emphasis"/>
          <w:highlight w:val="yellow"/>
        </w:rPr>
        <w:t>justified the legislature's inaction and stated that the legislature would focus on reaching any agreement since the decision remained up for appeal</w:t>
      </w:r>
      <w:r w:rsidRPr="0057175C">
        <w:rPr>
          <w:rFonts w:ascii="Times New Roman" w:eastAsia="Times New Roman" w:hAnsi="Times New Roman" w:cs="Times New Roman"/>
          <w:sz w:val="26"/>
          <w:szCs w:val="26"/>
        </w:rPr>
        <w:t xml:space="preserve">. N79 </w:t>
      </w:r>
      <w:r w:rsidRPr="0057175C">
        <w:rPr>
          <w:rStyle w:val="Emphasis"/>
          <w:highlight w:val="yellow"/>
        </w:rPr>
        <w:t>Yet, that attitude kept the legislature from delving into the complicated process of education reform. After West Orange-Cove II, education finance remained on the backburner. It took the Texas Legislature three sessions to finally pass legislation addressing the education finance problem.</w:t>
      </w:r>
      <w:r w:rsidRPr="0057175C">
        <w:rPr>
          <w:rFonts w:ascii="Times New Roman" w:eastAsia="Times New Roman" w:hAnsi="Times New Roman" w:cs="Times New Roman"/>
          <w:sz w:val="26"/>
          <w:szCs w:val="26"/>
        </w:rPr>
        <w:t xml:space="preserve"> </w:t>
      </w:r>
      <w:r w:rsidRPr="0057175C">
        <w:rPr>
          <w:rStyle w:val="Emphasis"/>
          <w:highlight w:val="yellow"/>
        </w:rPr>
        <w:t>N80Lack of leadership also stands as a significant obstacle in reforming Texas education finance. Former Texas Cochairman</w:t>
      </w:r>
      <w:r w:rsidRPr="0057175C">
        <w:rPr>
          <w:rFonts w:ascii="Times New Roman" w:eastAsia="Times New Roman" w:hAnsi="Times New Roman" w:cs="Times New Roman"/>
          <w:sz w:val="26"/>
          <w:szCs w:val="26"/>
        </w:rPr>
        <w:t xml:space="preserve"> Tom </w:t>
      </w:r>
      <w:r w:rsidRPr="0057175C">
        <w:rPr>
          <w:rStyle w:val="StyleUnderline"/>
        </w:rPr>
        <w:t>Paean</w:t>
      </w:r>
      <w:r w:rsidRPr="0057175C">
        <w:rPr>
          <w:rFonts w:ascii="Times New Roman" w:eastAsia="Times New Roman" w:hAnsi="Times New Roman" w:cs="Times New Roman"/>
          <w:sz w:val="26"/>
          <w:szCs w:val="26"/>
        </w:rPr>
        <w:t xml:space="preserve"> </w:t>
      </w:r>
      <w:r w:rsidRPr="0057175C">
        <w:rPr>
          <w:rStyle w:val="StyleUnderline"/>
          <w:highlight w:val="yellow"/>
        </w:rPr>
        <w:t>stated that there persists "a total lack of leadership" and that "lobbyists are driving the train rather than having a philosophically driven, policy-driven plan" when it comes to Texas education.</w:t>
      </w:r>
      <w:r w:rsidRPr="0057175C">
        <w:rPr>
          <w:rFonts w:ascii="Times New Roman" w:eastAsia="Times New Roman" w:hAnsi="Times New Roman" w:cs="Times New Roman"/>
          <w:sz w:val="26"/>
          <w:szCs w:val="26"/>
        </w:rPr>
        <w:t xml:space="preserve"> n81 </w:t>
      </w:r>
      <w:r w:rsidRPr="0057175C">
        <w:rPr>
          <w:rStyle w:val="StyleUnderline"/>
        </w:rPr>
        <w:t>Representative</w:t>
      </w:r>
      <w:r w:rsidRPr="0057175C">
        <w:rPr>
          <w:rFonts w:ascii="Times New Roman" w:eastAsia="Times New Roman" w:hAnsi="Times New Roman" w:cs="Times New Roman"/>
          <w:sz w:val="26"/>
          <w:szCs w:val="26"/>
        </w:rPr>
        <w:t xml:space="preserve"> Chuck  [*545</w:t>
      </w:r>
      <w:r w:rsidRPr="0057175C">
        <w:rPr>
          <w:rStyle w:val="Emphasis"/>
          <w:highlight w:val="yellow"/>
        </w:rPr>
        <w:t>]  Hopson commented that we must "come together to put our children ahead of politics and work across party lines to bring meaningful improvements to our schools.</w:t>
      </w:r>
      <w:r w:rsidRPr="0057175C">
        <w:rPr>
          <w:rFonts w:ascii="Times New Roman" w:eastAsia="Times New Roman" w:hAnsi="Times New Roman" w:cs="Times New Roman"/>
          <w:sz w:val="26"/>
          <w:szCs w:val="26"/>
        </w:rPr>
        <w:t xml:space="preserve">" n82Unfortunately, fiscal education reform does not appear to be the Legislature's priority. </w:t>
      </w:r>
      <w:r w:rsidRPr="0057175C">
        <w:rPr>
          <w:rStyle w:val="Emphasis"/>
          <w:highlight w:val="yellow"/>
        </w:rPr>
        <w:t>Without legislative dedication to imperative fiscal reform, the standard of public education will continue to deteriorate</w:t>
      </w:r>
      <w:r w:rsidRPr="0057175C">
        <w:rPr>
          <w:rFonts w:ascii="Times New Roman" w:eastAsia="Times New Roman" w:hAnsi="Times New Roman" w:cs="Times New Roman"/>
          <w:sz w:val="26"/>
          <w:szCs w:val="26"/>
        </w:rPr>
        <w:t xml:space="preserve">. N83 </w:t>
      </w:r>
      <w:r w:rsidRPr="0057175C">
        <w:rPr>
          <w:rStyle w:val="Emphasis"/>
          <w:highlight w:val="yellow"/>
        </w:rPr>
        <w:t>Perhaps, when the threat of increased drop-outs and embarrassingly low academic rankings stifles the Texas economy, the Legislature will prioritize education reform</w:t>
      </w:r>
    </w:p>
    <w:p w:rsidR="00767FD2" w:rsidRDefault="00767FD2" w:rsidP="00E9643F"/>
    <w:p w:rsidR="00854F36" w:rsidRDefault="00854F36" w:rsidP="00854F36">
      <w:pPr>
        <w:pStyle w:val="Heading4"/>
      </w:pPr>
      <w:r>
        <w:t>Alt cause poverty</w:t>
      </w:r>
    </w:p>
    <w:p w:rsidR="00854F36" w:rsidRDefault="00854F36" w:rsidP="00854F36">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Harvard Law Review, 130 Harv. L. Rev. 185, “FISHER'S CAUTIONARY TALE AND THE URGENT NEED FOR EQUAL ACCESS TO AN EXCELLENT EDUCATION” Lexis-Nexis (ermo/sms)</w:t>
      </w:r>
    </w:p>
    <w:p w:rsidR="00854F36" w:rsidRDefault="00854F36" w:rsidP="00854F36">
      <w:r w:rsidRPr="002C62D5">
        <w:rPr>
          <w:rStyle w:val="StyleUnderline"/>
          <w:highlight w:val="yellow"/>
        </w:rPr>
        <w:t>High-poverty learning environments also provide additional disadvantages for a disproportionate number of minority students</w:t>
      </w:r>
      <w:r w:rsidRPr="00CD188A">
        <w:t xml:space="preserve">. Only 7.64% of white students attended high-poverty schools in 2014, while 42.62% of minority students attended such schools. n166 </w:t>
      </w:r>
      <w:r w:rsidRPr="002C62D5">
        <w:rPr>
          <w:rStyle w:val="StyleUnderline"/>
          <w:highlight w:val="yellow"/>
        </w:rPr>
        <w:t>High-poverty learning environments consistently perform worse than other schools and often lack effective teachers, adequate resources, appropriate class sizes, and motivated and engaged parents</w:t>
      </w:r>
      <w:r w:rsidRPr="00CD188A">
        <w:t xml:space="preserve">, as well as other factors that improve student achievement. n167 </w:t>
      </w:r>
      <w:r w:rsidRPr="002C62D5">
        <w:rPr>
          <w:rStyle w:val="StyleUnderline"/>
          <w:highlight w:val="yellow"/>
        </w:rPr>
        <w:t>Such environments also are affected by</w:t>
      </w:r>
      <w:r w:rsidRPr="00CD188A">
        <w:t xml:space="preserve"> a host of out-of-school challenges such as </w:t>
      </w:r>
      <w:r w:rsidRPr="002C62D5">
        <w:rPr>
          <w:rStyle w:val="StyleUnderline"/>
          <w:highlight w:val="yellow"/>
        </w:rPr>
        <w:t>higher crime rates, inadequate healthcare, greater mobility, and more instability within the home</w:t>
      </w:r>
      <w:r w:rsidRPr="00CD188A">
        <w:t xml:space="preserve">. n168 High-poverty schools exert a negative influence on student achievement independent of a student's socioeconomic status. n169 These educational opportunity gaps play a substantial role in creating and sustaining the racial achievement gap. n170 While some students are educated in schools that far surpass state learning standards, others are relegated to opportunities that emphasize the basics and teaching to the test. n171 These disparities in opportunity will lead many white and affluent students to higher-order thinking skills while many poor and minority students are left to basic, rote thinking and test preparation. n172 Leading education scholar Professor Linda Darling-Hammond summarizes the connection well, noting that "when the evidence is examined, it is clear that </w:t>
      </w:r>
      <w:r w:rsidRPr="002C62D5">
        <w:rPr>
          <w:rStyle w:val="StyleUnderline"/>
          <w:highlight w:val="yellow"/>
        </w:rPr>
        <w:t>educational outcomes</w:t>
      </w:r>
      <w:r w:rsidRPr="00CD188A">
        <w:t xml:space="preserve"> for these [minority] students </w:t>
      </w:r>
      <w:r w:rsidRPr="002C62D5">
        <w:rPr>
          <w:rStyle w:val="StyleUnderline"/>
          <w:highlight w:val="yellow"/>
        </w:rPr>
        <w:t>are at least as much a function of their unequal access to key educational</w:t>
      </w:r>
      <w:r w:rsidRPr="00CD188A">
        <w:t xml:space="preserve"> [*210] </w:t>
      </w:r>
      <w:r w:rsidRPr="002C62D5">
        <w:rPr>
          <w:rStyle w:val="StyleUnderline"/>
          <w:highlight w:val="yellow"/>
        </w:rPr>
        <w:t xml:space="preserve">resources, both inside </w:t>
      </w:r>
      <w:r w:rsidRPr="002C62D5">
        <w:rPr>
          <w:rStyle w:val="Emphasis"/>
          <w:highlight w:val="yellow"/>
        </w:rPr>
        <w:t>and outside</w:t>
      </w:r>
      <w:r w:rsidRPr="002C62D5">
        <w:rPr>
          <w:rStyle w:val="StyleUnderline"/>
          <w:highlight w:val="yellow"/>
        </w:rPr>
        <w:t xml:space="preserve"> of school, as they are a function of race, class, or culture</w:t>
      </w:r>
      <w:r w:rsidRPr="00CD188A">
        <w:t>." n173</w:t>
      </w:r>
    </w:p>
    <w:p w:rsidR="00E9643F" w:rsidRPr="00E9643F" w:rsidRDefault="00E9643F" w:rsidP="00854F36"/>
    <w:p w:rsidR="00854F36" w:rsidRDefault="00854F36" w:rsidP="00854F36">
      <w:pPr>
        <w:pStyle w:val="Heading4"/>
      </w:pPr>
      <w:r>
        <w:t>Education reform does not solve poverty</w:t>
      </w:r>
    </w:p>
    <w:p w:rsidR="00854F36" w:rsidRPr="009F012E" w:rsidRDefault="00854F36" w:rsidP="00854F36">
      <w:pPr>
        <w:rPr>
          <w:szCs w:val="16"/>
        </w:rPr>
      </w:pPr>
      <w:r w:rsidRPr="009F012E">
        <w:rPr>
          <w:szCs w:val="16"/>
        </w:rPr>
        <w:t xml:space="preserve">Gary </w:t>
      </w:r>
      <w:r w:rsidRPr="009F012E">
        <w:rPr>
          <w:rStyle w:val="Style13ptBold"/>
        </w:rPr>
        <w:t>Lapon,</w:t>
      </w:r>
      <w:r w:rsidRPr="009F012E">
        <w:rPr>
          <w:szCs w:val="16"/>
        </w:rPr>
        <w:t xml:space="preserve"> 4-16-</w:t>
      </w:r>
      <w:r w:rsidRPr="009F012E">
        <w:rPr>
          <w:rStyle w:val="Style13ptBold"/>
        </w:rPr>
        <w:t>2014</w:t>
      </w:r>
      <w:r w:rsidRPr="009F012E">
        <w:rPr>
          <w:szCs w:val="16"/>
        </w:rPr>
        <w:t xml:space="preserve"> Are better schools the solution to poverty?, SocialistWorker.org, https://socialistworker.org/2014/04/16/will-education-end-poverty, 6-30-2017</w:t>
      </w:r>
    </w:p>
    <w:p w:rsidR="00854F36" w:rsidRDefault="00854F36" w:rsidP="00854F36">
      <w:pPr>
        <w:pStyle w:val="NormalWeb"/>
        <w:shd w:val="clear" w:color="auto" w:fill="FFFFFF"/>
        <w:spacing w:before="120" w:beforeAutospacing="0" w:after="240" w:afterAutospacing="0"/>
        <w:rPr>
          <w:rStyle w:val="StyleUnderline"/>
        </w:rPr>
      </w:pPr>
      <w:r w:rsidRPr="006D3A0A">
        <w:rPr>
          <w:rFonts w:ascii="Georgia" w:hAnsi="Georgia"/>
          <w:color w:val="000000"/>
          <w:szCs w:val="23"/>
        </w:rPr>
        <w:t xml:space="preserve">This is the mantra of the corporate school "reform" movement, accepted across the whole spectrum of mainstream politics and in the media establishment: Fix the U.S. education system, and you fix poverty and inequality. It seems like common sense--who, after all, would oppose better schools or helping poor children succeed?--a good-faith proposal, from those with the power to do something about it, to confront difficult problems of U.S. society. But </w:t>
      </w:r>
      <w:r w:rsidRPr="006D3A0A">
        <w:rPr>
          <w:rStyle w:val="StyleUnderline"/>
        </w:rPr>
        <w:t>the mantra is false--an illusion that detracts from the real sources of, and solutions to, both poverty in the U.S. and the crisis of American public education.</w:t>
      </w:r>
      <w:r>
        <w:rPr>
          <w:rStyle w:val="StyleUnderline"/>
        </w:rPr>
        <w:t xml:space="preserve"> </w:t>
      </w:r>
      <w:r w:rsidRPr="006D3A0A">
        <w:rPr>
          <w:rFonts w:ascii="Georgia" w:hAnsi="Georgia"/>
          <w:color w:val="000000"/>
          <w:szCs w:val="23"/>
        </w:rPr>
        <w:t xml:space="preserve">- - - - - - - - - - - - - - - - </w:t>
      </w:r>
      <w:r w:rsidRPr="006D3A0A">
        <w:rPr>
          <w:rStyle w:val="StyleUnderline"/>
        </w:rPr>
        <w:t>IF YOU think about it, the resources to end poverty exist in abundance, and they aren't generally found inside of school buildings</w:t>
      </w:r>
      <w:r w:rsidRPr="006D3A0A">
        <w:rPr>
          <w:rFonts w:ascii="Georgia" w:hAnsi="Georgia"/>
          <w:color w:val="000000"/>
          <w:szCs w:val="23"/>
        </w:rPr>
        <w:t xml:space="preserve">. </w:t>
      </w:r>
      <w:r w:rsidRPr="006D3A0A">
        <w:rPr>
          <w:rStyle w:val="StyleUnderline"/>
        </w:rPr>
        <w:t xml:space="preserve">There are plenty of empty homes to house all the homeless and people living in substandard housing. There is plenty of food, within the U.S. and around the world, to feed everyone who is hungry. The technology exists to keep people--all people--healthy and living longer. </w:t>
      </w:r>
      <w:r w:rsidRPr="006D3A0A">
        <w:rPr>
          <w:rFonts w:ascii="Georgia" w:hAnsi="Georgia"/>
          <w:color w:val="000000"/>
          <w:szCs w:val="23"/>
        </w:rPr>
        <w:t xml:space="preserve">Society is rich enough to ensure a decent standard of living for everyone in it. </w:t>
      </w:r>
      <w:r w:rsidRPr="006D3A0A">
        <w:rPr>
          <w:rStyle w:val="StyleUnderline"/>
        </w:rPr>
        <w:t>But accomplishing any of these things depends on a redistribution of the wealth that currently resides in the pockets of the small minority who own and control in this society--many of the very same millionaires and billionaires who, not coincidentally, fund the "reformers" who claim it is necessary to fix education before it is possible to end poverty. History teaches us that the only way the U.S. ruling class has ever parted with even a small portion of its wealth is when it was forced to by struggle from below</w:t>
      </w:r>
      <w:r w:rsidRPr="006D3A0A">
        <w:rPr>
          <w:rFonts w:ascii="Georgia" w:hAnsi="Georgia"/>
          <w:color w:val="000000"/>
          <w:szCs w:val="23"/>
        </w:rPr>
        <w:t xml:space="preserve">, particularly the struggles of the union movement. </w:t>
      </w:r>
      <w:hyperlink r:id="rId28" w:history="1">
        <w:r w:rsidRPr="006D3A0A">
          <w:rPr>
            <w:rStyle w:val="Hyperlink"/>
            <w:rFonts w:ascii="Georgia" w:eastAsiaTheme="majorEastAsia" w:hAnsi="Georgia"/>
            <w:color w:val="BF5252"/>
            <w:szCs w:val="23"/>
          </w:rPr>
          <w:t>As left-wing economist Dean Baker wrote at the Jacobin website</w:t>
        </w:r>
      </w:hyperlink>
      <w:r w:rsidRPr="006D3A0A">
        <w:rPr>
          <w:rFonts w:ascii="Georgia" w:hAnsi="Georgia"/>
          <w:color w:val="000000"/>
          <w:szCs w:val="23"/>
        </w:rPr>
        <w:t xml:space="preserve">: </w:t>
      </w:r>
      <w:r w:rsidRPr="006D3A0A">
        <w:rPr>
          <w:rFonts w:ascii="Georgia" w:hAnsi="Georgia"/>
          <w:color w:val="000000"/>
          <w:szCs w:val="22"/>
        </w:rPr>
        <w:t xml:space="preserve">[T]he growth in inequality over the last three decades has not been mainly a story of the more educated pulling away from the less educated. Rather, it has been a story in which a relatively small group of people (roughly the top 1 percent) have been able to garner the bulk of economic gains for reasons that have little direct connection to education. </w:t>
      </w:r>
      <w:r w:rsidRPr="006D3A0A">
        <w:rPr>
          <w:rFonts w:ascii="Georgia" w:hAnsi="Georgia"/>
          <w:color w:val="000000"/>
          <w:szCs w:val="23"/>
        </w:rPr>
        <w:t xml:space="preserve">Everyone deserves a quality, enriching education, free and guaranteed by the government--for many more important reasons than because it could lead to higher wages. But it is telling that the fix-education-to-fix-poverty crowd supports </w:t>
      </w:r>
      <w:hyperlink r:id="rId29" w:history="1">
        <w:r w:rsidRPr="006D3A0A">
          <w:rPr>
            <w:rStyle w:val="Hyperlink"/>
            <w:rFonts w:ascii="Georgia" w:eastAsiaTheme="majorEastAsia" w:hAnsi="Georgia"/>
            <w:color w:val="BF5252"/>
            <w:szCs w:val="23"/>
          </w:rPr>
          <w:t>a school "reform" agenda aimed at the opposite</w:t>
        </w:r>
      </w:hyperlink>
      <w:r w:rsidRPr="006D3A0A">
        <w:rPr>
          <w:rFonts w:ascii="Georgia" w:hAnsi="Georgia"/>
          <w:color w:val="000000"/>
          <w:szCs w:val="23"/>
        </w:rPr>
        <w:t xml:space="preserve">: a narrower curriculum, obsessive emphasis on testing, privatization of public institutions, less power for teachers and students to explore their interests and potential. </w:t>
      </w:r>
      <w:r w:rsidRPr="006D3A0A">
        <w:rPr>
          <w:rStyle w:val="StyleUnderline"/>
        </w:rPr>
        <w:t>The reformers want to reshape public schools along the corporate model, with the majority of students provided with the training they will need to remain productive subordinates.</w:t>
      </w:r>
      <w:r>
        <w:rPr>
          <w:rStyle w:val="StyleUnderline"/>
        </w:rPr>
        <w:t xml:space="preserve"> </w:t>
      </w:r>
      <w:r w:rsidRPr="006D3A0A">
        <w:rPr>
          <w:rStyle w:val="StyleUnderline"/>
        </w:rPr>
        <w:t>At its heart, the idea of "ending poverty through education" is a new variation on a very old ideological theme of capitalism--if given the chance, everyone can succeed, through hard work and perseverance, no matter what obstacles are thrown in their way.</w:t>
      </w:r>
      <w:r>
        <w:rPr>
          <w:rStyle w:val="StyleUnderline"/>
        </w:rPr>
        <w:t xml:space="preserve"> </w:t>
      </w:r>
      <w:r w:rsidRPr="006D3A0A">
        <w:rPr>
          <w:rFonts w:ascii="Georgia" w:hAnsi="Georgia"/>
          <w:color w:val="000000"/>
          <w:szCs w:val="23"/>
        </w:rPr>
        <w:t xml:space="preserve">That dogma has a flip side, though--those who don't succeed have only themselves to blame. Just as the tobacco industry </w:t>
      </w:r>
      <w:hyperlink r:id="rId30" w:history="1">
        <w:r w:rsidRPr="006D3A0A">
          <w:rPr>
            <w:rStyle w:val="Hyperlink"/>
            <w:rFonts w:ascii="Georgia" w:eastAsiaTheme="majorEastAsia" w:hAnsi="Georgia"/>
            <w:color w:val="BF5252"/>
            <w:szCs w:val="23"/>
          </w:rPr>
          <w:t>once claimed that cigarettes were good for you and featured doctors in their ads to prove it</w:t>
        </w:r>
      </w:hyperlink>
      <w:r w:rsidRPr="006D3A0A">
        <w:rPr>
          <w:rFonts w:ascii="Georgia" w:hAnsi="Georgia"/>
          <w:color w:val="000000"/>
          <w:szCs w:val="23"/>
        </w:rPr>
        <w:t xml:space="preserve">, the 1 Percent who benefit from a system where poverty and inequality are endemic are attempting to pass off the cause as the cure. - - - - - - - - - - - - - - - - THE IDEA that education is the solution to poverty makes sense if you look at the experience of individuals--but not the social whole. The highest-paying careers do generally require a college degree, whereas jobs open to high school graduates that once paid a living wage are being eliminated or turned into low-wage work. By definition, individuals in poverty lack the capital to start their own business. So for individuals, the most realistic path out of poverty seems to be getting an education to secure a job that pays well. For a minority among the poor, obtaining a college degree does increase the chances of escaping poverty. </w:t>
      </w:r>
      <w:hyperlink r:id="rId31" w:history="1">
        <w:r w:rsidRPr="006D3A0A">
          <w:rPr>
            <w:rStyle w:val="Hyperlink"/>
            <w:rFonts w:ascii="Georgia" w:eastAsiaTheme="majorEastAsia" w:hAnsi="Georgia"/>
            <w:color w:val="BF5252"/>
            <w:szCs w:val="23"/>
          </w:rPr>
          <w:t>A recent Pew study found</w:t>
        </w:r>
      </w:hyperlink>
      <w:r w:rsidRPr="006D3A0A">
        <w:rPr>
          <w:rFonts w:ascii="Georgia" w:hAnsi="Georgia"/>
          <w:color w:val="000000"/>
          <w:szCs w:val="23"/>
        </w:rPr>
        <w:t xml:space="preserve"> that among people who grew up in families in the bottom 20 percent on the U.S. income ladder, college graduates were more than five times more likely to break into a higher earning group. The problem, of course--as the Pew study acknowledges in a footnote--is that only 11 percent of the people from these circumstances got a college diploma. Their relative success compared to others who grew up in poor families is dependent on being the exception, rather than the rule. And even for these exceptional cases, attaining a college degree gives them a better chance of making it out of poverty--but it's no guarantee, let alone a solution to poverty as a social phenomenon. Increasing numbers of college graduates--particularly recent graduates--</w:t>
      </w:r>
      <w:hyperlink r:id="rId32" w:history="1">
        <w:r w:rsidRPr="006D3A0A">
          <w:rPr>
            <w:rStyle w:val="Hyperlink"/>
            <w:rFonts w:ascii="Georgia" w:eastAsiaTheme="majorEastAsia" w:hAnsi="Georgia"/>
            <w:color w:val="BF5252"/>
            <w:szCs w:val="23"/>
          </w:rPr>
          <w:t>are working jobs that don't require a college degree</w:t>
        </w:r>
      </w:hyperlink>
      <w:r w:rsidRPr="006D3A0A">
        <w:rPr>
          <w:rFonts w:ascii="Georgia" w:hAnsi="Georgia"/>
          <w:color w:val="000000"/>
          <w:szCs w:val="23"/>
        </w:rPr>
        <w:t xml:space="preserve">. Nearly half a million people working for minimum wage have an associate's or bachelor's degree, </w:t>
      </w:r>
      <w:hyperlink r:id="rId33" w:history="1">
        <w:r w:rsidRPr="006D3A0A">
          <w:rPr>
            <w:rStyle w:val="Hyperlink"/>
            <w:rFonts w:ascii="Georgia" w:eastAsiaTheme="majorEastAsia" w:hAnsi="Georgia"/>
            <w:color w:val="BF5252"/>
            <w:szCs w:val="23"/>
          </w:rPr>
          <w:t xml:space="preserve">according to an analysis of Bureau of Labor Statistics data. Meanwhile, </w:t>
        </w:r>
      </w:hyperlink>
      <w:hyperlink r:id="rId34" w:history="1">
        <w:r w:rsidRPr="006D3A0A">
          <w:rPr>
            <w:rStyle w:val="Hyperlink"/>
            <w:rFonts w:ascii="Georgia" w:eastAsiaTheme="majorEastAsia" w:hAnsi="Georgia"/>
            <w:color w:val="BF5252"/>
            <w:szCs w:val="23"/>
          </w:rPr>
          <w:t>total student loan debt in the U.S. has surpassed $1 trillion</w:t>
        </w:r>
      </w:hyperlink>
      <w:r w:rsidRPr="006D3A0A">
        <w:rPr>
          <w:rFonts w:ascii="Georgia" w:hAnsi="Georgia"/>
          <w:color w:val="000000"/>
          <w:szCs w:val="23"/>
        </w:rPr>
        <w:t xml:space="preserve">, with students graduating with average debt of nearly $30,000. Look at the question another way: </w:t>
      </w:r>
      <w:r w:rsidRPr="006D3A0A">
        <w:rPr>
          <w:rStyle w:val="StyleUnderline"/>
        </w:rPr>
        <w:t>If education was the solution to poverty on a societal level, you could expect increases in educational attainment to coincide with a decline in poverty and inequality. Yet over the past 40 years, the exact opposite has taken place in the U.S.</w:t>
      </w:r>
    </w:p>
    <w:p w:rsidR="00854F36" w:rsidRPr="00C121FE" w:rsidRDefault="00854F36" w:rsidP="00854F36">
      <w:pPr>
        <w:pStyle w:val="Heading3"/>
        <w:rPr>
          <w:rStyle w:val="StyleUnderline"/>
          <w:b/>
          <w:sz w:val="32"/>
          <w:szCs w:val="32"/>
        </w:rPr>
      </w:pPr>
      <w:r w:rsidRPr="00C121FE">
        <w:rPr>
          <w:rStyle w:val="StyleUnderline"/>
          <w:sz w:val="32"/>
          <w:szCs w:val="32"/>
        </w:rPr>
        <w:t>AT: Extra Curriculars</w:t>
      </w:r>
    </w:p>
    <w:p w:rsidR="00854F36" w:rsidRDefault="00854F36" w:rsidP="00854F36">
      <w:pPr>
        <w:pStyle w:val="Heading4"/>
      </w:pPr>
      <w:r>
        <w:t>Not all extracurricular activities are created equal in terms of academic achievement</w:t>
      </w:r>
    </w:p>
    <w:p w:rsidR="00854F36" w:rsidRPr="00C121FE" w:rsidRDefault="00854F36" w:rsidP="00854F36">
      <w:pPr>
        <w:rPr>
          <w:szCs w:val="16"/>
        </w:rPr>
      </w:pPr>
      <w:r w:rsidRPr="00C121FE">
        <w:rPr>
          <w:szCs w:val="16"/>
        </w:rPr>
        <w:t xml:space="preserve">Kimiko </w:t>
      </w:r>
      <w:r w:rsidRPr="00C121FE">
        <w:rPr>
          <w:rStyle w:val="Style13ptBold"/>
        </w:rPr>
        <w:t>Fujita</w:t>
      </w:r>
      <w:r w:rsidRPr="00C121FE">
        <w:rPr>
          <w:szCs w:val="16"/>
        </w:rPr>
        <w:t> 2004-</w:t>
      </w:r>
      <w:r w:rsidRPr="00C121FE">
        <w:rPr>
          <w:rStyle w:val="Style13ptBold"/>
        </w:rPr>
        <w:t>2005</w:t>
      </w:r>
      <w:r w:rsidRPr="00C121FE">
        <w:rPr>
          <w:szCs w:val="16"/>
        </w:rPr>
        <w:t>  The Master's College Undergraduate Research Journal for the Human Sciences, No Publication, http://www.kon.org/urc/v5/fujita.html, 6-30-2017 http://www.kon.org/urc/v5/fujita.html</w:t>
      </w:r>
    </w:p>
    <w:p w:rsidR="00854F36" w:rsidRPr="00C121FE" w:rsidRDefault="00854F36" w:rsidP="00854F36">
      <w:r w:rsidRPr="00C121FE">
        <w:t xml:space="preserve">According to BUGS (Bringing Up Girls in Science), a program for young girls and their parents at the University of North Texas, </w:t>
      </w:r>
      <w:r w:rsidRPr="00C121FE">
        <w:rPr>
          <w:rStyle w:val="StyleUnderline"/>
        </w:rPr>
        <w:t>“the home environment is among the most important influences on academic performance”</w:t>
      </w:r>
      <w:r w:rsidRPr="00C121FE">
        <w:t xml:space="preserve"> (Bringing Up Girls in Science, 2003, para. 2</w:t>
      </w:r>
      <w:r w:rsidRPr="00C121FE">
        <w:rPr>
          <w:rStyle w:val="StyleUnderline"/>
        </w:rPr>
        <w:t>). A correlation appears to exist between the activities that students choose outside of the classroom and their academic performance. One of the main controversies is the effect that television viewing of students has on their academic achievement</w:t>
      </w:r>
      <w:r w:rsidRPr="00C121FE">
        <w:t xml:space="preserve">. “The relationship between cognitive development and television viewing has been the one most widely studied. Investigators disagree about the effects of this relationship” (Shin, 2004, para. 2). The amount and quality of television viewing and family involvement are not the only influences of academic performance. </w:t>
      </w:r>
      <w:r w:rsidRPr="00C121FE">
        <w:rPr>
          <w:rStyle w:val="StyleUnderline"/>
        </w:rPr>
        <w:t>The effects of music and sports are also controversial in their relation to academic performance.</w:t>
      </w:r>
      <w:r w:rsidRPr="00C121FE">
        <w:t xml:space="preserve"> School principals are interested in the “relationship between academic achievement and participation in interscholastic sports at middle level schools,” implying that sports do have some sort of influence on how students perform academically (Stephens &amp; Schaben, 2002, para. 2). </w:t>
      </w:r>
      <w:r w:rsidRPr="00C121FE">
        <w:rPr>
          <w:rStyle w:val="StyleUnderline"/>
        </w:rPr>
        <w:t>All of these activities appear to have some sort of effect on students’ academic performance; however, the issue of whether they benefit or hinder is unknown</w:t>
      </w:r>
      <w:r w:rsidRPr="00C121FE">
        <w:t xml:space="preserve">. The research would be described as a descriptive study because it observes behaviors “as they occur naturally, describes behavior, explores a phenomenon, and tests hypotheses about behavior” (Brown, Cozby, Kee, &amp; Worden, 1999, p.75). Therefore, the purpose of this study was to determine whether or not the activities that junior high school students choose have an effect on their academic performance. The History of Extracurricular Activities The development of extracurricular activities was slow in the beginning, with many seeing it simply as a fad that would pass and quickly fade out of style (Millard, 1930, p. xi). One of the early philosophies behind extracurricular activities was that they should, wherever at all possible, “grow out of curricular activities and return to curricular activities to enrich them” (Millard, 1930, p. 12). Eventually people, including educators, began to see the benefits of extracurricular activities, but it took a while to inure themselves to them. In fact, before 1900, educators were skeptical of participation in extracurricular activities, believing that “school should focus solely on narrowly defined academic outcomes. Non-academic activities were viewed as being primarily recreational and therefore were detrimental to academic achievement, and consequently were discouraged” (Marsh &amp; Kleitman, 2002, para. 5). Deam and Bear, early experts on extracurricular activities, said, “Extracurricular activities supplement and extend those contacts and experiences found in the more formal part of the program of the school day” (Millard, 1930, p. 16). It was not until recently that “educational practitioners and researchers have taken a more positive perspective, arguing that extracurricular activities may have positive effects on life skills and may also benefit academic accomplishments” (Marsh &amp; Kleitman, 2002, para. 5). It is obvious that extracurricular activities have an impact on academic performance and education ever since their inception. The question is, how are extracurricular activities affecting academic performance today? Extracurricular Activities and Academic Performance Numerous studies have been conducted concerning the relationship between extracurricular activities and academic performance. Total extracurricular activity participation (TEAP), or participation in extracurricular activities in general, is associated with an improved grade point average, higher educational aspirations, increased college attendance, and reduced absenteeism” (Broh, 2002, para. 8). Guest and Schneider (2003), in looking at the previous research on this subject said, “Researchers have found positive associations between extracurricular participation and academic achievement” (para. 2). </w:t>
      </w:r>
      <w:r w:rsidRPr="00C121FE">
        <w:rPr>
          <w:rStyle w:val="StyleUnderline"/>
        </w:rPr>
        <w:t>Although researchers agree that extracurricular activities do, in fact, influence academic performance, the specific effect that various activities produce is debated. One study, conducted by the National Educational Longitudinal Study, found that “participation in some activities improves achievement, while participation in others diminishes achievement</w:t>
      </w:r>
      <w:r w:rsidRPr="00C121FE">
        <w:t>” (Broh, 2002, para. 1).</w:t>
      </w:r>
    </w:p>
    <w:p w:rsidR="00854F36" w:rsidRPr="00C121FE" w:rsidRDefault="00854F36" w:rsidP="00854F36"/>
    <w:p w:rsidR="00854F36" w:rsidRDefault="00854F36" w:rsidP="00854F36">
      <w:pPr>
        <w:pStyle w:val="Heading3"/>
        <w:rPr>
          <w:rFonts w:eastAsia="Times New Roman"/>
        </w:rPr>
      </w:pPr>
      <w:r>
        <w:rPr>
          <w:rFonts w:eastAsia="Times New Roman"/>
        </w:rPr>
        <w:t>Money isn’t enough</w:t>
      </w:r>
    </w:p>
    <w:p w:rsidR="00854F36" w:rsidRDefault="00854F36" w:rsidP="00854F36">
      <w:pPr>
        <w:pStyle w:val="Heading4"/>
      </w:pPr>
      <w:r>
        <w:t xml:space="preserve">Spending more money on school has not improved student performance. </w:t>
      </w:r>
    </w:p>
    <w:p w:rsidR="00854F36" w:rsidRPr="00B40E18" w:rsidRDefault="00854F36" w:rsidP="00854F36">
      <w:pPr>
        <w:rPr>
          <w:rStyle w:val="Style13ptBold"/>
        </w:rPr>
      </w:pPr>
      <w:r w:rsidRPr="00B40E18">
        <w:rPr>
          <w:rStyle w:val="Style13ptBold"/>
        </w:rPr>
        <w:t>Richard A. Epstein, 2015, Professor of Law at New York University City of Law, NYU Journal of Law &amp; Liberty, Lexis Nexis, 9 NYU J.L. &amp; Liberty 723</w:t>
      </w:r>
    </w:p>
    <w:p w:rsidR="00854F36" w:rsidRPr="00850CA3" w:rsidRDefault="00854F36" w:rsidP="00854F36">
      <w:r w:rsidRPr="00850CA3">
        <w:t xml:space="preserve">What is striking about the current law on the Serrano standards is that it for the most part speaks only of various funding obligations. It talks about the redistribution of funds across districts, but it never once notes that </w:t>
      </w:r>
      <w:r w:rsidRPr="00850CA3">
        <w:rPr>
          <w:rStyle w:val="StyleUnderline"/>
          <w:highlight w:val="yellow"/>
        </w:rPr>
        <w:t>one of the reasons why higher expenditures on</w:t>
      </w:r>
      <w:r w:rsidRPr="00850CA3">
        <w:rPr>
          <w:highlight w:val="yellow"/>
        </w:rPr>
        <w:t xml:space="preserve"> </w:t>
      </w:r>
      <w:r w:rsidRPr="00850CA3">
        <w:t xml:space="preserve">public </w:t>
      </w:r>
      <w:r w:rsidRPr="00850CA3">
        <w:rPr>
          <w:rStyle w:val="StyleUnderline"/>
          <w:highlight w:val="yellow"/>
        </w:rPr>
        <w:t xml:space="preserve">education have not resulted in improved levels of student performance is that the increased strength of the </w:t>
      </w:r>
      <w:r w:rsidRPr="00850CA3">
        <w:t>public</w:t>
      </w:r>
      <w:r w:rsidRPr="00850CA3">
        <w:rPr>
          <w:highlight w:val="yellow"/>
        </w:rPr>
        <w:t xml:space="preserve"> </w:t>
      </w:r>
      <w:r w:rsidRPr="00850CA3">
        <w:rPr>
          <w:rStyle w:val="StyleUnderline"/>
          <w:highlight w:val="yellow"/>
        </w:rPr>
        <w:t>teachers union has siphoned off in the form of monopoly rents the increased revenues that were intended to equalize education</w:t>
      </w:r>
      <w:r w:rsidRPr="00850CA3">
        <w:t xml:space="preserve">. Unless and </w:t>
      </w:r>
      <w:r w:rsidRPr="00850CA3">
        <w:rPr>
          <w:rStyle w:val="StyleUnderline"/>
          <w:highlight w:val="yellow"/>
        </w:rPr>
        <w:t>until the courts look at allocative [*754] efficiency as well as wealth redistribution, they will never be able to get to the bottom of the current situation, where higher revenues have not translated into improved performance for students</w:t>
      </w:r>
      <w:r w:rsidRPr="00850CA3">
        <w:rPr>
          <w:rStyle w:val="StyleUnderline"/>
        </w:rPr>
        <w:t>.</w:t>
      </w:r>
    </w:p>
    <w:p w:rsidR="00854F36" w:rsidRDefault="00854F36" w:rsidP="00854F36">
      <w:pPr>
        <w:pStyle w:val="Heading4"/>
      </w:pPr>
      <w:r>
        <w:t>School finance reform doesn’t directly help raise students’ achievement for a number of reasons</w:t>
      </w:r>
    </w:p>
    <w:p w:rsidR="00854F36" w:rsidRDefault="00854F36" w:rsidP="00854F36">
      <w:r w:rsidRPr="002A1929">
        <w:rPr>
          <w:rStyle w:val="Style13ptBold"/>
        </w:rPr>
        <w:t>Hinojosa</w:t>
      </w:r>
      <w:r>
        <w:rPr>
          <w:rStyle w:val="Style13ptBold"/>
        </w:rPr>
        <w:t xml:space="preserve"> 16 </w:t>
      </w:r>
      <w:r w:rsidRPr="002A1929">
        <w:t>(</w:t>
      </w:r>
      <w:r>
        <w:t>David G. Hinojosa; March, 2016; National Director of Policy for the Intercultural Development Research Association; University of Richmond Law Review; LexisNexis)</w:t>
      </w:r>
    </w:p>
    <w:p w:rsidR="00854F36" w:rsidRPr="00617E5E" w:rsidRDefault="00854F36" w:rsidP="00854F36">
      <w:r w:rsidRPr="00694907">
        <w:rPr>
          <w:rStyle w:val="StyleUnderline"/>
        </w:rPr>
        <w:t>School finance litigation</w:t>
      </w:r>
      <w:r w:rsidRPr="00617E5E">
        <w:t xml:space="preserve">, whether equality-based or adequacy-based, </w:t>
      </w:r>
      <w:r w:rsidRPr="00694907">
        <w:rPr>
          <w:rStyle w:val="StyleUnderline"/>
        </w:rPr>
        <w:t>has helped steer state legislators and policymakers toward fairer, more appropriate school finance laws for over five decades</w:t>
      </w:r>
      <w:r w:rsidRPr="00617E5E">
        <w:t xml:space="preserve"> and counting. Yet, </w:t>
      </w:r>
      <w:r w:rsidRPr="00694907">
        <w:rPr>
          <w:rStyle w:val="StyleUnderline"/>
        </w:rPr>
        <w:t>a common criticism of these cases lingers: simply asking for more dollars for schools will not create the systemic changes needed to help students achieve in the classroom.</w:t>
      </w:r>
      <w:r w:rsidRPr="00617E5E">
        <w:t xml:space="preserve"> n1 Those criticisms often fail to acknowledge the research evidencing gains in student performance, including a longitudinal study showing long-term impacts on the most challenging student groups. n2 While those gains are important markers for the school finance movement, the results are limited. </w:t>
      </w:r>
      <w:r w:rsidRPr="00694907">
        <w:rPr>
          <w:rStyle w:val="StyleUnderline"/>
        </w:rPr>
        <w:t>We continue to witness significant opportunity gaps between racial and other student groups, such as access to high-quality teachers and rigorous</w:t>
      </w:r>
      <w:r w:rsidRPr="00617E5E">
        <w:t xml:space="preserve"> [*870] </w:t>
      </w:r>
      <w:r w:rsidRPr="00694907">
        <w:rPr>
          <w:rStyle w:val="StyleUnderline"/>
        </w:rPr>
        <w:t>curricula</w:t>
      </w:r>
      <w:r w:rsidRPr="00617E5E">
        <w:t xml:space="preserve">. </w:t>
      </w:r>
      <w:r w:rsidRPr="00694907">
        <w:rPr>
          <w:rStyle w:val="StyleUnderline"/>
        </w:rPr>
        <w:t>The ongoing inequalities likely result from a confluence of factors, including reticent courts, advocates' narrow claims focused on school funding, misdirected state legislatures, failures to account for the impact of race and ethnicity, and annual solicited educational reforms in state capitols.</w:t>
      </w:r>
      <w:r w:rsidRPr="00617E5E">
        <w:t xml:space="preserve"> n3 </w:t>
      </w:r>
    </w:p>
    <w:p w:rsidR="00854F36" w:rsidRDefault="00854F36" w:rsidP="00854F36">
      <w:pPr>
        <w:pStyle w:val="Heading4"/>
      </w:pPr>
      <w:r>
        <w:t>Funding doesn’t mean success</w:t>
      </w:r>
    </w:p>
    <w:p w:rsidR="00854F36" w:rsidRPr="006D16C9" w:rsidRDefault="00854F36" w:rsidP="00854F36">
      <w:pPr>
        <w:rPr>
          <w:szCs w:val="16"/>
        </w:rPr>
      </w:pPr>
      <w:r w:rsidRPr="006D16C9">
        <w:rPr>
          <w:rStyle w:val="Style13ptBold"/>
        </w:rPr>
        <w:t>US Department of Education</w:t>
      </w:r>
      <w:r w:rsidRPr="006D16C9">
        <w:rPr>
          <w:szCs w:val="16"/>
        </w:rPr>
        <w:t xml:space="preserve"> 9-19-</w:t>
      </w:r>
      <w:r w:rsidRPr="006D16C9">
        <w:rPr>
          <w:rStyle w:val="Style13ptBold"/>
        </w:rPr>
        <w:t>2014</w:t>
      </w:r>
      <w:r w:rsidRPr="006D16C9">
        <w:rPr>
          <w:szCs w:val="16"/>
        </w:rPr>
        <w:t>, Archived: 10 Fact About K-12 Education Funding, No Publication, https://www2.ed.gov/about/overview/fed/10facts/index.html, 6-25-2017</w:t>
      </w:r>
    </w:p>
    <w:p w:rsidR="00854F36" w:rsidRPr="006D16C9" w:rsidRDefault="00854F36" w:rsidP="00854F36">
      <w:pPr>
        <w:pStyle w:val="NormalWeb"/>
        <w:shd w:val="clear" w:color="auto" w:fill="FFFFFF"/>
        <w:spacing w:before="0" w:beforeAutospacing="0" w:after="150" w:afterAutospacing="0"/>
        <w:rPr>
          <w:rStyle w:val="StyleUnderline"/>
        </w:rPr>
      </w:pPr>
      <w:r w:rsidRPr="006D16C9">
        <w:rPr>
          <w:rStyle w:val="StyleUnderline"/>
          <w:rFonts w:eastAsiaTheme="majorEastAsia"/>
        </w:rPr>
        <w:t>Total taxpayer investment in K-12 education in the United States for the 2004-05 school year is estimated to be $536 billion</w:t>
      </w:r>
      <w:r w:rsidRPr="006D16C9">
        <w:rPr>
          <w:rStyle w:val="Strong"/>
          <w:rFonts w:ascii="Helvetica" w:eastAsiaTheme="majorEastAsia" w:hAnsi="Helvetica" w:cs="Helvetica"/>
          <w:color w:val="030A13"/>
          <w:szCs w:val="21"/>
        </w:rPr>
        <w:t>.</w:t>
      </w:r>
      <w:r w:rsidRPr="006D16C9">
        <w:rPr>
          <w:rStyle w:val="apple-converted-space"/>
          <w:rFonts w:ascii="Helvetica" w:eastAsiaTheme="majorEastAsia" w:hAnsi="Helvetica" w:cs="Helvetica"/>
          <w:b/>
          <w:bCs/>
          <w:color w:val="030A13"/>
          <w:szCs w:val="21"/>
        </w:rPr>
        <w:t xml:space="preserve"> </w:t>
      </w:r>
      <w:r w:rsidRPr="006D16C9">
        <w:rPr>
          <w:rStyle w:val="Strong"/>
          <w:rFonts w:ascii="Helvetica" w:eastAsiaTheme="majorEastAsia" w:hAnsi="Helvetica" w:cs="Helvetica"/>
          <w:color w:val="030A13"/>
          <w:szCs w:val="16"/>
          <w:vertAlign w:val="superscript"/>
        </w:rPr>
        <w:t>[</w:t>
      </w:r>
      <w:r w:rsidRPr="006D16C9">
        <w:rPr>
          <w:rStyle w:val="apple-converted-space"/>
          <w:rFonts w:ascii="Helvetica" w:eastAsiaTheme="majorEastAsia" w:hAnsi="Helvetica" w:cs="Helvetica"/>
          <w:b/>
          <w:bCs/>
          <w:color w:val="030A13"/>
          <w:szCs w:val="16"/>
          <w:vertAlign w:val="superscript"/>
        </w:rPr>
        <w:t xml:space="preserve"> </w:t>
      </w:r>
      <w:hyperlink r:id="rId35" w:anchor="note" w:history="1">
        <w:r w:rsidRPr="006D16C9">
          <w:rPr>
            <w:rStyle w:val="Hyperlink"/>
            <w:rFonts w:ascii="Helvetica" w:eastAsiaTheme="majorEastAsia" w:hAnsi="Helvetica" w:cs="Helvetica"/>
            <w:b/>
            <w:bCs/>
            <w:color w:val="7E5D8E"/>
            <w:szCs w:val="16"/>
            <w:vertAlign w:val="superscript"/>
          </w:rPr>
          <w:t>*</w:t>
        </w:r>
      </w:hyperlink>
      <w:r w:rsidRPr="006D16C9">
        <w:rPr>
          <w:rStyle w:val="apple-converted-space"/>
          <w:rFonts w:ascii="Helvetica" w:eastAsiaTheme="majorEastAsia" w:hAnsi="Helvetica" w:cs="Helvetica"/>
          <w:b/>
          <w:bCs/>
          <w:color w:val="030A13"/>
          <w:szCs w:val="16"/>
          <w:vertAlign w:val="superscript"/>
        </w:rPr>
        <w:t xml:space="preserve"> </w:t>
      </w:r>
      <w:r w:rsidRPr="006D16C9">
        <w:rPr>
          <w:rStyle w:val="Strong"/>
          <w:rFonts w:ascii="Helvetica" w:eastAsiaTheme="majorEastAsia" w:hAnsi="Helvetica" w:cs="Helvetica"/>
          <w:color w:val="030A13"/>
          <w:szCs w:val="16"/>
          <w:vertAlign w:val="superscript"/>
        </w:rPr>
        <w:t>]</w:t>
      </w:r>
      <w:bookmarkStart w:id="1" w:name="return"/>
      <w:bookmarkEnd w:id="1"/>
      <w:r w:rsidRPr="006D16C9">
        <w:rPr>
          <w:rFonts w:ascii="Helvetica" w:hAnsi="Helvetica" w:cs="Helvetica"/>
          <w:color w:val="030A13"/>
          <w:szCs w:val="21"/>
        </w:rPr>
        <w:t xml:space="preserve"> Even in this current time of the war against terror, taxpayer investment in education exceeds that for national defense. </w:t>
      </w:r>
      <w:r w:rsidRPr="006D16C9">
        <w:rPr>
          <w:rStyle w:val="StyleUnderline"/>
        </w:rPr>
        <w:t>In addition to the K-12 money mentioned above, taxpayers will spend an estimated $373 billion for higher education in the same school year</w:t>
      </w:r>
      <w:r w:rsidRPr="006D16C9">
        <w:rPr>
          <w:rFonts w:ascii="Helvetica" w:hAnsi="Helvetica" w:cs="Helvetica"/>
          <w:color w:val="030A13"/>
          <w:szCs w:val="21"/>
        </w:rPr>
        <w:t xml:space="preserve">. As depicted on the chart below, </w:t>
      </w:r>
      <w:r w:rsidRPr="006D16C9">
        <w:rPr>
          <w:rStyle w:val="StyleUnderline"/>
        </w:rPr>
        <w:t>the United States is a world leader in education investment. However, nations that spend far less achieve higher levels of student performance.</w:t>
      </w:r>
    </w:p>
    <w:p w:rsidR="00854F36" w:rsidRPr="00B612EE" w:rsidRDefault="00854F36" w:rsidP="00854F36"/>
    <w:p w:rsidR="00854F36" w:rsidRPr="004D3601" w:rsidRDefault="00854F36" w:rsidP="00854F36"/>
    <w:p w:rsidR="00854F36" w:rsidRDefault="00854F36" w:rsidP="00854F36">
      <w:pPr>
        <w:pStyle w:val="Heading3"/>
        <w:rPr>
          <w:rFonts w:eastAsia="Times New Roman"/>
          <w:shd w:val="clear" w:color="auto" w:fill="FFFFFF"/>
        </w:rPr>
      </w:pPr>
      <w:r>
        <w:rPr>
          <w:rFonts w:eastAsia="Times New Roman"/>
          <w:shd w:val="clear" w:color="auto" w:fill="FFFFFF"/>
        </w:rPr>
        <w:t>Funding</w:t>
      </w:r>
    </w:p>
    <w:p w:rsidR="00854F36" w:rsidRDefault="00854F36" w:rsidP="00854F36">
      <w:pPr>
        <w:pStyle w:val="Heading4"/>
        <w:spacing w:line="240" w:lineRule="auto"/>
        <w:contextualSpacing/>
        <w:rPr>
          <w:rFonts w:eastAsia="Times New Roman"/>
          <w:shd w:val="clear" w:color="auto" w:fill="FFFFFF"/>
        </w:rPr>
      </w:pPr>
      <w:r>
        <w:rPr>
          <w:rFonts w:eastAsia="Times New Roman"/>
          <w:shd w:val="clear" w:color="auto" w:fill="FFFFFF"/>
        </w:rPr>
        <w:t xml:space="preserve">There are already programs created to provide funding to low income schools—schools do not have to rely on tax payers. </w:t>
      </w:r>
    </w:p>
    <w:p w:rsidR="00854F36" w:rsidRPr="009D15E0" w:rsidRDefault="00854F36" w:rsidP="00854F36">
      <w:pPr>
        <w:spacing w:line="240" w:lineRule="auto"/>
        <w:contextualSpacing/>
      </w:pPr>
      <w:r w:rsidRPr="009D15E0">
        <w:rPr>
          <w:rStyle w:val="Style13ptBold"/>
        </w:rPr>
        <w:t>Board of Education</w:t>
      </w:r>
      <w:r>
        <w:t xml:space="preserve"> </w:t>
      </w:r>
      <w:r w:rsidRPr="009D15E0">
        <w:rPr>
          <w:szCs w:val="16"/>
        </w:rPr>
        <w:t>Statute., 4-13-</w:t>
      </w:r>
      <w:r w:rsidRPr="009D15E0">
        <w:rPr>
          <w:rStyle w:val="Style13ptBold"/>
        </w:rPr>
        <w:t>2017</w:t>
      </w:r>
      <w:r w:rsidRPr="009D15E0">
        <w:t>,</w:t>
      </w:r>
      <w:r w:rsidRPr="009D15E0">
        <w:rPr>
          <w:szCs w:val="16"/>
        </w:rPr>
        <w:t xml:space="preserve"> Statute. 4-13-2017, Rural and Low-Income School Program, No Publication, https://www2.ed.gov/programs/reaprlisp/index.html, 6-16-2017</w:t>
      </w:r>
    </w:p>
    <w:p w:rsidR="00854F36" w:rsidRDefault="00854F36" w:rsidP="00854F36">
      <w:pPr>
        <w:spacing w:line="240" w:lineRule="auto"/>
        <w:contextualSpacing/>
        <w:rPr>
          <w:rFonts w:ascii="Helvetica" w:eastAsia="Times New Roman" w:hAnsi="Helvetica" w:cs="Times New Roman"/>
          <w:szCs w:val="21"/>
        </w:rPr>
      </w:pPr>
      <w:r w:rsidRPr="009D15E0">
        <w:rPr>
          <w:rFonts w:ascii="Georgia" w:eastAsia="Times New Roman" w:hAnsi="Georgia" w:cs="Times New Roman"/>
          <w:szCs w:val="36"/>
          <w:shd w:val="clear" w:color="auto" w:fill="FFFFFF"/>
        </w:rPr>
        <w:t>Program Description</w:t>
      </w:r>
      <w:r w:rsidRPr="009D15E0">
        <w:rPr>
          <w:rFonts w:ascii="Helvetica" w:eastAsia="Times New Roman" w:hAnsi="Helvetica" w:cs="Times New Roman"/>
          <w:szCs w:val="21"/>
          <w:shd w:val="clear" w:color="auto" w:fill="FFFFFF"/>
        </w:rPr>
        <w:t xml:space="preserve"> </w:t>
      </w:r>
      <w:r w:rsidRPr="009D15E0">
        <w:rPr>
          <w:rStyle w:val="StyleUnderline"/>
        </w:rPr>
        <w:t>The purpose of the Rural and Low-Income School (RLIS) grant program is to provide rural districts with financial assistance for initiatives aimed at improving student achievement.</w:t>
      </w:r>
      <w:r w:rsidRPr="009D15E0">
        <w:rPr>
          <w:rFonts w:ascii="Helvetica" w:eastAsia="Times New Roman" w:hAnsi="Helvetica" w:cs="Times New Roman"/>
          <w:szCs w:val="21"/>
        </w:rPr>
        <w:t xml:space="preserve"> The grant is non-competitive, and eligibility is determined by statute. Awards are issued annually to state education agencies (SEAs), which make sub-grants to local education agencies (LEAs) that meet the applicable requirements. Awards are made to all SEAs that apply and meet the applicable requirements of the act (see legislative citation above). </w:t>
      </w:r>
      <w:bookmarkStart w:id="2" w:name="types"/>
      <w:bookmarkEnd w:id="2"/>
      <w:r w:rsidRPr="009D15E0">
        <w:rPr>
          <w:rFonts w:ascii="Georgia" w:eastAsia="Times New Roman" w:hAnsi="Georgia" w:cs="Times New Roman"/>
          <w:szCs w:val="36"/>
          <w:shd w:val="clear" w:color="auto" w:fill="FFFFFF"/>
        </w:rPr>
        <w:t>Uses of Funds</w:t>
      </w:r>
      <w:r w:rsidRPr="009D15E0">
        <w:rPr>
          <w:rFonts w:ascii="Helvetica" w:eastAsia="Times New Roman" w:hAnsi="Helvetica" w:cs="Times New Roman"/>
          <w:szCs w:val="21"/>
          <w:shd w:val="clear" w:color="auto" w:fill="FFFFFF"/>
        </w:rPr>
        <w:t xml:space="preserve"> </w:t>
      </w:r>
      <w:r w:rsidRPr="009D15E0">
        <w:rPr>
          <w:rStyle w:val="StyleUnderline"/>
        </w:rPr>
        <w:t xml:space="preserve">LEAs that receive RLIS grants may use the funds to carry out the following types of activities: Teacher recruitment and retention, including the use of signing bonuses and other financial incentives; Teacher professional development, including programs that train teachers to use technology to improve teaching and that train teachers of students with special needs; Parental involvement activities; </w:t>
      </w:r>
      <w:hyperlink r:id="rId36" w:history="1">
        <w:r w:rsidRPr="009D15E0">
          <w:rPr>
            <w:rStyle w:val="StyleUnderline"/>
          </w:rPr>
          <w:t>Title I-A</w:t>
        </w:r>
      </w:hyperlink>
      <w:r w:rsidRPr="009D15E0">
        <w:rPr>
          <w:rStyle w:val="StyleUnderline"/>
        </w:rPr>
        <w:t xml:space="preserve"> (Improving Basic Programs Operated by local education agencies) </w:t>
      </w:r>
      <w:r w:rsidRPr="009D15E0">
        <w:rPr>
          <w:rFonts w:ascii="Helvetica" w:eastAsia="Times New Roman" w:hAnsi="Helvetica" w:cs="Times New Roman"/>
          <w:szCs w:val="21"/>
        </w:rPr>
        <w:t xml:space="preserve">Example: A school district develops an entrepreneurial education program to supplement its civics curriculum. </w:t>
      </w:r>
      <w:hyperlink r:id="rId37" w:history="1">
        <w:r w:rsidRPr="009D15E0">
          <w:rPr>
            <w:rFonts w:ascii="Helvetica" w:eastAsia="Times New Roman" w:hAnsi="Helvetica" w:cs="Times New Roman"/>
            <w:b/>
            <w:bCs/>
            <w:szCs w:val="21"/>
          </w:rPr>
          <w:t>Title II-A</w:t>
        </w:r>
      </w:hyperlink>
      <w:r w:rsidRPr="009D15E0">
        <w:rPr>
          <w:rFonts w:ascii="Helvetica" w:eastAsia="Times New Roman" w:hAnsi="Helvetica" w:cs="Times New Roman"/>
          <w:szCs w:val="21"/>
        </w:rPr>
        <w:t xml:space="preserve"> (Supporting Effective Instruction) Example: A school district pays the stipend for a prospective teacher to work alongside an effective teacher, who is the teacher of record, for a full academic year. </w:t>
      </w:r>
      <w:hyperlink r:id="rId38" w:history="1">
        <w:r w:rsidRPr="009D15E0">
          <w:rPr>
            <w:rFonts w:ascii="Helvetica" w:eastAsia="Times New Roman" w:hAnsi="Helvetica" w:cs="Times New Roman"/>
            <w:b/>
            <w:bCs/>
            <w:szCs w:val="21"/>
          </w:rPr>
          <w:t>Title III</w:t>
        </w:r>
      </w:hyperlink>
      <w:r w:rsidRPr="009D15E0">
        <w:rPr>
          <w:rFonts w:ascii="Helvetica" w:eastAsia="Times New Roman" w:hAnsi="Helvetica" w:cs="Times New Roman"/>
          <w:szCs w:val="21"/>
        </w:rPr>
        <w:t xml:space="preserve"> (Language Instruction for English Learners and Immigrant Students) Example: A school district offers an afterschool enrichment program for English learners. </w:t>
      </w:r>
      <w:hyperlink r:id="rId39" w:history="1">
        <w:r w:rsidRPr="009D15E0">
          <w:rPr>
            <w:rFonts w:ascii="Helvetica" w:eastAsia="Times New Roman" w:hAnsi="Helvetica" w:cs="Times New Roman"/>
            <w:b/>
            <w:bCs/>
            <w:szCs w:val="21"/>
          </w:rPr>
          <w:t>Title IV-A</w:t>
        </w:r>
      </w:hyperlink>
      <w:r w:rsidRPr="009D15E0">
        <w:rPr>
          <w:rFonts w:ascii="Helvetica" w:eastAsia="Times New Roman" w:hAnsi="Helvetica" w:cs="Times New Roman"/>
          <w:szCs w:val="21"/>
        </w:rPr>
        <w:t xml:space="preserve"> (Student Support and Academic Enrichment) Example: A school district purchases bully prevention materials for all schools. </w:t>
      </w:r>
    </w:p>
    <w:p w:rsidR="00854F36" w:rsidRDefault="00854F36" w:rsidP="00854F36">
      <w:pPr>
        <w:spacing w:line="240" w:lineRule="auto"/>
        <w:contextualSpacing/>
        <w:rPr>
          <w:rFonts w:ascii="Helvetica" w:eastAsia="Times New Roman" w:hAnsi="Helvetica" w:cs="Times New Roman"/>
          <w:szCs w:val="21"/>
        </w:rPr>
      </w:pPr>
    </w:p>
    <w:p w:rsidR="00854F36" w:rsidRDefault="00854F36" w:rsidP="00854F36">
      <w:pPr>
        <w:pStyle w:val="Heading3"/>
        <w:rPr>
          <w:rFonts w:eastAsia="Times New Roman"/>
        </w:rPr>
      </w:pPr>
      <w:r>
        <w:rPr>
          <w:rFonts w:eastAsia="Times New Roman"/>
        </w:rPr>
        <w:t>Students</w:t>
      </w:r>
    </w:p>
    <w:p w:rsidR="00854F36" w:rsidRDefault="00854F36" w:rsidP="00854F36">
      <w:pPr>
        <w:pStyle w:val="Heading4"/>
        <w:spacing w:line="240" w:lineRule="auto"/>
        <w:contextualSpacing/>
      </w:pPr>
      <w:r>
        <w:t>Schools need to have a change in perception of their students to create change</w:t>
      </w:r>
    </w:p>
    <w:p w:rsidR="00854F36" w:rsidRPr="00F62E75" w:rsidRDefault="00854F36" w:rsidP="00854F36">
      <w:pPr>
        <w:spacing w:line="240" w:lineRule="auto"/>
        <w:contextualSpacing/>
      </w:pPr>
      <w:r w:rsidRPr="00483A98">
        <w:rPr>
          <w:szCs w:val="16"/>
        </w:rPr>
        <w:t>Roey</w:t>
      </w:r>
      <w:r w:rsidRPr="00F62E75">
        <w:t xml:space="preserve"> </w:t>
      </w:r>
      <w:r w:rsidRPr="00F62E75">
        <w:rPr>
          <w:rStyle w:val="Style13ptBold"/>
        </w:rPr>
        <w:t>Ahram et al</w:t>
      </w:r>
      <w:r>
        <w:t xml:space="preserve"> </w:t>
      </w:r>
      <w:r w:rsidRPr="00483A98">
        <w:rPr>
          <w:szCs w:val="16"/>
        </w:rPr>
        <w:t>, Adeyemi Stembridge, </w:t>
      </w:r>
      <w:hyperlink r:id="rId40" w:tooltip="Edward Fergus" w:history="1">
        <w:r w:rsidRPr="00483A98">
          <w:rPr>
            <w:rStyle w:val="Hyperlink"/>
            <w:szCs w:val="16"/>
          </w:rPr>
          <w:t>Edward Fergus</w:t>
        </w:r>
      </w:hyperlink>
      <w:r w:rsidRPr="00483A98">
        <w:rPr>
          <w:szCs w:val="16"/>
        </w:rPr>
        <w:t>, and </w:t>
      </w:r>
      <w:hyperlink r:id="rId41" w:tooltip="Pedro Nogero" w:history="1">
        <w:r w:rsidRPr="00483A98">
          <w:rPr>
            <w:rStyle w:val="Hyperlink"/>
            <w:szCs w:val="16"/>
          </w:rPr>
          <w:t>Pedro Noguera</w:t>
        </w:r>
      </w:hyperlink>
      <w:r w:rsidRPr="00F62E75">
        <w:t xml:space="preserve"> </w:t>
      </w:r>
      <w:r w:rsidRPr="00F62E75">
        <w:rPr>
          <w:rStyle w:val="Style13ptBold"/>
        </w:rPr>
        <w:t>no date</w:t>
      </w:r>
      <w:r w:rsidRPr="00F62E75">
        <w:t xml:space="preserve">, </w:t>
      </w:r>
      <w:r w:rsidRPr="00483A98">
        <w:rPr>
          <w:szCs w:val="16"/>
        </w:rPr>
        <w:t>Urban School Challenges, The National Center for Learning Disabilitieshttp://www.rtinetwork.org/learn/diversity/urban-school-challenges, 6-17-2017</w:t>
      </w:r>
    </w:p>
    <w:p w:rsidR="00854F36" w:rsidRPr="00483A98" w:rsidRDefault="00854F36" w:rsidP="00854F36">
      <w:pPr>
        <w:spacing w:line="240" w:lineRule="auto"/>
        <w:contextualSpacing/>
      </w:pPr>
      <w:r w:rsidRPr="00483A98">
        <w:t xml:space="preserve">Perceptions of Race and Class as Limiting Predictors of School Achievement </w:t>
      </w:r>
      <w:r w:rsidRPr="00483A98">
        <w:rPr>
          <w:rStyle w:val="StyleUnderline"/>
        </w:rPr>
        <w:t xml:space="preserve">Low-income and racial/ethnic minority students are often viewed by school practitioners as not “ready” for school </w:t>
      </w:r>
      <w:r w:rsidRPr="00483A98">
        <w:t xml:space="preserve">(O’Connor &amp; Fernandez, 2006). More specifically, </w:t>
      </w:r>
      <w:r w:rsidRPr="00483A98">
        <w:rPr>
          <w:rStyle w:val="StyleUnderline"/>
        </w:rPr>
        <w:t>school and district staff at times perceive the cultural practices of the home environment as causing low-income and racial/ethnic minority children to be unable to learn or in conflict with school practices. Taken to the extreme, some urban school practitioners have come to accept the notion that the concept of “urban behavior” and the differences in cultural norms of urban communities from prevailing school norms are the driving force behind the underachievement</w:t>
      </w:r>
      <w:r w:rsidRPr="00483A98">
        <w:t xml:space="preserve"> of Black and Latino students. In fact, such perspectives can be found in many suburban and rural districts as well. To effectively combat these beliefs, we find school districts engage in some form of continued dialogue regarding these beliefs through year-long reading groups, attendance in continuous diversity dialogue seminars, and opportunities to operationalize their new thinking such as in PLCs, grade level and content meetings, staff meetings, collegial circles, and data inquiry groups. Perceptions of Different Learning Styles Versus Intellectual Deficiencies </w:t>
      </w:r>
      <w:r w:rsidRPr="00483A98">
        <w:rPr>
          <w:rStyle w:val="StyleUnderline"/>
        </w:rPr>
        <w:t>Without due diligence, urban schools may unwittingly situate poverty-induced traits and racial/ethnic minority cultural differences as expressions of learning or emotional disability</w:t>
      </w:r>
      <w:r w:rsidRPr="00483A98">
        <w:t xml:space="preserve"> (O’Connor &amp; Fernandez, 2006). </w:t>
      </w:r>
      <w:r w:rsidRPr="00483A98">
        <w:rPr>
          <w:rStyle w:val="StyleUnderline"/>
        </w:rPr>
        <w:t>These predominant beliefs regarding low-income and racial/ethnic minority students as “deficient” may also result in students feeling a sense of stereotype threat and vulnerability because their low-income or racial/ethnic minority status came to be viewed as a risk factor</w:t>
      </w:r>
      <w:r w:rsidRPr="00483A98">
        <w:t xml:space="preserve"> (Perry, Steele, &amp; Hilliard, 2003). Steele’s (1997, 2010) research indicates that African Americans and other racial/ethnic minority groups for whom there is a societal perception of intellectual inferiority display greater psychological vulnerability to failure and other identity-threatening, social-environmental cues. Students may process school failures, particularly early in their academic experiences, as confirmation of negative stereotypes about their social and racial/ethnic group’s intellectual ability. Lack of Cultural Responsiveness in Current Policies and Practices The principles of culturally responsive pedagogy recognize that culture is central to learning and pivotal not only in communicating and receiving information but also in shaping the thinking process of groups and individuals (Ladson-Billings, 1994). A pedagogy that acknowledges, responds to, and celebrates knowledge, information, and processes as culturally bound offers fuller and more equitable access to education for CLD student groups (Gay, 2000; Nieto, 1999). Reflective practitioners regularly contend with the question of why certain school practices work well for some students and not for others</w:t>
      </w:r>
      <w:r w:rsidRPr="00483A98">
        <w:rPr>
          <w:rStyle w:val="StyleUnderline"/>
        </w:rPr>
        <w:t xml:space="preserve">. Too often, schools make policy, curricular, and pedagogical decisions without careful consideration of the racial, ethnic, and cultural realities of the students and communities they serve. </w:t>
      </w:r>
      <w:r w:rsidRPr="00483A98">
        <w:t>For instance, schools with high concentrations of children who are homeless need to construct homework as in-school reinforcement and not as an activity for a home environment that is not universally available for all children. The dearth of culturally responsive practices leads to a lack of student trust in the school setting (Steele, 2010</w:t>
      </w:r>
      <w:r w:rsidRPr="00483A98">
        <w:rPr>
          <w:rStyle w:val="StyleUnderline"/>
        </w:rPr>
        <w:t>). Students may interpret the school environment as unwelcoming and thus unworthy of a meaningful, personal investment, making their academic achievement much more unlikely</w:t>
      </w:r>
      <w:r w:rsidRPr="00483A98">
        <w:t xml:space="preserve"> (Cushman, 2005; Valenzuela, 1999).· Delpit (2006) suggested that CLD students may even respond to what they perceive as inhospitable school environments with behaviors that are oppositional to the prevailing norms and values of the school.</w:t>
      </w:r>
    </w:p>
    <w:p w:rsidR="00854F36" w:rsidRDefault="00854F36" w:rsidP="00854F36">
      <w:pPr>
        <w:spacing w:line="240" w:lineRule="auto"/>
        <w:contextualSpacing/>
        <w:rPr>
          <w:rFonts w:ascii="Helvetica" w:eastAsia="Times New Roman" w:hAnsi="Helvetica" w:cs="Times New Roman"/>
          <w:szCs w:val="21"/>
        </w:rPr>
      </w:pPr>
    </w:p>
    <w:p w:rsidR="00854F36" w:rsidRDefault="00854F36" w:rsidP="00854F36">
      <w:pPr>
        <w:pStyle w:val="Heading3"/>
        <w:rPr>
          <w:rFonts w:eastAsia="Times New Roman"/>
        </w:rPr>
      </w:pPr>
      <w:r>
        <w:rPr>
          <w:rFonts w:eastAsia="Times New Roman"/>
        </w:rPr>
        <w:t>Alternative Solvency</w:t>
      </w:r>
    </w:p>
    <w:p w:rsidR="00854F36" w:rsidRDefault="00854F36" w:rsidP="00854F36">
      <w:pPr>
        <w:pStyle w:val="Heading4"/>
        <w:spacing w:line="240" w:lineRule="auto"/>
        <w:contextualSpacing/>
      </w:pPr>
      <w:r>
        <w:t>Funding not necessary—success comes from teaching strategies</w:t>
      </w:r>
    </w:p>
    <w:p w:rsidR="00854F36" w:rsidRPr="00090947" w:rsidRDefault="00854F36" w:rsidP="00854F36">
      <w:pPr>
        <w:spacing w:line="240" w:lineRule="auto"/>
        <w:contextualSpacing/>
      </w:pPr>
      <w:r w:rsidRPr="00090947">
        <w:t xml:space="preserve">Chris </w:t>
      </w:r>
      <w:r w:rsidRPr="00090947">
        <w:rPr>
          <w:rStyle w:val="Style13ptBold"/>
        </w:rPr>
        <w:t>Kieffer</w:t>
      </w:r>
      <w:r w:rsidRPr="00090947">
        <w:t xml:space="preserve">, </w:t>
      </w:r>
      <w:r>
        <w:t>9-30-</w:t>
      </w:r>
      <w:r w:rsidRPr="00090947">
        <w:rPr>
          <w:rStyle w:val="Style13ptBold"/>
        </w:rPr>
        <w:t xml:space="preserve">2013 </w:t>
      </w:r>
      <w:r w:rsidRPr="00090947">
        <w:t xml:space="preserve">Chris Kieffer </w:t>
      </w:r>
      <w:r>
        <w:t>9-30-2013</w:t>
      </w:r>
      <w:r w:rsidRPr="00090947">
        <w:t>, Teaching strategies can reach low-income students, Daily Journal, http://www.djournal.com/news/education/teaching-strategies-can-reach-low-income-students/article_0b16dc1a-37cd-57c7-8aea-0903e298e70c.html, 6-17-2017</w:t>
      </w:r>
    </w:p>
    <w:p w:rsidR="00854F36" w:rsidRPr="00090947" w:rsidRDefault="00854F36" w:rsidP="00854F36">
      <w:pPr>
        <w:pBdr>
          <w:bottom w:val="single" w:sz="6" w:space="1" w:color="auto"/>
        </w:pBdr>
        <w:spacing w:after="0" w:line="240" w:lineRule="auto"/>
        <w:contextualSpacing/>
        <w:jc w:val="center"/>
        <w:rPr>
          <w:rFonts w:ascii="Arial" w:eastAsia="Times New Roman" w:hAnsi="Arial" w:cs="Arial"/>
          <w:vanish/>
          <w:szCs w:val="16"/>
        </w:rPr>
      </w:pPr>
      <w:r w:rsidRPr="00090947">
        <w:rPr>
          <w:rFonts w:ascii="Arial" w:eastAsia="Times New Roman" w:hAnsi="Arial" w:cs="Arial"/>
          <w:vanish/>
          <w:szCs w:val="16"/>
        </w:rPr>
        <w:t>Top of Form</w:t>
      </w:r>
    </w:p>
    <w:p w:rsidR="00854F36" w:rsidRPr="00090947" w:rsidRDefault="00854F36" w:rsidP="00854F36">
      <w:pPr>
        <w:pBdr>
          <w:top w:val="single" w:sz="6" w:space="1" w:color="auto"/>
        </w:pBdr>
        <w:spacing w:after="0" w:line="240" w:lineRule="auto"/>
        <w:contextualSpacing/>
        <w:jc w:val="center"/>
        <w:rPr>
          <w:rFonts w:ascii="Arial" w:eastAsia="Times New Roman" w:hAnsi="Arial" w:cs="Arial"/>
          <w:vanish/>
          <w:szCs w:val="16"/>
        </w:rPr>
      </w:pPr>
      <w:r w:rsidRPr="00090947">
        <w:rPr>
          <w:rFonts w:ascii="Arial" w:eastAsia="Times New Roman" w:hAnsi="Arial" w:cs="Arial"/>
          <w:vanish/>
          <w:szCs w:val="16"/>
        </w:rPr>
        <w:t>Bottom of Form</w:t>
      </w:r>
    </w:p>
    <w:p w:rsidR="00854F36" w:rsidRPr="00090947" w:rsidRDefault="00854F36" w:rsidP="00854F36">
      <w:pPr>
        <w:shd w:val="clear" w:color="auto" w:fill="FFFFFF"/>
        <w:spacing w:after="360" w:line="240" w:lineRule="auto"/>
        <w:contextualSpacing/>
        <w:rPr>
          <w:rFonts w:ascii="Open Sans" w:eastAsia="Times New Roman" w:hAnsi="Open Sans" w:cs="Times New Roman"/>
          <w:color w:val="444444"/>
          <w:szCs w:val="24"/>
        </w:rPr>
      </w:pPr>
      <w:r w:rsidRPr="00090947">
        <w:rPr>
          <w:rFonts w:ascii="Open Sans" w:eastAsia="Times New Roman" w:hAnsi="Open Sans" w:cs="Times New Roman"/>
          <w:color w:val="444444"/>
          <w:szCs w:val="24"/>
        </w:rPr>
        <w:t xml:space="preserve">Tupelo High School science teacher Teresa Ware has invested much time studying how to better reach students from low-income backgrounds. </w:t>
      </w:r>
      <w:r w:rsidRPr="00090947">
        <w:rPr>
          <w:rStyle w:val="StyleUnderline"/>
        </w:rPr>
        <w:t>The big thing for educators to remember</w:t>
      </w:r>
      <w:r w:rsidRPr="00090947">
        <w:rPr>
          <w:rFonts w:ascii="Open Sans" w:eastAsia="Times New Roman" w:hAnsi="Open Sans" w:cs="Times New Roman"/>
          <w:color w:val="444444"/>
          <w:szCs w:val="24"/>
        </w:rPr>
        <w:t xml:space="preserve">, she said, </w:t>
      </w:r>
      <w:r w:rsidRPr="00090947">
        <w:rPr>
          <w:rStyle w:val="StyleUnderline"/>
        </w:rPr>
        <w:t>is that many students who live in poverty come to school with a different set of experiences than those of their often middle-class teachers. Better understanding diverse mindsets can lead to a more cohesive classroom,</w:t>
      </w:r>
      <w:r w:rsidRPr="00090947">
        <w:rPr>
          <w:rFonts w:ascii="Open Sans" w:eastAsia="Times New Roman" w:hAnsi="Open Sans" w:cs="Times New Roman"/>
          <w:color w:val="444444"/>
          <w:szCs w:val="24"/>
        </w:rPr>
        <w:t xml:space="preserve"> she said. “Schools work predominantly on a middle-class set of hidden rules, and they are hidden from kids in poverty,” said Ware, who has become a lifetime certified trainer for Ruby Payne’s Framework for Understanding Poverty. “So they come to school one day not knowing all these hidden rules that everyone else knows.” For example, Ware said, the way people value food, clothing, time and education often varies by class. Andy Mullins, a longtime educational advocate, said </w:t>
      </w:r>
      <w:r w:rsidRPr="00090947">
        <w:rPr>
          <w:rStyle w:val="StyleUnderline"/>
        </w:rPr>
        <w:t>different strategies can help teachers have more success with students in poverty</w:t>
      </w:r>
      <w:r w:rsidRPr="00090947">
        <w:rPr>
          <w:rFonts w:ascii="Open Sans" w:eastAsia="Times New Roman" w:hAnsi="Open Sans" w:cs="Times New Roman"/>
          <w:color w:val="444444"/>
          <w:szCs w:val="24"/>
        </w:rPr>
        <w:t xml:space="preserve">. Mullins co-founded the Mississippi Teacher Corps program, which recruits top-performing college students to teach in high-poverty schools in the state. He said he would like to </w:t>
      </w:r>
      <w:r w:rsidRPr="00090947">
        <w:rPr>
          <w:rStyle w:val="StyleUnderline"/>
        </w:rPr>
        <w:t>see greater emphasis in teacher training programs on helping those in generational poverty. Given a magic wand, he would create a special wing at schools of education to train those who want to work with such pupils.</w:t>
      </w:r>
      <w:r w:rsidRPr="00090947">
        <w:rPr>
          <w:rFonts w:ascii="Open Sans" w:eastAsia="Times New Roman" w:hAnsi="Open Sans" w:cs="Times New Roman"/>
          <w:color w:val="444444"/>
          <w:szCs w:val="24"/>
        </w:rPr>
        <w:t xml:space="preserve"> It would provide scholarships to those who take that route and pay them more once they become teachers. </w:t>
      </w:r>
      <w:r w:rsidRPr="00090947">
        <w:rPr>
          <w:rStyle w:val="StyleUnderline"/>
        </w:rPr>
        <w:t>“I think we have to always recognize that children from generational poverty have to be taught a different way from those who come from middle-class and upper-class families,</w:t>
      </w:r>
      <w:r w:rsidRPr="00090947">
        <w:rPr>
          <w:rFonts w:ascii="Open Sans" w:eastAsia="Times New Roman" w:hAnsi="Open Sans" w:cs="Times New Roman"/>
          <w:color w:val="444444"/>
          <w:szCs w:val="24"/>
        </w:rPr>
        <w:t xml:space="preserve">” Mullins said. “They don’t get the support at home. They speak in some ways a different language, called the language of poverty. And there are just different nuances.” In middle-class families, for instance, looking someone in the eye is a sign of respect, Mullins said. For those who come from poverty, he said, it can signal confrontation. </w:t>
      </w:r>
      <w:r w:rsidRPr="00090947">
        <w:rPr>
          <w:rFonts w:ascii="Open Sans" w:eastAsia="Times New Roman" w:hAnsi="Open Sans" w:cs="Times New Roman"/>
          <w:b/>
          <w:bCs/>
          <w:color w:val="444444"/>
          <w:szCs w:val="24"/>
        </w:rPr>
        <w:t>Relationships important</w:t>
      </w:r>
      <w:r w:rsidRPr="00090947">
        <w:rPr>
          <w:rFonts w:ascii="Open Sans" w:eastAsia="Times New Roman" w:hAnsi="Open Sans" w:cs="Times New Roman"/>
          <w:color w:val="444444"/>
          <w:szCs w:val="24"/>
        </w:rPr>
        <w:t xml:space="preserve"> Verona Elementary teacher Shalon Clark-Ruth noted that many students from low-income households lack consistency in their lives. Sometimes, a student may be in her classroom for a couple of months, move to a neighboring town and then return to Verona before the school year ends. Often, students at the high-poverty school don’t know how they will get home at the end of the day, as their transportation – from daycare van to school bus to car rider to walker – can change daily. </w:t>
      </w:r>
      <w:r w:rsidRPr="00090947">
        <w:rPr>
          <w:rStyle w:val="StyleUnderline"/>
        </w:rPr>
        <w:t>“Whether impoverished or not, students crave and need consistency in their lives,” she said. “They feel safe and secure when they know that things are always the same.</w:t>
      </w:r>
      <w:r>
        <w:rPr>
          <w:rStyle w:val="StyleUnderline"/>
        </w:rPr>
        <w:t xml:space="preserve"> </w:t>
      </w:r>
      <w:r w:rsidRPr="00090947">
        <w:rPr>
          <w:rStyle w:val="StyleUnderline"/>
        </w:rPr>
        <w:t>“As a teacher, it’s my job to create a consistent classroom. The students know that when they come to school, everything is the same. They don’t have to worry about things being out of order, and they come to rely on that consistency.”</w:t>
      </w:r>
      <w:r>
        <w:rPr>
          <w:rStyle w:val="StyleUnderline"/>
        </w:rPr>
        <w:t xml:space="preserve"> </w:t>
      </w:r>
      <w:r w:rsidRPr="00090947">
        <w:rPr>
          <w:rStyle w:val="StyleUnderline"/>
        </w:rPr>
        <w:t>Relationships tend to be more valued in lower-income communities,</w:t>
      </w:r>
      <w:r w:rsidRPr="00090947">
        <w:rPr>
          <w:rFonts w:ascii="Open Sans" w:eastAsia="Times New Roman" w:hAnsi="Open Sans" w:cs="Times New Roman"/>
          <w:color w:val="444444"/>
          <w:szCs w:val="24"/>
        </w:rPr>
        <w:t xml:space="preserve"> Ware said, and it is important for teachers to create relationships of mutual respect with their students. Small things – smiling at students, greeting them at the door and using courtesies – go a long way. “Children have to know that I’ve ‘got their back’ when they feel that no one else does,” Verona fourth-grade language teacher Lauren Golding said. “Whether they are below grade level or above, they have to know that their teacher has faith that they can grow and learn regardless of what takes place at home.”</w:t>
      </w:r>
    </w:p>
    <w:p w:rsidR="00854F36" w:rsidRDefault="00854F36" w:rsidP="00854F36">
      <w:pPr>
        <w:rPr>
          <w:rFonts w:eastAsiaTheme="majorEastAsia" w:cstheme="majorBidi"/>
          <w:b/>
          <w:iCs/>
        </w:rPr>
      </w:pPr>
      <w:r>
        <w:br w:type="page"/>
      </w:r>
    </w:p>
    <w:p w:rsidR="00854F36" w:rsidRDefault="00854F36" w:rsidP="00854F36">
      <w:pPr>
        <w:pStyle w:val="Heading4"/>
        <w:spacing w:line="240" w:lineRule="auto"/>
        <w:contextualSpacing/>
      </w:pPr>
      <w:r>
        <w:t>Funding not necessary to increase attendance among low income student—laundry service solves</w:t>
      </w:r>
    </w:p>
    <w:p w:rsidR="00854F36" w:rsidRPr="00090947" w:rsidRDefault="00854F36" w:rsidP="00854F36">
      <w:pPr>
        <w:spacing w:line="240" w:lineRule="auto"/>
        <w:contextualSpacing/>
      </w:pPr>
      <w:r w:rsidRPr="00090947">
        <w:t xml:space="preserve">Allison </w:t>
      </w:r>
      <w:r w:rsidRPr="00090947">
        <w:rPr>
          <w:rStyle w:val="Style13ptBold"/>
        </w:rPr>
        <w:t>Slater Tate,</w:t>
      </w:r>
      <w:r w:rsidRPr="00090947">
        <w:t xml:space="preserve"> 8-1-</w:t>
      </w:r>
      <w:r w:rsidRPr="00090947">
        <w:rPr>
          <w:rStyle w:val="Style13ptBold"/>
        </w:rPr>
        <w:t>2016,</w:t>
      </w:r>
      <w:r w:rsidRPr="00090947">
        <w:t xml:space="preserve"> Allison Slater Tate 8-1-2016, How one small change made a big difference to keep kids in school, TODAY, http://www.today.com/parents/schools-find-one-simple-answer-attendance-problem-washing-machines-t101318, 6-17-2017</w:t>
      </w:r>
    </w:p>
    <w:p w:rsidR="00854F36" w:rsidRPr="00090947" w:rsidRDefault="00854F36" w:rsidP="00854F36">
      <w:pPr>
        <w:spacing w:before="240" w:after="240" w:line="240" w:lineRule="auto"/>
        <w:contextualSpacing/>
        <w:rPr>
          <w:rFonts w:ascii="Helvetica" w:eastAsia="Times New Roman" w:hAnsi="Helvetica" w:cs="Times New Roman"/>
          <w:color w:val="525252"/>
          <w:szCs w:val="23"/>
        </w:rPr>
      </w:pPr>
      <w:r w:rsidRPr="00090947">
        <w:rPr>
          <w:rFonts w:ascii="Helvetica" w:eastAsia="Times New Roman" w:hAnsi="Helvetica" w:cs="Times New Roman"/>
          <w:color w:val="525252"/>
          <w:szCs w:val="23"/>
        </w:rPr>
        <w:t>Now</w:t>
      </w:r>
      <w:r w:rsidRPr="00090947">
        <w:rPr>
          <w:rStyle w:val="StyleUnderline"/>
        </w:rPr>
        <w:t>, two school districts have found that the secret to raising attendance rates in schools in low-income areas could be as simple as providing laundry machines.</w:t>
      </w:r>
      <w:r>
        <w:rPr>
          <w:rStyle w:val="StyleUnderline"/>
        </w:rPr>
        <w:t xml:space="preserve"> </w:t>
      </w:r>
      <w:r w:rsidRPr="00090947">
        <w:rPr>
          <w:rStyle w:val="StyleUnderline"/>
        </w:rPr>
        <w:t>“One of my students had just sort of withdrawn from school completely</w:t>
      </w:r>
      <w:r w:rsidRPr="00090947">
        <w:rPr>
          <w:rFonts w:ascii="Helvetica" w:eastAsia="Times New Roman" w:hAnsi="Helvetica" w:cs="Times New Roman"/>
          <w:color w:val="525252"/>
          <w:szCs w:val="23"/>
        </w:rPr>
        <w:t>,” Alison Guernsey, a seventh grade English teacher in Fairfield, California, told TODAY Parents. “</w:t>
      </w:r>
      <w:r w:rsidRPr="00090947">
        <w:rPr>
          <w:rStyle w:val="StyleUnderline"/>
        </w:rPr>
        <w:t xml:space="preserve">After we started the program, he was more excited about coming, and he started to be actively engaged in class. He didn’t feel like an outsider anymore,” </w:t>
      </w:r>
      <w:r w:rsidRPr="00090947">
        <w:rPr>
          <w:rFonts w:ascii="Helvetica" w:eastAsia="Times New Roman" w:hAnsi="Helvetica" w:cs="Times New Roman"/>
          <w:color w:val="525252"/>
          <w:szCs w:val="23"/>
        </w:rPr>
        <w:t xml:space="preserve">she said. </w:t>
      </w:r>
      <w:r w:rsidRPr="00090947">
        <w:rPr>
          <w:rFonts w:ascii="Helvetica" w:hAnsi="Helvetica"/>
          <w:color w:val="525252"/>
          <w:szCs w:val="23"/>
        </w:rPr>
        <w:t xml:space="preserve">At Guernsey's school — David Weir Preparatory Academy, a K-8 public school east of San Francisco — 94 percent of the student population is in the free and reduced lunch program, meaning students come from low-income homes. </w:t>
      </w:r>
      <w:hyperlink r:id="rId42" w:tgtFrame="_blank" w:history="1">
        <w:r w:rsidRPr="00090947">
          <w:rPr>
            <w:rStyle w:val="Hyperlink"/>
            <w:rFonts w:ascii="Helvetica" w:hAnsi="Helvetica"/>
            <w:i/>
            <w:iCs/>
            <w:color w:val="F37226"/>
            <w:szCs w:val="23"/>
          </w:rPr>
          <w:t>Never miss a parenting story with TODAY’s newsletters! Sign up here</w:t>
        </w:r>
      </w:hyperlink>
      <w:r w:rsidRPr="00090947">
        <w:rPr>
          <w:rFonts w:ascii="Helvetica" w:hAnsi="Helvetica"/>
          <w:color w:val="525252"/>
          <w:szCs w:val="23"/>
        </w:rPr>
        <w:t xml:space="preserve"> Last year, </w:t>
      </w:r>
      <w:r w:rsidRPr="00090947">
        <w:rPr>
          <w:rStyle w:val="StyleUnderline"/>
        </w:rPr>
        <w:t>the school participated in an experiment introduced by Whirlpool as part of its</w:t>
      </w:r>
      <w:r>
        <w:rPr>
          <w:rStyle w:val="StyleUnderline"/>
        </w:rPr>
        <w:t xml:space="preserve"> </w:t>
      </w:r>
      <w:hyperlink r:id="rId43" w:tgtFrame="_blank" w:history="1">
        <w:r w:rsidRPr="00090947">
          <w:rPr>
            <w:rStyle w:val="StyleUnderline"/>
          </w:rPr>
          <w:t>Whirlpool Care Counts Program</w:t>
        </w:r>
      </w:hyperlink>
      <w:r w:rsidRPr="00090947">
        <w:rPr>
          <w:rStyle w:val="StyleUnderline"/>
        </w:rPr>
        <w:t>: Whirlpool installed a washer and dryer in the school and provided cloth laundry bags, garbage bags, detergent, and fabric softener. Then, the school administration discreetly invited a group of students who had missed more than ten days of school the year before to bring clothes with them to school to be cleaned while they were in class.</w:t>
      </w:r>
      <w:r w:rsidRPr="00090947">
        <w:rPr>
          <w:rFonts w:ascii="Helvetica" w:hAnsi="Helvetica"/>
          <w:color w:val="525252"/>
          <w:szCs w:val="23"/>
        </w:rPr>
        <w:t xml:space="preserve"> Key words:</w:t>
      </w:r>
      <w:r w:rsidRPr="00090947">
        <w:rPr>
          <w:rStyle w:val="apple-converted-space"/>
          <w:rFonts w:ascii="Helvetica" w:hAnsi="Helvetica"/>
          <w:color w:val="525252"/>
          <w:szCs w:val="23"/>
        </w:rPr>
        <w:t xml:space="preserve"> </w:t>
      </w:r>
      <w:r>
        <w:rPr>
          <w:rStyle w:val="Emphasis"/>
          <w:rFonts w:ascii="Helvetica" w:hAnsi="Helvetica"/>
          <w:color w:val="525252"/>
          <w:sz w:val="23"/>
          <w:szCs w:val="23"/>
        </w:rPr>
        <w:t>in class</w:t>
      </w:r>
      <w:r w:rsidRPr="00090947">
        <w:rPr>
          <w:rFonts w:ascii="Helvetica" w:hAnsi="Helvetica"/>
          <w:color w:val="525252"/>
          <w:szCs w:val="23"/>
        </w:rPr>
        <w:t xml:space="preserve">. </w:t>
      </w:r>
      <w:r w:rsidRPr="00090947">
        <w:rPr>
          <w:rStyle w:val="StyleUnderline"/>
        </w:rPr>
        <w:t>“What I see is that if kids feel like they don’t fit in — if they feel like they are missing something from the norm — then they don’t want to participate in activities or sometimes even come to school</w:t>
      </w:r>
      <w:r w:rsidRPr="00090947">
        <w:rPr>
          <w:rFonts w:ascii="Helvetica" w:hAnsi="Helvetica"/>
          <w:color w:val="525252"/>
          <w:szCs w:val="23"/>
        </w:rPr>
        <w:t xml:space="preserve">,” Guernsey said. </w:t>
      </w:r>
      <w:r w:rsidRPr="00090947">
        <w:rPr>
          <w:rFonts w:ascii="Helvetica" w:eastAsia="Times New Roman" w:hAnsi="Helvetica" w:cs="Times New Roman"/>
          <w:color w:val="525252"/>
          <w:szCs w:val="23"/>
        </w:rPr>
        <w:t>“Many of our students are transient,” said Guernsey. “</w:t>
      </w:r>
      <w:r w:rsidRPr="00090947">
        <w:rPr>
          <w:rStyle w:val="StyleUnderline"/>
        </w:rPr>
        <w:t>Some are homeless, or they might stay with family members, but they don’t have a stable home or money or resources.</w:t>
      </w:r>
      <w:r w:rsidRPr="00090947">
        <w:rPr>
          <w:rFonts w:ascii="Helvetica" w:eastAsia="Times New Roman" w:hAnsi="Helvetica" w:cs="Times New Roman"/>
          <w:color w:val="525252"/>
          <w:szCs w:val="23"/>
        </w:rPr>
        <w:t xml:space="preserve">” Guernsey said teachers have tried to help in the past by taking clothes home themselves to clean or by buying students clothes when they have none, they couldn’t cover all the students’ needs and sometimes couldn’t get them to come to school for months at a time. </w:t>
      </w:r>
      <w:r w:rsidRPr="00090947">
        <w:rPr>
          <w:rStyle w:val="StyleUnderline"/>
        </w:rPr>
        <w:t>But after they started washing the students’ clothes at school, they began to see a difference</w:t>
      </w:r>
      <w:r w:rsidRPr="00090947">
        <w:rPr>
          <w:rFonts w:ascii="Helvetica" w:eastAsia="Times New Roman" w:hAnsi="Helvetica" w:cs="Times New Roman"/>
          <w:color w:val="525252"/>
          <w:szCs w:val="23"/>
        </w:rPr>
        <w:t>, said Guernsey.</w:t>
      </w:r>
    </w:p>
    <w:p w:rsidR="00854F36" w:rsidRDefault="00854F36" w:rsidP="00854F36">
      <w:pPr>
        <w:rPr>
          <w:rFonts w:eastAsiaTheme="majorEastAsia" w:cstheme="majorBidi"/>
          <w:b/>
          <w:iCs/>
        </w:rPr>
      </w:pPr>
      <w:r>
        <w:br w:type="page"/>
      </w:r>
    </w:p>
    <w:p w:rsidR="00854F36" w:rsidRDefault="00854F36" w:rsidP="00854F36">
      <w:pPr>
        <w:pStyle w:val="Heading4"/>
        <w:spacing w:line="240" w:lineRule="auto"/>
        <w:contextualSpacing/>
      </w:pPr>
      <w:r>
        <w:t>Low income schools need more than funding they need more experienced teachers</w:t>
      </w:r>
    </w:p>
    <w:p w:rsidR="00854F36" w:rsidRPr="00B1453B" w:rsidRDefault="00854F36" w:rsidP="00854F36">
      <w:pPr>
        <w:spacing w:line="240" w:lineRule="auto"/>
        <w:contextualSpacing/>
        <w:rPr>
          <w:szCs w:val="16"/>
        </w:rPr>
      </w:pPr>
      <w:r w:rsidRPr="00B1453B">
        <w:rPr>
          <w:szCs w:val="16"/>
        </w:rPr>
        <w:t xml:space="preserve">Marlene </w:t>
      </w:r>
      <w:r w:rsidRPr="00C35F79">
        <w:rPr>
          <w:rStyle w:val="Style13ptBold"/>
        </w:rPr>
        <w:t xml:space="preserve">Sokol, </w:t>
      </w:r>
      <w:r w:rsidRPr="00B1453B">
        <w:rPr>
          <w:szCs w:val="16"/>
        </w:rPr>
        <w:t>Times Staff Writer, 10-8</w:t>
      </w:r>
      <w:r w:rsidRPr="00C35F79">
        <w:t>-</w:t>
      </w:r>
      <w:r w:rsidRPr="00C35F79">
        <w:rPr>
          <w:rStyle w:val="Style13ptBold"/>
        </w:rPr>
        <w:t>2016,</w:t>
      </w:r>
      <w:r w:rsidRPr="00C35F79">
        <w:t xml:space="preserve"> </w:t>
      </w:r>
      <w:r w:rsidRPr="00B1453B">
        <w:rPr>
          <w:szCs w:val="16"/>
        </w:rPr>
        <w:t>Marlene Sokol, Times Staff Writer 10-8-2016, Hillsborough works to solve a problem: rookie teachers in the most demanding schools, Tampa Bay Times, http://www.tampabay.com/news/education/k12/hillsborough-works-to-solve-a-problem-rookie-teachers-in-the-most/2297175, 6-23-2017</w:t>
      </w:r>
    </w:p>
    <w:p w:rsidR="00854F36" w:rsidRPr="00FC115B" w:rsidRDefault="00854F36" w:rsidP="00854F36">
      <w:pPr>
        <w:spacing w:line="240" w:lineRule="auto"/>
        <w:contextualSpacing/>
      </w:pPr>
      <w:r w:rsidRPr="00FC115B">
        <w:t>If your child attends Potter Elementary School, the odds are about 1 in 2 that his teacher is in her first year on the job in Hillsborough County. If your child goes to Westchase Elementary, those odds shrink to 3 in 100. Potter, in East Tampa, is 89 percent black and has had an F every year since 2013. Westchase, in the northwest suburbs, is 3 percent black and has had an A since 2000</w:t>
      </w:r>
      <w:r w:rsidRPr="00FC115B">
        <w:rPr>
          <w:rStyle w:val="StyleUnderline"/>
        </w:rPr>
        <w:t>. The schools differ in many ways, including the experience level of principals and the backup the district provides to help new teachers learn their jobs.</w:t>
      </w:r>
      <w:r w:rsidRPr="00FC115B">
        <w:t xml:space="preserve"> But the Potter numbers are daunting, and not much different at six other largely minority campuses that the district has designated as "Elevate" schools. "</w:t>
      </w:r>
      <w:r w:rsidRPr="00FC115B">
        <w:rPr>
          <w:rStyle w:val="StyleUnderline"/>
        </w:rPr>
        <w:t>Experience matters</w:t>
      </w:r>
      <w:r w:rsidRPr="00FC115B">
        <w:t>," says Marilyn Williams, a community activist who is working with the U.S. Department of Education's Office for Civil Rights on an investigation into racial disparities in Hillsborough schools. "</w:t>
      </w:r>
      <w:r w:rsidRPr="00FC115B">
        <w:rPr>
          <w:rStyle w:val="StyleUnderline"/>
        </w:rPr>
        <w:t xml:space="preserve">They're learning their craft at the expense of kids. They really are." The Tampa Bay Times looked at an annual spreadsheet of school employees that includes pay and length of service in the local district. </w:t>
      </w:r>
      <w:r w:rsidRPr="00FC115B">
        <w:t xml:space="preserve">About 10 percent could not be verified, as some employees exempt their work locations for security reasons. </w:t>
      </w:r>
      <w:r w:rsidRPr="00FC115B">
        <w:rPr>
          <w:rStyle w:val="StyleUnderline"/>
        </w:rPr>
        <w:t>The results</w:t>
      </w:r>
      <w:r w:rsidRPr="00FC115B">
        <w:t xml:space="preserve">, nonetheless, </w:t>
      </w:r>
      <w:r w:rsidRPr="00FC115B">
        <w:rPr>
          <w:rStyle w:val="StyleUnderline"/>
        </w:rPr>
        <w:t xml:space="preserve">highlighted a trend that district leaders say is widespread, and that they are working to address. "Every large urban school district I've ever worked in — </w:t>
      </w:r>
      <w:r w:rsidRPr="00FC115B">
        <w:t xml:space="preserve">Charlotte, Orlando, Chicago </w:t>
      </w:r>
      <w:r w:rsidRPr="00FC115B">
        <w:rPr>
          <w:rStyle w:val="StyleUnderline"/>
        </w:rPr>
        <w:t>— it's been a challenge to get experienced teachers at your high-needs schools," said Harrison Peters, the district's new chief of schools. "The comforting thing is we're having those conversations, and I haven't heard that conversation to that level in other school districts.</w:t>
      </w:r>
      <w:r w:rsidRPr="00FC115B">
        <w:t xml:space="preserve"> The superintendent has tasked us to get in the room and you don't come out until you have an answer." The Times' analysis focused on Potter and the other six Elevate schools because superintendent Jeff Eakins vowed to give that group extra attention and resources to correct years of subpar performance. All but McLane Middle are in East Tampa or Sulphur Springs. McLane is in Brandon, but serves many East Tampa students because of a decades-old busing system. The numbers showed a preponderance of teachers, of varying ages, who entered the system this year: 34 percent at Sligh Middle, 38 percent at McLane, 42 percent at Booker T. Washington Elementary. </w:t>
      </w:r>
      <w:r w:rsidRPr="00FC115B">
        <w:rPr>
          <w:rStyle w:val="StyleUnderline"/>
        </w:rPr>
        <w:t>There also were large numbers of teachers with three years of experience or less. While research is mixed on teacher experience, the general consensus is that most need at least three years to master the job, and sometimes five to 10. The Times, in its calculations, omitted non-classroom positions such as reading coaches —</w:t>
      </w:r>
      <w:r w:rsidRPr="00FC115B">
        <w:t xml:space="preserve"> a step that assistant superintendent Tricia McManus, who is in charge of leadership development, considered a shortcoming. Coaches and resource teachers often work side-by-side with the new teachers, even helping them create lesson plans, she said</w:t>
      </w:r>
      <w:r w:rsidRPr="00FC115B">
        <w:rPr>
          <w:rStyle w:val="StyleUnderline"/>
        </w:rPr>
        <w:t>. The analysis compared the seven high-poverty schools to several largely white, higher-income schools. At Bevis Elementary in FishHawk Ranch and Mabry Elementary in South Tampa, fewer than 5 percent of the teachers were brand new. McManus said there are logical reasons for the disparity, including the fact that, to improve education at the Elevate schools</w:t>
      </w:r>
      <w:r w:rsidRPr="00FC115B">
        <w:t>, Eakins assigned new principals to most of them in the past year. A former principal herself, McManus said that when a school changes leaders, there is often turnover in teachers. But, while that would explain the transfers, it does not explain why so many are new to the district. Stephanie Baxter-Jenkins, executive director of the teachers union, said much comes down to teacher choice, and those in high demand often prefer a stable school over one that changes principals often. "</w:t>
      </w:r>
      <w:r w:rsidRPr="00FC115B">
        <w:rPr>
          <w:rStyle w:val="StyleUnderline"/>
        </w:rPr>
        <w:t>Leadership is at least as important as money," she said. District leaders have been brainstorming in recent weeks about how to attract more seasoned teachers to their highest-needs schools. Possible strategies include enlisting teachers in groups to move from a middle-income school to a high-poverty school, and helping pay for graduate school for teachers who are on track to become principals</w:t>
      </w:r>
      <w:r w:rsidRPr="00FC115B">
        <w:t>. Peters wants to reach out to the community and celebrate Elevate teachers with cruises and other rewards. "We need to see them on billboards," he said. "We need to be giving cars away." He also said it would be unfair to dismiss the value of new, young teachers "because they bring an excitement, an energy and a brand new perspective." In the human resources department, a new screening process sifts through applicants to make sure a teacher is comfortable in a high-minority, high-poverty setting before referring that teacher for an interview. McManus said she also hopes the recently appointed principals — some of them new to the job — will stay at least three years, which is about how long it takes for a school staff to coalesce as a team. Already, the district is seeing positive results with first-time principal Dina Langston at McLane and Shellie Blackwood-Green at Sligh. "This is Jeff's vision," McManus said, referring to superintendent Eakins. "We will have all of these schools successful. We will."</w:t>
      </w:r>
    </w:p>
    <w:p w:rsidR="00854F36" w:rsidRDefault="00854F36" w:rsidP="00854F36">
      <w:pPr>
        <w:pStyle w:val="Heading4"/>
      </w:pPr>
      <w:r>
        <w:t>Legislative inaction is the main driver behind school equity.</w:t>
      </w:r>
    </w:p>
    <w:p w:rsidR="00854F36" w:rsidRDefault="00854F36" w:rsidP="00854F36">
      <w:r>
        <w:t xml:space="preserve">Madeline </w:t>
      </w:r>
      <w:r w:rsidRPr="00187675">
        <w:rPr>
          <w:b/>
          <w:iCs/>
        </w:rPr>
        <w:t>Davis</w:t>
      </w:r>
      <w:r>
        <w:t xml:space="preserve">. 6 Juris Doctor Candidate at the University of Illinois College of Law and the Electronic Media Editor for the University of Illinois Law Review. </w:t>
      </w:r>
      <w:r w:rsidRPr="00187675">
        <w:rPr>
          <w:rFonts w:eastAsiaTheme="majorEastAsia" w:cstheme="majorBidi"/>
          <w:b/>
          <w:iCs/>
          <w:sz w:val="26"/>
        </w:rPr>
        <w:t>2016</w:t>
      </w:r>
      <w:r>
        <w:rPr>
          <w:rFonts w:eastAsiaTheme="majorEastAsia" w:cstheme="majorBidi"/>
          <w:b/>
          <w:iCs/>
          <w:sz w:val="26"/>
        </w:rPr>
        <w:t>. “</w:t>
      </w:r>
      <w:r>
        <w:t xml:space="preserve">Off the Constitutional Map: Breaking the Endless Cycle of School Finance Litigation” Brigham Young University Education and Law Journal. Lexis Nexus. </w:t>
      </w:r>
    </w:p>
    <w:p w:rsidR="00854F36" w:rsidRPr="001A3375" w:rsidRDefault="00854F36" w:rsidP="00854F36">
      <w:r w:rsidRPr="001A3375">
        <w:t xml:space="preserve">From an </w:t>
      </w:r>
      <w:r w:rsidRPr="001A3375">
        <w:rPr>
          <w:rStyle w:val="StyleUnderline"/>
          <w:highlight w:val="yellow"/>
        </w:rPr>
        <w:t>examination of these three representative states, one can see the basic issue is legislative inaction</w:t>
      </w:r>
      <w:r w:rsidRPr="001A3375">
        <w:rPr>
          <w:highlight w:val="yellow"/>
        </w:rPr>
        <w:t>.</w:t>
      </w:r>
      <w:r w:rsidRPr="001A3375">
        <w:t xml:space="preserve"> n207 </w:t>
      </w:r>
      <w:r w:rsidRPr="001A3375">
        <w:rPr>
          <w:rStyle w:val="StyleUnderline"/>
          <w:highlight w:val="yellow"/>
        </w:rPr>
        <w:t>Despite increasingly successful lawsuits, great strides are not being made because legislatures rarely follow through</w:t>
      </w:r>
      <w:r w:rsidRPr="001A3375">
        <w:t xml:space="preserve"> and assign additional new funding to schools. n208 They are the only ones that have the power to do so, n209 so the burden falls fully on them. </w:t>
      </w:r>
      <w:r w:rsidRPr="001A3375">
        <w:rPr>
          <w:rStyle w:val="StyleUnderline"/>
          <w:highlight w:val="yellow"/>
        </w:rPr>
        <w:t>Essentially, this renders courts ineffective. Their rulings are no more than empty words if they never enforce their mandates</w:t>
      </w:r>
      <w:r w:rsidRPr="001A3375">
        <w:rPr>
          <w:highlight w:val="yellow"/>
        </w:rPr>
        <w:t>.</w:t>
      </w:r>
      <w:r w:rsidRPr="001A3375">
        <w:t xml:space="preserve"> Because of this perceived inability, a secondary problem has arisen: many courts are giving up on the issue and refusing to do anything.</w:t>
      </w:r>
    </w:p>
    <w:p w:rsidR="00854F36" w:rsidRDefault="00854F36" w:rsidP="00854F36">
      <w:pPr>
        <w:pStyle w:val="Heading4"/>
      </w:pPr>
      <w:r>
        <w:t>Public vote can help the equity</w:t>
      </w:r>
    </w:p>
    <w:p w:rsidR="00854F36" w:rsidRDefault="00854F36" w:rsidP="00854F36">
      <w:r>
        <w:t xml:space="preserve">Madeline </w:t>
      </w:r>
      <w:r w:rsidRPr="00187675">
        <w:rPr>
          <w:b/>
          <w:iCs/>
        </w:rPr>
        <w:t>Davis</w:t>
      </w:r>
      <w:r>
        <w:t xml:space="preserve">. 6 Juris Doctor Candidate at the University of Illinois College of Law and the Electronic Media Editor for the University of Illinois Law Review. </w:t>
      </w:r>
      <w:r w:rsidRPr="00187675">
        <w:rPr>
          <w:rFonts w:eastAsiaTheme="majorEastAsia" w:cstheme="majorBidi"/>
          <w:b/>
          <w:iCs/>
          <w:sz w:val="26"/>
        </w:rPr>
        <w:t>2016</w:t>
      </w:r>
      <w:r>
        <w:rPr>
          <w:rFonts w:eastAsiaTheme="majorEastAsia" w:cstheme="majorBidi"/>
          <w:b/>
          <w:iCs/>
          <w:sz w:val="26"/>
        </w:rPr>
        <w:t>. “</w:t>
      </w:r>
      <w:r>
        <w:t xml:space="preserve">Off the Constitutional Map: Breaking the Endless Cycle of School Finance Litigation” Brigham Young University Education and Law Journal. Lexis Nexus. </w:t>
      </w:r>
    </w:p>
    <w:p w:rsidR="00854F36" w:rsidRPr="001A3375" w:rsidRDefault="00854F36" w:rsidP="00854F36">
      <w:r w:rsidRPr="001A3375">
        <w:rPr>
          <w:rStyle w:val="StyleUnderline"/>
          <w:highlight w:val="yellow"/>
        </w:rPr>
        <w:t xml:space="preserve">Courts could also take the "hopeful" route: hope that the media speaks kindly of their decision; hope that public opinion is on their side; hope that someone puts education funding up to a vote of the people; </w:t>
      </w:r>
      <w:r w:rsidRPr="001A3375">
        <w:t>and hope that the measure passes. This, of course, means the court has no power over anything, and the fate of students is entirely left up to voters. Knowing that these are the same voters that put hesitant legislators in office to begin with does not bode well. As in Ohio, even if this route takes the state up to the point of a referendum, getting the required number of votes in favor can be a challenge</w:t>
      </w:r>
      <w:r w:rsidRPr="001A3375">
        <w:rPr>
          <w:rStyle w:val="StyleUnderline"/>
        </w:rPr>
        <w:t xml:space="preserve">. </w:t>
      </w:r>
      <w:r w:rsidRPr="001A3375">
        <w:rPr>
          <w:rStyle w:val="StyleUnderline"/>
          <w:highlight w:val="yellow"/>
        </w:rPr>
        <w:t>Again, tax hikes are not popular items at the ballot box, and the chronic failure of school levies is often the basis for school finance litigation anyway</w:t>
      </w:r>
      <w:r w:rsidRPr="001A3375">
        <w:t xml:space="preserve">. n224 Even if all the pieces were to fall into place, the legislature may fail to appropriate new money to schools, and simply reallocate the current budget. Further, the serendipitous occurrence of winning a public vote once will likely only solve the funding issues for a period of time. </w:t>
      </w:r>
      <w:r w:rsidRPr="001A3375">
        <w:rPr>
          <w:rStyle w:val="StyleUnderline"/>
          <w:highlight w:val="yellow"/>
        </w:rPr>
        <w:t>With inflation, the increasing educational competitiveness of other nations</w:t>
      </w:r>
      <w:r w:rsidRPr="001A3375">
        <w:rPr>
          <w:rStyle w:val="StyleUnderline"/>
        </w:rPr>
        <w:t>,</w:t>
      </w:r>
      <w:r w:rsidRPr="001A3375">
        <w:t xml:space="preserve"> and the advancing complexity of skills students need as a baseline for entering the adult world, the baseline for "adequate funding" will surely change over time.</w:t>
      </w:r>
    </w:p>
    <w:p w:rsidR="00854F36" w:rsidRDefault="00854F36" w:rsidP="00854F36">
      <w:pPr>
        <w:rPr>
          <w:rFonts w:eastAsiaTheme="majorEastAsia" w:cstheme="majorBidi"/>
          <w:b/>
          <w:iCs/>
        </w:rPr>
      </w:pPr>
      <w:r>
        <w:br w:type="page"/>
      </w:r>
    </w:p>
    <w:p w:rsidR="00854F36" w:rsidRDefault="00854F36" w:rsidP="00854F36">
      <w:pPr>
        <w:pStyle w:val="Heading4"/>
      </w:pPr>
      <w:r>
        <w:t>Courts are generally unwilling to rule in favor of “effective education” or equal protection</w:t>
      </w:r>
    </w:p>
    <w:p w:rsidR="00854F36" w:rsidRPr="00A778D7" w:rsidRDefault="00854F36" w:rsidP="00854F36">
      <w:pPr>
        <w:rPr>
          <w:rStyle w:val="Style13ptBold"/>
          <w:b w:val="0"/>
          <w:sz w:val="16"/>
          <w:szCs w:val="16"/>
        </w:rPr>
      </w:pPr>
      <w:r w:rsidRPr="00A778D7">
        <w:rPr>
          <w:rStyle w:val="Style13ptBold"/>
        </w:rPr>
        <w:t>Harvard Law Review 17</w:t>
      </w:r>
      <w:r w:rsidRPr="00A778D7">
        <w:rPr>
          <w:rStyle w:val="Style13ptBold"/>
          <w:b w:val="0"/>
          <w:sz w:val="16"/>
          <w:szCs w:val="16"/>
        </w:rPr>
        <w:t xml:space="preserve"> Lexis Nexis Pg. 3 Harvard Law Review Association Harvard Law Review March, 2017 Harvard Law Review 130 Harv. L. Rev. 1458 THE MISGUIDED APPEAL OF A MINIMALLY ADEQUATE EDUCATION</w:t>
      </w:r>
    </w:p>
    <w:p w:rsidR="00854F36" w:rsidRDefault="00854F36" w:rsidP="00854F36">
      <w:pPr>
        <w:autoSpaceDE w:val="0"/>
        <w:autoSpaceDN w:val="0"/>
        <w:adjustRightInd w:val="0"/>
        <w:spacing w:after="0" w:line="240" w:lineRule="auto"/>
        <w:rPr>
          <w:rFonts w:asciiTheme="minorHAnsi" w:hAnsiTheme="minorHAnsi" w:cs="Times New Roman"/>
          <w:sz w:val="8"/>
          <w:szCs w:val="24"/>
        </w:rPr>
      </w:pPr>
      <w:r w:rsidRPr="00A248C9">
        <w:rPr>
          <w:rStyle w:val="StyleUnderline"/>
          <w:highlight w:val="yellow"/>
        </w:rPr>
        <w:t>In Vergara v. State, n37 a group of nine plaintiffs</w:t>
      </w:r>
      <w:r w:rsidRPr="00457C1A">
        <w:rPr>
          <w:rFonts w:asciiTheme="minorHAnsi" w:hAnsiTheme="minorHAnsi" w:cs="Times New Roman"/>
          <w:sz w:val="8"/>
          <w:szCs w:val="24"/>
        </w:rPr>
        <w:t xml:space="preserve"> -- backed by the [*1463] nonprofit organization Students Matter n38 -- </w:t>
      </w:r>
      <w:r w:rsidRPr="00A248C9">
        <w:rPr>
          <w:rStyle w:val="StyleUnderline"/>
          <w:highlight w:val="yellow"/>
        </w:rPr>
        <w:t>challenged California state laws</w:t>
      </w:r>
      <w:r w:rsidRPr="00457C1A">
        <w:rPr>
          <w:rFonts w:asciiTheme="minorHAnsi" w:hAnsiTheme="minorHAnsi" w:cs="Times New Roman"/>
          <w:sz w:val="8"/>
          <w:szCs w:val="24"/>
        </w:rPr>
        <w:t xml:space="preserve"> governing teacher tenure, dismissal, and layoffs. n39 Though </w:t>
      </w:r>
      <w:r w:rsidRPr="00A248C9">
        <w:rPr>
          <w:rStyle w:val="StyleUnderline"/>
          <w:highlight w:val="yellow"/>
        </w:rPr>
        <w:t>the plaintiffs' claims sounded in equal protection</w:t>
      </w:r>
      <w:r w:rsidRPr="00457C1A">
        <w:rPr>
          <w:rFonts w:asciiTheme="minorHAnsi" w:hAnsiTheme="minorHAnsi" w:cs="Times New Roman"/>
          <w:sz w:val="8"/>
          <w:szCs w:val="24"/>
        </w:rPr>
        <w:t xml:space="preserve">, the gravamen of </w:t>
      </w:r>
      <w:r w:rsidRPr="00A248C9">
        <w:rPr>
          <w:rStyle w:val="StyleUnderline"/>
          <w:highlight w:val="yellow"/>
        </w:rPr>
        <w:t>their complaint was that the laws "prevent[ed] California's schools from providing an effective education to all of their students as guaranteed by the California Constitution."</w:t>
      </w:r>
      <w:r w:rsidRPr="00A248C9">
        <w:rPr>
          <w:rStyle w:val="StyleUnderline"/>
        </w:rPr>
        <w:t xml:space="preserve"> </w:t>
      </w:r>
      <w:r w:rsidRPr="00457C1A">
        <w:rPr>
          <w:rFonts w:asciiTheme="minorHAnsi" w:hAnsiTheme="minorHAnsi" w:cs="Times New Roman"/>
          <w:sz w:val="8"/>
          <w:szCs w:val="24"/>
        </w:rPr>
        <w:t xml:space="preserve">n40 In other words, the suit "state[d] a claim that </w:t>
      </w:r>
      <w:r w:rsidRPr="00A248C9">
        <w:rPr>
          <w:rStyle w:val="StyleUnderline"/>
          <w:highlight w:val="yellow"/>
        </w:rPr>
        <w:t>the teacher tenure and dismissal statutes, to the extent they lead to the hiring and retention of grossly ineffective teachers, violate students' fundamental right to education</w:t>
      </w:r>
      <w:r w:rsidRPr="00457C1A">
        <w:rPr>
          <w:rFonts w:asciiTheme="minorHAnsi" w:hAnsiTheme="minorHAnsi" w:cs="Times New Roman"/>
          <w:sz w:val="8"/>
          <w:szCs w:val="24"/>
        </w:rPr>
        <w:t xml:space="preserve">." n41 Specifically, the plaintiffs contended that the statutes caused "a certain number of grossly ineffective teachers" to "obtain permanent employment within the California public school system, and retain employment despite their grossly ineffective performance," thereby imposing "a real and appreciably negative impact" on students' education. n42 </w:t>
      </w:r>
      <w:r w:rsidRPr="00A248C9">
        <w:rPr>
          <w:rStyle w:val="StyleUnderline"/>
          <w:highlight w:val="yellow"/>
        </w:rPr>
        <w:t>The plaintiffs further argued that students of color and students from low-income backgrounds disproportionately bore the brunt of such "grossly ineffective" teachers.</w:t>
      </w:r>
      <w:r w:rsidRPr="00A248C9">
        <w:rPr>
          <w:rStyle w:val="StyleUnderline"/>
        </w:rPr>
        <w:t xml:space="preserve"> </w:t>
      </w:r>
      <w:r w:rsidRPr="00457C1A">
        <w:rPr>
          <w:rFonts w:asciiTheme="minorHAnsi" w:hAnsiTheme="minorHAnsi" w:cs="Times New Roman"/>
          <w:sz w:val="8"/>
          <w:szCs w:val="24"/>
        </w:rPr>
        <w:t xml:space="preserve">n43 Accordingly, </w:t>
      </w:r>
      <w:r w:rsidRPr="00A248C9">
        <w:rPr>
          <w:rStyle w:val="StyleUnderline"/>
          <w:highlight w:val="yellow"/>
        </w:rPr>
        <w:t>the plaintiffs urged the court to apply strict scrutiny to the challenged statutes.</w:t>
      </w:r>
      <w:r w:rsidRPr="00457C1A">
        <w:rPr>
          <w:rFonts w:asciiTheme="minorHAnsi" w:hAnsiTheme="minorHAnsi" w:cs="Times New Roman"/>
          <w:sz w:val="8"/>
          <w:szCs w:val="24"/>
        </w:rPr>
        <w:t xml:space="preserve"> n44 Agreeing that strict scrutiny was warranted, n45 the trial court determined that the statutes could not survive such stringent review. n46 A unanimous panel of the court of appeal reversed. n47 </w:t>
      </w:r>
      <w:r w:rsidRPr="00A248C9">
        <w:rPr>
          <w:rStyle w:val="StyleUnderline"/>
          <w:highlight w:val="yellow"/>
        </w:rPr>
        <w:t>Starting with plaintiffs' contention</w:t>
      </w:r>
      <w:r w:rsidRPr="00457C1A">
        <w:rPr>
          <w:rFonts w:asciiTheme="minorHAnsi" w:hAnsiTheme="minorHAnsi" w:cs="Times New Roman"/>
          <w:sz w:val="8"/>
          <w:szCs w:val="24"/>
        </w:rPr>
        <w:t xml:space="preserve"> that "an 'unlucky subset' of the general </w:t>
      </w:r>
      <w:r w:rsidRPr="00A248C9">
        <w:rPr>
          <w:rStyle w:val="StyleUnderline"/>
          <w:highlight w:val="yellow"/>
        </w:rPr>
        <w:t>student population [of California] . . . is denied the fundamental right to basic educational equality"</w:t>
      </w:r>
      <w:r w:rsidRPr="00A248C9">
        <w:rPr>
          <w:rStyle w:val="StyleUnderline"/>
        </w:rPr>
        <w:t xml:space="preserve"> </w:t>
      </w:r>
      <w:r w:rsidRPr="00457C1A">
        <w:rPr>
          <w:rFonts w:asciiTheme="minorHAnsi" w:hAnsiTheme="minorHAnsi" w:cs="Times New Roman"/>
          <w:sz w:val="8"/>
          <w:szCs w:val="24"/>
        </w:rPr>
        <w:t xml:space="preserve">on account of being "assigned to grossly ineffective teachers," the court determined that this argument stumbled out of the gate. n48 "In equal protection analysis," the court reasoned, "the threshold question is whether the legislation under attack somehow [*1464] discriminates against an identifiable class of persons." n49 And, </w:t>
      </w:r>
      <w:r w:rsidRPr="00457C1A">
        <w:rPr>
          <w:rStyle w:val="StyleUnderline"/>
          <w:highlight w:val="yellow"/>
        </w:rPr>
        <w:t>the court maintained, allegedly being denied the same fundamental right cannot supply the unifying characteristic by which to identify a class.</w:t>
      </w:r>
      <w:r w:rsidRPr="00457C1A">
        <w:rPr>
          <w:rFonts w:asciiTheme="minorHAnsi" w:hAnsiTheme="minorHAnsi" w:cs="Times New Roman"/>
          <w:sz w:val="8"/>
          <w:szCs w:val="24"/>
        </w:rPr>
        <w:t xml:space="preserve"> n50 Next, the court turned to plaintiffs' argument that "poor and minority students . . . suffered disproportionate harm from being assigned to grossly ineffective teachers." n51 Having earlier noted that the plaintiffs challenged the statutes on their face rather than as they were applied, n52 the court emphasized that the plaintiffs therefore had the burden of "demonstrat[ing] that the [statutes'] provisions inevitably pose a present total and fatal conflict with applicable constitutional provisions." n53 And the evidence presented at trial, the court concluded, failed to carry the plaintiffs' burden: rather, the record showed that "administrative decisions (in conjunction with other factors)" -- rather than the statutes themselves -- ultimately "determine where teachers are assigned throughout a district." n54</w:t>
      </w:r>
    </w:p>
    <w:p w:rsidR="00854F36" w:rsidRDefault="00854F36" w:rsidP="00854F36">
      <w:pPr>
        <w:autoSpaceDE w:val="0"/>
        <w:autoSpaceDN w:val="0"/>
        <w:adjustRightInd w:val="0"/>
        <w:spacing w:after="0" w:line="240" w:lineRule="auto"/>
        <w:rPr>
          <w:rFonts w:asciiTheme="minorHAnsi" w:hAnsiTheme="minorHAnsi" w:cs="Times New Roman"/>
          <w:sz w:val="8"/>
          <w:szCs w:val="24"/>
        </w:rPr>
      </w:pPr>
    </w:p>
    <w:p w:rsidR="00854F36" w:rsidRDefault="00854F36" w:rsidP="00854F36">
      <w:pPr>
        <w:pStyle w:val="Heading4"/>
      </w:pPr>
      <w:r>
        <w:t>Definition of “minimally adequate education” should be left to elected policymakers instead of the courts</w:t>
      </w:r>
    </w:p>
    <w:p w:rsidR="00854F36" w:rsidRPr="00A778D7" w:rsidRDefault="00854F36" w:rsidP="00854F36">
      <w:pPr>
        <w:rPr>
          <w:rStyle w:val="Style13ptBold"/>
          <w:b w:val="0"/>
          <w:sz w:val="16"/>
          <w:szCs w:val="16"/>
        </w:rPr>
      </w:pPr>
      <w:r w:rsidRPr="00A778D7">
        <w:rPr>
          <w:rStyle w:val="Style13ptBold"/>
        </w:rPr>
        <w:t>Harvard Law Review 17</w:t>
      </w:r>
      <w:r w:rsidRPr="00A778D7">
        <w:rPr>
          <w:rStyle w:val="Style13ptBold"/>
          <w:b w:val="0"/>
          <w:sz w:val="16"/>
          <w:szCs w:val="16"/>
        </w:rPr>
        <w:t xml:space="preserve"> Lexis Nexis Pg. 3 Harvard Law Review Association Harvard Law Review March, 2017 Harvard Law Review 130 Harv. L. Rev. 1458 THE MISGUIDED APPEAL OF A MINIMALLY ADEQUATE EDUCATION</w:t>
      </w:r>
    </w:p>
    <w:p w:rsidR="00854F36" w:rsidRDefault="00854F36" w:rsidP="00854F36">
      <w:pPr>
        <w:autoSpaceDE w:val="0"/>
        <w:autoSpaceDN w:val="0"/>
        <w:adjustRightInd w:val="0"/>
        <w:spacing w:after="0" w:line="240" w:lineRule="auto"/>
        <w:rPr>
          <w:rFonts w:cs="Times New Roman"/>
          <w:sz w:val="8"/>
          <w:szCs w:val="24"/>
        </w:rPr>
      </w:pPr>
      <w:r w:rsidRPr="00DF0BC2">
        <w:rPr>
          <w:rStyle w:val="StyleUnderline"/>
          <w:highlight w:val="yellow"/>
        </w:rPr>
        <w:t>The inherent difficulty of defining what precisely constitutes a minimally adequate education suggests that this task should be left to democratically elected officials and their appointed policymakers.</w:t>
      </w:r>
      <w:r w:rsidRPr="00BE4D8C">
        <w:rPr>
          <w:rFonts w:cs="Times New Roman"/>
          <w:sz w:val="8"/>
          <w:szCs w:val="24"/>
        </w:rPr>
        <w:t xml:space="preserve"> This is not a novel proposition: courts routinely defer to the politically accountable branches when faced with difficult policy questions, not only because </w:t>
      </w:r>
      <w:r w:rsidRPr="00DF0BC2">
        <w:rPr>
          <w:rStyle w:val="StyleUnderline"/>
          <w:highlight w:val="yellow"/>
        </w:rPr>
        <w:t>the judiciary is ill-suited to answer such questions</w:t>
      </w:r>
      <w:r w:rsidRPr="00BE4D8C">
        <w:rPr>
          <w:rFonts w:cs="Times New Roman"/>
          <w:sz w:val="8"/>
          <w:szCs w:val="24"/>
        </w:rPr>
        <w:t xml:space="preserve">, but also because the selection of one policy preference over another tends to demand the voice of the electorate. n117 Though courts should not, of course, shirk their duty to uphold constitutional rights -- especially when the rights of minority groups are at stake n118 -- it is well settled that </w:t>
      </w:r>
      <w:r w:rsidRPr="00DF0BC2">
        <w:rPr>
          <w:rStyle w:val="StyleUnderline"/>
          <w:highlight w:val="yellow"/>
        </w:rPr>
        <w:t>courts should tread lightly when asked to exercise "nonjudicial discretion"</w:t>
      </w:r>
      <w:r w:rsidRPr="00BE4D8C">
        <w:rPr>
          <w:rFonts w:cs="Times New Roman"/>
          <w:sz w:val="8"/>
          <w:szCs w:val="24"/>
        </w:rPr>
        <w:t xml:space="preserve"> or otherwise "express[] lack of the respect due coordinate branches of government." n119 Yet the judicial recognition of the right to a minimally adequate education facilitates, if not expressly contemplates, an impermissibly [*1473] expansive role for courts in substantive policymaking. n120 Although courts have rightly waded into legislative waters to invalidate overtly invidious state action, n121 </w:t>
      </w:r>
      <w:r w:rsidRPr="00BE4D8C">
        <w:rPr>
          <w:rStyle w:val="StyleUnderline"/>
          <w:highlight w:val="yellow"/>
        </w:rPr>
        <w:t>the burst of Vergara copycat suits n122 suggests that minimal educational adequacy is a principle of inherently unlimited scope and dimension</w:t>
      </w:r>
      <w:r w:rsidRPr="00BE4D8C">
        <w:rPr>
          <w:rFonts w:cs="Times New Roman"/>
          <w:sz w:val="8"/>
          <w:szCs w:val="24"/>
        </w:rPr>
        <w:t xml:space="preserve">. Rather than providing a pathway for traditionally marginalized students to rectify deficiencies in their education, the right to a minimally adequate education is more likely to provide a legislative shortcut for those who have the means to bring such complex litigation. It thereby risks advancing the political agenda of a few rather than fostering a democratic consensus derived, at least in theory, from the policy preferences of many citizens. </w:t>
      </w:r>
      <w:r w:rsidRPr="00BE4D8C">
        <w:rPr>
          <w:rStyle w:val="StyleUnderline"/>
          <w:highlight w:val="yellow"/>
        </w:rPr>
        <w:t>Concerns for democratic decisionmaking may be particularly pronounced in the context of public education, where various nongovernmental actors wield sizable influence.</w:t>
      </w:r>
      <w:r w:rsidRPr="00BE4D8C">
        <w:rPr>
          <w:rFonts w:cs="Times New Roman"/>
          <w:sz w:val="8"/>
          <w:szCs w:val="24"/>
        </w:rPr>
        <w:t xml:space="preserve"> Indeed, Professor Megan Tompkins-Stange notes that "[d]uring the past ten years, foundation involvement in policy has become highly visible, . . . to a degree not seen since the 1960s." n123 This uptick in private-sector involvement in </w:t>
      </w:r>
      <w:r w:rsidRPr="00BE4D8C">
        <w:rPr>
          <w:rStyle w:val="StyleUnderline"/>
          <w:highlight w:val="yellow"/>
        </w:rPr>
        <w:t>public education has been characterized not only by the seductive notion that there is a plainly right way to educate</w:t>
      </w:r>
      <w:r w:rsidRPr="00BE4D8C">
        <w:rPr>
          <w:rFonts w:cs="Times New Roman"/>
          <w:sz w:val="8"/>
          <w:szCs w:val="24"/>
        </w:rPr>
        <w:t>, but also by a concerted effort "to avoid the often dysfunctional political dynamics of government bureaucracies to advance desired policy targets more quickly and efficiently" n124 -- thus "elevating the preferences of private interests with few structured accountability mechanisms."</w:t>
      </w:r>
    </w:p>
    <w:p w:rsidR="00854F36" w:rsidRDefault="00854F36" w:rsidP="00854F36">
      <w:pPr>
        <w:autoSpaceDE w:val="0"/>
        <w:autoSpaceDN w:val="0"/>
        <w:adjustRightInd w:val="0"/>
        <w:spacing w:after="0" w:line="240" w:lineRule="auto"/>
        <w:rPr>
          <w:rFonts w:cs="Times New Roman"/>
          <w:sz w:val="8"/>
          <w:szCs w:val="24"/>
        </w:rPr>
      </w:pPr>
    </w:p>
    <w:p w:rsidR="00854F36" w:rsidRPr="00BE4D8C" w:rsidRDefault="00854F36" w:rsidP="00854F36">
      <w:pPr>
        <w:autoSpaceDE w:val="0"/>
        <w:autoSpaceDN w:val="0"/>
        <w:adjustRightInd w:val="0"/>
        <w:spacing w:after="0" w:line="240" w:lineRule="auto"/>
        <w:rPr>
          <w:rFonts w:cs="Times New Roman"/>
          <w:sz w:val="8"/>
          <w:szCs w:val="24"/>
        </w:rPr>
      </w:pPr>
    </w:p>
    <w:p w:rsidR="00854F36" w:rsidRPr="00612699" w:rsidRDefault="00854F36" w:rsidP="00854F36"/>
    <w:p w:rsidR="00854F36" w:rsidRPr="002713C2" w:rsidRDefault="00854F36" w:rsidP="00854F36">
      <w:pPr>
        <w:pStyle w:val="Heading3"/>
        <w:rPr>
          <w:rStyle w:val="Style13ptBold"/>
          <w:b/>
          <w:sz w:val="32"/>
          <w:szCs w:val="32"/>
          <w:u w:val="single"/>
        </w:rPr>
      </w:pPr>
      <w:r w:rsidRPr="002713C2">
        <w:rPr>
          <w:rStyle w:val="Style13ptBold"/>
          <w:b/>
          <w:sz w:val="32"/>
          <w:szCs w:val="32"/>
          <w:u w:val="single"/>
        </w:rPr>
        <w:t>Aff not enough</w:t>
      </w:r>
    </w:p>
    <w:p w:rsidR="00854F36" w:rsidRPr="00B1453B" w:rsidRDefault="00854F36" w:rsidP="00854F36">
      <w:pPr>
        <w:pStyle w:val="Heading4"/>
        <w:spacing w:line="240" w:lineRule="auto"/>
        <w:contextualSpacing/>
        <w:rPr>
          <w:rStyle w:val="Style13ptBold"/>
          <w:b/>
        </w:rPr>
      </w:pPr>
      <w:r w:rsidRPr="00B1453B">
        <w:rPr>
          <w:rStyle w:val="Style13ptBold"/>
          <w:b/>
        </w:rPr>
        <w:t>The aff isn’t enough to create equality</w:t>
      </w:r>
    </w:p>
    <w:p w:rsidR="00854F36" w:rsidRDefault="00854F36" w:rsidP="00854F36">
      <w:pPr>
        <w:spacing w:line="240" w:lineRule="auto"/>
        <w:contextualSpacing/>
      </w:pPr>
      <w:r w:rsidRPr="00BC2E34">
        <w:rPr>
          <w:rStyle w:val="Style13ptBold"/>
        </w:rPr>
        <w:t>Lauchner</w:t>
      </w:r>
      <w:r w:rsidRPr="00BC2E34">
        <w:t xml:space="preserve">, Craig. </w:t>
      </w:r>
      <w:r w:rsidRPr="00BC2E34">
        <w:rPr>
          <w:rStyle w:val="Style13ptBold"/>
        </w:rPr>
        <w:t>2017.</w:t>
      </w:r>
      <w:r w:rsidRPr="00BC2E34">
        <w:t xml:space="preserve"> "The Human Right to Education: Mercosur Commitment and Economic Inequality." Texas International Law Journal 52, no. 1: 145-162. Academic Search Complete, EBSCOhost (accessed June 18, 2017).</w:t>
      </w:r>
    </w:p>
    <w:p w:rsidR="00854F36" w:rsidRPr="00B1453B" w:rsidRDefault="00854F36" w:rsidP="00854F36">
      <w:pPr>
        <w:spacing w:line="240" w:lineRule="auto"/>
        <w:contextualSpacing/>
      </w:pPr>
      <w:r w:rsidRPr="00B1453B">
        <w:t xml:space="preserve">The fact that inequality has stagnated in Latin America may be owed in part to the nature of human rights. Samuel Moyn argues that the human rights framework fails altogether to offer a solution to economic inequality.112 From Moyn’s perspective, human rights developed contemporaneously with, and against a common background of, neoliberalism.111 The rise of both at the same point in history is demonstrative, according to Moyn, of the fact that human rights are concerned with gross abuses by the state and the establishment of a basic floor of rights, both of which Moyn argues can be achieved in spite of radical economic inequality.114 The harmony of the two is owed to the absence of a ceiling on wealth; the relative wealth gap between the rich and poor is not a concern present in the legal regimes or social movements that champion human rights. 115 Moyn’s theory appears to hold true when applied to Mercosur efforts in promoting the human right to education to combat inequality. In the three-phase SEM roll out, the focus on primary and secondary education can be viewed as the establishment of a floor of protection. Mercosur nations take this human right seriously. Their sincerity is demonstrated by their judicial enforcement of the right to education. 115 </w:t>
      </w:r>
      <w:r w:rsidRPr="00B1453B">
        <w:rPr>
          <w:rStyle w:val="StyleUnderline"/>
        </w:rPr>
        <w:t>When governments have failed to meet their human rights obligation to a particular segment of society, litigation has worked to ensure the right. 117 But this litigation has typically fought to acquire only a basic level of educational access for a particular poor community. 118 In essence, what is judicially enforceable is the floor of protection but not the right to equal education. The danger with the focus on the floor is that a basic safety net couched in human rights language permits policymakers to ignore the unequal benefits enjoyed by the citizens at the top of the ladder when the rights of those at the bottom are not being fully realized</w:t>
      </w:r>
      <w:r w:rsidRPr="00B1453B">
        <w:t xml:space="preserve">. 119 </w:t>
      </w:r>
      <w:r w:rsidRPr="00B1453B">
        <w:rPr>
          <w:rStyle w:val="StyleUnderline"/>
        </w:rPr>
        <w:t>Primary and secondary educational floors can be established while prescribing no limit to the economic mobility and academic recognition of the privileged that continue to flourish as a result of public investment in their elite tertiary education. If ensuring the access to education is the floor, continued increases in investments primarily benefitting the wealthy can be viewed as a failure to place a ceiling on the rich’s accumulation of educational resource</w:t>
      </w:r>
      <w:r w:rsidRPr="00B1453B">
        <w:t xml:space="preserve">s. While the right to education has long been championed in Latin America, Mercosur’s history nevertheless fits the narrative that human rights were only advocated in an effort to weaken the harsh blow of neoliberal economic policies. 1211 Mercosur was, after all, born during the height of Latin America’s neoliberal era with the main purpose of promoting free trade and the fluid movement of goods, people and currency, 121 and even its social pursuits cannot escape such a context. The argument that the wealthy reap the most benefits from human rights protections is not new. A similar argument has been made in the context of right to health litigation in Latin America.122 Many of the newly drafted Latin American constitutions of the late 20th century included Socio-Economic Rights (SER) regimes intended to mitigate the harshness of the neoliberal economic and political systems they were ushering in.123 If the intent of these SER regimes was the distribution of social goods, then the overall effect of enforcing these rights should not be to “reinforce privilege.”124 Yet, where SER regimes are judicially enforceable, individuals need access to resources in order to successfully bring their claims,125 resulting in a right enforceable only for the upper and middle classes. In response to this argument, Brinks and Forbath point out that such a view assumes that we are dealing with the allocation of scarce resources in a zero-sum environment where if the rich are consistently the winners, then the concentration of public health resources shifts in favor of the wealthy litigant class to the detriment of the poor.12" It is important, they argue, to consider the effects of group litigation as well as the leverage individual cases can have systemically.127 Individual claims, made by rich and poor alike, lead to benefits for people wholly uninvolved in that particular litigation.121' The wealthy may benefit from the realization of certain human rights, but SER are not a zero-sum game; benefits for the wealthy do not preclude benefits for the poor.12'1 As with the judicial enforceability of SER, regional initiatives and domestic programs on education are not a zero-sum game. </w:t>
      </w:r>
      <w:r w:rsidRPr="00B1453B">
        <w:rPr>
          <w:rStyle w:val="StyleUnderline"/>
        </w:rPr>
        <w:t>There are benefits to society as a whole for increased spending on education in an effort to ensure the human right to education. Floors are necessary, but they do not appear sufficient to effectively combat inequality</w:t>
      </w:r>
    </w:p>
    <w:p w:rsidR="00854F36" w:rsidRDefault="00854F36" w:rsidP="00854F36">
      <w:pPr>
        <w:spacing w:line="240" w:lineRule="auto"/>
        <w:contextualSpacing/>
      </w:pPr>
    </w:p>
    <w:p w:rsidR="00854F36" w:rsidRDefault="00854F36" w:rsidP="00854F36">
      <w:pPr>
        <w:spacing w:line="240" w:lineRule="auto"/>
        <w:contextualSpacing/>
      </w:pPr>
    </w:p>
    <w:p w:rsidR="00854F36" w:rsidRDefault="00854F36" w:rsidP="00854F36">
      <w:pPr>
        <w:rPr>
          <w:rFonts w:eastAsiaTheme="majorEastAsia" w:cstheme="majorBidi"/>
          <w:b/>
          <w:iCs/>
        </w:rPr>
      </w:pPr>
      <w:r>
        <w:br w:type="page"/>
      </w:r>
    </w:p>
    <w:p w:rsidR="00854F36" w:rsidRDefault="00854F36" w:rsidP="00854F36">
      <w:pPr>
        <w:pStyle w:val="Heading4"/>
      </w:pPr>
      <w:r>
        <w:t>Common Core is needed for true equity</w:t>
      </w:r>
    </w:p>
    <w:p w:rsidR="00854F36" w:rsidRDefault="00854F36" w:rsidP="00854F36">
      <w:pPr>
        <w:shd w:val="clear" w:color="auto" w:fill="FFFFFF"/>
        <w:rPr>
          <w:rFonts w:asciiTheme="majorHAnsi" w:eastAsia="Times New Roman" w:hAnsiTheme="majorHAnsi"/>
          <w:u w:val="single"/>
        </w:rPr>
      </w:pPr>
      <w:r w:rsidRPr="00782742">
        <w:rPr>
          <w:rStyle w:val="Style13ptBold"/>
        </w:rPr>
        <w:t>Tahkar 2015</w:t>
      </w:r>
      <w:r w:rsidRPr="00E70C32">
        <w:rPr>
          <w:rStyle w:val="Style13ptBold"/>
          <w:b w:val="0"/>
        </w:rPr>
        <w:t>, graduate of</w:t>
      </w:r>
      <w:r w:rsidRPr="00E70C32">
        <w:rPr>
          <w:rStyle w:val="Style13ptBold"/>
        </w:rPr>
        <w:t xml:space="preserve"> </w:t>
      </w:r>
      <w:r w:rsidRPr="00E70C32">
        <w:rPr>
          <w:rFonts w:asciiTheme="majorHAnsi" w:eastAsia="Times New Roman" w:hAnsiTheme="majorHAnsi"/>
        </w:rPr>
        <w:t xml:space="preserve">University of California Hastings College of the </w:t>
      </w:r>
      <w:r w:rsidRPr="009F1D8E">
        <w:rPr>
          <w:rFonts w:asciiTheme="majorHAnsi" w:eastAsia="Times New Roman" w:hAnsiTheme="majorHAnsi"/>
        </w:rPr>
        <w:t>Law</w:t>
      </w:r>
      <w:r w:rsidRPr="00E70C32">
        <w:rPr>
          <w:rFonts w:asciiTheme="majorHAnsi" w:eastAsia="Times New Roman" w:hAnsiTheme="majorHAnsi"/>
        </w:rPr>
        <w:t xml:space="preserve">, </w:t>
      </w:r>
      <w:r w:rsidRPr="00E70C32">
        <w:rPr>
          <w:rFonts w:asciiTheme="majorHAnsi" w:eastAsia="Times New Roman" w:hAnsiTheme="majorHAnsi"/>
          <w:u w:val="single"/>
        </w:rPr>
        <w:t xml:space="preserve">Hastings Women's Law Journal </w:t>
      </w:r>
      <w:r w:rsidRPr="009F1D8E">
        <w:rPr>
          <w:rFonts w:asciiTheme="majorHAnsi" w:eastAsia="Times New Roman" w:hAnsiTheme="majorHAnsi"/>
          <w:u w:val="single"/>
        </w:rPr>
        <w:t>26 Hastings Women's L.J. 355</w:t>
      </w:r>
      <w:r w:rsidRPr="00E70C32">
        <w:rPr>
          <w:rFonts w:asciiTheme="majorHAnsi" w:eastAsia="Times New Roman" w:hAnsiTheme="majorHAnsi"/>
          <w:u w:val="single"/>
        </w:rPr>
        <w:t>, Pg. 355-384</w:t>
      </w:r>
    </w:p>
    <w:p w:rsidR="00854F36" w:rsidRPr="00782742" w:rsidRDefault="00854F36" w:rsidP="00854F36">
      <w:pPr>
        <w:shd w:val="clear" w:color="auto" w:fill="FFFFFF"/>
        <w:rPr>
          <w:rFonts w:ascii="Times" w:eastAsia="Times New Roman" w:hAnsi="Times"/>
          <w:szCs w:val="23"/>
        </w:rPr>
      </w:pPr>
      <w:r w:rsidRPr="00782742">
        <w:rPr>
          <w:rFonts w:ascii="Times" w:eastAsia="Times New Roman" w:hAnsi="Times"/>
          <w:szCs w:val="23"/>
        </w:rPr>
        <w:t xml:space="preserve">Although they present challenges, the </w:t>
      </w:r>
      <w:r w:rsidRPr="00777919">
        <w:rPr>
          <w:rFonts w:ascii="Times" w:eastAsia="Times New Roman" w:hAnsi="Times"/>
          <w:sz w:val="23"/>
          <w:szCs w:val="23"/>
          <w:highlight w:val="yellow"/>
          <w:u w:val="single"/>
        </w:rPr>
        <w:t>Common Core State Standards represent a necessary first step in a renewed drive to improve the performance of the nation's public schools, and provide continuity and uniformity throughout the nation for all students. Their greatest promise lies in the opportunity to achieve a long-sought alignment of strong standards to the high quality assessments, curriculum, and instruction that research suggest are critical to improving student performance.</w:t>
      </w:r>
    </w:p>
    <w:p w:rsidR="00854F36" w:rsidRDefault="00854F36" w:rsidP="00854F36">
      <w:pPr>
        <w:spacing w:line="240" w:lineRule="auto"/>
        <w:contextualSpacing/>
      </w:pPr>
    </w:p>
    <w:p w:rsidR="00854F36" w:rsidRDefault="00854F36" w:rsidP="00854F36">
      <w:pPr>
        <w:pStyle w:val="Heading4"/>
      </w:pPr>
      <w:r>
        <w:t>While the educational system is unfortunate, it is unavoidable.</w:t>
      </w:r>
    </w:p>
    <w:p w:rsidR="00854F36" w:rsidRPr="00D1631B" w:rsidRDefault="00854F36" w:rsidP="00854F36">
      <w:pPr>
        <w:rPr>
          <w:rFonts w:asciiTheme="minorHAnsi" w:hAnsiTheme="minorHAnsi" w:cstheme="minorHAnsi"/>
        </w:rPr>
      </w:pPr>
      <w:r w:rsidRPr="0060071A">
        <w:rPr>
          <w:rStyle w:val="StyleUnderline"/>
          <w:rFonts w:asciiTheme="minorHAnsi" w:hAnsiTheme="minorHAnsi" w:cstheme="minorHAnsi"/>
        </w:rPr>
        <w:t>Sutton 08 -</w:t>
      </w:r>
      <w:r w:rsidRPr="0060071A">
        <w:rPr>
          <w:rFonts w:asciiTheme="minorHAnsi" w:hAnsiTheme="minorHAnsi" w:cstheme="minorHAnsi"/>
        </w:rPr>
        <w:t xml:space="preserve"> Jeffrey S. Sutton, Circuit Judge in United States Court of Appeals for Sixth Circuit, Virginia Law Review Association, December 2008, San Antonio Independent School District V. Rodriguez and its Aftermath, LexisNexis</w:t>
      </w:r>
    </w:p>
    <w:p w:rsidR="00854F36" w:rsidRPr="00BB0462" w:rsidRDefault="00854F36" w:rsidP="00854F36">
      <w:pPr>
        <w:ind w:firstLine="720"/>
      </w:pPr>
      <w:r w:rsidRPr="00BB0462">
        <w:t xml:space="preserve">If rational-basis review applied, the State could seize hope from the argument that </w:t>
      </w:r>
      <w:r w:rsidRPr="000840C8">
        <w:rPr>
          <w:rStyle w:val="StyleUnderline"/>
          <w:highlight w:val="yellow"/>
        </w:rPr>
        <w:t>these disparities were the unfortunate, but unavoidable</w:t>
      </w:r>
      <w:r w:rsidRPr="00BB0462">
        <w:t xml:space="preserve">, conseHD [*1968] quence of </w:t>
      </w:r>
      <w:r w:rsidRPr="000840C8">
        <w:rPr>
          <w:rStyle w:val="StyleUnderline"/>
          <w:highlight w:val="yellow"/>
        </w:rPr>
        <w:t>creating a public school system premised on local, rather than state-wide, control</w:t>
      </w:r>
      <w:r w:rsidRPr="00BB0462">
        <w:t xml:space="preserve">. The success of the parties' arguments had national implications, as the widespread reliance on local property taxes had created comparable disparities throughout the country. n22 The timing of the Supreme Court's decision in Rodriguez may well have affected its outcome. n23 Not long after the plaintiffs initiated the lawsuit in 1968, the district court placed the case in abeyance while </w:t>
      </w:r>
      <w:r w:rsidRPr="000840C8">
        <w:rPr>
          <w:rStyle w:val="StyleUnderline"/>
          <w:highlight w:val="yellow"/>
        </w:rPr>
        <w:t>the State attempted to pass legislative reforms designed to ameliorate the problems identified in the lawsuit.</w:t>
      </w:r>
      <w:r w:rsidRPr="00BB0462">
        <w:t xml:space="preserve"> After two years, however, the reform efforts came up short, and the spotlight returned to the court. In 1971, the three-judge district court held the system unconstitutional. </w:t>
      </w:r>
    </w:p>
    <w:p w:rsidR="00854F36" w:rsidRDefault="00854F36" w:rsidP="00854F36">
      <w:pPr>
        <w:rPr>
          <w:rStyle w:val="StyleUnderline"/>
        </w:rPr>
      </w:pPr>
    </w:p>
    <w:p w:rsidR="00854F36" w:rsidRDefault="00854F36" w:rsidP="00854F36">
      <w:pPr>
        <w:pStyle w:val="Heading3"/>
      </w:pPr>
      <w:r>
        <w:t>Inequality</w:t>
      </w:r>
    </w:p>
    <w:p w:rsidR="00854F36" w:rsidRDefault="00854F36" w:rsidP="00854F36">
      <w:pPr>
        <w:pStyle w:val="Heading4"/>
      </w:pPr>
      <w:r>
        <w:t>Education doesn’t solve inequality—wage gap to blame</w:t>
      </w:r>
    </w:p>
    <w:p w:rsidR="00854F36" w:rsidRPr="003B42FD" w:rsidRDefault="00854F36" w:rsidP="00854F36">
      <w:pPr>
        <w:rPr>
          <w:szCs w:val="16"/>
        </w:rPr>
      </w:pPr>
      <w:r w:rsidRPr="003B42FD">
        <w:rPr>
          <w:szCs w:val="16"/>
        </w:rPr>
        <w:t xml:space="preserve">Evan </w:t>
      </w:r>
      <w:r w:rsidRPr="003B42FD">
        <w:rPr>
          <w:rStyle w:val="Style13ptBold"/>
        </w:rPr>
        <w:t>Horowitz,</w:t>
      </w:r>
      <w:r w:rsidRPr="003B42FD">
        <w:rPr>
          <w:szCs w:val="16"/>
        </w:rPr>
        <w:t xml:space="preserve"> 7-27-</w:t>
      </w:r>
      <w:r w:rsidRPr="003B42FD">
        <w:rPr>
          <w:rStyle w:val="Style13ptBold"/>
        </w:rPr>
        <w:t>2015,</w:t>
      </w:r>
      <w:r w:rsidRPr="003B42FD">
        <w:rPr>
          <w:szCs w:val="16"/>
        </w:rPr>
        <w:t xml:space="preserve"> Staff writer Why education can’t cure inequality, BostonGlobe, https://www.bostonglobe.com/metro/2015/07/27/why-education-can-cure-inequality/AU2VsWbt2TQBo4jpQ8LcyI/story.html, 6-30-2017</w:t>
      </w:r>
    </w:p>
    <w:p w:rsidR="00854F36" w:rsidRPr="003B42FD" w:rsidRDefault="00854F36" w:rsidP="00854F36">
      <w:pPr>
        <w:pStyle w:val="NormalWeb"/>
        <w:shd w:val="clear" w:color="auto" w:fill="FFFFFF"/>
        <w:spacing w:before="0" w:beforeAutospacing="0" w:after="0" w:afterAutospacing="0" w:line="420" w:lineRule="atLeast"/>
        <w:textAlignment w:val="baseline"/>
        <w:rPr>
          <w:rFonts w:ascii="Georgia" w:hAnsi="Georgia"/>
          <w:color w:val="000000"/>
          <w:szCs w:val="27"/>
        </w:rPr>
      </w:pPr>
      <w:r w:rsidRPr="003B42FD">
        <w:rPr>
          <w:rStyle w:val="StyleUnderline"/>
        </w:rPr>
        <w:t>The hidden assumption behind the idea that we can counter inequality by improving schools and getting more kids through college is that college grads are on the winning end of inequality, and non-college grads on the losing side.</w:t>
      </w:r>
      <w:r>
        <w:rPr>
          <w:rStyle w:val="StyleUnderline"/>
        </w:rPr>
        <w:t xml:space="preserve"> </w:t>
      </w:r>
      <w:r w:rsidRPr="003B42FD">
        <w:rPr>
          <w:rStyle w:val="StyleUnderline"/>
        </w:rPr>
        <w:t>But modern inequality isn’t driven by the gap between college-educated workers and high school grads. All the action is</w:t>
      </w:r>
      <w:r>
        <w:rPr>
          <w:rStyle w:val="StyleUnderline"/>
        </w:rPr>
        <w:t xml:space="preserve"> </w:t>
      </w:r>
      <w:hyperlink r:id="rId44" w:history="1">
        <w:r w:rsidRPr="003B42FD">
          <w:rPr>
            <w:rStyle w:val="StyleUnderline"/>
            <w:rFonts w:eastAsiaTheme="majorEastAsia"/>
          </w:rPr>
          <w:t>at the top of the income ladder</w:t>
        </w:r>
      </w:hyperlink>
      <w:r w:rsidRPr="003B42FD">
        <w:rPr>
          <w:rStyle w:val="StyleUnderline"/>
        </w:rPr>
        <w:t>, where the extremely rich have</w:t>
      </w:r>
      <w:r>
        <w:rPr>
          <w:rStyle w:val="StyleUnderline"/>
        </w:rPr>
        <w:t xml:space="preserve"> </w:t>
      </w:r>
      <w:hyperlink r:id="rId45" w:history="1">
        <w:r w:rsidRPr="003B42FD">
          <w:rPr>
            <w:rStyle w:val="StyleUnderline"/>
            <w:rFonts w:eastAsiaTheme="majorEastAsia"/>
          </w:rPr>
          <w:t>pulled away from everyone else</w:t>
        </w:r>
      </w:hyperlink>
      <w:r w:rsidRPr="003B42FD">
        <w:rPr>
          <w:rFonts w:ascii="Georgia" w:hAnsi="Georgia"/>
          <w:color w:val="000000"/>
          <w:szCs w:val="27"/>
        </w:rPr>
        <w:t xml:space="preserve">. Since 1979, </w:t>
      </w:r>
      <w:r w:rsidRPr="003B42FD">
        <w:rPr>
          <w:rStyle w:val="StyleUnderline"/>
        </w:rPr>
        <w:t>wages for the top 1 percent in the United States have grown nine times faster than wages for the bottom 90 percent. That’s not a tale of the well-educated doing better than the less-well-educated. It’s about the super-rich outearning everyone else</w:t>
      </w:r>
      <w:r w:rsidRPr="003B42FD">
        <w:rPr>
          <w:rFonts w:ascii="Georgia" w:hAnsi="Georgia"/>
          <w:color w:val="000000"/>
          <w:szCs w:val="27"/>
        </w:rPr>
        <w:t xml:space="preserve"> — including college graduates, who </w:t>
      </w:r>
      <w:hyperlink r:id="rId46" w:history="1">
        <w:r w:rsidRPr="003B42FD">
          <w:rPr>
            <w:rStyle w:val="Hyperlink"/>
            <w:rFonts w:ascii="Georgia" w:eastAsiaTheme="majorEastAsia" w:hAnsi="Georgia"/>
            <w:color w:val="127694"/>
            <w:szCs w:val="27"/>
          </w:rPr>
          <w:t>haven’t gotten a raise in over a decade</w:t>
        </w:r>
      </w:hyperlink>
      <w:r w:rsidRPr="003B42FD">
        <w:rPr>
          <w:rFonts w:ascii="Georgia" w:hAnsi="Georgia"/>
          <w:color w:val="000000"/>
          <w:szCs w:val="27"/>
        </w:rPr>
        <w:t xml:space="preserve">. </w:t>
      </w:r>
      <w:r w:rsidRPr="003B42FD">
        <w:rPr>
          <w:rStyle w:val="StyleUnderline"/>
        </w:rPr>
        <w:t>So even if we did improve our schools — and even if those improvements really led to faster economic growth — there’s little reason to think the gains would be widely shared</w:t>
      </w:r>
      <w:r w:rsidRPr="003B42FD">
        <w:rPr>
          <w:rFonts w:ascii="Georgia" w:hAnsi="Georgia"/>
          <w:color w:val="000000"/>
          <w:szCs w:val="27"/>
        </w:rPr>
        <w:t xml:space="preserve">. They would likely be absorbed by the top 1 percent, as has been </w:t>
      </w:r>
      <w:hyperlink r:id="rId47" w:history="1">
        <w:r w:rsidRPr="003B42FD">
          <w:rPr>
            <w:rStyle w:val="Hyperlink"/>
            <w:rFonts w:ascii="Georgia" w:eastAsiaTheme="majorEastAsia" w:hAnsi="Georgia"/>
            <w:color w:val="127694"/>
            <w:szCs w:val="27"/>
          </w:rPr>
          <w:t>happening for decades now</w:t>
        </w:r>
      </w:hyperlink>
      <w:r w:rsidRPr="003B42FD">
        <w:rPr>
          <w:rFonts w:ascii="Georgia" w:hAnsi="Georgia"/>
          <w:color w:val="000000"/>
          <w:szCs w:val="27"/>
        </w:rPr>
        <w:t xml:space="preserve">. To test this theory, a team of researchers from the Hamilton Project at the Brookings Institution put together a simulation, where they estimated how different things would be if millions of high-school grads had made it through college. They found </w:t>
      </w:r>
      <w:hyperlink r:id="rId48" w:history="1">
        <w:r w:rsidRPr="003B42FD">
          <w:rPr>
            <w:rStyle w:val="Hyperlink"/>
            <w:rFonts w:ascii="Georgia" w:eastAsiaTheme="majorEastAsia" w:hAnsi="Georgia"/>
            <w:color w:val="127694"/>
            <w:szCs w:val="27"/>
          </w:rPr>
          <w:t>no meaningful change</w:t>
        </w:r>
      </w:hyperlink>
      <w:r w:rsidRPr="003B42FD">
        <w:rPr>
          <w:rFonts w:ascii="Georgia" w:hAnsi="Georgia"/>
          <w:color w:val="000000"/>
          <w:szCs w:val="27"/>
        </w:rPr>
        <w:t xml:space="preserve"> in </w:t>
      </w:r>
      <w:hyperlink r:id="rId49" w:history="1">
        <w:r w:rsidRPr="003B42FD">
          <w:rPr>
            <w:rStyle w:val="Hyperlink"/>
            <w:rFonts w:ascii="Georgia" w:eastAsiaTheme="majorEastAsia" w:hAnsi="Georgia"/>
            <w:color w:val="127694"/>
            <w:szCs w:val="27"/>
          </w:rPr>
          <w:t>overall inequality</w:t>
        </w:r>
      </w:hyperlink>
      <w:r w:rsidRPr="003B42FD">
        <w:rPr>
          <w:rFonts w:ascii="Georgia" w:hAnsi="Georgia"/>
          <w:color w:val="000000"/>
          <w:szCs w:val="27"/>
        </w:rPr>
        <w:t>.</w:t>
      </w:r>
    </w:p>
    <w:p w:rsidR="00854F36" w:rsidRPr="003B42FD" w:rsidRDefault="00854F36" w:rsidP="00854F36"/>
    <w:p w:rsidR="00854F36" w:rsidRDefault="00854F36" w:rsidP="00854F36">
      <w:pPr>
        <w:pStyle w:val="Heading3"/>
      </w:pPr>
      <w:r>
        <w:t>Circumvention</w:t>
      </w:r>
    </w:p>
    <w:p w:rsidR="00854F36" w:rsidRPr="00E0460C" w:rsidRDefault="00854F36" w:rsidP="00854F36">
      <w:pPr>
        <w:pStyle w:val="Heading4"/>
        <w:rPr>
          <w:rFonts w:asciiTheme="majorHAnsi" w:hAnsiTheme="majorHAnsi"/>
        </w:rPr>
      </w:pPr>
      <w:r>
        <w:rPr>
          <w:rFonts w:asciiTheme="majorHAnsi" w:hAnsiTheme="majorHAnsi"/>
        </w:rPr>
        <w:t>Empirics prove the plan will be circumvented</w:t>
      </w:r>
    </w:p>
    <w:p w:rsidR="00854F36" w:rsidRPr="00E0460C" w:rsidRDefault="00854F36" w:rsidP="00854F36">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Lexis Nexis.</w:t>
      </w:r>
    </w:p>
    <w:p w:rsidR="00854F36" w:rsidRPr="001D7DEE" w:rsidRDefault="00854F36" w:rsidP="00854F36">
      <w:pPr>
        <w:rPr>
          <w:rStyle w:val="StyleUnderline"/>
        </w:rPr>
      </w:pPr>
      <w:r w:rsidRPr="00E0460C">
        <w:rPr>
          <w:rFonts w:asciiTheme="majorHAnsi" w:hAnsiTheme="majorHAnsi" w:cs="Times"/>
        </w:rPr>
        <w:t xml:space="preserve">The most difficult task federal courts will face under a fundamental state rights approach to equal protection review is the identification of fundamental state rights. In general, the courts' role will be to determine whether a particular state deems a right "fundamental." Since this is a question of state law, the highest state court will be the authoritative tribunal.  In recent years state courts have frequently been asked to classify various rights as "fundamental" under state law. n97 These requests have generally arisen in cases urging strict scrutiny of laws challenged under state equal protection clauses. n98 State courts may adopt at least four different methods of defining fundamental state rights. n99 First, a state court may adopt what has been termed a "reactive" approach to the definition of fundamental state rights. n100 Under a "pure" reactive approach, a state court may simply interpret its state constitutional guarantees as coextensive with parallel federal provisions. </w:t>
      </w:r>
      <w:r w:rsidRPr="001D7DEE">
        <w:rPr>
          <w:rStyle w:val="StyleUnderline"/>
        </w:rPr>
        <w:t xml:space="preserve">Thus, a state court may rely on the Rodriguez holding that education is not a fundamental federal right and hold that education is not a fundamental state right either. Many state courts have adopted reactive approaches to defining state constitutional guarantees in general, n101 but others have explicitly opted for more "independent" interpretations to define fundamental state rights. n102 One ground for such independent interpretation is that state constitutional guarantees are often stated in broader terms than similar federal guarantees. n103 Moreover, many state constitutional guarantees have no explicit federal counterparts, thus inviting state courts to engage in independent constitutional interpretation. n104 A second method for determining fundamental state rights is derived from the Supreme Court's formula for identifying fundamental federal rights presented in Rodriguez. n105 Under this approach, the state court simply would apply the Rodriguez test of "explicitly or implicitly guaranteed constitutional rights" to the state's own constitution. For example, state courts using this model may conclude that education is a fundamental state right since public education is explicitly guaranteed in their state constitutions. n106 Another method of defining fundamental state rights is a nexus approach analogous to that rejected as a test for fundamental federal rights in Rodriguez. n107 As a method of defining fundamental state rights, the nexus approach focuses on the relationship between the affected right and the effective enjoyment of state constitutional rights. A Colorado state court has been cited as adopting a nexus approach to find a fundamental state constitutional right to equal educational opportunity based on the relationship between education and state guaranteed rights to vote and to petition government. n108 </w:t>
      </w:r>
    </w:p>
    <w:p w:rsidR="00854F36" w:rsidRDefault="00854F36" w:rsidP="00854F36">
      <w:pPr>
        <w:pStyle w:val="Heading3"/>
      </w:pPr>
      <w:r>
        <w:t>States</w:t>
      </w:r>
    </w:p>
    <w:p w:rsidR="00854F36" w:rsidRDefault="00854F36" w:rsidP="00854F36">
      <w:pPr>
        <w:pStyle w:val="Heading4"/>
      </w:pPr>
      <w:r>
        <w:t>States can decide for themselves what’s in their best interest</w:t>
      </w:r>
    </w:p>
    <w:p w:rsidR="00854F36" w:rsidRPr="008D3969" w:rsidRDefault="00854F36" w:rsidP="00854F36">
      <w:pPr>
        <w:rPr>
          <w:szCs w:val="16"/>
        </w:rPr>
      </w:pPr>
      <w:r w:rsidRPr="008D3969">
        <w:rPr>
          <w:szCs w:val="16"/>
        </w:rPr>
        <w:t xml:space="preserve">V. </w:t>
      </w:r>
      <w:r w:rsidRPr="008D3969">
        <w:rPr>
          <w:rStyle w:val="Style13ptBold"/>
        </w:rPr>
        <w:t>Todd, 2001</w:t>
      </w:r>
      <w:r w:rsidRPr="008D3969">
        <w:rPr>
          <w:szCs w:val="16"/>
        </w:rPr>
        <w:t>, professor of law, “The Honorable Lewis Powell, Jr.”, LexisNexis 29 Fordham Urb. L.J. 683</w:t>
      </w:r>
    </w:p>
    <w:p w:rsidR="00854F36" w:rsidRPr="008D3969" w:rsidRDefault="00854F36" w:rsidP="00854F36">
      <w:pPr>
        <w:rPr>
          <w:szCs w:val="16"/>
        </w:rPr>
      </w:pPr>
      <w:r w:rsidRPr="008D3969">
        <w:rPr>
          <w:szCs w:val="16"/>
        </w:rPr>
        <w:t xml:space="preserve"> (pg. 3-9)</w:t>
      </w:r>
    </w:p>
    <w:p w:rsidR="00854F36" w:rsidRDefault="00854F36" w:rsidP="00854F36">
      <w:pPr>
        <w:shd w:val="clear" w:color="auto" w:fill="FFFFFF"/>
        <w:rPr>
          <w:rFonts w:ascii="Times" w:eastAsia="Times New Roman" w:hAnsi="Times"/>
          <w:u w:val="single"/>
        </w:rPr>
      </w:pPr>
      <w:r w:rsidRPr="008D3969">
        <w:rPr>
          <w:rFonts w:ascii="Times" w:eastAsia="Times New Roman" w:hAnsi="Times"/>
        </w:rPr>
        <w:t xml:space="preserve">As for federalism concerns, Justice Powell stated that </w:t>
      </w:r>
      <w:r w:rsidRPr="00A43F56">
        <w:rPr>
          <w:rFonts w:ascii="Times" w:eastAsia="Times New Roman" w:hAnsi="Times"/>
          <w:highlight w:val="yellow"/>
          <w:u w:val="single"/>
        </w:rPr>
        <w:t>"this Court's lack of specialized knowledge and experience"</w:t>
      </w:r>
      <w:r w:rsidRPr="00547FDD">
        <w:rPr>
          <w:rFonts w:ascii="Times" w:eastAsia="Times New Roman" w:hAnsi="Times"/>
          <w:highlight w:val="yellow"/>
          <w:u w:val="single"/>
        </w:rPr>
        <w:t xml:space="preserve"> </w:t>
      </w:r>
      <w:r w:rsidRPr="00A43F56">
        <w:rPr>
          <w:rFonts w:ascii="Times" w:eastAsia="Times New Roman" w:hAnsi="Times"/>
          <w:highlight w:val="yellow"/>
          <w:u w:val="single"/>
        </w:rPr>
        <w:t>n54 argued against federal court action in such a state matter.</w:t>
      </w:r>
      <w:r w:rsidRPr="008D3969">
        <w:rPr>
          <w:rFonts w:ascii="Times" w:eastAsia="Times New Roman" w:hAnsi="Times"/>
        </w:rPr>
        <w:t xml:space="preserve"> Ironically, </w:t>
      </w:r>
      <w:r w:rsidRPr="00A43F56">
        <w:rPr>
          <w:rFonts w:ascii="Times" w:eastAsia="Times New Roman" w:hAnsi="Times"/>
          <w:highlight w:val="yellow"/>
          <w:u w:val="single"/>
        </w:rPr>
        <w:t>Justice Powell's own expertise in education led</w:t>
      </w:r>
      <w:r w:rsidRPr="00116A9F">
        <w:rPr>
          <w:rFonts w:ascii="Times" w:eastAsia="Times New Roman" w:hAnsi="Times"/>
          <w:highlight w:val="yellow"/>
          <w:u w:val="single"/>
        </w:rPr>
        <w:t xml:space="preserve"> </w:t>
      </w:r>
      <w:r w:rsidRPr="00A43F56">
        <w:rPr>
          <w:rFonts w:ascii="Times" w:eastAsia="Times New Roman" w:hAnsi="Times"/>
          <w:highlight w:val="yellow"/>
          <w:u w:val="single"/>
        </w:rPr>
        <w:t>him to believe that states might have a variety of legitimate means to solve the problems of education financing, and</w:t>
      </w:r>
      <w:r w:rsidRPr="00116A9F">
        <w:rPr>
          <w:rFonts w:ascii="Times" w:eastAsia="Times New Roman" w:hAnsi="Times"/>
          <w:highlight w:val="yellow"/>
          <w:u w:val="single"/>
        </w:rPr>
        <w:t xml:space="preserve"> </w:t>
      </w:r>
      <w:r w:rsidRPr="00A43F56">
        <w:rPr>
          <w:rFonts w:ascii="Times" w:eastAsia="Times New Roman" w:hAnsi="Times"/>
          <w:highlight w:val="yellow"/>
          <w:u w:val="single"/>
        </w:rPr>
        <w:t>that the Supreme Court should not mandate one method</w:t>
      </w:r>
      <w:r w:rsidRPr="00116A9F">
        <w:rPr>
          <w:rFonts w:ascii="Times" w:eastAsia="Times New Roman" w:hAnsi="Times"/>
          <w:highlight w:val="yellow"/>
          <w:u w:val="single"/>
        </w:rPr>
        <w:t>.</w:t>
      </w:r>
    </w:p>
    <w:p w:rsidR="00854F36" w:rsidRDefault="00854F36" w:rsidP="00854F36">
      <w:pPr>
        <w:pStyle w:val="Heading4"/>
      </w:pPr>
      <w:r>
        <w:t>Successes with School Funding Litigation found at state level</w:t>
      </w:r>
    </w:p>
    <w:p w:rsidR="00854F36" w:rsidRDefault="00854F36" w:rsidP="00854F36">
      <w:r>
        <w:t xml:space="preserve">Madeline </w:t>
      </w:r>
      <w:r w:rsidRPr="00187675">
        <w:rPr>
          <w:b/>
          <w:iCs/>
        </w:rPr>
        <w:t>Davis</w:t>
      </w:r>
      <w:r>
        <w:t xml:space="preserve">. 6 Juris Doctor Candidate at the University of Illinois College of Law and the Electronic Media Editor for the University of Illinois Law Review. </w:t>
      </w:r>
      <w:r w:rsidRPr="00187675">
        <w:rPr>
          <w:rFonts w:eastAsiaTheme="majorEastAsia" w:cstheme="majorBidi"/>
          <w:b/>
          <w:iCs/>
          <w:sz w:val="26"/>
        </w:rPr>
        <w:t>2016</w:t>
      </w:r>
      <w:r>
        <w:rPr>
          <w:rFonts w:eastAsiaTheme="majorEastAsia" w:cstheme="majorBidi"/>
          <w:b/>
          <w:iCs/>
          <w:sz w:val="26"/>
        </w:rPr>
        <w:t>. “</w:t>
      </w:r>
      <w:r>
        <w:t xml:space="preserve">Off the Constitutional Map: Breaking the Endless Cycle of School Finance Litigation” Brigham Young University Education and Law Journal. Lexis Nexus. </w:t>
      </w:r>
    </w:p>
    <w:p w:rsidR="00854F36" w:rsidRDefault="00854F36" w:rsidP="00854F36">
      <w:r w:rsidRPr="001A3375">
        <w:t xml:space="preserve">One state where this success has been realized is </w:t>
      </w:r>
      <w:r w:rsidRPr="001A3375">
        <w:rPr>
          <w:rStyle w:val="StyleUnderline"/>
          <w:highlight w:val="yellow"/>
        </w:rPr>
        <w:t>New Hampshire. Before fruitful school finance litigation took place there, schools relied heavily on local contributions</w:t>
      </w:r>
      <w:r w:rsidRPr="001A3375">
        <w:rPr>
          <w:rStyle w:val="StyleUnderline"/>
        </w:rPr>
        <w:t xml:space="preserve">. </w:t>
      </w:r>
      <w:r w:rsidRPr="001A3375">
        <w:rPr>
          <w:rStyle w:val="StyleUnderline"/>
          <w:highlight w:val="yellow"/>
        </w:rPr>
        <w:t>State contributions only totaled eight percent of funding at that time</w:t>
      </w:r>
      <w:r w:rsidRPr="001A3375">
        <w:rPr>
          <w:rStyle w:val="StyleUnderline"/>
        </w:rPr>
        <w:t>.</w:t>
      </w:r>
      <w:r w:rsidRPr="001A3375">
        <w:t xml:space="preserve"> n55 Low-income districts spent as little as eight thousand dollars per student and higher-income districts spent more than twenty thousand dollars per student. n56 The </w:t>
      </w:r>
      <w:r w:rsidRPr="001A3375">
        <w:rPr>
          <w:rStyle w:val="StyleUnderline"/>
          <w:highlight w:val="yellow"/>
        </w:rPr>
        <w:t>New Hampshire Supreme Court found that this funding formula violated the state constitution, because the state had a duty to provide an adequate education</w:t>
      </w:r>
      <w:r w:rsidRPr="001A3375">
        <w:t xml:space="preserve"> to all students under that [*124] document, and that "there is nothing fair or just about taxing a home or other real estate in one town at four times the rate that similar property is taxed in another town to fulfill the same purpose of meeting the State's educational duty." n57 The court continued, "in order to deliver a constitutionally adequate public education to all children, comparable funding must be assured ... ." n58 Obviously, an argument about the inequity resulting from a locally-based funding formula convinced the court that the whole formula was inadequate - local control was, to the court, an inadequate means of funding education, and the state was required to play a bigger role. n59 </w:t>
      </w:r>
      <w:r w:rsidRPr="001A3375">
        <w:rPr>
          <w:rStyle w:val="StyleUnderline"/>
          <w:highlight w:val="yellow"/>
        </w:rPr>
        <w:t>Since then, New Hampshire has been one of only three states to increase education funding - by more than twenty percent, no less - from 2007 to 2011, despite the troubled economy</w:t>
      </w:r>
      <w:r w:rsidRPr="001A3375">
        <w:t xml:space="preserve"> (Illinois and North Dakota are the other two). n60 The Education Law Center, however, still gave the state an "F" rating for 2014 because of how fairly it distributes funds across districts, suggesting that spending more money does not necessarily mean all students are getting access to it. n61 Still, </w:t>
      </w:r>
      <w:r w:rsidRPr="001A3375">
        <w:rPr>
          <w:rStyle w:val="StyleUnderline"/>
          <w:highlight w:val="yellow"/>
        </w:rPr>
        <w:t>the adequacy arguments have been susceptible to the contention that education is a public policy matter better suited for the legislature than the courts.</w:t>
      </w:r>
      <w:r w:rsidRPr="001A3375">
        <w:t xml:space="preserve"> A majority of the courts that have rejected adequacy cases did so on the grounds of justiciability. n62 One example is Illinois. The supreme court there rejected an education finance claim because it would "deprive the members of the general public of a voice in a matter which is close to the hearts of all individuals in Illinois." n63</w:t>
      </w:r>
    </w:p>
    <w:p w:rsidR="00854F36" w:rsidRDefault="00854F36" w:rsidP="00854F36">
      <w:pPr>
        <w:rPr>
          <w:rFonts w:eastAsiaTheme="majorEastAsia" w:cstheme="majorBidi"/>
          <w:b/>
          <w:iCs/>
        </w:rPr>
      </w:pPr>
      <w:r>
        <w:br w:type="page"/>
      </w:r>
    </w:p>
    <w:p w:rsidR="00854F36" w:rsidRDefault="00854F36" w:rsidP="00854F36">
      <w:pPr>
        <w:pStyle w:val="Heading4"/>
        <w:rPr>
          <w:rStyle w:val="Style13ptBold"/>
          <w:b/>
        </w:rPr>
      </w:pPr>
      <w:r>
        <w:t>The SCOTUS is being ignored on this case—States are more forgiving</w:t>
      </w:r>
    </w:p>
    <w:p w:rsidR="00854F36" w:rsidRPr="00F125AB" w:rsidRDefault="00854F36" w:rsidP="00854F36">
      <w:pPr>
        <w:widowControl w:val="0"/>
        <w:autoSpaceDE w:val="0"/>
        <w:autoSpaceDN w:val="0"/>
        <w:adjustRightInd w:val="0"/>
        <w:spacing w:after="240" w:line="240" w:lineRule="auto"/>
        <w:rPr>
          <w:sz w:val="26"/>
        </w:rPr>
      </w:pPr>
      <w:r w:rsidRPr="001C5EFE">
        <w:rPr>
          <w:rStyle w:val="Style13ptBold"/>
          <w:b w:val="0"/>
        </w:rPr>
        <w:t>Jeffrey S.</w:t>
      </w:r>
      <w:r w:rsidRPr="001C5EFE">
        <w:rPr>
          <w:rStyle w:val="Style13ptBold"/>
        </w:rPr>
        <w:t xml:space="preserve"> Sutton, 2016 </w:t>
      </w:r>
      <w:r w:rsidRPr="001C5EFE">
        <w:rPr>
          <w:rStyle w:val="Style13ptBold"/>
          <w:b w:val="0"/>
        </w:rPr>
        <w:t>United States Court of Appeals for the Sixth Circuit, 2016</w:t>
      </w:r>
      <w:r w:rsidRPr="001C5EFE">
        <w:rPr>
          <w:rStyle w:val="Style13ptBold"/>
          <w:rFonts w:ascii="MS Gothic" w:hAnsi="MS Gothic" w:cs="MS Gothic"/>
          <w:b w:val="0"/>
        </w:rPr>
        <w:t> </w:t>
      </w:r>
      <w:r w:rsidRPr="001C5EFE">
        <w:rPr>
          <w:rStyle w:val="Style13ptBold"/>
          <w:b w:val="0"/>
        </w:rPr>
        <w:t xml:space="preserve"> Ohio State Law Journal 77 Ohio St. L.J. 195 </w:t>
      </w:r>
    </w:p>
    <w:p w:rsidR="00854F36" w:rsidRPr="00A153D6" w:rsidRDefault="00854F36" w:rsidP="00854F36">
      <w:pPr>
        <w:rPr>
          <w:rStyle w:val="StyleUnderline"/>
        </w:rPr>
      </w:pPr>
      <w:r w:rsidRPr="00A153D6">
        <w:rPr>
          <w:rStyle w:val="StyleUnderline"/>
        </w:rPr>
        <w:t>Part of the explanation is that several of the most interesting "constitutional" debates in recent times started at the state level, and a few ended there. In some cases, state constitutional law debates set the stage for later debates about the meaning of federal constitutional law at the U.S. Supreme Court. Take same-sex marriage</w:t>
      </w:r>
      <w:r>
        <w:t xml:space="preserve">. It </w:t>
      </w:r>
      <w:r w:rsidRPr="00A153D6">
        <w:rPr>
          <w:rStyle w:val="StyleUnderline"/>
        </w:rPr>
        <w:t>is difficult to imagine the U.S. Supreme Court's decision in Obergefell in 2015 n8 without the Massachusetts Supreme Judicial Court's decision in Goodridge in 2003. n9 There is no way to tell that story without accounting for the essential role of the state courts in initially giving recognition to this new right. At other times, those debates happened in the state courts because the U.S. Supreme Court left the field</w:t>
      </w:r>
      <w:r>
        <w:t xml:space="preserve">. </w:t>
      </w:r>
      <w:r w:rsidRPr="00A153D6">
        <w:rPr>
          <w:rStyle w:val="StyleUnderline"/>
        </w:rPr>
        <w:t xml:space="preserve">Think of Kelo, Smith, and Rodriguez. n10 In each of these cases, the U.S. Supreme Court rejected the federal claim and gave the state courts the green light to do the same. In the aftermath of those decisions, however, many state courts (and sometimes state legislatures) granted relief where the High Court would not. n11 In these latter settings, it is even fair to ask whether the plaintiffs over the long term won the federal cases by losing them. n12 Did the litigants, in other words, gain more in the state courts (and state and even federal legislatures) than they ever could have won in the U.S. Supreme Court? I don't know the answer. But the question is worth asking. </w:t>
      </w:r>
    </w:p>
    <w:p w:rsidR="00854F36" w:rsidRPr="00E0460C" w:rsidRDefault="00854F36" w:rsidP="00854F36">
      <w:pPr>
        <w:pStyle w:val="Heading4"/>
        <w:rPr>
          <w:rFonts w:asciiTheme="majorHAnsi" w:hAnsiTheme="majorHAnsi"/>
        </w:rPr>
      </w:pPr>
      <w:r>
        <w:rPr>
          <w:rFonts w:asciiTheme="majorHAnsi" w:hAnsiTheme="majorHAnsi"/>
        </w:rPr>
        <w:t>Test case is possible and state constitutional challenges successful</w:t>
      </w:r>
    </w:p>
    <w:p w:rsidR="00854F36" w:rsidRPr="00E0460C" w:rsidRDefault="00854F36" w:rsidP="00854F36">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Lexis Nexis.</w:t>
      </w:r>
    </w:p>
    <w:p w:rsidR="00854F36" w:rsidRPr="009F48A8" w:rsidRDefault="00854F36" w:rsidP="00854F36">
      <w:pPr>
        <w:rPr>
          <w:rStyle w:val="StyleUnderline"/>
        </w:rPr>
      </w:pPr>
      <w:r w:rsidRPr="009F48A8">
        <w:rPr>
          <w:rStyle w:val="StyleUnderline"/>
        </w:rPr>
        <w:t xml:space="preserve">Justice Marshall's dissenting opinion in Rodriguez noted that the Court's opinion left the door open for state constitutional challenges to school funding schemes. n54 In recent years, several courts have invalidated school finance laws on state constitutional grounds. Some of these courts have found that school funding schemes violate state constitutional guarantees of a "thorough and efficient" or "ample" education. n55 Others have looked to state constitutions' educational guarantees as a basis for subjecting educational finance laws to close scrutiny under state equal protection clauses. n56 These state constitutional decisions provide a desirable alternative means of securing the relief denied in Rodriguez, n57 but they do not excuse the Supreme Court's failure to afford the protection demanded by the Federal Constitution. The history surrounding the adoption and implementation of the fourteenth amendment refutes any argument that federal constitutional protection is unnecessary just because the challenged state action may also violate the state constitution. n58 The equal protection clause provides a federal right to the equal protection of state laws. There may be numerous reasons for choosing to challenge a classification on federal equal protection grounds rather than state constitutional grounds, and thus it is important to preserve the federal right. </w:t>
      </w:r>
    </w:p>
    <w:p w:rsidR="00854F36" w:rsidRPr="001A3375" w:rsidRDefault="00854F36" w:rsidP="00854F36"/>
    <w:p w:rsidR="00854F36" w:rsidRPr="000F299D" w:rsidRDefault="00854F36" w:rsidP="00854F36">
      <w:pPr>
        <w:pStyle w:val="Heading4"/>
      </w:pPr>
      <w:r>
        <w:t>Advocates for finance redistribution slowly moved away from the supreme court towards the states</w:t>
      </w:r>
    </w:p>
    <w:p w:rsidR="00854F36" w:rsidRDefault="00854F36" w:rsidP="00854F36">
      <w:r w:rsidRPr="002A1929">
        <w:rPr>
          <w:rStyle w:val="Style13ptBold"/>
        </w:rPr>
        <w:t>Hinojosa</w:t>
      </w:r>
      <w:r>
        <w:rPr>
          <w:rStyle w:val="Style13ptBold"/>
        </w:rPr>
        <w:t xml:space="preserve"> 16 </w:t>
      </w:r>
      <w:r w:rsidRPr="002A1929">
        <w:t>(</w:t>
      </w:r>
      <w:r>
        <w:t>David G. Hinojosa; March, 2016; National Director of Policy for the Intercultural Development Research Association; University of Richmond Law Review; LexisNexis)</w:t>
      </w:r>
    </w:p>
    <w:p w:rsidR="00854F36" w:rsidRPr="00617E5E" w:rsidRDefault="00854F36" w:rsidP="00854F36">
      <w:r w:rsidRPr="00617E5E">
        <w:t xml:space="preserve">Much has been written about the first three generations, or waves, of school finance litigation. n9 </w:t>
      </w:r>
      <w:r w:rsidRPr="002A1929">
        <w:rPr>
          <w:rStyle w:val="StyleUnderline"/>
        </w:rPr>
        <w:t>In searching for a response to</w:t>
      </w:r>
      <w:r w:rsidRPr="00617E5E">
        <w:t xml:space="preserve"> [*872] </w:t>
      </w:r>
      <w:r w:rsidRPr="002A1929">
        <w:rPr>
          <w:rStyle w:val="StyleUnderline"/>
        </w:rPr>
        <w:t xml:space="preserve">striking inequalities in the distribution of state school finance resources to school districts and school children, advocates first turned to the federal courts. </w:t>
      </w:r>
      <w:r w:rsidRPr="00617E5E">
        <w:t xml:space="preserve">On the heels of the successful equal protection arguments made in Brown v. Board of Education, the litigants in these cases filed claims under the Equal Protection Clause of the United States Constitution's Fourteenth Amendment. n10 </w:t>
      </w:r>
      <w:r w:rsidRPr="002A1929">
        <w:rPr>
          <w:rStyle w:val="StyleUnderline"/>
        </w:rPr>
        <w:t xml:space="preserve">The Supreme Court shut the door on these claims in the seminal case San Antonio Independent School District v. Rodriguez, despite overwhelming evidence showing stark inequalities in funding based solely on where the students attended school. </w:t>
      </w:r>
      <w:r w:rsidRPr="00617E5E">
        <w:t xml:space="preserve">n11 </w:t>
      </w:r>
      <w:r w:rsidRPr="002A1929">
        <w:rPr>
          <w:rStyle w:val="StyleUnderline"/>
        </w:rPr>
        <w:t>The Court held that education was not a fundamental right under the Constitution and that residents in low-funded school districts were not a sufficiently discrete, definable class for equal protection purposes deserving strict scrutiny.</w:t>
      </w:r>
      <w:r w:rsidRPr="00617E5E">
        <w:t xml:space="preserve"> n12 Applying the less rigorous rational basis standard to the Texas school finance system, the Court found that the system was rationally related to the state's goal of ensuring local control. n13 </w:t>
      </w:r>
      <w:r w:rsidRPr="000954AE">
        <w:rPr>
          <w:rStyle w:val="StyleUnderline"/>
        </w:rPr>
        <w:t>Advocates next turned to state constitutional equal protection and education clauses</w:t>
      </w:r>
      <w:r w:rsidRPr="00617E5E">
        <w:t xml:space="preserve"> for redress as part of the second wave of school finance cases. n14 Here, they made similar arguments challenging unequal school funding systems disparately impacting predominantly poor and/or minority communities. n15 Advocates often sought to establish education as a fundamental right, thereby invoking the much tougher strict scrutiny standard. n16 </w:t>
      </w:r>
      <w:r w:rsidRPr="000954AE">
        <w:rPr>
          <w:rStyle w:val="StyleUnderline"/>
        </w:rPr>
        <w:t>These cases were</w:t>
      </w:r>
      <w:r w:rsidRPr="00617E5E">
        <w:t xml:space="preserve"> largely </w:t>
      </w:r>
      <w:r w:rsidRPr="000954AE">
        <w:rPr>
          <w:rStyle w:val="StyleUnderline"/>
        </w:rPr>
        <w:t>successful</w:t>
      </w:r>
      <w:r w:rsidRPr="00617E5E">
        <w:t xml:space="preserve"> in the early years </w:t>
      </w:r>
      <w:r w:rsidRPr="000954AE">
        <w:rPr>
          <w:rStyle w:val="StyleUnderline"/>
        </w:rPr>
        <w:t>with California, New Jersey, and West Virginia being among those</w:t>
      </w:r>
      <w:r w:rsidRPr="00617E5E">
        <w:t xml:space="preserve"> with final state [*873] court rulings in favor of the plaintiffs. n17 However, many courts grew resistant to these challenges. In addition, at least one state, California, responded to such decisions by leveling down wealthier school districts to the level of poorer ones, which did not help resolve the issues confronting those school districts. n18 </w:t>
      </w:r>
      <w:r w:rsidRPr="000954AE">
        <w:rPr>
          <w:rStyle w:val="StyleUnderline"/>
        </w:rPr>
        <w:t>Some advocates continued to pursue equality-based claims, but others developed new theories focused on adequate funding.</w:t>
      </w:r>
      <w:r w:rsidRPr="00617E5E">
        <w:t xml:space="preserve"> n19 The litigants in this third wave of cases typically argued that the amount of resources available for public education was insufficient, whether in helping students achieve the state goals and performance standards or the more societal, value-based goal of achieving personal capabilities so that they may become positive contributors to the economic, social, and democratic fabric. n20 </w:t>
      </w:r>
      <w:r w:rsidRPr="000954AE">
        <w:rPr>
          <w:rStyle w:val="StyleUnderline"/>
        </w:rPr>
        <w:t>The litigants in these cases had turbulent success, although the tide again appeared to turn in favor of the plaintiffs with wins in two-thirds of cases over the past twenty-two years.</w:t>
      </w:r>
      <w:r w:rsidRPr="00617E5E">
        <w:t xml:space="preserve"> n21</w:t>
      </w:r>
    </w:p>
    <w:p w:rsidR="00854F36" w:rsidRDefault="00854F36" w:rsidP="00854F36">
      <w:pPr>
        <w:rPr>
          <w:rFonts w:eastAsiaTheme="majorEastAsia" w:cstheme="majorBidi"/>
          <w:b/>
          <w:iCs/>
        </w:rPr>
      </w:pPr>
      <w:r>
        <w:br w:type="page"/>
      </w:r>
    </w:p>
    <w:p w:rsidR="00854F36" w:rsidRDefault="00854F36" w:rsidP="00854F36">
      <w:pPr>
        <w:pStyle w:val="Heading4"/>
      </w:pPr>
      <w:r>
        <w:t>State courts have been able to force legislature to take action to fulfill their role</w:t>
      </w:r>
    </w:p>
    <w:p w:rsidR="00854F36" w:rsidRDefault="00854F36" w:rsidP="00854F36">
      <w:r w:rsidRPr="002A1929">
        <w:rPr>
          <w:rStyle w:val="Style13ptBold"/>
        </w:rPr>
        <w:t>Hinojosa</w:t>
      </w:r>
      <w:r>
        <w:rPr>
          <w:rStyle w:val="Style13ptBold"/>
        </w:rPr>
        <w:t xml:space="preserve"> 16 </w:t>
      </w:r>
      <w:r w:rsidRPr="002A1929">
        <w:t>(</w:t>
      </w:r>
      <w:r>
        <w:t>David G. Hinojosa; March, 2016; National Director of Policy for the Intercultural Development Research Association; University of Richmond Law Review; LexisNexis)</w:t>
      </w:r>
    </w:p>
    <w:p w:rsidR="00854F36" w:rsidRPr="00617E5E" w:rsidRDefault="00854F36" w:rsidP="00854F36">
      <w:r w:rsidRPr="00A87BFC">
        <w:rPr>
          <w:rStyle w:val="StyleUnderline"/>
        </w:rPr>
        <w:t>Precedent in the two states shows that the equitable powers of the courts can afford proper relief to the plaintiffs</w:t>
      </w:r>
      <w:r w:rsidRPr="00617E5E">
        <w:t xml:space="preserve"> if successful. In New Mexico, the state supreme court has stated that it, </w:t>
      </w:r>
      <w:r w:rsidRPr="00A87BFC">
        <w:rPr>
          <w:rStyle w:val="StyleUnderline"/>
        </w:rPr>
        <w:t>"as the branch of state government responsible for interpreting the constitution, the judiciary has the authority and the duty to protect individuals from violations of rights guaranteed in [its] constitution."</w:t>
      </w:r>
      <w:r w:rsidRPr="00617E5E">
        <w:t xml:space="preserve"> n120 This power allows the court to ensure that any legislative action remedies the specific harms proven. </w:t>
      </w:r>
      <w:r w:rsidRPr="00A87BFC">
        <w:rPr>
          <w:rStyle w:val="StyleUnderline"/>
        </w:rPr>
        <w:t>The court need not control the purse strings, but it can ensure that the state fulfills the duty it owes to students</w:t>
      </w:r>
      <w:r w:rsidRPr="00617E5E">
        <w:t xml:space="preserve"> by scrutinizing the actions the legislature may take in responding to an injunction. n121 Although the North Carolina courts have carefully considered the arguments in school finance cases and rendered strong opinions affirming the trial courts' decisions on the merits, they have been slow in effectuating appropriate relief when necessary. Nevertheless, </w:t>
      </w:r>
      <w:r w:rsidRPr="00A87BFC">
        <w:rPr>
          <w:rStyle w:val="StyleUnderline"/>
        </w:rPr>
        <w:t>precedent allows for stronger action when warranted</w:t>
      </w:r>
      <w:r w:rsidRPr="00617E5E">
        <w:t xml:space="preserve">. </w:t>
      </w:r>
      <w:r w:rsidRPr="00A87BFC">
        <w:rPr>
          <w:rStyle w:val="StyleUnderline"/>
        </w:rPr>
        <w:t>In Leandro II, the court stated that when the State fails to live up to its constitutional duties, a court is empowered to order the deficiency remedied, and if the offending branch of government or its agents either fail to do so or have consistently shown an inability to do so, a court is empowered to provide relief by imposing a specific remedy and instructing the recalcitrant state actors to implement it.</w:t>
      </w:r>
      <w:r w:rsidRPr="00617E5E">
        <w:t xml:space="preserve"> n122</w:t>
      </w:r>
    </w:p>
    <w:p w:rsidR="00854F36" w:rsidRDefault="00854F36" w:rsidP="00854F36"/>
    <w:p w:rsidR="00854F36" w:rsidRDefault="00854F36" w:rsidP="00854F36">
      <w:pPr>
        <w:pStyle w:val="Heading4"/>
      </w:pPr>
      <w:r>
        <w:t>New Mexico court cases access several new areas through finance reform</w:t>
      </w:r>
    </w:p>
    <w:p w:rsidR="00854F36" w:rsidRDefault="00854F36" w:rsidP="00854F36">
      <w:r w:rsidRPr="002A1929">
        <w:rPr>
          <w:rStyle w:val="Style13ptBold"/>
        </w:rPr>
        <w:t>Hinojosa</w:t>
      </w:r>
      <w:r>
        <w:rPr>
          <w:rStyle w:val="Style13ptBold"/>
        </w:rPr>
        <w:t xml:space="preserve"> 16 </w:t>
      </w:r>
      <w:r w:rsidRPr="002A1929">
        <w:t>(</w:t>
      </w:r>
      <w:r>
        <w:t>David G. Hinojosa; March, 2016; National Director of Policy for the Intercultural Development Research Association; University of Richmond Law Review; LexisNexis)</w:t>
      </w:r>
    </w:p>
    <w:p w:rsidR="00854F36" w:rsidRPr="00617E5E" w:rsidRDefault="00854F36" w:rsidP="00854F36">
      <w:pPr>
        <w:rPr>
          <w:rStyle w:val="Style13ptBold"/>
          <w:sz w:val="16"/>
        </w:rPr>
      </w:pPr>
      <w:r w:rsidRPr="00617E5E">
        <w:t xml:space="preserve">On April 1, 2014, several families of low-income and English language learner ("ELL") children filed one of the most comprehensive educational opportunity lawsuits in the country, Martinez v. New Mexico. n31 </w:t>
      </w:r>
      <w:r w:rsidRPr="00FF5FA5">
        <w:rPr>
          <w:rStyle w:val="StyleUnderline"/>
        </w:rPr>
        <w:t>These Latino and Native American parents</w:t>
      </w:r>
      <w:r w:rsidRPr="00617E5E">
        <w:t xml:space="preserve">, whose children attend seven predominately minority school districts across New Mexico, </w:t>
      </w:r>
      <w:r w:rsidRPr="00FF5FA5">
        <w:rPr>
          <w:rStyle w:val="StyleUnderline"/>
        </w:rPr>
        <w:t>filed a complaint that raises several systemic issues that allegedly deprive their students of a uniform and sufficient education as guaranteed under the New Mexico [*876] Constitution</w:t>
      </w:r>
      <w:r w:rsidRPr="00617E5E">
        <w:t xml:space="preserve">. n32 They challenge the state's failure to provide the necessary resources for an adequate education to their high-need n33 children in the quantitative sense, and they assert that the state has enacted, or failed to enact, statutes and regulations that collectively deprive them of an adequate education in the qualitative sense. n34 </w:t>
      </w:r>
      <w:r w:rsidRPr="00C62436">
        <w:rPr>
          <w:rStyle w:val="StyleUnderline"/>
        </w:rPr>
        <w:t>They also allege that a "uniform and sufficient education" under the New Mexico Constitution is a fundamental right and that the state discriminated against high-need students by failing to provide the opportunities they need to reach their potential</w:t>
      </w:r>
      <w:r w:rsidRPr="00617E5E">
        <w:t xml:space="preserve"> and to meet the standards imposed by the state and society, violating the state's equal protection and due process clauses. n35 </w:t>
      </w:r>
      <w:r w:rsidRPr="00C62436">
        <w:rPr>
          <w:rStyle w:val="StyleUnderline"/>
        </w:rPr>
        <w:t>What sets the Martinez complaint apart from many other school finance cases is that the allegations reach into other areas impacting educational opportunity</w:t>
      </w:r>
      <w:r w:rsidRPr="00617E5E">
        <w:t xml:space="preserve">, such as the failure to include [*877] </w:t>
      </w:r>
      <w:r w:rsidRPr="00C62436">
        <w:rPr>
          <w:rStyle w:val="StyleUnderline"/>
        </w:rPr>
        <w:t>multiculturalism and bilingualism into the basic fabric of a sufficient education, relying on unique state constitutional provisions and several state statutes.</w:t>
      </w:r>
      <w:r w:rsidRPr="00617E5E">
        <w:t xml:space="preserve"> n36 In addition, the plaintiffs assert that a constitutionally sufficient education requires the state to effectively monitor the expenditures by school districts, but the state has been derelict in this duty. n37 Finally, the plaintiffs allege that a sufficient education includes fair and effective oversight of teacher and student performance but the design and implementation of the state's teacher evaluation model and accountability system are arbitrary and punitive, driving high-quality teachers away from high-need students and schools. n38 Though seemingly non-traditional [*878] allegations, they hold true to the chief goal of ensuring that the state legislature fully delivers the quality of educational opportunities required under the state constitution and the resources needed to sustain that quality of education in providing a uniform and sufficient education. n39</w:t>
      </w:r>
    </w:p>
    <w:p w:rsidR="00854F36" w:rsidRDefault="00854F36">
      <w:pPr>
        <w:rPr>
          <w:rFonts w:eastAsiaTheme="majorEastAsia" w:cstheme="majorBidi"/>
          <w:b/>
          <w:iCs/>
          <w:sz w:val="26"/>
        </w:rPr>
      </w:pPr>
      <w:r>
        <w:br w:type="page"/>
      </w:r>
    </w:p>
    <w:p w:rsidR="00854F36" w:rsidRPr="00C1322A" w:rsidRDefault="00854F36" w:rsidP="00854F36">
      <w:pPr>
        <w:pStyle w:val="Heading4"/>
      </w:pPr>
      <w:r>
        <w:t>After Rodriguez, plaintiffs went to states to win educational opportunity cases</w:t>
      </w:r>
    </w:p>
    <w:p w:rsidR="00854F36" w:rsidRPr="00077DBF" w:rsidRDefault="00854F36" w:rsidP="00854F36">
      <w:pPr>
        <w:rPr>
          <w:rStyle w:val="Style13ptBold"/>
        </w:rPr>
      </w:pPr>
      <w:r w:rsidRPr="00077DBF">
        <w:rPr>
          <w:rStyle w:val="Style13ptBold"/>
        </w:rPr>
        <w:t>Hunter</w:t>
      </w:r>
      <w:r>
        <w:rPr>
          <w:rStyle w:val="Style13ptBold"/>
        </w:rPr>
        <w:t xml:space="preserve"> and Gebhardt</w:t>
      </w:r>
      <w:r w:rsidRPr="00077DBF">
        <w:rPr>
          <w:rStyle w:val="Style13ptBold"/>
        </w:rPr>
        <w:t xml:space="preserve"> 16</w:t>
      </w:r>
      <w:r>
        <w:rPr>
          <w:rStyle w:val="Style13ptBold"/>
        </w:rPr>
        <w:t xml:space="preserve"> </w:t>
      </w:r>
      <w:r w:rsidRPr="00077DBF">
        <w:t>(</w:t>
      </w:r>
      <w:r>
        <w:t>Molly A. Hunter and and Kathleen J. Gebhardt; March, 2016; Director, Education Justice, The National Program at the Education Law Center and Executive Director, Children's Voices in Colorado; University of Richmond Law Review; LexisNexis)</w:t>
      </w:r>
    </w:p>
    <w:p w:rsidR="00854F36" w:rsidRPr="003E2FAE" w:rsidRDefault="00854F36" w:rsidP="00854F36">
      <w:r w:rsidRPr="003E2FAE">
        <w:t xml:space="preserve">Since the 1600s in New England and at least the late 1700s more broadly, colonies, states, and the U.S. Congress have recognized the importance of educational opportunity to prepare children for the responsibilities of citizenship and the challenges of changing times. n1 While a Massachusetts court decided the first litigation for fair school funding in 1819, n2 the modern era of these cases began with decisions in California, New Jersey, and the U.S. Supreme Court in the early 1970s. n3 An attempt to rely on federal equal protection for funding equity in San Antonio Independent School District v. Rodriguez led to the 1973 U.S. Supreme Court decision declaring that education is not a fundamental right under the federal Constitution. n4 [*894] Heeding the advice of Justice Thurgood Marshall in his dissent, </w:t>
      </w:r>
      <w:r w:rsidRPr="003E2FAE">
        <w:rPr>
          <w:rStyle w:val="StyleUnderline"/>
          <w:highlight w:val="yellow"/>
        </w:rPr>
        <w:t>the Rodriguez plaintiffs turned to the Texas Constitution and state courts, and won</w:t>
      </w:r>
      <w:r w:rsidRPr="003E2FAE">
        <w:rPr>
          <w:rStyle w:val="StyleUnderline"/>
        </w:rPr>
        <w:t xml:space="preserve">. n5 </w:t>
      </w:r>
      <w:r w:rsidRPr="003E2FAE">
        <w:rPr>
          <w:rStyle w:val="StyleUnderline"/>
          <w:highlight w:val="yellow"/>
        </w:rPr>
        <w:t>Since Rodriguez, plaintiffs in forty-five states have challenged school funding formulas primarily in state courts, usually suing the state under the state's constitutional education articles.</w:t>
      </w:r>
      <w:r w:rsidRPr="003E2FAE">
        <w:t xml:space="preserve"> n6 </w:t>
      </w:r>
      <w:r w:rsidRPr="003E2FAE">
        <w:rPr>
          <w:rStyle w:val="StyleUnderline"/>
          <w:highlight w:val="yellow"/>
        </w:rPr>
        <w:t>Each of the fifty state constitutions requires the state to provide education</w:t>
      </w:r>
      <w:r w:rsidRPr="003E2FAE">
        <w:rPr>
          <w:highlight w:val="yellow"/>
        </w:rPr>
        <w:t>.</w:t>
      </w:r>
      <w:r w:rsidRPr="003E2FAE">
        <w:t xml:space="preserve"> n7 To interpret these education articles, </w:t>
      </w:r>
      <w:r w:rsidRPr="003E2FAE">
        <w:rPr>
          <w:rStyle w:val="StyleUnderline"/>
          <w:highlight w:val="yellow"/>
        </w:rPr>
        <w:t>the courts rely on state constitutional history, which often declares education essential to protect democracy, a republican form of government, and individual rights</w:t>
      </w:r>
      <w:r w:rsidRPr="003E2FAE">
        <w:rPr>
          <w:highlight w:val="yellow"/>
        </w:rPr>
        <w:t>.</w:t>
      </w:r>
      <w:r w:rsidRPr="003E2FAE">
        <w:t xml:space="preserve"> n8 Since 1989, </w:t>
      </w:r>
      <w:r w:rsidRPr="003E2FAE">
        <w:rPr>
          <w:rStyle w:val="StyleUnderline"/>
          <w:highlight w:val="yellow"/>
        </w:rPr>
        <w:t>plaintiffs have won about two-thirds of these educational opportunity cases.</w:t>
      </w:r>
      <w:r w:rsidRPr="003E2FAE">
        <w:t xml:space="preserve"> n9 Though defendant states often prevailed in the 1970s and 1980s in cases based on equal protection clauses and seeking equal per-pupil funding, n10 </w:t>
      </w:r>
      <w:r w:rsidRPr="003E2FAE">
        <w:rPr>
          <w:rStyle w:val="StyleUnderline"/>
          <w:highlight w:val="yellow"/>
        </w:rPr>
        <w:t>plaintiffs' success rate improved as they focused more on ensuring that schools had sufficient resources to educate all students, relying on state constitutional education articles</w:t>
      </w:r>
      <w:r w:rsidRPr="003E2FAE">
        <w:rPr>
          <w:highlight w:val="yellow"/>
        </w:rPr>
        <w:t>.</w:t>
      </w:r>
      <w:r w:rsidRPr="003E2FAE">
        <w:t xml:space="preserve"> n11 According to the Education Law [*895] Center, "in response to these court orders, states have adopted better school funding systems, instituted high quality pre-K programs, mounted major school facilities programs, and enacted other remedies." n12</w:t>
      </w:r>
    </w:p>
    <w:p w:rsidR="00854F36" w:rsidRDefault="00854F36" w:rsidP="00854F36"/>
    <w:p w:rsidR="00854F36" w:rsidRDefault="00854F36" w:rsidP="00854F36">
      <w:pPr>
        <w:pStyle w:val="Heading4"/>
      </w:pPr>
      <w:r>
        <w:t>Colorado is greatly affected by funding inequalities</w:t>
      </w:r>
    </w:p>
    <w:p w:rsidR="00854F36" w:rsidRDefault="00854F36" w:rsidP="00854F36">
      <w:r w:rsidRPr="00077DBF">
        <w:rPr>
          <w:rStyle w:val="Style13ptBold"/>
        </w:rPr>
        <w:t>Hunter</w:t>
      </w:r>
      <w:r>
        <w:rPr>
          <w:rStyle w:val="Style13ptBold"/>
        </w:rPr>
        <w:t xml:space="preserve"> and Gebhardt</w:t>
      </w:r>
      <w:r w:rsidRPr="00077DBF">
        <w:rPr>
          <w:rStyle w:val="Style13ptBold"/>
        </w:rPr>
        <w:t xml:space="preserve"> 16</w:t>
      </w:r>
      <w:r>
        <w:rPr>
          <w:rStyle w:val="Style13ptBold"/>
        </w:rPr>
        <w:t xml:space="preserve"> </w:t>
      </w:r>
      <w:r w:rsidRPr="00077DBF">
        <w:t>(</w:t>
      </w:r>
      <w:r>
        <w:t>Molly A. Hunter and and Kathleen J. Gebhardt; March, 2016; Director, Education Justice, The National Program at the Education Law Center and Executive Director, Children's Voices in Colorado; University of Richmond Law Review; LexisNexis)</w:t>
      </w:r>
    </w:p>
    <w:p w:rsidR="00854F36" w:rsidRPr="003E2FAE" w:rsidRDefault="00854F36" w:rsidP="00854F36">
      <w:r w:rsidRPr="003E2FAE">
        <w:t>Going forward</w:t>
      </w:r>
      <w:r w:rsidRPr="00546025">
        <w:rPr>
          <w:rStyle w:val="StyleUnderline"/>
        </w:rPr>
        <w:t xml:space="preserve">, </w:t>
      </w:r>
      <w:r w:rsidRPr="003E2FAE">
        <w:t xml:space="preserve">Coloradans pushing for fair funding and better opportunities can use the constitutional standards articulated by the Lujan and Lobato courts in their advocacy. They will likely compare and contrast the constitutional requirements for "thorough and uniform" and "complete, comprehensive and consistent" education with the </w:t>
      </w:r>
      <w:r w:rsidRPr="00F0307B">
        <w:rPr>
          <w:rStyle w:val="StyleUnderline"/>
        </w:rPr>
        <w:t>ongoing shortfalls and inequities that are rampant across the state</w:t>
      </w:r>
      <w:r w:rsidRPr="003E2FAE">
        <w:t xml:space="preserve">. In fact, the </w:t>
      </w:r>
      <w:r w:rsidRPr="00546025">
        <w:rPr>
          <w:rStyle w:val="StyleUnderline"/>
        </w:rPr>
        <w:t>inadequacies and disparities continue to grow; Colorado's funding and outcomes are among the worst in the nation and sinking further</w:t>
      </w:r>
      <w:r w:rsidRPr="003E2FAE">
        <w:t>. n172 [*917]</w:t>
      </w:r>
    </w:p>
    <w:p w:rsidR="00854F36" w:rsidRDefault="00854F36" w:rsidP="00854F36"/>
    <w:p w:rsidR="00854F36" w:rsidRDefault="00854F36" w:rsidP="00854F36"/>
    <w:p w:rsidR="00854F36" w:rsidRPr="008D3969" w:rsidRDefault="00854F36" w:rsidP="00854F36">
      <w:pPr>
        <w:shd w:val="clear" w:color="auto" w:fill="FFFFFF"/>
        <w:rPr>
          <w:rFonts w:ascii="Times" w:eastAsia="Times New Roman" w:hAnsi="Times"/>
        </w:rPr>
      </w:pPr>
    </w:p>
    <w:p w:rsidR="00854F36" w:rsidRPr="00612699" w:rsidRDefault="00854F36" w:rsidP="00854F36">
      <w:pPr>
        <w:pStyle w:val="Heading3"/>
      </w:pPr>
      <w:r>
        <w:t>Federalism</w:t>
      </w:r>
    </w:p>
    <w:p w:rsidR="00854F36" w:rsidRPr="00E0460C" w:rsidRDefault="00854F36" w:rsidP="00854F36">
      <w:pPr>
        <w:pStyle w:val="Heading4"/>
        <w:rPr>
          <w:rFonts w:asciiTheme="majorHAnsi" w:hAnsiTheme="majorHAnsi"/>
        </w:rPr>
      </w:pPr>
      <w:r>
        <w:rPr>
          <w:rFonts w:asciiTheme="majorHAnsi" w:hAnsiTheme="majorHAnsi"/>
        </w:rPr>
        <w:t>This case is necessary to be determined on a state level</w:t>
      </w:r>
    </w:p>
    <w:p w:rsidR="00854F36" w:rsidRPr="00E0460C" w:rsidRDefault="00854F36" w:rsidP="00854F36">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Lexis Nexis.</w:t>
      </w:r>
    </w:p>
    <w:p w:rsidR="00854F36" w:rsidRPr="00CD188A" w:rsidRDefault="00854F36" w:rsidP="00854F36">
      <w:pPr>
        <w:rPr>
          <w:rFonts w:asciiTheme="majorHAnsi" w:hAnsiTheme="majorHAnsi" w:cs="Times"/>
        </w:rPr>
      </w:pPr>
      <w:r w:rsidRPr="00CD188A">
        <w:rPr>
          <w:rFonts w:asciiTheme="majorHAnsi" w:hAnsiTheme="majorHAnsi" w:cs="Times"/>
        </w:rPr>
        <w:t xml:space="preserve">A second factor that influenced the opinion in </w:t>
      </w:r>
      <w:r w:rsidRPr="00CD188A">
        <w:rPr>
          <w:rFonts w:asciiTheme="majorHAnsi" w:hAnsiTheme="majorHAnsi" w:cs="Times"/>
          <w:i/>
          <w:iCs/>
        </w:rPr>
        <w:t xml:space="preserve">Rodriguez </w:t>
      </w:r>
      <w:r w:rsidRPr="00CD188A">
        <w:rPr>
          <w:rFonts w:asciiTheme="majorHAnsi" w:hAnsiTheme="majorHAnsi" w:cs="Times"/>
        </w:rPr>
        <w:t>was the Burger Court's revived notion of "federalism." Justice Powell emphasized that "</w:t>
      </w:r>
      <w:r w:rsidRPr="009F48A8">
        <w:rPr>
          <w:rStyle w:val="StyleUnderline"/>
        </w:rPr>
        <w:t>every claim arising under the Equal Protection Clause has implications for the relationship between national and state power under our federal system."</w:t>
      </w:r>
      <w:r w:rsidRPr="00CD188A">
        <w:rPr>
          <w:rFonts w:asciiTheme="majorHAnsi" w:hAnsiTheme="majorHAnsi" w:cs="Times"/>
        </w:rPr>
        <w:t xml:space="preserve"> n63 In his view, </w:t>
      </w:r>
      <w:r w:rsidRPr="009F48A8">
        <w:rPr>
          <w:rStyle w:val="StyleUnderline"/>
        </w:rPr>
        <w:t xml:space="preserve">questions of federalism should be considered in selecting the appropriate level of judicial scrutiny of state laws. n64 He concluded that "it would be difficult to imagine a case having a greater potential impact on our federal system than the one now before us, in which we are urged to abrogate systems of financing public education presently in existence in virtually every state." </w:t>
      </w:r>
      <w:r w:rsidRPr="00CD188A">
        <w:rPr>
          <w:rFonts w:asciiTheme="majorHAnsi" w:hAnsiTheme="majorHAnsi" w:cs="Times"/>
        </w:rPr>
        <w:t xml:space="preserve">n65 Considerations of judicial competence and the belief that finding solutions to school finance problems is a legislative task similarly influenced the Court's opinion in </w:t>
      </w:r>
      <w:r w:rsidRPr="00CD188A">
        <w:rPr>
          <w:rFonts w:asciiTheme="majorHAnsi" w:hAnsiTheme="majorHAnsi" w:cs="Times"/>
          <w:i/>
          <w:iCs/>
        </w:rPr>
        <w:t xml:space="preserve">Rodriguez. </w:t>
      </w:r>
      <w:r w:rsidRPr="00CD188A">
        <w:rPr>
          <w:rFonts w:asciiTheme="majorHAnsi" w:hAnsiTheme="majorHAnsi" w:cs="Times"/>
        </w:rPr>
        <w:t xml:space="preserve">The majority opinion observed that "the Justices of this Court lack both the expertise and the familiarity with local problems so necessary to the making of wise decisions with respect to the raising and disposition of public revenues" n66 and pointed out that "this case also involves the most persistent and difficult questions of educational policy, another area in which this Court's lack of specialized knowledge and experience counsels against premature interference with the informed judgments made at the state and local levels." n67 In closing, the Court noted that "[t]he consideration and initiation of fundamental reforms with respect to state taxation and education are matters reserved for the legislative processes of the various states, and we do no violence to the values of federalism and separation of powers by staying our hand." </w:t>
      </w:r>
    </w:p>
    <w:p w:rsidR="00854F36" w:rsidRDefault="00854F36" w:rsidP="00854F36">
      <w:pPr>
        <w:pStyle w:val="Heading4"/>
      </w:pPr>
      <w:r>
        <w:t>The Rodriguez decision specifically creates disparities between the state and federal levels</w:t>
      </w:r>
    </w:p>
    <w:p w:rsidR="00854F36" w:rsidRDefault="00854F36" w:rsidP="00854F36">
      <w:r>
        <w:t xml:space="preserve">Kimberly Jenkins </w:t>
      </w:r>
      <w:r w:rsidRPr="002568AE">
        <w:rPr>
          <w:rStyle w:val="Style13ptBold"/>
        </w:rPr>
        <w:t>Robinson</w:t>
      </w:r>
      <w:r>
        <w:t>, November, 20</w:t>
      </w:r>
      <w:r w:rsidRPr="002568AE">
        <w:rPr>
          <w:rStyle w:val="Style13ptBold"/>
        </w:rPr>
        <w:t>16</w:t>
      </w:r>
      <w:r>
        <w:t xml:space="preserve">, </w:t>
      </w:r>
      <w:r w:rsidRPr="002568AE">
        <w:rPr>
          <w:rStyle w:val="Style13ptBold"/>
        </w:rPr>
        <w:t>Richmond Law Prof</w:t>
      </w:r>
      <w:r>
        <w:t>, Harvard Law Review, 130 Harv. L. Rev. 185, “FISHER'S CAUTIONARY TALE AND THE URGENT NEED FOR EQUAL ACCESS TO AN EXCELLENT EDUCATION” Lexis-Nexis (ermo/sms)</w:t>
      </w:r>
    </w:p>
    <w:p w:rsidR="00854F36" w:rsidRPr="00CD188A" w:rsidRDefault="00854F36" w:rsidP="00854F36">
      <w:r w:rsidRPr="00CD188A">
        <w:t xml:space="preserve">Yet despite insistence on an end point for affirmative action, </w:t>
      </w:r>
      <w:r w:rsidRPr="00E81DBE">
        <w:rPr>
          <w:rStyle w:val="StyleUnderline"/>
          <w:highlight w:val="yellow"/>
        </w:rPr>
        <w:t>the Court's jurisprudence on equal educational opportunity has frustrated attempts at reform</w:t>
      </w:r>
      <w:r w:rsidRPr="00CD188A">
        <w:t xml:space="preserve"> that might eventually obviate the need for affirmative action. Postsecondary institutions consider the race of applicants in substantial part because of the racial achievement gap between applicants on standardized test scores and the systemic disparities within elementary and secondary education that cause these gaps. n14 </w:t>
      </w:r>
      <w:r w:rsidRPr="00E81DBE">
        <w:rPr>
          <w:rStyle w:val="StyleUnderline"/>
          <w:highlight w:val="yellow"/>
        </w:rPr>
        <w:t>The Court closed a powerful door</w:t>
      </w:r>
      <w:r w:rsidRPr="00CD188A">
        <w:t xml:space="preserve"> to addressing those gaps </w:t>
      </w:r>
      <w:r w:rsidRPr="00E81DBE">
        <w:rPr>
          <w:rStyle w:val="StyleUnderline"/>
          <w:highlight w:val="yellow"/>
        </w:rPr>
        <w:t>in San Antonio Independent School District v. Rodriguez</w:t>
      </w:r>
      <w:r w:rsidRPr="00CD188A">
        <w:t xml:space="preserve">. n15 In </w:t>
      </w:r>
      <w:r w:rsidRPr="00E81DBE">
        <w:rPr>
          <w:rStyle w:val="StyleUnderline"/>
          <w:highlight w:val="yellow"/>
        </w:rPr>
        <w:t>Rodriguez</w:t>
      </w:r>
      <w:r w:rsidRPr="00CD188A">
        <w:t xml:space="preserve">, the Court </w:t>
      </w:r>
      <w:r w:rsidRPr="00E81DBE">
        <w:rPr>
          <w:rStyle w:val="StyleUnderline"/>
          <w:highlight w:val="yellow"/>
        </w:rPr>
        <w:t>held that the United States Constitution neither recognizes a right to education nor provides a remedy for funding disparities between districts in a state</w:t>
      </w:r>
      <w:r w:rsidRPr="00CD188A">
        <w:t xml:space="preserve">. n16 While acknowledging the need for state funding reform, </w:t>
      </w:r>
      <w:r w:rsidRPr="00E81DBE">
        <w:rPr>
          <w:rStyle w:val="StyleUnderline"/>
          <w:highlight w:val="yellow"/>
        </w:rPr>
        <w:t xml:space="preserve">Rodriguez left such reforms to the </w:t>
      </w:r>
      <w:r w:rsidRPr="00E81DBE">
        <w:rPr>
          <w:rStyle w:val="Emphasis"/>
          <w:highlight w:val="yellow"/>
        </w:rPr>
        <w:t>laboratory of the states</w:t>
      </w:r>
      <w:r w:rsidRPr="00CD188A">
        <w:t xml:space="preserve">. n17 </w:t>
      </w:r>
      <w:r w:rsidRPr="00E81DBE">
        <w:rPr>
          <w:rStyle w:val="StyleUnderline"/>
          <w:highlight w:val="yellow"/>
        </w:rPr>
        <w:t>Although some reform has occurred</w:t>
      </w:r>
      <w:r w:rsidRPr="00CD188A">
        <w:t xml:space="preserve">, this laboratory has too often proven that </w:t>
      </w:r>
      <w:r w:rsidRPr="00E81DBE">
        <w:rPr>
          <w:rStyle w:val="StyleUnderline"/>
          <w:highlight w:val="yellow"/>
        </w:rPr>
        <w:t>states are unwilling to provide</w:t>
      </w:r>
      <w:r w:rsidRPr="00CD188A">
        <w:t xml:space="preserve"> the </w:t>
      </w:r>
      <w:r w:rsidRPr="00E81DBE">
        <w:rPr>
          <w:rStyle w:val="StyleUnderline"/>
          <w:highlight w:val="yellow"/>
        </w:rPr>
        <w:t>equal access to an excellent education</w:t>
      </w:r>
      <w:r w:rsidRPr="00CD188A">
        <w:t xml:space="preserve"> that all children deserve. n18 As a result, </w:t>
      </w:r>
      <w:r w:rsidRPr="00E81DBE">
        <w:rPr>
          <w:rStyle w:val="StyleUnderline"/>
          <w:highlight w:val="yellow"/>
        </w:rPr>
        <w:t>widespread</w:t>
      </w:r>
      <w:r w:rsidRPr="00CD188A">
        <w:t xml:space="preserve"> racial and socioeconomic </w:t>
      </w:r>
      <w:r w:rsidRPr="00E81DBE">
        <w:rPr>
          <w:rStyle w:val="StyleUnderline"/>
          <w:highlight w:val="yellow"/>
        </w:rPr>
        <w:t>disparities in educational opportunity persist and remain a principal cause of the achievement gap between low-income [*188] and minority students and their more affluent and white peers</w:t>
      </w:r>
      <w:r w:rsidRPr="00CD188A">
        <w:t xml:space="preserve">. n19 Therefore, although the Court insists that affirmative action must eventually end, </w:t>
      </w:r>
      <w:r w:rsidRPr="00E81DBE">
        <w:rPr>
          <w:rStyle w:val="StyleUnderline"/>
          <w:highlight w:val="yellow"/>
        </w:rPr>
        <w:t>the Court has washed its hands of the underlying opportunity gaps that lead institutions to rely on affirmative action</w:t>
      </w:r>
      <w:r w:rsidRPr="00CD188A">
        <w:t>.</w:t>
      </w:r>
    </w:p>
    <w:p w:rsidR="00854F36" w:rsidRPr="00E0460C" w:rsidRDefault="00854F36" w:rsidP="00854F36">
      <w:pPr>
        <w:rPr>
          <w:rFonts w:asciiTheme="majorHAnsi" w:hAnsiTheme="majorHAnsi" w:cs="Times"/>
        </w:rPr>
      </w:pPr>
    </w:p>
    <w:p w:rsidR="00854F36" w:rsidRDefault="00854F36">
      <w:pPr>
        <w:rPr>
          <w:rFonts w:asciiTheme="majorHAnsi" w:eastAsiaTheme="majorEastAsia" w:hAnsiTheme="majorHAnsi" w:cstheme="majorBidi"/>
          <w:b/>
          <w:iCs/>
          <w:sz w:val="26"/>
        </w:rPr>
      </w:pPr>
      <w:r>
        <w:rPr>
          <w:rFonts w:asciiTheme="majorHAnsi" w:hAnsiTheme="majorHAnsi"/>
        </w:rPr>
        <w:br w:type="page"/>
      </w:r>
    </w:p>
    <w:p w:rsidR="00854F36" w:rsidRPr="00E0460C" w:rsidRDefault="00854F36" w:rsidP="00854F36">
      <w:pPr>
        <w:pStyle w:val="Heading4"/>
        <w:rPr>
          <w:rFonts w:asciiTheme="majorHAnsi" w:hAnsiTheme="majorHAnsi"/>
        </w:rPr>
      </w:pPr>
      <w:r>
        <w:rPr>
          <w:rFonts w:asciiTheme="majorHAnsi" w:hAnsiTheme="majorHAnsi"/>
        </w:rPr>
        <w:t>Plan coopts federalism</w:t>
      </w:r>
    </w:p>
    <w:p w:rsidR="00854F36" w:rsidRPr="00E0460C" w:rsidRDefault="00854F36" w:rsidP="00854F36">
      <w:pPr>
        <w:widowControl w:val="0"/>
        <w:autoSpaceDE w:val="0"/>
        <w:autoSpaceDN w:val="0"/>
        <w:adjustRightInd w:val="0"/>
        <w:spacing w:after="240" w:line="240" w:lineRule="auto"/>
        <w:rPr>
          <w:rFonts w:asciiTheme="majorHAnsi" w:hAnsiTheme="majorHAnsi" w:cs="Times"/>
        </w:rPr>
      </w:pPr>
      <w:r w:rsidRPr="00E0460C">
        <w:rPr>
          <w:rStyle w:val="Style13ptBold"/>
          <w:rFonts w:asciiTheme="majorHAnsi" w:hAnsiTheme="majorHAnsi"/>
          <w:b w:val="0"/>
        </w:rPr>
        <w:t>Martha I.</w:t>
      </w:r>
      <w:r w:rsidRPr="00E0460C">
        <w:rPr>
          <w:rStyle w:val="Style13ptBold"/>
          <w:rFonts w:asciiTheme="majorHAnsi" w:hAnsiTheme="majorHAnsi"/>
        </w:rPr>
        <w:t xml:space="preserve"> Morgan</w:t>
      </w:r>
      <w:r w:rsidRPr="00E0460C">
        <w:rPr>
          <w:rStyle w:val="Style13ptBold"/>
          <w:rFonts w:ascii="MS Gothic" w:hAnsi="MS Gothic" w:cs="MS Gothic"/>
        </w:rPr>
        <w:t> </w:t>
      </w:r>
      <w:r w:rsidRPr="00E0460C">
        <w:rPr>
          <w:rStyle w:val="Style13ptBold"/>
          <w:rFonts w:asciiTheme="majorHAnsi" w:hAnsiTheme="majorHAnsi"/>
        </w:rPr>
        <w:t xml:space="preserve">, </w:t>
      </w:r>
      <w:r w:rsidRPr="00E0460C">
        <w:rPr>
          <w:rStyle w:val="Style13ptBold"/>
          <w:rFonts w:asciiTheme="majorHAnsi" w:hAnsiTheme="majorHAnsi"/>
          <w:b w:val="0"/>
        </w:rPr>
        <w:t>19</w:t>
      </w:r>
      <w:r w:rsidRPr="00E0460C">
        <w:rPr>
          <w:rStyle w:val="Style13ptBold"/>
          <w:rFonts w:asciiTheme="majorHAnsi" w:hAnsiTheme="majorHAnsi"/>
        </w:rPr>
        <w:t xml:space="preserve">82, </w:t>
      </w:r>
      <w:r w:rsidRPr="00E0460C">
        <w:rPr>
          <w:rStyle w:val="Style13ptBold"/>
          <w:rFonts w:asciiTheme="majorHAnsi" w:hAnsiTheme="majorHAnsi"/>
          <w:b w:val="0"/>
          <w:sz w:val="22"/>
        </w:rPr>
        <w:t>“</w:t>
      </w:r>
      <w:r w:rsidRPr="00E0460C">
        <w:rPr>
          <w:rFonts w:asciiTheme="majorHAnsi" w:hAnsiTheme="majorHAnsi" w:cs="Times"/>
        </w:rPr>
        <w:t>Fundamental State Rights: A New Basis for Strict Scrutiny in Federal Equal Protection Review”, Associate</w:t>
      </w:r>
      <w:r w:rsidRPr="00E0460C">
        <w:rPr>
          <w:rStyle w:val="Style13ptBold"/>
          <w:rFonts w:asciiTheme="majorHAnsi" w:hAnsiTheme="majorHAnsi"/>
          <w:b w:val="0"/>
          <w:sz w:val="22"/>
        </w:rPr>
        <w:t xml:space="preserve"> Professor of Law, University of Alabama, Georgia Law Review</w:t>
      </w:r>
      <w:r w:rsidRPr="00E0460C">
        <w:rPr>
          <w:rStyle w:val="Style13ptBold"/>
          <w:rFonts w:asciiTheme="majorHAnsi" w:hAnsiTheme="majorHAnsi"/>
          <w:sz w:val="22"/>
        </w:rPr>
        <w:t xml:space="preserve">, </w:t>
      </w:r>
      <w:r w:rsidRPr="00E0460C">
        <w:rPr>
          <w:rStyle w:val="Style13ptBold"/>
          <w:rFonts w:asciiTheme="majorHAnsi" w:hAnsiTheme="majorHAnsi"/>
          <w:b w:val="0"/>
          <w:sz w:val="22"/>
        </w:rPr>
        <w:t>Lexis Nexis.</w:t>
      </w:r>
    </w:p>
    <w:p w:rsidR="00854F36" w:rsidRPr="00CD188A" w:rsidRDefault="00854F36" w:rsidP="00854F36">
      <w:pPr>
        <w:rPr>
          <w:rFonts w:asciiTheme="majorHAnsi" w:hAnsiTheme="majorHAnsi" w:cs="Times"/>
        </w:rPr>
      </w:pPr>
      <w:r w:rsidRPr="006B1DC1">
        <w:rPr>
          <w:rStyle w:val="StyleUnderline"/>
        </w:rPr>
        <w:t>A fourth method of defining fundamental state rights is illustrated by the California Supreme Court's in bank opinion in Serrano v. Priest. n109 Justice Sullivan's opinion for the court rejected the suggestion that "the Rodriguez approach to assessing 'fundamentalness' in affected rights is applied by analogy in the state sphere":</w:t>
      </w:r>
      <w:r w:rsidRPr="00CD188A">
        <w:rPr>
          <w:rFonts w:asciiTheme="majorHAnsi" w:hAnsiTheme="majorHAnsi" w:cs="Times"/>
        </w:rPr>
        <w:t xml:space="preserve"> Suffice it to say that we are constrained no more by inclination than by authority to gauge the importance of rights and interests affected by legislative classifications wholly through determining the extent to which they are "explicitly or implicitly guaranteed" . . . by the terms of our compendious, comprehensive, and distinctly mutable state Constitution. In applying our state constitutional provisions guaranteeing equal protection of the laws we shall continue to apply strict scrutiny to legislative classifications which, because of their impact on those individual rights and liberties which lie at the core of our free and representative form of government, are properly considered "fundamental." n110 </w:t>
      </w:r>
      <w:r w:rsidRPr="006B1DC1">
        <w:rPr>
          <w:rStyle w:val="StyleUnderline"/>
        </w:rPr>
        <w:t xml:space="preserve">Under this method of defining fundamental state rights, state constitutional provisions are not controlling; but neither are they irrelevant. In Serrano the California court noted: "We do not suggest, of course, that the treatment afforded particular rights and interests by the provisions of our state Constitution is not to be accorded significant consideration in determinations of this kind. We do suggest that this factor is not to be given conclusive weight." n111 </w:t>
      </w:r>
    </w:p>
    <w:p w:rsidR="00854F36" w:rsidRDefault="00854F36" w:rsidP="00854F36">
      <w:pPr>
        <w:pStyle w:val="Heading3"/>
      </w:pPr>
      <w:r>
        <w:t>Spending</w:t>
      </w:r>
    </w:p>
    <w:p w:rsidR="00854F36" w:rsidRDefault="00854F36" w:rsidP="00854F36">
      <w:pPr>
        <w:pStyle w:val="Heading4"/>
      </w:pPr>
      <w:r>
        <w:t>In order to fund equitable conditions the plan costs hundreds of billions of dollars</w:t>
      </w:r>
    </w:p>
    <w:p w:rsidR="00854F36" w:rsidRPr="003D7BC8" w:rsidRDefault="00854F36" w:rsidP="00854F36">
      <w:r>
        <w:t xml:space="preserve">Max </w:t>
      </w:r>
      <w:r w:rsidRPr="00130851">
        <w:rPr>
          <w:rStyle w:val="Style13ptBold"/>
        </w:rPr>
        <w:t>Ciolino</w:t>
      </w:r>
      <w:r>
        <w:t xml:space="preserve">, University of Pennsylvania Journal of Law and Social Change, </w:t>
      </w:r>
      <w:r w:rsidRPr="00130851">
        <w:rPr>
          <w:rStyle w:val="Style13ptBold"/>
        </w:rPr>
        <w:t>2016</w:t>
      </w:r>
      <w:r>
        <w:t xml:space="preserve"> “THE RIGHT TO AN EDUCATION AND THE PLIGHT OF SCHOOL FACILITIES: A LEGISLATIVE PROPOSAL” [Lexis Nexis Database] (19 U. Pa. J.L. &amp; Soc. Change 107) MNW</w:t>
      </w:r>
    </w:p>
    <w:p w:rsidR="00854F36" w:rsidRPr="00CD188A" w:rsidRDefault="00854F36" w:rsidP="00854F36">
      <w:r w:rsidRPr="003D7BC8">
        <w:rPr>
          <w:u w:val="single"/>
        </w:rPr>
        <w:t xml:space="preserve">The national estimates for public school facilities maintenance and construction have been pegged at somewhere between </w:t>
      </w:r>
      <w:r w:rsidRPr="003D7BC8">
        <w:rPr>
          <w:b/>
          <w:u w:val="single"/>
        </w:rPr>
        <w:t>$ 100 Billion and $ 650 Billion dollars</w:t>
      </w:r>
      <w:r w:rsidRPr="003D7BC8">
        <w:rPr>
          <w:u w:val="single"/>
        </w:rPr>
        <w:t>.</w:t>
      </w:r>
      <w:r w:rsidRPr="00CD188A">
        <w:t xml:space="preserve"> n20 The General Accounting Office of the United States government performed the first national assessment of this in 1995. </w:t>
      </w:r>
      <w:r w:rsidRPr="003D7BC8">
        <w:rPr>
          <w:u w:val="single"/>
        </w:rPr>
        <w:t>After performing an inventory of the public schools, the GAO estimated that there was a $ 112 Billion price tag on deferred maintenance and new construction needs.</w:t>
      </w:r>
      <w:r w:rsidRPr="00CD188A">
        <w:t xml:space="preserve"> n21 In 2000, the Nat'l educ. ass'n asserted that the actual need for </w:t>
      </w:r>
      <w:r w:rsidRPr="003D7BC8">
        <w:rPr>
          <w:u w:val="single"/>
        </w:rPr>
        <w:t>school facilities and technological modernization amounted to $ 321 Billion.</w:t>
      </w:r>
      <w:r w:rsidRPr="00CD188A">
        <w:t xml:space="preserve"> n22 Finally, in 2009, 2</w:t>
      </w:r>
      <w:r w:rsidRPr="003D7BC8">
        <w:rPr>
          <w:u w:val="single"/>
        </w:rPr>
        <w:t xml:space="preserve">1st Century Schools asserted that </w:t>
      </w:r>
      <w:r w:rsidRPr="003D7BC8">
        <w:rPr>
          <w:b/>
          <w:u w:val="single"/>
        </w:rPr>
        <w:t>$ 650 Billion</w:t>
      </w:r>
      <w:r w:rsidRPr="003D7BC8">
        <w:rPr>
          <w:u w:val="single"/>
        </w:rPr>
        <w:t xml:space="preserve"> was needed to repair and modernize the Nation's public schools. </w:t>
      </w:r>
      <w:r w:rsidRPr="00CD188A">
        <w:t xml:space="preserve">n23 Although these numbers are staggering by themselves, it is worth noting that the national expenditures on public school facilities from all sources during the 1995-2004 decade add up to about $ 504 Billion. n24 Of these expenditures, about $ 363 Billion was spent on new building construction, and half of these funds were spent on building new schools to accommodate a growing population of students. n25 Meanwhile, many existing schools continued to defer needed maintenance. n26 </w:t>
      </w:r>
      <w:r w:rsidRPr="003D7BC8">
        <w:rPr>
          <w:u w:val="single"/>
        </w:rPr>
        <w:t xml:space="preserve">All of this taken together indicates that staggering estimates of deferred maintenance and necessary construction are far from stagnant and stable numbers. </w:t>
      </w:r>
      <w:r w:rsidRPr="00CD188A">
        <w:t>The resource needs of public school facilities will continue to grow and compound with each passing year that we fail to implement proper remediation strategies to improve substandard schools and ensure that our investments are properly maintained over time.</w:t>
      </w:r>
    </w:p>
    <w:p w:rsidR="00854F36" w:rsidRDefault="00854F36" w:rsidP="00854F36">
      <w:pPr>
        <w:pStyle w:val="Heading3"/>
      </w:pPr>
      <w:r>
        <w:t>Politics</w:t>
      </w:r>
    </w:p>
    <w:p w:rsidR="00854F36" w:rsidRDefault="00854F36" w:rsidP="00854F36">
      <w:pPr>
        <w:pStyle w:val="Heading4"/>
      </w:pPr>
      <w:r>
        <w:t>In times of decision making, court’s decisions still are deemed unpopular</w:t>
      </w:r>
    </w:p>
    <w:p w:rsidR="00854F36" w:rsidRPr="006F126C" w:rsidRDefault="00854F36" w:rsidP="00854F36">
      <w:r w:rsidRPr="006F126C">
        <w:t xml:space="preserve">THOMAS O. </w:t>
      </w:r>
      <w:r w:rsidRPr="006F126C">
        <w:rPr>
          <w:rStyle w:val="Style13ptBold"/>
        </w:rPr>
        <w:t>MCGARITY 2012</w:t>
      </w:r>
      <w:r w:rsidRPr="006F126C">
        <w:t xml:space="preserve"> </w:t>
      </w:r>
      <w:r>
        <w:t xml:space="preserve"> </w:t>
      </w:r>
      <w:r w:rsidRPr="006F126C">
        <w:t>ADMINISTRATIVE LAW AS BLOOD SPORT: POLICY EROSION IN A HIGHLY PARTISAN AGE † Duke Law Journal [serial online]. May 2012;61(8):1671-1762. Available from: Academic Search Complete, Ipswich, MA. Accessed July 1, 2017.</w:t>
      </w:r>
    </w:p>
    <w:p w:rsidR="00854F36" w:rsidRDefault="00854F36" w:rsidP="00854F36">
      <w:pPr>
        <w:rPr>
          <w:rStyle w:val="StyleUnderline"/>
        </w:rPr>
      </w:pPr>
      <w:r w:rsidRPr="006F126C">
        <w:t>In this new milieu, “</w:t>
      </w:r>
      <w:r w:rsidRPr="006F126C">
        <w:rPr>
          <w:rStyle w:val="StyleUnderline"/>
        </w:rPr>
        <w:t>winning” can mean more than compelling unreasonable delays in agency action, invoking APA procedures to impede the policymaking process, or persuading the agency to accept a particular position on the relevant law and facts</w:t>
      </w:r>
      <w:r w:rsidRPr="006F126C">
        <w:t xml:space="preserve">. Winning can consist of extracting promises from nominees during the confirmation process, preventing the confirmation of disfavored nominees, or preventing the confirmation of any agency leaders until the administration has agreed to change the agency’s decisionmaking structure. </w:t>
      </w:r>
      <w:r w:rsidRPr="006F126C">
        <w:rPr>
          <w:rStyle w:val="StyleUnderline"/>
        </w:rPr>
        <w:t>Winning can also mean</w:t>
      </w:r>
      <w:r w:rsidRPr="006F126C">
        <w:t xml:space="preserve"> incapacitating the agency by reducing its annual appropriation, repealing the agency’s organic act, </w:t>
      </w:r>
      <w:r w:rsidRPr="006F126C">
        <w:rPr>
          <w:rStyle w:val="StyleUnderline"/>
        </w:rPr>
        <w:t>or whittling away its regulatory authority</w:t>
      </w:r>
      <w:r w:rsidRPr="006F126C">
        <w:t xml:space="preserve"> through rifle-shot riders attached to must-pass legislation.25 </w:t>
      </w:r>
      <w:r w:rsidRPr="006F126C">
        <w:rPr>
          <w:rStyle w:val="StyleUnderline"/>
        </w:rPr>
        <w:t>The players are less reluctant to attack agencies and the statutes those agencies administer head on. The players launch their attacks much earlier in the evolution of regulatory programs, and they feel free to go beyond attacks on the agencies as institutions to launch ad hominem attacks on agency decisionmakers.</w:t>
      </w:r>
      <w:r w:rsidRPr="006F126C">
        <w:t xml:space="preserve"> In short, I raise the possibility that, </w:t>
      </w:r>
      <w:r w:rsidRPr="006F126C">
        <w:rPr>
          <w:rStyle w:val="StyleUnderline"/>
        </w:rPr>
        <w:t>for some high-stakes rulemaking initiatives in some areas of regulation, implementation is not so much “politics by other means”26 as it is “politics as usual.” And because politics is so very different from the deliberative, lawyer-dominated domain of traditional administrative law, the word “law” may no longer be an accurate descriptor</w:t>
      </w:r>
      <w:r w:rsidRPr="006F126C">
        <w:t xml:space="preserve">. Former U.S. Securities and Exchange Commission (SEC) Chairman Arthur Levitt referred in 2010 </w:t>
      </w:r>
      <w:r w:rsidRPr="006F126C">
        <w:rPr>
          <w:rStyle w:val="StyleUnderline"/>
        </w:rPr>
        <w:t>to federal regulation as a “kind of a blood sport” in which the regulated industries attempt “to make the particular agency” promulgating an unwelcome regulation “look stupid or inept or venal</w:t>
      </w:r>
      <w:r w:rsidRPr="006F126C">
        <w:t xml:space="preserve">.”27 If the implementation of regulatory statutes has become a blood sport in important contexts, and if the goal of administrative law extends beyond ensuring procedural regularity to a concern about the effective implementation of legislation, then it would behoove administrative-law scholars to pay attention to the larger setting in which informal rulemaking now takes place and to begin thinking about the implications of these developments for the field. The conventional model still governs most run-of-the-mill rulemaking. The regulations that make up the vast bulk of the rulemaking output of the federal agencies are not of such importance that they are likely to warrant the considerable expense of an all-out war, nor are they likely to attract the attention of the powerful political actors who are capable of transforming technical disputes into fierce ideological battles. . In high-impact rulemaking exercises that have the potential for both high political visibility and large costs or benefits, however, many regulatees and beneficiary groups have dramatically intensified their efforts to influence the conventional rulemaking process, while at the same time broadening the focus of their strategies beyond the confines of that process to include members of Congress, the media, political pundits, and the general public </w:t>
      </w:r>
      <w:r w:rsidRPr="006F126C">
        <w:rPr>
          <w:rStyle w:val="StyleUnderline"/>
        </w:rPr>
        <w:t>During times of divided government, the battles are waged both in the agency and in Congress, where sympathetic committees schedule hearings on proposed regulations even as the agencies are receiving and analyzing public comments on the same proposed regulations pursuant to the conventional rulemaking model.</w:t>
      </w:r>
    </w:p>
    <w:p w:rsidR="00854F36" w:rsidRDefault="00854F36" w:rsidP="00854F36">
      <w:pPr>
        <w:pStyle w:val="Heading4"/>
        <w:rPr>
          <w:rStyle w:val="StyleUnderline"/>
          <w:b/>
          <w:u w:val="none"/>
        </w:rPr>
      </w:pPr>
      <w:r w:rsidRPr="006F126C">
        <w:rPr>
          <w:rStyle w:val="StyleUnderline"/>
          <w:u w:val="none"/>
        </w:rPr>
        <w:t>Court decisions deemed unpopular- courts link to politics</w:t>
      </w:r>
    </w:p>
    <w:p w:rsidR="00854F36" w:rsidRPr="006F126C" w:rsidRDefault="00854F36" w:rsidP="00854F36">
      <w:pPr>
        <w:rPr>
          <w:rStyle w:val="StyleUnderline"/>
        </w:rPr>
      </w:pPr>
      <w:r w:rsidRPr="006F126C">
        <w:t xml:space="preserve">David Paul </w:t>
      </w:r>
      <w:r w:rsidRPr="006F126C">
        <w:rPr>
          <w:rStyle w:val="Style13ptBold"/>
        </w:rPr>
        <w:t>Kuhn</w:t>
      </w:r>
      <w:r w:rsidRPr="006F126C">
        <w:t>, 6-29</w:t>
      </w:r>
      <w:r>
        <w:t>-</w:t>
      </w:r>
      <w:r w:rsidRPr="006F126C">
        <w:rPr>
          <w:rStyle w:val="Style13ptBold"/>
        </w:rPr>
        <w:t>2012,</w:t>
      </w:r>
      <w:r w:rsidRPr="006F126C">
        <w:t>The Incredible Polarization and Politicization of the Supreme Court, Atlantic, https://www.theatlantic.com/politics/archive/2012/06/the-incredible-polarization-and-politicization-of-the-supreme-court/259155/, 6-30-2017</w:t>
      </w:r>
      <w:r>
        <w:t xml:space="preserve"> </w:t>
      </w:r>
      <w:r w:rsidRPr="006F126C">
        <w:rPr>
          <w:rFonts w:ascii="Georgia" w:eastAsia="Times New Roman" w:hAnsi="Georgia" w:cs="Times New Roman"/>
          <w:color w:val="000000"/>
          <w:szCs w:val="27"/>
        </w:rPr>
        <w:t xml:space="preserve">Yet </w:t>
      </w:r>
      <w:r w:rsidRPr="006F126C">
        <w:rPr>
          <w:rStyle w:val="StyleUnderline"/>
        </w:rPr>
        <w:t>concerns about the Court's apolitical credibility are hardly alleviated</w:t>
      </w:r>
      <w:r w:rsidRPr="006F126C">
        <w:rPr>
          <w:rFonts w:ascii="Georgia" w:eastAsia="Times New Roman" w:hAnsi="Georgia" w:cs="Times New Roman"/>
          <w:color w:val="000000"/>
          <w:szCs w:val="27"/>
        </w:rPr>
        <w:t xml:space="preserve">. At least two-thirds of the 5-4 rulings during the Roberts Court have split along ideological lines. Roberts has agreed with the three most conservative justices -- Samuel Alito, Clarence Thomas and Antonin Scalia -- in at least eight in 10 non-unanimous rulings, according to calculations by </w:t>
      </w:r>
      <w:r w:rsidRPr="006F126C">
        <w:rPr>
          <w:rFonts w:ascii="Georgia" w:eastAsia="Times New Roman" w:hAnsi="Georgia" w:cs="Times New Roman"/>
          <w:i/>
          <w:iCs/>
          <w:color w:val="000000"/>
          <w:szCs w:val="27"/>
        </w:rPr>
        <w:t>SCOTUSblog</w:t>
      </w:r>
      <w:r w:rsidRPr="006F126C">
        <w:rPr>
          <w:rFonts w:ascii="Georgia" w:eastAsia="Times New Roman" w:hAnsi="Georgia" w:cs="Times New Roman"/>
          <w:color w:val="000000"/>
          <w:szCs w:val="27"/>
        </w:rPr>
        <w:t xml:space="preserve">. </w:t>
      </w:r>
      <w:r w:rsidRPr="006F126C">
        <w:rPr>
          <w:rStyle w:val="StyleUnderline"/>
        </w:rPr>
        <w:t xml:space="preserve">Roberts has also presided over the two most polarized Court years in American history. In 2006 and 2008, about one in three rulings were decided by a 5-to-4 vote. In the last three years, the Roberts Court decided slightly less than a fifth of its cases by a one-vote majority. </w:t>
      </w:r>
      <w:r w:rsidRPr="006F126C">
        <w:rPr>
          <w:rFonts w:ascii="Georgia" w:eastAsia="Times New Roman" w:hAnsi="Georgia" w:cs="Times New Roman"/>
          <w:color w:val="000000"/>
          <w:szCs w:val="27"/>
        </w:rPr>
        <w:t>Notably, that's still a few percentage points above the share of 5-to-4 rulings during Burger and Vinson Courts. The Supreme Court will consider controversial laws next term, including the use of affirmative action. If past is prologue</w:t>
      </w:r>
      <w:r w:rsidRPr="006F126C">
        <w:rPr>
          <w:rStyle w:val="StyleUnderline"/>
        </w:rPr>
        <w:t>, major rulings will remain politicized.</w:t>
      </w:r>
    </w:p>
    <w:p w:rsidR="00854F36" w:rsidRPr="006F126C" w:rsidRDefault="00854F36" w:rsidP="00854F36"/>
    <w:p w:rsidR="00A95652" w:rsidRPr="00B55AD5" w:rsidRDefault="00A95652" w:rsidP="00B55AD5"/>
    <w:sectPr w:rsidR="00A95652" w:rsidRPr="00B55AD5">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0811" w:rsidRDefault="00A10811" w:rsidP="00854F36">
      <w:pPr>
        <w:spacing w:after="0" w:line="240" w:lineRule="auto"/>
      </w:pPr>
      <w:r>
        <w:separator/>
      </w:r>
    </w:p>
  </w:endnote>
  <w:endnote w:type="continuationSeparator" w:id="0">
    <w:p w:rsidR="00A10811" w:rsidRDefault="00A10811" w:rsidP="00854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8636132"/>
      <w:docPartObj>
        <w:docPartGallery w:val="Page Numbers (Bottom of Page)"/>
        <w:docPartUnique/>
      </w:docPartObj>
    </w:sdtPr>
    <w:sdtEndPr>
      <w:rPr>
        <w:noProof/>
      </w:rPr>
    </w:sdtEndPr>
    <w:sdtContent>
      <w:p w:rsidR="00854F36" w:rsidRDefault="00854F36">
        <w:pPr>
          <w:pStyle w:val="Footer"/>
          <w:jc w:val="right"/>
        </w:pPr>
        <w:r>
          <w:fldChar w:fldCharType="begin"/>
        </w:r>
        <w:r>
          <w:instrText xml:space="preserve"> PAGE   \* MERGEFORMAT </w:instrText>
        </w:r>
        <w:r>
          <w:fldChar w:fldCharType="separate"/>
        </w:r>
        <w:r w:rsidR="00E9643F">
          <w:rPr>
            <w:noProof/>
          </w:rPr>
          <w:t>40</w:t>
        </w:r>
        <w:r>
          <w:rPr>
            <w:noProof/>
          </w:rPr>
          <w:fldChar w:fldCharType="end"/>
        </w:r>
      </w:p>
    </w:sdtContent>
  </w:sdt>
  <w:p w:rsidR="00854F36" w:rsidRDefault="00854F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0811" w:rsidRDefault="00A10811" w:rsidP="00854F36">
      <w:pPr>
        <w:spacing w:after="0" w:line="240" w:lineRule="auto"/>
      </w:pPr>
      <w:r>
        <w:separator/>
      </w:r>
    </w:p>
  </w:footnote>
  <w:footnote w:type="continuationSeparator" w:id="0">
    <w:p w:rsidR="00A10811" w:rsidRDefault="00A10811" w:rsidP="00854F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0E5" w:rsidRDefault="00CD5FBA">
    <w:pPr>
      <w:pStyle w:val="Header"/>
    </w:pPr>
    <w:r>
      <w:t>M</w:t>
    </w:r>
    <w:r w:rsidR="00854F36">
      <w:t>SDI 2017</w:t>
    </w:r>
    <w:r w:rsidR="00854F36">
      <w:tab/>
    </w:r>
    <w:r w:rsidR="00854F36">
      <w:tab/>
      <w:t>Funding Equity Neg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rmo"/>
    <w:docVar w:name="RibbonPointer" w:val="150407768"/>
    <w:docVar w:name="Team" w:val="Missouri State"/>
    <w:docVar w:name="VerbatimVersion" w:val="5.1"/>
  </w:docVars>
  <w:rsids>
    <w:rsidRoot w:val="00854F36"/>
    <w:rsid w:val="00003BE1"/>
    <w:rsid w:val="000139A3"/>
    <w:rsid w:val="000D41EE"/>
    <w:rsid w:val="000E08AC"/>
    <w:rsid w:val="00100833"/>
    <w:rsid w:val="00104529"/>
    <w:rsid w:val="00105942"/>
    <w:rsid w:val="00107396"/>
    <w:rsid w:val="00144A4C"/>
    <w:rsid w:val="00176AB0"/>
    <w:rsid w:val="00177B7D"/>
    <w:rsid w:val="0018322D"/>
    <w:rsid w:val="001B5776"/>
    <w:rsid w:val="001E527A"/>
    <w:rsid w:val="001F78CE"/>
    <w:rsid w:val="002340E5"/>
    <w:rsid w:val="00251FC7"/>
    <w:rsid w:val="00255426"/>
    <w:rsid w:val="00257A38"/>
    <w:rsid w:val="002855A7"/>
    <w:rsid w:val="002B146A"/>
    <w:rsid w:val="002B5E17"/>
    <w:rsid w:val="00315690"/>
    <w:rsid w:val="00316B75"/>
    <w:rsid w:val="00325646"/>
    <w:rsid w:val="003460F2"/>
    <w:rsid w:val="0038158C"/>
    <w:rsid w:val="003902BA"/>
    <w:rsid w:val="003A09E2"/>
    <w:rsid w:val="00407037"/>
    <w:rsid w:val="00457BD9"/>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3143E"/>
    <w:rsid w:val="00766EA0"/>
    <w:rsid w:val="00767FD2"/>
    <w:rsid w:val="007A2226"/>
    <w:rsid w:val="007F5B66"/>
    <w:rsid w:val="00823A1C"/>
    <w:rsid w:val="00835F3C"/>
    <w:rsid w:val="00845B9D"/>
    <w:rsid w:val="00854F36"/>
    <w:rsid w:val="00860984"/>
    <w:rsid w:val="008B3ECB"/>
    <w:rsid w:val="008B4E85"/>
    <w:rsid w:val="008C1B2E"/>
    <w:rsid w:val="0091627E"/>
    <w:rsid w:val="0097032B"/>
    <w:rsid w:val="009D2EAD"/>
    <w:rsid w:val="009D54B2"/>
    <w:rsid w:val="009E1922"/>
    <w:rsid w:val="009F7ED2"/>
    <w:rsid w:val="00A06651"/>
    <w:rsid w:val="00A10811"/>
    <w:rsid w:val="00A93661"/>
    <w:rsid w:val="00A95652"/>
    <w:rsid w:val="00AC0AB8"/>
    <w:rsid w:val="00B2375A"/>
    <w:rsid w:val="00B33C6D"/>
    <w:rsid w:val="00B4508F"/>
    <w:rsid w:val="00B55AD5"/>
    <w:rsid w:val="00B8057C"/>
    <w:rsid w:val="00B90960"/>
    <w:rsid w:val="00BD6238"/>
    <w:rsid w:val="00BF593B"/>
    <w:rsid w:val="00BF773A"/>
    <w:rsid w:val="00BF7E81"/>
    <w:rsid w:val="00C13773"/>
    <w:rsid w:val="00C17CC8"/>
    <w:rsid w:val="00C508DD"/>
    <w:rsid w:val="00C83417"/>
    <w:rsid w:val="00C9604F"/>
    <w:rsid w:val="00CA19AA"/>
    <w:rsid w:val="00CC5298"/>
    <w:rsid w:val="00CD5FBA"/>
    <w:rsid w:val="00CD736E"/>
    <w:rsid w:val="00CD798D"/>
    <w:rsid w:val="00CE161E"/>
    <w:rsid w:val="00CF59A8"/>
    <w:rsid w:val="00D325A9"/>
    <w:rsid w:val="00D36A8A"/>
    <w:rsid w:val="00D61409"/>
    <w:rsid w:val="00D6691E"/>
    <w:rsid w:val="00D71170"/>
    <w:rsid w:val="00DA1C92"/>
    <w:rsid w:val="00DA25D4"/>
    <w:rsid w:val="00DA6538"/>
    <w:rsid w:val="00E15E75"/>
    <w:rsid w:val="00E16193"/>
    <w:rsid w:val="00E5262C"/>
    <w:rsid w:val="00E9643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DCFDE6-F775-4F7E-BF3D-1B0235BC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35F3C"/>
    <w:rPr>
      <w:rFonts w:ascii="Calibri" w:hAnsi="Calibri"/>
      <w:sz w:val="16"/>
    </w:rPr>
  </w:style>
  <w:style w:type="paragraph" w:styleId="Heading1">
    <w:name w:val="heading 1"/>
    <w:aliases w:val="Pocket"/>
    <w:basedOn w:val="Normal"/>
    <w:next w:val="Normal"/>
    <w:link w:val="Heading1Char"/>
    <w:qFormat/>
    <w:rsid w:val="00835F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5F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5F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835F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35F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5F3C"/>
  </w:style>
  <w:style w:type="character" w:customStyle="1" w:styleId="Heading1Char">
    <w:name w:val="Heading 1 Char"/>
    <w:aliases w:val="Pocket Char"/>
    <w:basedOn w:val="DefaultParagraphFont"/>
    <w:link w:val="Heading1"/>
    <w:rsid w:val="00835F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5F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5F3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35F3C"/>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qualifications in card,qualifications,bold underline,Box,Style1,Bold Underline,B"/>
    <w:basedOn w:val="DefaultParagraphFont"/>
    <w:link w:val="textbold"/>
    <w:uiPriority w:val="7"/>
    <w:qFormat/>
    <w:rsid w:val="00835F3C"/>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35F3C"/>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Bold Cite Char,Citation Char Char Char,ci,c,Style,Bo"/>
    <w:basedOn w:val="DefaultParagraphFont"/>
    <w:uiPriority w:val="6"/>
    <w:qFormat/>
    <w:rsid w:val="00835F3C"/>
    <w:rPr>
      <w:b/>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835F3C"/>
    <w:rPr>
      <w:color w:val="auto"/>
      <w:u w:val="none"/>
    </w:rPr>
  </w:style>
  <w:style w:type="character" w:styleId="FollowedHyperlink">
    <w:name w:val="FollowedHyperlink"/>
    <w:basedOn w:val="DefaultParagraphFont"/>
    <w:uiPriority w:val="99"/>
    <w:semiHidden/>
    <w:unhideWhenUsed/>
    <w:rsid w:val="00835F3C"/>
    <w:rPr>
      <w:color w:val="auto"/>
      <w:u w:val="none"/>
    </w:rPr>
  </w:style>
  <w:style w:type="paragraph" w:styleId="NormalWeb">
    <w:name w:val="Normal (Web)"/>
    <w:basedOn w:val="Normal"/>
    <w:uiPriority w:val="99"/>
    <w:unhideWhenUsed/>
    <w:rsid w:val="00854F36"/>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854F36"/>
  </w:style>
  <w:style w:type="character" w:styleId="Strong">
    <w:name w:val="Strong"/>
    <w:basedOn w:val="DefaultParagraphFont"/>
    <w:uiPriority w:val="22"/>
    <w:qFormat/>
    <w:rsid w:val="00854F36"/>
    <w:rPr>
      <w:b/>
      <w:bCs/>
    </w:rPr>
  </w:style>
  <w:style w:type="paragraph" w:styleId="Header">
    <w:name w:val="header"/>
    <w:basedOn w:val="Normal"/>
    <w:link w:val="HeaderChar"/>
    <w:unhideWhenUsed/>
    <w:rsid w:val="00854F36"/>
    <w:pPr>
      <w:tabs>
        <w:tab w:val="center" w:pos="4680"/>
        <w:tab w:val="right" w:pos="9360"/>
      </w:tabs>
      <w:spacing w:after="0" w:line="240" w:lineRule="auto"/>
    </w:pPr>
    <w:rPr>
      <w:rFonts w:ascii="Times New Roman" w:eastAsia="Calibri" w:hAnsi="Times New Roman" w:cs="Times New Roman"/>
      <w:szCs w:val="24"/>
    </w:rPr>
  </w:style>
  <w:style w:type="character" w:customStyle="1" w:styleId="HeaderChar">
    <w:name w:val="Header Char"/>
    <w:basedOn w:val="DefaultParagraphFont"/>
    <w:link w:val="Header"/>
    <w:rsid w:val="00854F36"/>
    <w:rPr>
      <w:rFonts w:ascii="Times New Roman" w:eastAsia="Calibri" w:hAnsi="Times New Roman" w:cs="Times New Roman"/>
      <w:sz w:val="16"/>
      <w:szCs w:val="24"/>
    </w:rPr>
  </w:style>
  <w:style w:type="paragraph" w:customStyle="1" w:styleId="textbold">
    <w:name w:val="text bold"/>
    <w:basedOn w:val="Normal"/>
    <w:link w:val="Emphasis"/>
    <w:uiPriority w:val="7"/>
    <w:qFormat/>
    <w:rsid w:val="00854F36"/>
    <w:pPr>
      <w:widowControl w:val="0"/>
      <w:ind w:left="720"/>
      <w:jc w:val="both"/>
    </w:pPr>
    <w:rPr>
      <w:b/>
      <w:iCs/>
      <w:sz w:val="26"/>
      <w:u w:val="single"/>
      <w:bdr w:val="single" w:sz="24" w:space="0" w:color="auto"/>
    </w:rPr>
  </w:style>
  <w:style w:type="paragraph" w:styleId="Footer">
    <w:name w:val="footer"/>
    <w:basedOn w:val="Normal"/>
    <w:link w:val="FooterChar"/>
    <w:uiPriority w:val="99"/>
    <w:unhideWhenUsed/>
    <w:rsid w:val="00854F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F36"/>
    <w:rPr>
      <w:rFonts w:ascii="Calibri" w:hAnsi="Calibri"/>
      <w:sz w:val="16"/>
    </w:rPr>
  </w:style>
  <w:style w:type="paragraph" w:styleId="TOCHeading">
    <w:name w:val="TOC Heading"/>
    <w:basedOn w:val="Heading1"/>
    <w:next w:val="Normal"/>
    <w:uiPriority w:val="39"/>
    <w:unhideWhenUsed/>
    <w:qFormat/>
    <w:rsid w:val="00854F3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854F36"/>
    <w:pPr>
      <w:spacing w:after="100"/>
      <w:ind w:left="160"/>
    </w:pPr>
  </w:style>
  <w:style w:type="paragraph" w:styleId="TOC3">
    <w:name w:val="toc 3"/>
    <w:basedOn w:val="Normal"/>
    <w:next w:val="Normal"/>
    <w:autoRedefine/>
    <w:uiPriority w:val="39"/>
    <w:unhideWhenUsed/>
    <w:rsid w:val="00854F36"/>
    <w:pPr>
      <w:spacing w:after="100"/>
      <w:ind w:left="320"/>
    </w:pPr>
  </w:style>
  <w:style w:type="paragraph" w:styleId="BalloonText">
    <w:name w:val="Balloon Text"/>
    <w:basedOn w:val="Normal"/>
    <w:link w:val="BalloonTextChar"/>
    <w:uiPriority w:val="99"/>
    <w:semiHidden/>
    <w:unhideWhenUsed/>
    <w:rsid w:val="00E161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61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18"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26"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9" Type="http://schemas.openxmlformats.org/officeDocument/2006/relationships/hyperlink" Target="http://www2.ed.gov/programs/dvpformula/legislation.html" TargetMode="External"/><Relationship Id="rId3" Type="http://schemas.openxmlformats.org/officeDocument/2006/relationships/styles" Target="styles.xml"/><Relationship Id="rId21"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4" Type="http://schemas.openxmlformats.org/officeDocument/2006/relationships/hyperlink" Target="http://money.cnn.com/2013/12/04/pf/college/student-loan-debt/" TargetMode="External"/><Relationship Id="rId42" Type="http://schemas.openxmlformats.org/officeDocument/2006/relationships/hyperlink" Target="about:blank" TargetMode="External"/><Relationship Id="rId47" Type="http://schemas.openxmlformats.org/officeDocument/2006/relationships/hyperlink" Target="http://prospect.org/article/opportunity-dodge" TargetMode="External"/><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17"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25"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3" Type="http://schemas.openxmlformats.org/officeDocument/2006/relationships/hyperlink" Target="http://thinkprogress.org/economy/2014/03/31/3420987/college-degree-minimum-wage/" TargetMode="External"/><Relationship Id="rId38" Type="http://schemas.openxmlformats.org/officeDocument/2006/relationships/hyperlink" Target="http://www2.ed.gov/programs/sfgp/legislation.html" TargetMode="External"/><Relationship Id="rId46" Type="http://schemas.openxmlformats.org/officeDocument/2006/relationships/hyperlink" Target="http://mobile.nytimes.com/blogs/krugman/2015/02/22/rip-van-skillsgap/" TargetMode="External"/><Relationship Id="rId2" Type="http://schemas.openxmlformats.org/officeDocument/2006/relationships/numbering" Target="numbering.xml"/><Relationship Id="rId16"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20"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29" Type="http://schemas.openxmlformats.org/officeDocument/2006/relationships/hyperlink" Target="https://socialistworker.org/2013/11/06/corporate-reform-vs-education-justice" TargetMode="External"/><Relationship Id="rId41" Type="http://schemas.openxmlformats.org/officeDocument/2006/relationships/hyperlink" Target="http://www.rtinetwork.org/about-us/advisory-council/nogero-pedr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24"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2" Type="http://schemas.openxmlformats.org/officeDocument/2006/relationships/hyperlink" Target="http://www.newyorkfed.org/research/current_issues/ci20-1.pdf" TargetMode="External"/><Relationship Id="rId37" Type="http://schemas.openxmlformats.org/officeDocument/2006/relationships/hyperlink" Target="http://www2.ed.gov/programs/teacherqual/legislation.html" TargetMode="External"/><Relationship Id="rId40" Type="http://schemas.openxmlformats.org/officeDocument/2006/relationships/hyperlink" Target="http://www.rtinetwork.org/about-us/contributors/fergus-edward" TargetMode="External"/><Relationship Id="rId45" Type="http://schemas.openxmlformats.org/officeDocument/2006/relationships/hyperlink" Target="https://www.bostonglobe.com/business/2015/06/15/the-truth-about-economic-inequality/eD7bhJC5lolcOToEtiXa7M/story.html"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23"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28" Type="http://schemas.openxmlformats.org/officeDocument/2006/relationships/hyperlink" Target="https://www.jacobinmag.com/2014/04/unremedial-education/" TargetMode="External"/><Relationship Id="rId36" Type="http://schemas.openxmlformats.org/officeDocument/2006/relationships/hyperlink" Target="http://www2.ed.gov/programs/titleiparta/legislation.html" TargetMode="External"/><Relationship Id="rId49" Type="http://schemas.openxmlformats.org/officeDocument/2006/relationships/hyperlink" Target="http://www.hamiltonproject.org/papers/increasing_education_what_it_will_and_will_not_do_for_earnings_inequal/" TargetMode="External"/><Relationship Id="rId10" Type="http://schemas.openxmlformats.org/officeDocument/2006/relationships/hyperlink" Target="http://knowledgecenter.csg.org/kc/system/files/Leveling_the_Playing_Field_0.pdf" TargetMode="External"/><Relationship Id="rId19"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1" Type="http://schemas.openxmlformats.org/officeDocument/2006/relationships/hyperlink" Target="http://www.pewstates.org/uploadedFiles/PCS/Content-Level_Pages/Reports/2013/Moving_On_Up.pdf" TargetMode="External"/><Relationship Id="rId44" Type="http://schemas.openxmlformats.org/officeDocument/2006/relationships/hyperlink" Target="http://equitablegrowth.org/research/u-s-income-inequality-persists-amid-overall-growth-2014/"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lexisnexis.com.proxy.missouristate.edu/lnacui2api/frame.do?reloadEntirePage=true&amp;rand=1338126306199&amp;returnToKey=20_T14795531606&amp;parent=docview&amp;target=results_DocumentContent&amp;tokenKey=rsh-20.715067.3529068647" TargetMode="External"/><Relationship Id="rId22"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27" Type="http://schemas.openxmlformats.org/officeDocument/2006/relationships/hyperlink" Target="http://www.lexisnexis.com.proxy.missouristate.edu/lnacui2api/frame.do?reloadEntirePage=true&amp;rand=1338126434700&amp;returnToKey=20_T14795536604&amp;parent=docview&amp;target=results_DocumentContent&amp;tokenKey=rsh-20.360364.30790029326" TargetMode="External"/><Relationship Id="rId30" Type="http://schemas.openxmlformats.org/officeDocument/2006/relationships/hyperlink" Target="http://www.ncbi.nlm.nih.gov/pmc/articles/PMC1470496/" TargetMode="External"/><Relationship Id="rId35" Type="http://schemas.openxmlformats.org/officeDocument/2006/relationships/hyperlink" Target="https://www2.ed.gov/about/overview/fed/10facts/index.html" TargetMode="External"/><Relationship Id="rId43" Type="http://schemas.openxmlformats.org/officeDocument/2006/relationships/hyperlink" Target="http://www.whirlpool.com/carecounts" TargetMode="External"/><Relationship Id="rId48" Type="http://schemas.openxmlformats.org/officeDocument/2006/relationships/hyperlink" Target="http://equitablegrowth.org/research/graduating-college-students-reduce-wage-inequality/" TargetMode="External"/><Relationship Id="rId8" Type="http://schemas.openxmlformats.org/officeDocument/2006/relationships/hyperlink" Target="http://debate.missouristate.edu/" TargetMode="External"/><Relationship Id="rId5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6DEC7-192A-4D70-8DAF-6EEEC994C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17869</Words>
  <Characters>101859</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5.1.1</cp:keywords>
  <dc:description/>
  <cp:lastModifiedBy>Morris, Eric R</cp:lastModifiedBy>
  <cp:revision>2</cp:revision>
  <cp:lastPrinted>2017-07-01T06:11:00Z</cp:lastPrinted>
  <dcterms:created xsi:type="dcterms:W3CDTF">2017-07-01T05:53:00Z</dcterms:created>
  <dcterms:modified xsi:type="dcterms:W3CDTF">2017-09-03T21:21:00Z</dcterms:modified>
</cp:coreProperties>
</file>